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930"/>
        </w:tabs>
        <w:spacing w:beforeAutospacing="0" w:afterAutospacing="0" w:line="240" w:lineRule="auto"/>
        <w:jc w:val="center"/>
        <w:rPr>
          <w:rFonts w:hint="eastAsia" w:ascii="方正黑体_GBK" w:hAnsi="方正黑体_GBK" w:eastAsia="方正黑体_GBK" w:cs="方正黑体_GBK"/>
          <w:b/>
          <w:bCs w:val="0"/>
          <w:color w:val="000000"/>
          <w:sz w:val="44"/>
          <w:szCs w:val="44"/>
          <w:lang w:val="en-US" w:eastAsia="zh-CN"/>
        </w:rPr>
      </w:pPr>
      <w:r>
        <w:rPr>
          <w:rFonts w:hint="eastAsia" w:ascii="方正黑体_GBK" w:hAnsi="方正黑体_GBK" w:eastAsia="方正黑体_GBK" w:cs="方正黑体_GBK"/>
          <w:b/>
          <w:bCs w:val="0"/>
          <w:color w:val="000000"/>
          <w:sz w:val="44"/>
          <w:szCs w:val="44"/>
        </w:rPr>
        <w:t>202</w:t>
      </w:r>
      <w:r>
        <w:rPr>
          <w:rFonts w:hint="eastAsia" w:ascii="方正黑体_GBK" w:hAnsi="方正黑体_GBK" w:eastAsia="方正黑体_GBK" w:cs="方正黑体_GBK"/>
          <w:b/>
          <w:bCs w:val="0"/>
          <w:color w:val="000000"/>
          <w:sz w:val="44"/>
          <w:szCs w:val="44"/>
          <w:lang w:val="en-US" w:eastAsia="zh-CN"/>
        </w:rPr>
        <w:t>4</w:t>
      </w:r>
      <w:r>
        <w:rPr>
          <w:rFonts w:hint="eastAsia" w:ascii="方正黑体_GBK" w:hAnsi="方正黑体_GBK" w:eastAsia="方正黑体_GBK" w:cs="方正黑体_GBK"/>
          <w:b/>
          <w:bCs w:val="0"/>
          <w:color w:val="000000"/>
          <w:sz w:val="44"/>
          <w:szCs w:val="44"/>
        </w:rPr>
        <w:t>年</w:t>
      </w:r>
      <w:r>
        <w:rPr>
          <w:rFonts w:hint="eastAsia" w:ascii="方正黑体_GBK" w:hAnsi="方正黑体_GBK" w:eastAsia="方正黑体_GBK" w:cs="方正黑体_GBK"/>
          <w:b/>
          <w:bCs w:val="0"/>
          <w:color w:val="000000"/>
          <w:sz w:val="44"/>
          <w:szCs w:val="44"/>
          <w:lang w:val="en-US" w:eastAsia="zh-CN"/>
        </w:rPr>
        <w:t>吐鲁番市“三小一摊”食品</w:t>
      </w:r>
    </w:p>
    <w:p>
      <w:pPr>
        <w:tabs>
          <w:tab w:val="left" w:pos="6930"/>
        </w:tabs>
        <w:spacing w:beforeAutospacing="0" w:afterAutospacing="0" w:line="240" w:lineRule="auto"/>
        <w:jc w:val="center"/>
        <w:rPr>
          <w:rFonts w:hint="eastAsia" w:ascii="方正黑体_GBK" w:hAnsi="方正黑体_GBK" w:eastAsia="方正黑体_GBK" w:cs="方正黑体_GBK"/>
          <w:b/>
          <w:bCs w:val="0"/>
          <w:color w:val="000000"/>
          <w:sz w:val="52"/>
          <w:szCs w:val="52"/>
          <w:lang w:eastAsia="zh-CN"/>
        </w:rPr>
      </w:pPr>
      <w:r>
        <w:rPr>
          <w:rFonts w:hint="eastAsia" w:ascii="方正黑体_GBK" w:hAnsi="方正黑体_GBK" w:eastAsia="方正黑体_GBK" w:cs="方正黑体_GBK"/>
          <w:b/>
          <w:bCs w:val="0"/>
          <w:color w:val="000000"/>
          <w:sz w:val="44"/>
          <w:szCs w:val="44"/>
          <w:lang w:val="en-US" w:eastAsia="zh-CN"/>
        </w:rPr>
        <w:t>安全</w:t>
      </w:r>
      <w:r>
        <w:rPr>
          <w:rFonts w:hint="eastAsia" w:ascii="方正黑体_GBK" w:hAnsi="方正黑体_GBK" w:eastAsia="方正黑体_GBK" w:cs="方正黑体_GBK"/>
          <w:b/>
          <w:bCs w:val="0"/>
          <w:color w:val="000000"/>
          <w:sz w:val="44"/>
          <w:szCs w:val="44"/>
        </w:rPr>
        <w:t>监督</w:t>
      </w:r>
      <w:r>
        <w:rPr>
          <w:rFonts w:hint="eastAsia" w:ascii="方正黑体_GBK" w:hAnsi="方正黑体_GBK" w:eastAsia="方正黑体_GBK" w:cs="方正黑体_GBK"/>
          <w:b/>
          <w:bCs w:val="0"/>
          <w:color w:val="000000"/>
          <w:sz w:val="44"/>
          <w:szCs w:val="44"/>
          <w:lang w:eastAsia="zh-CN"/>
        </w:rPr>
        <w:t>抽</w:t>
      </w:r>
      <w:r>
        <w:rPr>
          <w:rFonts w:hint="eastAsia" w:ascii="方正黑体_GBK" w:hAnsi="方正黑体_GBK" w:eastAsia="方正黑体_GBK" w:cs="方正黑体_GBK"/>
          <w:b/>
          <w:bCs w:val="0"/>
          <w:color w:val="000000"/>
          <w:sz w:val="44"/>
          <w:szCs w:val="44"/>
          <w:lang w:val="en-US" w:eastAsia="zh-CN"/>
        </w:rPr>
        <w:t>查</w:t>
      </w:r>
      <w:r>
        <w:rPr>
          <w:rFonts w:hint="eastAsia" w:ascii="方正黑体_GBK" w:hAnsi="方正黑体_GBK" w:eastAsia="方正黑体_GBK" w:cs="方正黑体_GBK"/>
          <w:b/>
          <w:bCs w:val="0"/>
          <w:color w:val="000000"/>
          <w:sz w:val="44"/>
          <w:szCs w:val="44"/>
          <w:lang w:eastAsia="zh-CN"/>
        </w:rPr>
        <w:t>实施细则</w:t>
      </w:r>
    </w:p>
    <w:p>
      <w:pPr>
        <w:spacing w:beforeAutospacing="0" w:afterAutospacing="0" w:line="362" w:lineRule="auto"/>
        <w:rPr>
          <w:rFonts w:ascii="Arial" w:hAnsi="Arial"/>
          <w:sz w:val="21"/>
        </w:rPr>
      </w:pPr>
    </w:p>
    <w:p>
      <w:pPr>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65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1</w:t>
      </w:r>
      <w:r>
        <w:rPr>
          <w:rFonts w:hint="eastAsia" w:ascii="仿宋_GB2312" w:hAnsi="仿宋_GB2312" w:eastAsia="仿宋_GB2312" w:cs="仿宋_GB2312"/>
          <w:spacing w:val="4"/>
          <w:sz w:val="32"/>
          <w:szCs w:val="32"/>
        </w:rPr>
        <w:t>适用范围</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67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本细则适用于</w:t>
      </w:r>
      <w:r>
        <w:rPr>
          <w:rFonts w:hint="eastAsia" w:ascii="仿宋_GB2312" w:hAnsi="仿宋_GB2312" w:eastAsia="仿宋_GB2312" w:cs="仿宋_GB2312"/>
          <w:spacing w:val="9"/>
          <w:sz w:val="32"/>
          <w:szCs w:val="32"/>
          <w:lang w:val="en-US" w:eastAsia="zh-CN"/>
        </w:rPr>
        <w:t>“三小一摊”</w:t>
      </w:r>
      <w:r>
        <w:rPr>
          <w:rFonts w:hint="eastAsia" w:ascii="仿宋_GB2312" w:hAnsi="仿宋_GB2312" w:eastAsia="仿宋_GB2312" w:cs="仿宋_GB2312"/>
          <w:spacing w:val="9"/>
          <w:sz w:val="32"/>
          <w:szCs w:val="32"/>
        </w:rPr>
        <w:t>食品安全监督抽检。</w:t>
      </w:r>
    </w:p>
    <w:p>
      <w:pPr>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left="0" w:right="0" w:firstLine="66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6"/>
          <w:sz w:val="32"/>
          <w:szCs w:val="32"/>
        </w:rPr>
        <w:t>2</w:t>
      </w:r>
      <w:r>
        <w:rPr>
          <w:rFonts w:hint="eastAsia" w:ascii="仿宋_GB2312" w:hAnsi="仿宋_GB2312" w:eastAsia="仿宋_GB2312" w:cs="仿宋_GB2312"/>
          <w:spacing w:val="6"/>
          <w:sz w:val="32"/>
          <w:szCs w:val="32"/>
        </w:rPr>
        <w:t>产品种类</w:t>
      </w:r>
    </w:p>
    <w:p>
      <w:pPr>
        <w:keepNext w:val="0"/>
        <w:keepLines w:val="0"/>
        <w:pageBreakBefore w:val="0"/>
        <w:widowControl/>
        <w:kinsoku/>
        <w:wordWrap/>
        <w:overflowPunct/>
        <w:topLinePunct w:val="0"/>
        <w:autoSpaceDE/>
        <w:autoSpaceDN/>
        <w:bidi w:val="0"/>
        <w:adjustRightInd/>
        <w:snapToGrid/>
        <w:spacing w:before="0" w:line="588"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本细则中</w:t>
      </w:r>
      <w:r>
        <w:rPr>
          <w:rFonts w:hint="eastAsia" w:ascii="仿宋_GB2312" w:hAnsi="仿宋_GB2312" w:eastAsia="仿宋_GB2312" w:cs="仿宋_GB2312"/>
          <w:sz w:val="32"/>
          <w:szCs w:val="32"/>
          <w:lang w:val="en-US" w:eastAsia="zh-CN"/>
        </w:rPr>
        <w:t>“三小一摊”食品</w:t>
      </w:r>
      <w:r>
        <w:rPr>
          <w:rFonts w:hint="eastAsia" w:ascii="仿宋_GB2312" w:hAnsi="仿宋_GB2312" w:eastAsia="仿宋_GB2312" w:cs="仿宋_GB2312"/>
          <w:sz w:val="32"/>
          <w:szCs w:val="32"/>
        </w:rPr>
        <w:t>主要包括</w:t>
      </w:r>
      <w:r>
        <w:rPr>
          <w:rFonts w:hint="eastAsia" w:ascii="仿宋_GB2312" w:hAnsi="仿宋_GB2312" w:eastAsia="仿宋_GB2312" w:cs="仿宋_GB2312"/>
          <w:sz w:val="32"/>
          <w:szCs w:val="32"/>
          <w:lang w:eastAsia="zh-CN"/>
        </w:rPr>
        <w:t>食品小作坊、</w:t>
      </w:r>
      <w:r>
        <w:rPr>
          <w:rFonts w:hint="eastAsia" w:ascii="仿宋_GB2312" w:hAnsi="仿宋_GB2312" w:eastAsia="仿宋_GB2312" w:cs="仿宋_GB2312"/>
          <w:snapToGrid w:val="0"/>
          <w:color w:val="000000"/>
          <w:sz w:val="32"/>
          <w:szCs w:val="32"/>
          <w:lang w:val="en-US" w:eastAsia="en-US" w:bidi="ar-SA"/>
        </w:rPr>
        <w:t>小餐饮店、小食杂店和食品摊贩</w:t>
      </w:r>
      <w:r>
        <w:rPr>
          <w:rFonts w:hint="eastAsia" w:ascii="仿宋_GB2312" w:hAnsi="仿宋_GB2312" w:eastAsia="仿宋_GB2312" w:cs="仿宋_GB2312"/>
          <w:sz w:val="32"/>
          <w:szCs w:val="32"/>
          <w:lang w:val="en-US" w:eastAsia="en-US"/>
        </w:rPr>
        <w:t>餐饮加工</w:t>
      </w:r>
      <w:r>
        <w:rPr>
          <w:rFonts w:hint="eastAsia" w:ascii="仿宋_GB2312" w:hAnsi="仿宋_GB2312" w:eastAsia="仿宋_GB2312" w:cs="仿宋_GB2312"/>
          <w:sz w:val="32"/>
          <w:szCs w:val="32"/>
          <w:lang w:val="en-US" w:eastAsia="zh-CN"/>
        </w:rPr>
        <w:t>使用的半固体调味料</w:t>
      </w:r>
      <w:r>
        <w:rPr>
          <w:rFonts w:hint="eastAsia" w:ascii="仿宋_GB2312" w:hAnsi="仿宋_GB2312" w:eastAsia="仿宋_GB2312" w:cs="仿宋_GB2312"/>
          <w:sz w:val="32"/>
          <w:szCs w:val="32"/>
          <w:lang w:val="en-US" w:eastAsia="en-US"/>
        </w:rPr>
        <w:t>、麻辣烫底料、煎炸过程用油等。</w:t>
      </w:r>
    </w:p>
    <w:p>
      <w:pPr>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left="0" w:right="0" w:firstLine="66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6"/>
          <w:sz w:val="32"/>
          <w:szCs w:val="32"/>
        </w:rPr>
        <w:t>3</w:t>
      </w:r>
      <w:r>
        <w:rPr>
          <w:rFonts w:hint="eastAsia" w:ascii="仿宋_GB2312" w:hAnsi="仿宋_GB2312" w:eastAsia="仿宋_GB2312" w:cs="仿宋_GB2312"/>
          <w:spacing w:val="6"/>
          <w:sz w:val="32"/>
          <w:szCs w:val="32"/>
        </w:rPr>
        <w:t>检验依据</w:t>
      </w:r>
    </w:p>
    <w:p>
      <w:pPr>
        <w:keepNext w:val="0"/>
        <w:keepLines w:val="0"/>
        <w:pageBreakBefore w:val="0"/>
        <w:widowControl/>
        <w:kinsoku/>
        <w:wordWrap/>
        <w:overflowPunct/>
        <w:topLinePunct w:val="0"/>
        <w:autoSpaceDE/>
        <w:autoSpaceDN/>
        <w:bidi w:val="0"/>
        <w:adjustRightInd/>
        <w:snapToGrid/>
        <w:spacing w:before="0" w:line="588" w:lineRule="exact"/>
        <w:ind w:left="0" w:right="0" w:firstLine="640" w:firstLineChars="200"/>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下列文件凡是注明日期的，其随后所有的修改单或修订版均不适用于本细则。凡是不注明日期的，其最新版本适用于本细则。</w:t>
      </w:r>
    </w:p>
    <w:p>
      <w:pPr>
        <w:keepNext w:val="0"/>
        <w:keepLines w:val="0"/>
        <w:pageBreakBefore w:val="0"/>
        <w:widowControl/>
        <w:kinsoku/>
        <w:wordWrap/>
        <w:overflowPunct/>
        <w:topLinePunct w:val="0"/>
        <w:autoSpaceDE/>
        <w:autoSpaceDN/>
        <w:bidi w:val="0"/>
        <w:adjustRightInd/>
        <w:snapToGrid/>
        <w:spacing w:before="0" w:line="588" w:lineRule="exact"/>
        <w:ind w:left="0" w:right="0" w:firstLine="640" w:firstLineChars="200"/>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GB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2716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食品安全国家标准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植物油</w:t>
      </w:r>
    </w:p>
    <w:p>
      <w:pPr>
        <w:keepNext w:val="0"/>
        <w:keepLines w:val="0"/>
        <w:pageBreakBefore w:val="0"/>
        <w:widowControl/>
        <w:kinsoku/>
        <w:wordWrap/>
        <w:overflowPunct/>
        <w:topLinePunct w:val="0"/>
        <w:autoSpaceDE/>
        <w:autoSpaceDN/>
        <w:bidi w:val="0"/>
        <w:adjustRightInd/>
        <w:snapToGrid/>
        <w:spacing w:before="0" w:line="588" w:lineRule="exact"/>
        <w:ind w:left="0" w:right="0" w:firstLine="640" w:firstLineChars="200"/>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GB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2760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食品安全国家标准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食品添加剂使用标准</w:t>
      </w:r>
    </w:p>
    <w:p>
      <w:pPr>
        <w:keepNext w:val="0"/>
        <w:keepLines w:val="0"/>
        <w:pageBreakBefore w:val="0"/>
        <w:widowControl/>
        <w:kinsoku/>
        <w:wordWrap/>
        <w:overflowPunct/>
        <w:topLinePunct w:val="0"/>
        <w:autoSpaceDE/>
        <w:autoSpaceDN/>
        <w:bidi w:val="0"/>
        <w:adjustRightInd/>
        <w:snapToGrid/>
        <w:spacing w:before="0" w:line="588" w:lineRule="exact"/>
        <w:ind w:left="0" w:right="0" w:firstLine="640" w:firstLineChars="200"/>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GB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5009.121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食品安全国家标准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食品中脱氢乙酸的测定</w:t>
      </w:r>
    </w:p>
    <w:p>
      <w:pPr>
        <w:keepNext w:val="0"/>
        <w:keepLines w:val="0"/>
        <w:pageBreakBefore w:val="0"/>
        <w:widowControl/>
        <w:kinsoku/>
        <w:wordWrap/>
        <w:overflowPunct/>
        <w:topLinePunct w:val="0"/>
        <w:autoSpaceDE/>
        <w:autoSpaceDN/>
        <w:bidi w:val="0"/>
        <w:adjustRightInd/>
        <w:snapToGrid/>
        <w:spacing w:before="0" w:line="588" w:lineRule="exact"/>
        <w:ind w:left="0" w:right="0" w:firstLine="640" w:firstLineChars="200"/>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GB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5009.229</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食品安全国家标准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食品中酸价的测定</w:t>
      </w:r>
    </w:p>
    <w:p>
      <w:pPr>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65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rPr>
        <w:t>4</w:t>
      </w:r>
      <w:r>
        <w:rPr>
          <w:rFonts w:hint="eastAsia" w:ascii="仿宋_GB2312" w:hAnsi="仿宋_GB2312" w:eastAsia="仿宋_GB2312" w:cs="仿宋_GB2312"/>
          <w:spacing w:val="3"/>
          <w:sz w:val="32"/>
          <w:szCs w:val="32"/>
        </w:rPr>
        <w:t>抽样</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left="0" w:right="0" w:firstLine="67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7"/>
          <w:sz w:val="32"/>
          <w:szCs w:val="32"/>
        </w:rPr>
        <w:t>4.1</w:t>
      </w:r>
      <w:r>
        <w:rPr>
          <w:rFonts w:hint="eastAsia" w:ascii="仿宋_GB2312" w:hAnsi="仿宋_GB2312" w:eastAsia="仿宋_GB2312" w:cs="仿宋_GB2312"/>
          <w:spacing w:val="7"/>
          <w:sz w:val="32"/>
          <w:szCs w:val="32"/>
        </w:rPr>
        <w:t>抽样型号或规格</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668" w:firstLineChars="200"/>
        <w:jc w:val="both"/>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餐饮食品一般为加工自制的非预包装食品。</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left="0" w:right="0" w:firstLine="66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5"/>
          <w:sz w:val="32"/>
          <w:szCs w:val="32"/>
        </w:rPr>
        <w:t>4.2</w:t>
      </w:r>
      <w:r>
        <w:rPr>
          <w:rFonts w:hint="eastAsia" w:ascii="仿宋_GB2312" w:hAnsi="仿宋_GB2312" w:eastAsia="仿宋_GB2312" w:cs="仿宋_GB2312"/>
          <w:spacing w:val="5"/>
          <w:sz w:val="32"/>
          <w:szCs w:val="32"/>
        </w:rPr>
        <w:t>抽样地点</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640" w:firstLineChars="200"/>
        <w:jc w:val="both"/>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napToGrid w:val="0"/>
          <w:color w:val="000000"/>
          <w:sz w:val="32"/>
          <w:szCs w:val="32"/>
          <w:lang w:val="en-US" w:eastAsia="en-US" w:bidi="ar-SA"/>
        </w:rPr>
        <w:t>抽样场所应尽可能覆盖</w:t>
      </w:r>
      <w:r>
        <w:rPr>
          <w:rFonts w:hint="eastAsia" w:ascii="仿宋_GB2312" w:hAnsi="仿宋_GB2312" w:eastAsia="仿宋_GB2312" w:cs="仿宋_GB2312"/>
          <w:snapToGrid w:val="0"/>
          <w:color w:val="000000"/>
          <w:sz w:val="32"/>
          <w:szCs w:val="32"/>
          <w:lang w:val="en-US" w:eastAsia="zh-CN" w:bidi="ar-SA"/>
        </w:rPr>
        <w:t>“三小一摊”</w:t>
      </w:r>
      <w:r>
        <w:rPr>
          <w:rFonts w:hint="eastAsia" w:ascii="仿宋_GB2312" w:hAnsi="仿宋_GB2312" w:eastAsia="仿宋_GB2312" w:cs="仿宋_GB2312"/>
          <w:snapToGrid w:val="0"/>
          <w:color w:val="000000"/>
          <w:sz w:val="32"/>
          <w:szCs w:val="32"/>
          <w:lang w:val="en-US" w:eastAsia="en-US" w:bidi="ar-SA"/>
        </w:rPr>
        <w:t>餐饮服务单位，包括：食品小作坊、小餐饮店、小食杂店和食品摊贩。</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left="0" w:right="0" w:firstLine="67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7"/>
          <w:sz w:val="32"/>
          <w:szCs w:val="32"/>
        </w:rPr>
        <w:t>4.3</w:t>
      </w:r>
      <w:r>
        <w:rPr>
          <w:rFonts w:hint="eastAsia" w:ascii="仿宋_GB2312" w:hAnsi="仿宋_GB2312" w:eastAsia="仿宋_GB2312" w:cs="仿宋_GB2312"/>
          <w:spacing w:val="7"/>
          <w:sz w:val="32"/>
          <w:szCs w:val="32"/>
        </w:rPr>
        <w:t>抽样方法及数量</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640" w:firstLineChars="200"/>
        <w:jc w:val="both"/>
        <w:textAlignment w:val="auto"/>
        <w:rPr>
          <w:rFonts w:hint="eastAsia" w:ascii="仿宋_GB2312" w:hAnsi="仿宋_GB2312" w:eastAsia="仿宋_GB2312" w:cs="仿宋_GB2312"/>
          <w:snapToGrid w:val="0"/>
          <w:color w:val="000000"/>
          <w:sz w:val="32"/>
          <w:szCs w:val="32"/>
          <w:lang w:val="en-US" w:eastAsia="en-US" w:bidi="ar-SA"/>
        </w:rPr>
      </w:pPr>
      <w:r>
        <w:rPr>
          <w:rFonts w:hint="eastAsia" w:ascii="仿宋_GB2312" w:hAnsi="仿宋_GB2312" w:eastAsia="仿宋_GB2312" w:cs="仿宋_GB2312"/>
          <w:snapToGrid w:val="0"/>
          <w:color w:val="000000"/>
          <w:sz w:val="32"/>
          <w:szCs w:val="32"/>
          <w:lang w:val="en-US" w:eastAsia="en-US" w:bidi="ar-SA"/>
        </w:rPr>
        <w:t>原则上抽取样品数量不少于1kg，所抽取样品分为2份，约1/2为检验样品，约1/2为复检备份样品（备份样品封存在承检机构，应注意保存，避免变质）。</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640" w:firstLineChars="200"/>
        <w:jc w:val="both"/>
        <w:textAlignment w:val="auto"/>
        <w:rPr>
          <w:rFonts w:hint="eastAsia" w:ascii="仿宋_GB2312" w:hAnsi="仿宋_GB2312" w:eastAsia="仿宋_GB2312" w:cs="仿宋_GB2312"/>
          <w:snapToGrid w:val="0"/>
          <w:color w:val="000000"/>
          <w:sz w:val="32"/>
          <w:szCs w:val="32"/>
          <w:lang w:val="en-US" w:eastAsia="en-US" w:bidi="ar-SA"/>
        </w:rPr>
      </w:pPr>
      <w:r>
        <w:rPr>
          <w:rFonts w:hint="eastAsia" w:ascii="仿宋_GB2312" w:hAnsi="仿宋_GB2312" w:eastAsia="仿宋_GB2312" w:cs="仿宋_GB2312"/>
          <w:snapToGrid w:val="0"/>
          <w:color w:val="000000"/>
          <w:sz w:val="32"/>
          <w:szCs w:val="32"/>
          <w:lang w:val="en-US" w:eastAsia="en-US" w:bidi="ar-SA"/>
        </w:rPr>
        <w:t>抽取样品量、检验及复检备份所需样品量可根据检验和复检需要适量</w:t>
      </w:r>
      <w:r>
        <w:rPr>
          <w:rFonts w:hint="eastAsia" w:ascii="仿宋_GB2312" w:hAnsi="仿宋_GB2312" w:eastAsia="仿宋_GB2312" w:cs="仿宋_GB2312"/>
          <w:snapToGrid w:val="0"/>
          <w:color w:val="000000"/>
          <w:sz w:val="32"/>
          <w:szCs w:val="32"/>
          <w:lang w:val="en-US" w:eastAsia="zh-CN" w:bidi="ar-SA"/>
        </w:rPr>
        <w:t>的</w:t>
      </w:r>
      <w:r>
        <w:rPr>
          <w:rFonts w:hint="eastAsia" w:ascii="仿宋_GB2312" w:hAnsi="仿宋_GB2312" w:eastAsia="仿宋_GB2312" w:cs="仿宋_GB2312"/>
          <w:snapToGrid w:val="0"/>
          <w:color w:val="000000"/>
          <w:sz w:val="32"/>
          <w:szCs w:val="32"/>
          <w:lang w:val="en-US" w:eastAsia="en-US" w:bidi="ar-SA"/>
        </w:rPr>
        <w:t>调整。</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640" w:firstLineChars="200"/>
        <w:jc w:val="both"/>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napToGrid w:val="0"/>
          <w:color w:val="000000"/>
          <w:sz w:val="32"/>
          <w:szCs w:val="32"/>
          <w:lang w:val="en-US" w:eastAsia="en-US" w:bidi="ar-SA"/>
        </w:rPr>
        <w:t>注：在本细则的规定中，检验机构在检验过程中自行对检验结果进行复验时所采用的样品，应为抽取的检验样品，不得采用复检备份样品</w:t>
      </w:r>
      <w:r>
        <w:rPr>
          <w:rFonts w:hint="eastAsia" w:ascii="仿宋_GB2312" w:hAnsi="仿宋_GB2312" w:eastAsia="仿宋_GB2312" w:cs="仿宋_GB2312"/>
          <w:spacing w:val="7"/>
          <w:sz w:val="32"/>
          <w:szCs w:val="32"/>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left="0" w:right="0" w:firstLine="66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5"/>
          <w:sz w:val="32"/>
          <w:szCs w:val="32"/>
        </w:rPr>
        <w:t>4.4</w:t>
      </w:r>
      <w:r>
        <w:rPr>
          <w:rFonts w:hint="eastAsia" w:ascii="仿宋_GB2312" w:hAnsi="仿宋_GB2312" w:eastAsia="仿宋_GB2312" w:cs="仿宋_GB2312"/>
          <w:spacing w:val="5"/>
          <w:sz w:val="32"/>
          <w:szCs w:val="32"/>
        </w:rPr>
        <w:t>抽样要求</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640" w:firstLineChars="200"/>
        <w:jc w:val="both"/>
        <w:textAlignment w:val="auto"/>
        <w:rPr>
          <w:rFonts w:hint="eastAsia" w:ascii="仿宋_GB2312" w:hAnsi="仿宋_GB2312" w:eastAsia="仿宋_GB2312" w:cs="仿宋_GB2312"/>
          <w:snapToGrid w:val="0"/>
          <w:color w:val="000000"/>
          <w:sz w:val="32"/>
          <w:szCs w:val="32"/>
          <w:lang w:val="en-US" w:eastAsia="en-US" w:bidi="ar-SA"/>
        </w:rPr>
      </w:pPr>
      <w:r>
        <w:rPr>
          <w:rFonts w:hint="eastAsia" w:ascii="仿宋_GB2312" w:hAnsi="仿宋_GB2312" w:eastAsia="仿宋_GB2312" w:cs="仿宋_GB2312"/>
          <w:snapToGrid w:val="0"/>
          <w:color w:val="000000"/>
          <w:sz w:val="32"/>
          <w:szCs w:val="32"/>
          <w:lang w:val="en-US" w:eastAsia="en-US" w:bidi="ar-SA"/>
        </w:rPr>
        <w:t>承担抽样任务的人员应了解抽样目的，并做好采样文书、工具、容器、仪器设备、材料和试剂的准备工作。</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640" w:firstLineChars="200"/>
        <w:jc w:val="both"/>
        <w:textAlignment w:val="auto"/>
        <w:rPr>
          <w:rFonts w:hint="eastAsia" w:ascii="仿宋_GB2312" w:hAnsi="仿宋_GB2312" w:eastAsia="仿宋_GB2312" w:cs="仿宋_GB2312"/>
          <w:snapToGrid w:val="0"/>
          <w:color w:val="000000"/>
          <w:sz w:val="32"/>
          <w:szCs w:val="32"/>
          <w:lang w:val="en-US" w:eastAsia="en-US" w:bidi="ar-SA"/>
        </w:rPr>
      </w:pPr>
      <w:r>
        <w:rPr>
          <w:rFonts w:hint="eastAsia" w:ascii="仿宋_GB2312" w:hAnsi="仿宋_GB2312" w:eastAsia="仿宋_GB2312" w:cs="仿宋_GB2312"/>
          <w:snapToGrid w:val="0"/>
          <w:color w:val="000000"/>
          <w:sz w:val="32"/>
          <w:szCs w:val="32"/>
          <w:lang w:val="en-US" w:eastAsia="en-US" w:bidi="ar-SA"/>
        </w:rPr>
        <w:t>4.4.1餐饮食品包装的要求</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640" w:firstLineChars="200"/>
        <w:jc w:val="both"/>
        <w:textAlignment w:val="auto"/>
        <w:rPr>
          <w:rFonts w:hint="eastAsia" w:ascii="仿宋_GB2312" w:hAnsi="仿宋_GB2312" w:eastAsia="仿宋_GB2312" w:cs="仿宋_GB2312"/>
          <w:snapToGrid w:val="0"/>
          <w:color w:val="000000"/>
          <w:sz w:val="32"/>
          <w:szCs w:val="32"/>
          <w:lang w:val="en-US" w:eastAsia="en-US" w:bidi="ar-SA"/>
        </w:rPr>
      </w:pPr>
      <w:r>
        <w:rPr>
          <w:rFonts w:hint="eastAsia" w:ascii="仿宋_GB2312" w:hAnsi="仿宋_GB2312" w:eastAsia="仿宋_GB2312" w:cs="仿宋_GB2312"/>
          <w:snapToGrid w:val="0"/>
          <w:color w:val="000000"/>
          <w:sz w:val="32"/>
          <w:szCs w:val="32"/>
          <w:lang w:val="en-US" w:eastAsia="en-US" w:bidi="ar-SA"/>
        </w:rPr>
        <w:t>抽取的餐饮食品可采用餐饮单位用于盛装食品的包装</w:t>
      </w:r>
      <w:r>
        <w:rPr>
          <w:rFonts w:hint="eastAsia" w:ascii="仿宋_GB2312" w:hAnsi="仿宋_GB2312" w:eastAsia="仿宋_GB2312" w:cs="仿宋_GB2312"/>
          <w:snapToGrid w:val="0"/>
          <w:color w:val="000000"/>
          <w:sz w:val="32"/>
          <w:szCs w:val="32"/>
          <w:lang w:val="en-US" w:eastAsia="zh-CN" w:bidi="ar-SA"/>
        </w:rPr>
        <w:t>容器</w:t>
      </w:r>
      <w:r>
        <w:rPr>
          <w:rFonts w:hint="eastAsia" w:ascii="仿宋_GB2312" w:hAnsi="仿宋_GB2312" w:eastAsia="仿宋_GB2312" w:cs="仿宋_GB2312"/>
          <w:snapToGrid w:val="0"/>
          <w:color w:val="000000"/>
          <w:sz w:val="32"/>
          <w:szCs w:val="32"/>
          <w:lang w:val="en-US" w:eastAsia="en-US" w:bidi="ar-SA"/>
        </w:rPr>
        <w:t>。盛装液体的包装，可用带塞玻璃瓶或塑料瓶等；盛装固体、半固体样品的包装，可用玻璃瓶或塑料袋等。</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640" w:firstLineChars="200"/>
        <w:jc w:val="both"/>
        <w:textAlignment w:val="auto"/>
        <w:rPr>
          <w:rFonts w:hint="eastAsia" w:ascii="仿宋_GB2312" w:hAnsi="仿宋_GB2312" w:eastAsia="仿宋_GB2312" w:cs="仿宋_GB2312"/>
          <w:snapToGrid w:val="0"/>
          <w:color w:val="000000"/>
          <w:sz w:val="32"/>
          <w:szCs w:val="32"/>
          <w:lang w:val="en-US" w:eastAsia="en-US" w:bidi="ar-SA"/>
        </w:rPr>
      </w:pPr>
      <w:r>
        <w:rPr>
          <w:rFonts w:hint="eastAsia" w:ascii="仿宋_GB2312" w:hAnsi="仿宋_GB2312" w:eastAsia="仿宋_GB2312" w:cs="仿宋_GB2312"/>
          <w:snapToGrid w:val="0"/>
          <w:color w:val="000000"/>
          <w:sz w:val="32"/>
          <w:szCs w:val="32"/>
          <w:lang w:val="en-US" w:eastAsia="en-US" w:bidi="ar-SA"/>
        </w:rPr>
        <w:t>4.4.2不同形态样品的抽样要求</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640" w:firstLineChars="200"/>
        <w:jc w:val="both"/>
        <w:textAlignment w:val="auto"/>
        <w:rPr>
          <w:rFonts w:hint="eastAsia" w:ascii="仿宋_GB2312" w:hAnsi="仿宋_GB2312" w:eastAsia="仿宋_GB2312" w:cs="仿宋_GB2312"/>
          <w:snapToGrid w:val="0"/>
          <w:color w:val="000000"/>
          <w:sz w:val="32"/>
          <w:szCs w:val="32"/>
          <w:lang w:val="en-US" w:eastAsia="en-US" w:bidi="ar-SA"/>
        </w:rPr>
      </w:pPr>
      <w:r>
        <w:rPr>
          <w:rFonts w:hint="eastAsia" w:ascii="仿宋_GB2312" w:hAnsi="仿宋_GB2312" w:eastAsia="仿宋_GB2312" w:cs="仿宋_GB2312"/>
          <w:snapToGrid w:val="0"/>
          <w:color w:val="000000"/>
          <w:sz w:val="32"/>
          <w:szCs w:val="32"/>
          <w:lang w:val="en-US" w:eastAsia="en-US" w:bidi="ar-SA"/>
        </w:rPr>
        <w:t>采集餐饮食品时，预先对包装内食品充分混合，然后从不同部位采集分样混合成一份样品。固体从盛放样品包装上、中、下不同的部位多点采样，混合后按四分法对角采样，再进行混合，最后取有代表性样品放入采样包装中；散装半固体这类较稠的物料不易充分混匀，打开包装，用采样器分上、中、下三层分别取出检样，将样品混合均匀。固体、半固体可使用小勺或镊子采样；散装液体样品应先充分混合后，再取中间部位的样品，采样时可使用玻璃吸管或倾倒方式。</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640" w:firstLineChars="200"/>
        <w:jc w:val="both"/>
        <w:textAlignment w:val="auto"/>
        <w:rPr>
          <w:rFonts w:hint="eastAsia" w:ascii="仿宋_GB2312" w:hAnsi="仿宋_GB2312" w:eastAsia="仿宋_GB2312" w:cs="仿宋_GB2312"/>
          <w:snapToGrid w:val="0"/>
          <w:color w:val="000000"/>
          <w:sz w:val="32"/>
          <w:szCs w:val="32"/>
          <w:lang w:val="en-US" w:eastAsia="en-US" w:bidi="ar-SA"/>
        </w:rPr>
      </w:pPr>
      <w:r>
        <w:rPr>
          <w:rFonts w:hint="eastAsia" w:ascii="仿宋_GB2312" w:hAnsi="仿宋_GB2312" w:eastAsia="仿宋_GB2312" w:cs="仿宋_GB2312"/>
          <w:snapToGrid w:val="0"/>
          <w:color w:val="000000"/>
          <w:sz w:val="32"/>
          <w:szCs w:val="32"/>
          <w:lang w:val="en-US" w:eastAsia="en-US" w:bidi="ar-SA"/>
        </w:rPr>
        <w:t>4.4.3特殊样品的采样要求</w:t>
      </w:r>
    </w:p>
    <w:p>
      <w:pPr>
        <w:keepNext w:val="0"/>
        <w:keepLines w:val="0"/>
        <w:pageBreakBefore w:val="0"/>
        <w:widowControl/>
        <w:kinsoku/>
        <w:wordWrap/>
        <w:overflowPunct/>
        <w:topLinePunct w:val="0"/>
        <w:autoSpaceDE/>
        <w:autoSpaceDN/>
        <w:bidi w:val="0"/>
        <w:adjustRightInd/>
        <w:snapToGrid/>
        <w:spacing w:before="0" w:line="588"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煎炸过程用油：从煎炸用锅等容器内取出约2L（kg）样品于经营单位提供的干净瓷质或铁质容器内，现场冷却后，将约1L（kg）样品盛装于清洁干燥的样品容器内。</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left="0" w:right="0" w:firstLine="65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4.5</w:t>
      </w:r>
      <w:r>
        <w:rPr>
          <w:rFonts w:hint="eastAsia" w:ascii="仿宋_GB2312" w:hAnsi="仿宋_GB2312" w:eastAsia="仿宋_GB2312" w:cs="仿宋_GB2312"/>
          <w:spacing w:val="4"/>
          <w:sz w:val="32"/>
          <w:szCs w:val="32"/>
        </w:rPr>
        <w:t>抽样单</w:t>
      </w:r>
    </w:p>
    <w:p>
      <w:pPr>
        <w:keepNext w:val="0"/>
        <w:keepLines w:val="0"/>
        <w:pageBreakBefore w:val="0"/>
        <w:widowControl/>
        <w:kinsoku/>
        <w:wordWrap/>
        <w:overflowPunct/>
        <w:topLinePunct w:val="0"/>
        <w:autoSpaceDE/>
        <w:autoSpaceDN/>
        <w:bidi w:val="0"/>
        <w:adjustRightInd/>
        <w:snapToGrid/>
        <w:spacing w:before="0" w:line="588"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应按有关规定填写抽样单，并记录所抽样品及餐饮企业相关信息。餐饮具抽样单应注明消毒方式。</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left="0" w:right="0" w:firstLine="67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7"/>
          <w:sz w:val="32"/>
          <w:szCs w:val="32"/>
        </w:rPr>
        <w:t>4.6</w:t>
      </w:r>
      <w:r>
        <w:rPr>
          <w:rFonts w:hint="eastAsia" w:ascii="仿宋_GB2312" w:hAnsi="仿宋_GB2312" w:eastAsia="仿宋_GB2312" w:cs="仿宋_GB2312"/>
          <w:spacing w:val="7"/>
          <w:sz w:val="32"/>
          <w:szCs w:val="32"/>
        </w:rPr>
        <w:t>封样和样品运输、贮存</w:t>
      </w:r>
    </w:p>
    <w:p>
      <w:pPr>
        <w:keepNext w:val="0"/>
        <w:keepLines w:val="0"/>
        <w:pageBreakBefore w:val="0"/>
        <w:widowControl/>
        <w:kinsoku/>
        <w:wordWrap/>
        <w:overflowPunct/>
        <w:topLinePunct w:val="0"/>
        <w:autoSpaceDE/>
        <w:autoSpaceDN/>
        <w:bidi w:val="0"/>
        <w:adjustRightInd/>
        <w:snapToGrid/>
        <w:spacing w:before="0" w:line="588"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抽样完成后由抽样人与被抽样单位在抽样单和封条上签字或者盖章确认，当场封样，检验样品、备份样品分别封样。为保证样品的真实性，要有相应的防拆封措施，并保证封条在运输过程中不会破损。</w:t>
      </w:r>
    </w:p>
    <w:p>
      <w:pPr>
        <w:keepNext w:val="0"/>
        <w:keepLines w:val="0"/>
        <w:pageBreakBefore w:val="0"/>
        <w:widowControl/>
        <w:kinsoku/>
        <w:wordWrap/>
        <w:overflowPunct/>
        <w:topLinePunct w:val="0"/>
        <w:autoSpaceDE/>
        <w:autoSpaceDN/>
        <w:bidi w:val="0"/>
        <w:adjustRightInd/>
        <w:snapToGrid/>
        <w:spacing w:before="0" w:line="588"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抽样人员应采取有效的防护措施，保证样品在运输、贮存过程中符合国家相关规定及包装标识要求，不发生影响检验结论的变化。</w:t>
      </w:r>
    </w:p>
    <w:p>
      <w:pPr>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66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6"/>
          <w:sz w:val="32"/>
          <w:szCs w:val="32"/>
        </w:rPr>
        <w:t>5</w:t>
      </w:r>
      <w:r>
        <w:rPr>
          <w:rFonts w:hint="eastAsia" w:ascii="仿宋_GB2312" w:hAnsi="仿宋_GB2312" w:eastAsia="仿宋_GB2312" w:cs="仿宋_GB2312"/>
          <w:spacing w:val="6"/>
          <w:sz w:val="32"/>
          <w:szCs w:val="32"/>
        </w:rPr>
        <w:t>检验项目</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640"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napToGrid w:val="0"/>
          <w:color w:val="000000"/>
          <w:sz w:val="32"/>
          <w:szCs w:val="32"/>
          <w:lang w:val="en-US" w:eastAsia="zh-CN" w:bidi="ar-SA"/>
        </w:rPr>
        <w:t>“三小一摊”</w:t>
      </w:r>
      <w:r>
        <w:rPr>
          <w:rFonts w:hint="eastAsia" w:ascii="仿宋_GB2312" w:hAnsi="仿宋_GB2312" w:eastAsia="仿宋_GB2312" w:cs="仿宋_GB2312"/>
          <w:spacing w:val="7"/>
          <w:sz w:val="32"/>
          <w:szCs w:val="32"/>
        </w:rPr>
        <w:t>餐饮食品检验项目见表1-1</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表1-</w:t>
      </w:r>
      <w:r>
        <w:rPr>
          <w:rFonts w:hint="eastAsia" w:ascii="仿宋_GB2312" w:hAnsi="仿宋_GB2312" w:eastAsia="仿宋_GB2312" w:cs="仿宋_GB2312"/>
          <w:spacing w:val="7"/>
          <w:sz w:val="32"/>
          <w:szCs w:val="32"/>
          <w:lang w:val="en-US" w:eastAsia="zh-CN"/>
        </w:rPr>
        <w:t>2</w:t>
      </w:r>
      <w:r>
        <w:rPr>
          <w:rFonts w:hint="eastAsia" w:ascii="仿宋_GB2312" w:hAnsi="仿宋_GB2312" w:eastAsia="仿宋_GB2312" w:cs="仿宋_GB2312"/>
          <w:spacing w:val="4"/>
          <w:sz w:val="32"/>
          <w:szCs w:val="32"/>
        </w:rPr>
        <w:t>。</w:t>
      </w:r>
    </w:p>
    <w:p>
      <w:pPr>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67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表1-</w:t>
      </w:r>
      <w:r>
        <w:rPr>
          <w:rFonts w:hint="eastAsia" w:ascii="仿宋_GB2312" w:hAnsi="仿宋_GB2312" w:eastAsia="仿宋_GB2312" w:cs="仿宋_GB2312"/>
          <w:spacing w:val="8"/>
          <w:sz w:val="32"/>
          <w:szCs w:val="32"/>
          <w:lang w:val="en-US" w:eastAsia="zh-CN"/>
        </w:rPr>
        <w:t xml:space="preserve">1 </w:t>
      </w:r>
      <w:r>
        <w:rPr>
          <w:rFonts w:hint="eastAsia" w:ascii="仿宋_GB2312" w:hAnsi="仿宋_GB2312" w:eastAsia="仿宋_GB2312" w:cs="仿宋_GB2312"/>
          <w:spacing w:val="8"/>
          <w:sz w:val="32"/>
          <w:szCs w:val="32"/>
        </w:rPr>
        <w:t>煎炸过程用油</w:t>
      </w:r>
      <w:r>
        <w:rPr>
          <w:rFonts w:hint="eastAsia" w:ascii="仿宋_GB2312" w:hAnsi="仿宋_GB2312" w:eastAsia="仿宋_GB2312" w:cs="仿宋_GB2312"/>
          <w:spacing w:val="5"/>
          <w:sz w:val="32"/>
          <w:szCs w:val="32"/>
          <w:vertAlign w:val="superscript"/>
        </w:rPr>
        <w:t>a</w:t>
      </w:r>
      <w:r>
        <w:rPr>
          <w:rFonts w:hint="eastAsia" w:ascii="仿宋_GB2312" w:hAnsi="仿宋_GB2312" w:eastAsia="仿宋_GB2312" w:cs="仿宋_GB2312"/>
          <w:spacing w:val="8"/>
          <w:sz w:val="32"/>
          <w:szCs w:val="32"/>
        </w:rPr>
        <w:t>检验项目</w:t>
      </w:r>
    </w:p>
    <w:tbl>
      <w:tblPr>
        <w:tblStyle w:val="17"/>
        <w:tblW w:w="8311"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3427"/>
        <w:gridCol w:w="2349"/>
        <w:gridCol w:w="17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20" w:type="dxa"/>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588" w:lineRule="exact"/>
              <w:ind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序号</w:t>
            </w:r>
          </w:p>
        </w:tc>
        <w:tc>
          <w:tcPr>
            <w:tcW w:w="3427" w:type="dxa"/>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592"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检验项目</w:t>
            </w:r>
          </w:p>
        </w:tc>
        <w:tc>
          <w:tcPr>
            <w:tcW w:w="2349" w:type="dxa"/>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588" w:lineRule="exact"/>
              <w:ind w:right="0"/>
              <w:jc w:val="center"/>
              <w:textAlignment w:val="auto"/>
              <w:rPr>
                <w:rFonts w:hint="eastAsia" w:ascii="仿宋_GB2312" w:hAnsi="仿宋_GB2312" w:eastAsia="仿宋_GB2312" w:cs="仿宋_GB2312"/>
                <w:spacing w:val="9"/>
                <w:sz w:val="28"/>
                <w:szCs w:val="28"/>
              </w:rPr>
            </w:pPr>
            <w:r>
              <w:rPr>
                <w:rFonts w:hint="eastAsia" w:ascii="仿宋_GB2312" w:hAnsi="仿宋_GB2312" w:eastAsia="仿宋_GB2312" w:cs="仿宋_GB2312"/>
                <w:spacing w:val="9"/>
                <w:sz w:val="28"/>
                <w:szCs w:val="28"/>
              </w:rPr>
              <w:t>依据法律法规或</w:t>
            </w:r>
          </w:p>
          <w:p>
            <w:pPr>
              <w:keepNext w:val="0"/>
              <w:keepLines w:val="0"/>
              <w:pageBreakBefore w:val="0"/>
              <w:widowControl/>
              <w:kinsoku/>
              <w:wordWrap/>
              <w:overflowPunct/>
              <w:topLinePunct w:val="0"/>
              <w:autoSpaceDE/>
              <w:autoSpaceDN/>
              <w:bidi w:val="0"/>
              <w:adjustRightInd/>
              <w:snapToGrid/>
              <w:spacing w:before="0" w:beforeAutospacing="0" w:afterAutospacing="0" w:line="588" w:lineRule="exact"/>
              <w:ind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标准</w:t>
            </w:r>
          </w:p>
        </w:tc>
        <w:tc>
          <w:tcPr>
            <w:tcW w:w="1715" w:type="dxa"/>
            <w:vAlign w:val="top"/>
          </w:tcPr>
          <w:p>
            <w:pPr>
              <w:keepNext w:val="0"/>
              <w:keepLines w:val="0"/>
              <w:pageBreakBefore w:val="0"/>
              <w:widowControl/>
              <w:kinsoku/>
              <w:wordWrap/>
              <w:overflowPunct/>
              <w:topLinePunct w:val="0"/>
              <w:autoSpaceDE/>
              <w:autoSpaceDN/>
              <w:bidi w:val="0"/>
              <w:adjustRightInd/>
              <w:snapToGrid/>
              <w:spacing w:before="0" w:beforeAutospacing="0" w:afterAutospacing="0" w:line="588" w:lineRule="exact"/>
              <w:ind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820" w:type="dxa"/>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560" w:firstLineChars="20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p>
        </w:tc>
        <w:tc>
          <w:tcPr>
            <w:tcW w:w="3427" w:type="dxa"/>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Autospacing="0" w:line="588" w:lineRule="exact"/>
              <w:ind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酸价（以脂肪计</w:t>
            </w:r>
            <w:r>
              <w:rPr>
                <w:rFonts w:hint="eastAsia" w:ascii="仿宋_GB2312" w:hAnsi="仿宋_GB2312" w:eastAsia="仿宋_GB2312" w:cs="仿宋_GB2312"/>
                <w:spacing w:val="-32"/>
                <w:sz w:val="28"/>
                <w:szCs w:val="28"/>
              </w:rPr>
              <w:t>）（</w:t>
            </w:r>
            <w:r>
              <w:rPr>
                <w:rFonts w:hint="eastAsia" w:ascii="仿宋_GB2312" w:hAnsi="仿宋_GB2312" w:eastAsia="仿宋_GB2312" w:cs="仿宋_GB2312"/>
                <w:sz w:val="28"/>
                <w:szCs w:val="28"/>
              </w:rPr>
              <w:t>KOH</w:t>
            </w:r>
            <w:r>
              <w:rPr>
                <w:rFonts w:hint="eastAsia" w:ascii="仿宋_GB2312" w:hAnsi="仿宋_GB2312" w:eastAsia="仿宋_GB2312" w:cs="仿宋_GB2312"/>
                <w:spacing w:val="12"/>
                <w:sz w:val="28"/>
                <w:szCs w:val="28"/>
              </w:rPr>
              <w:t>）</w:t>
            </w:r>
          </w:p>
        </w:tc>
        <w:tc>
          <w:tcPr>
            <w:tcW w:w="2349" w:type="dxa"/>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GB</w:t>
            </w:r>
            <w:r>
              <w:rPr>
                <w:rFonts w:hint="eastAsia" w:ascii="仿宋_GB2312" w:hAnsi="仿宋_GB2312" w:eastAsia="仿宋_GB2312" w:cs="仿宋_GB2312"/>
                <w:color w:val="333333"/>
                <w:spacing w:val="5"/>
                <w:sz w:val="28"/>
                <w:szCs w:val="28"/>
              </w:rPr>
              <w:t>2716</w:t>
            </w:r>
          </w:p>
        </w:tc>
        <w:tc>
          <w:tcPr>
            <w:tcW w:w="1715" w:type="dxa"/>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Autospacing="0" w:line="588" w:lineRule="exact"/>
              <w:ind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rPr>
              <w:t>GB</w:t>
            </w:r>
            <w:r>
              <w:rPr>
                <w:rFonts w:hint="eastAsia" w:ascii="仿宋_GB2312" w:hAnsi="仿宋_GB2312" w:eastAsia="仿宋_GB2312" w:cs="仿宋_GB2312"/>
                <w:color w:val="333333"/>
                <w:spacing w:val="4"/>
                <w:sz w:val="28"/>
                <w:szCs w:val="28"/>
              </w:rPr>
              <w:t>5009.229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311" w:type="dxa"/>
            <w:gridSpan w:val="4"/>
            <w:vAlign w:val="top"/>
          </w:tcPr>
          <w:p>
            <w:pPr>
              <w:pStyle w:val="14"/>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58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注：a.限煎炸过程中的食用植物油。</w:t>
            </w:r>
          </w:p>
        </w:tc>
      </w:tr>
    </w:tbl>
    <w:p>
      <w:pPr>
        <w:keepNext w:val="0"/>
        <w:keepLines w:val="0"/>
        <w:pageBreakBefore w:val="0"/>
        <w:widowControl/>
        <w:kinsoku/>
        <w:wordWrap/>
        <w:overflowPunct/>
        <w:topLinePunct w:val="0"/>
        <w:autoSpaceDE/>
        <w:autoSpaceDN/>
        <w:bidi w:val="0"/>
        <w:adjustRightInd/>
        <w:snapToGrid/>
        <w:spacing w:before="0" w:line="588" w:lineRule="exact"/>
        <w:ind w:left="0" w:right="0" w:firstLine="668" w:firstLineChars="200"/>
        <w:jc w:val="both"/>
        <w:textAlignment w:val="auto"/>
        <w:rPr>
          <w:rFonts w:hint="eastAsia" w:ascii="仿宋_GB2312" w:hAnsi="仿宋_GB2312" w:eastAsia="仿宋_GB2312" w:cs="仿宋_GB2312"/>
          <w:spacing w:val="7"/>
          <w:sz w:val="32"/>
          <w:szCs w:val="32"/>
        </w:rPr>
      </w:pPr>
    </w:p>
    <w:p>
      <w:pPr>
        <w:keepNext w:val="0"/>
        <w:keepLines w:val="0"/>
        <w:pageBreakBefore w:val="0"/>
        <w:widowControl/>
        <w:kinsoku/>
        <w:wordWrap/>
        <w:overflowPunct/>
        <w:topLinePunct w:val="0"/>
        <w:autoSpaceDE/>
        <w:autoSpaceDN/>
        <w:bidi w:val="0"/>
        <w:adjustRightInd/>
        <w:snapToGrid/>
        <w:spacing w:before="0" w:line="588" w:lineRule="exact"/>
        <w:ind w:left="0" w:right="0" w:firstLine="668" w:firstLineChars="200"/>
        <w:jc w:val="both"/>
        <w:textAlignment w:val="auto"/>
        <w:rPr>
          <w:rFonts w:hint="eastAsia" w:ascii="仿宋_GB2312" w:hAnsi="仿宋_GB2312" w:eastAsia="仿宋_GB2312" w:cs="仿宋_GB2312"/>
          <w:spacing w:val="7"/>
          <w:sz w:val="32"/>
          <w:szCs w:val="32"/>
        </w:rPr>
      </w:pPr>
    </w:p>
    <w:p>
      <w:pPr>
        <w:keepNext w:val="0"/>
        <w:keepLines w:val="0"/>
        <w:pageBreakBefore w:val="0"/>
        <w:widowControl/>
        <w:kinsoku/>
        <w:wordWrap/>
        <w:overflowPunct/>
        <w:topLinePunct w:val="0"/>
        <w:autoSpaceDE/>
        <w:autoSpaceDN/>
        <w:bidi w:val="0"/>
        <w:adjustRightInd/>
        <w:snapToGrid/>
        <w:spacing w:before="0" w:line="588" w:lineRule="exact"/>
        <w:ind w:left="0" w:right="0" w:firstLine="668" w:firstLineChars="200"/>
        <w:jc w:val="both"/>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pacing w:val="7"/>
          <w:sz w:val="32"/>
          <w:szCs w:val="32"/>
        </w:rPr>
        <w:t>表</w:t>
      </w:r>
      <w:r>
        <w:rPr>
          <w:rFonts w:hint="eastAsia" w:ascii="仿宋_GB2312" w:hAnsi="仿宋_GB2312" w:eastAsia="仿宋_GB2312" w:cs="仿宋_GB2312"/>
          <w:spacing w:val="-35"/>
          <w:sz w:val="32"/>
          <w:szCs w:val="32"/>
        </w:rPr>
        <w:t xml:space="preserve"> </w:t>
      </w:r>
      <w:r>
        <w:rPr>
          <w:rFonts w:hint="eastAsia" w:ascii="仿宋_GB2312" w:hAnsi="仿宋_GB2312" w:eastAsia="仿宋_GB2312" w:cs="仿宋_GB2312"/>
          <w:spacing w:val="7"/>
          <w:sz w:val="32"/>
          <w:szCs w:val="32"/>
          <w:lang w:val="en-US" w:eastAsia="zh-CN"/>
        </w:rPr>
        <w:t>1</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lang w:val="en-US" w:eastAsia="zh-CN"/>
        </w:rPr>
        <w:t>2</w:t>
      </w:r>
      <w:r>
        <w:rPr>
          <w:rFonts w:hint="eastAsia" w:ascii="仿宋_GB2312" w:hAnsi="仿宋_GB2312" w:eastAsia="仿宋_GB2312" w:cs="仿宋_GB2312"/>
          <w:spacing w:val="7"/>
          <w:sz w:val="32"/>
          <w:szCs w:val="32"/>
        </w:rPr>
        <w:t xml:space="preserve"> 麻辣烫底料检验项目</w:t>
      </w:r>
    </w:p>
    <w:tbl>
      <w:tblPr>
        <w:tblStyle w:val="18"/>
        <w:tblW w:w="831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3376"/>
        <w:gridCol w:w="2330"/>
        <w:gridCol w:w="17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21" w:type="dxa"/>
            <w:vAlign w:val="top"/>
          </w:tcPr>
          <w:p>
            <w:pPr>
              <w:keepNext w:val="0"/>
              <w:keepLines w:val="0"/>
              <w:pageBreakBefore w:val="0"/>
              <w:widowControl/>
              <w:kinsoku/>
              <w:wordWrap/>
              <w:overflowPunct/>
              <w:topLinePunct w:val="0"/>
              <w:autoSpaceDE/>
              <w:autoSpaceDN/>
              <w:bidi w:val="0"/>
              <w:adjustRightInd/>
              <w:snapToGrid/>
              <w:spacing w:before="0" w:line="588" w:lineRule="exact"/>
              <w:ind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序号</w:t>
            </w:r>
          </w:p>
        </w:tc>
        <w:tc>
          <w:tcPr>
            <w:tcW w:w="3376" w:type="dxa"/>
            <w:vAlign w:val="top"/>
          </w:tcPr>
          <w:p>
            <w:pPr>
              <w:keepNext w:val="0"/>
              <w:keepLines w:val="0"/>
              <w:pageBreakBefore w:val="0"/>
              <w:widowControl/>
              <w:kinsoku/>
              <w:wordWrap/>
              <w:overflowPunct/>
              <w:topLinePunct w:val="0"/>
              <w:autoSpaceDE/>
              <w:autoSpaceDN/>
              <w:bidi w:val="0"/>
              <w:adjustRightInd/>
              <w:snapToGrid/>
              <w:spacing w:before="0" w:line="588" w:lineRule="exact"/>
              <w:ind w:left="0" w:right="0" w:firstLine="592"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检验项目</w:t>
            </w:r>
          </w:p>
        </w:tc>
        <w:tc>
          <w:tcPr>
            <w:tcW w:w="2330" w:type="dxa"/>
            <w:vAlign w:val="top"/>
          </w:tcPr>
          <w:p>
            <w:pPr>
              <w:keepNext w:val="0"/>
              <w:keepLines w:val="0"/>
              <w:pageBreakBefore w:val="0"/>
              <w:widowControl/>
              <w:kinsoku/>
              <w:wordWrap/>
              <w:overflowPunct/>
              <w:topLinePunct w:val="0"/>
              <w:autoSpaceDE/>
              <w:autoSpaceDN/>
              <w:bidi w:val="0"/>
              <w:adjustRightInd/>
              <w:snapToGrid/>
              <w:spacing w:before="0" w:line="588" w:lineRule="exact"/>
              <w:ind w:right="0"/>
              <w:jc w:val="center"/>
              <w:textAlignment w:val="auto"/>
              <w:rPr>
                <w:rFonts w:hint="eastAsia" w:ascii="仿宋_GB2312" w:hAnsi="仿宋_GB2312" w:eastAsia="仿宋_GB2312" w:cs="仿宋_GB2312"/>
                <w:spacing w:val="9"/>
                <w:sz w:val="28"/>
                <w:szCs w:val="28"/>
              </w:rPr>
            </w:pPr>
            <w:r>
              <w:rPr>
                <w:rFonts w:hint="eastAsia" w:ascii="仿宋_GB2312" w:hAnsi="仿宋_GB2312" w:eastAsia="仿宋_GB2312" w:cs="仿宋_GB2312"/>
                <w:spacing w:val="9"/>
                <w:sz w:val="28"/>
                <w:szCs w:val="28"/>
              </w:rPr>
              <w:t>依据法律法规或</w:t>
            </w:r>
          </w:p>
          <w:p>
            <w:pPr>
              <w:keepNext w:val="0"/>
              <w:keepLines w:val="0"/>
              <w:pageBreakBefore w:val="0"/>
              <w:widowControl/>
              <w:kinsoku/>
              <w:wordWrap/>
              <w:overflowPunct/>
              <w:topLinePunct w:val="0"/>
              <w:autoSpaceDE/>
              <w:autoSpaceDN/>
              <w:bidi w:val="0"/>
              <w:adjustRightInd/>
              <w:snapToGrid/>
              <w:spacing w:before="0" w:line="588" w:lineRule="exact"/>
              <w:ind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标准</w:t>
            </w:r>
          </w:p>
        </w:tc>
        <w:tc>
          <w:tcPr>
            <w:tcW w:w="1791" w:type="dxa"/>
            <w:vAlign w:val="top"/>
          </w:tcPr>
          <w:p>
            <w:pPr>
              <w:keepNext w:val="0"/>
              <w:keepLines w:val="0"/>
              <w:pageBreakBefore w:val="0"/>
              <w:widowControl/>
              <w:kinsoku/>
              <w:wordWrap/>
              <w:overflowPunct/>
              <w:topLinePunct w:val="0"/>
              <w:autoSpaceDE/>
              <w:autoSpaceDN/>
              <w:bidi w:val="0"/>
              <w:adjustRightInd/>
              <w:snapToGrid/>
              <w:spacing w:before="0" w:line="588" w:lineRule="exact"/>
              <w:ind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21" w:type="dxa"/>
            <w:vAlign w:val="top"/>
          </w:tcPr>
          <w:p>
            <w:pPr>
              <w:pStyle w:val="14"/>
              <w:keepNext w:val="0"/>
              <w:keepLines w:val="0"/>
              <w:pageBreakBefore w:val="0"/>
              <w:widowControl/>
              <w:kinsoku/>
              <w:wordWrap/>
              <w:overflowPunct/>
              <w:topLinePunct w:val="0"/>
              <w:autoSpaceDE/>
              <w:autoSpaceDN/>
              <w:bidi w:val="0"/>
              <w:adjustRightInd/>
              <w:snapToGrid/>
              <w:spacing w:before="0" w:line="588" w:lineRule="exact"/>
              <w:ind w:left="0" w:right="0" w:firstLine="560" w:firstLineChars="20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p>
        </w:tc>
        <w:tc>
          <w:tcPr>
            <w:tcW w:w="3376" w:type="dxa"/>
            <w:vAlign w:val="top"/>
          </w:tcPr>
          <w:p>
            <w:pPr>
              <w:keepNext w:val="0"/>
              <w:keepLines w:val="0"/>
              <w:pageBreakBefore w:val="0"/>
              <w:widowControl/>
              <w:kinsoku/>
              <w:wordWrap/>
              <w:overflowPunct/>
              <w:topLinePunct w:val="0"/>
              <w:autoSpaceDE/>
              <w:autoSpaceDN/>
              <w:bidi w:val="0"/>
              <w:adjustRightInd/>
              <w:snapToGrid/>
              <w:spacing w:before="0" w:line="588" w:lineRule="exact"/>
              <w:ind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苯甲酸及其钠盐（</w:t>
            </w:r>
            <w:r>
              <w:rPr>
                <w:rFonts w:hint="eastAsia" w:ascii="仿宋_GB2312" w:hAnsi="仿宋_GB2312" w:eastAsia="仿宋_GB2312" w:cs="仿宋_GB2312"/>
                <w:spacing w:val="-31"/>
                <w:sz w:val="28"/>
                <w:szCs w:val="28"/>
              </w:rPr>
              <w:t xml:space="preserve"> </w:t>
            </w:r>
            <w:r>
              <w:rPr>
                <w:rFonts w:hint="eastAsia" w:ascii="仿宋_GB2312" w:hAnsi="仿宋_GB2312" w:eastAsia="仿宋_GB2312" w:cs="仿宋_GB2312"/>
                <w:spacing w:val="4"/>
                <w:sz w:val="28"/>
                <w:szCs w:val="28"/>
              </w:rPr>
              <w:t>以苯甲酸计）</w:t>
            </w:r>
          </w:p>
        </w:tc>
        <w:tc>
          <w:tcPr>
            <w:tcW w:w="2330" w:type="dxa"/>
            <w:vAlign w:val="top"/>
          </w:tcPr>
          <w:p>
            <w:pPr>
              <w:pStyle w:val="14"/>
              <w:keepNext w:val="0"/>
              <w:keepLines w:val="0"/>
              <w:pageBreakBefore w:val="0"/>
              <w:widowControl/>
              <w:kinsoku/>
              <w:wordWrap/>
              <w:overflowPunct/>
              <w:topLinePunct w:val="0"/>
              <w:autoSpaceDE/>
              <w:autoSpaceDN/>
              <w:bidi w:val="0"/>
              <w:adjustRightInd/>
              <w:snapToGrid/>
              <w:spacing w:before="0" w:line="588" w:lineRule="exact"/>
              <w:ind w:left="0" w:right="0"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w:t>
            </w:r>
            <w:r>
              <w:rPr>
                <w:rFonts w:hint="eastAsia" w:ascii="仿宋_GB2312" w:hAnsi="仿宋_GB2312" w:eastAsia="仿宋_GB2312" w:cs="仿宋_GB2312"/>
                <w:spacing w:val="5"/>
                <w:sz w:val="28"/>
                <w:szCs w:val="28"/>
              </w:rPr>
              <w:t xml:space="preserve"> 2760</w:t>
            </w:r>
          </w:p>
        </w:tc>
        <w:tc>
          <w:tcPr>
            <w:tcW w:w="1791" w:type="dxa"/>
            <w:vAlign w:val="top"/>
          </w:tcPr>
          <w:p>
            <w:pPr>
              <w:pStyle w:val="14"/>
              <w:keepNext w:val="0"/>
              <w:keepLines w:val="0"/>
              <w:pageBreakBefore w:val="0"/>
              <w:widowControl/>
              <w:kinsoku/>
              <w:wordWrap/>
              <w:overflowPunct/>
              <w:topLinePunct w:val="0"/>
              <w:autoSpaceDE/>
              <w:autoSpaceDN/>
              <w:bidi w:val="0"/>
              <w:adjustRightInd/>
              <w:snapToGrid/>
              <w:spacing w:before="0" w:line="588" w:lineRule="exact"/>
              <w:ind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w:t>
            </w:r>
            <w:r>
              <w:rPr>
                <w:rFonts w:hint="eastAsia" w:ascii="仿宋_GB2312" w:hAnsi="仿宋_GB2312" w:eastAsia="仿宋_GB2312" w:cs="仿宋_GB2312"/>
                <w:spacing w:val="15"/>
                <w:sz w:val="28"/>
                <w:szCs w:val="28"/>
              </w:rPr>
              <w:t xml:space="preserve"> </w:t>
            </w:r>
            <w:r>
              <w:rPr>
                <w:rFonts w:hint="eastAsia" w:ascii="仿宋_GB2312" w:hAnsi="仿宋_GB2312" w:eastAsia="仿宋_GB2312" w:cs="仿宋_GB2312"/>
                <w:spacing w:val="4"/>
                <w:sz w:val="28"/>
                <w:szCs w:val="28"/>
              </w:rPr>
              <w:t>5009.28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21" w:type="dxa"/>
            <w:vAlign w:val="top"/>
          </w:tcPr>
          <w:p>
            <w:pPr>
              <w:pStyle w:val="14"/>
              <w:keepNext w:val="0"/>
              <w:keepLines w:val="0"/>
              <w:pageBreakBefore w:val="0"/>
              <w:widowControl/>
              <w:kinsoku/>
              <w:wordWrap/>
              <w:overflowPunct/>
              <w:topLinePunct w:val="0"/>
              <w:autoSpaceDE/>
              <w:autoSpaceDN/>
              <w:bidi w:val="0"/>
              <w:adjustRightInd/>
              <w:snapToGrid/>
              <w:spacing w:before="0" w:line="588" w:lineRule="exact"/>
              <w:ind w:left="0" w:right="0" w:firstLine="560" w:firstLineChars="20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p>
        </w:tc>
        <w:tc>
          <w:tcPr>
            <w:tcW w:w="3376" w:type="dxa"/>
            <w:vAlign w:val="top"/>
          </w:tcPr>
          <w:p>
            <w:pPr>
              <w:keepNext w:val="0"/>
              <w:keepLines w:val="0"/>
              <w:pageBreakBefore w:val="0"/>
              <w:widowControl/>
              <w:kinsoku/>
              <w:wordWrap/>
              <w:overflowPunct/>
              <w:topLinePunct w:val="0"/>
              <w:autoSpaceDE/>
              <w:autoSpaceDN/>
              <w:bidi w:val="0"/>
              <w:adjustRightInd/>
              <w:snapToGrid/>
              <w:spacing w:before="0" w:line="588" w:lineRule="exact"/>
              <w:ind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山梨酸及其钾盐（</w:t>
            </w:r>
            <w:r>
              <w:rPr>
                <w:rFonts w:hint="eastAsia" w:ascii="仿宋_GB2312" w:hAnsi="仿宋_GB2312" w:eastAsia="仿宋_GB2312" w:cs="仿宋_GB2312"/>
                <w:spacing w:val="-31"/>
                <w:sz w:val="28"/>
                <w:szCs w:val="28"/>
              </w:rPr>
              <w:t xml:space="preserve"> </w:t>
            </w:r>
            <w:r>
              <w:rPr>
                <w:rFonts w:hint="eastAsia" w:ascii="仿宋_GB2312" w:hAnsi="仿宋_GB2312" w:eastAsia="仿宋_GB2312" w:cs="仿宋_GB2312"/>
                <w:spacing w:val="2"/>
                <w:sz w:val="28"/>
                <w:szCs w:val="28"/>
              </w:rPr>
              <w:t>以山梨酸计）</w:t>
            </w:r>
          </w:p>
        </w:tc>
        <w:tc>
          <w:tcPr>
            <w:tcW w:w="2330" w:type="dxa"/>
            <w:vAlign w:val="top"/>
          </w:tcPr>
          <w:p>
            <w:pPr>
              <w:pStyle w:val="14"/>
              <w:keepNext w:val="0"/>
              <w:keepLines w:val="0"/>
              <w:pageBreakBefore w:val="0"/>
              <w:widowControl/>
              <w:kinsoku/>
              <w:wordWrap/>
              <w:overflowPunct/>
              <w:topLinePunct w:val="0"/>
              <w:autoSpaceDE/>
              <w:autoSpaceDN/>
              <w:bidi w:val="0"/>
              <w:adjustRightInd/>
              <w:snapToGrid/>
              <w:spacing w:before="0" w:line="588" w:lineRule="exact"/>
              <w:ind w:left="0" w:right="0"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w:t>
            </w:r>
            <w:r>
              <w:rPr>
                <w:rFonts w:hint="eastAsia" w:ascii="仿宋_GB2312" w:hAnsi="仿宋_GB2312" w:eastAsia="仿宋_GB2312" w:cs="仿宋_GB2312"/>
                <w:spacing w:val="5"/>
                <w:sz w:val="28"/>
                <w:szCs w:val="28"/>
              </w:rPr>
              <w:t xml:space="preserve"> 2760</w:t>
            </w:r>
          </w:p>
        </w:tc>
        <w:tc>
          <w:tcPr>
            <w:tcW w:w="1791" w:type="dxa"/>
            <w:vAlign w:val="top"/>
          </w:tcPr>
          <w:p>
            <w:pPr>
              <w:pStyle w:val="14"/>
              <w:keepNext w:val="0"/>
              <w:keepLines w:val="0"/>
              <w:pageBreakBefore w:val="0"/>
              <w:widowControl/>
              <w:kinsoku/>
              <w:wordWrap/>
              <w:overflowPunct/>
              <w:topLinePunct w:val="0"/>
              <w:autoSpaceDE/>
              <w:autoSpaceDN/>
              <w:bidi w:val="0"/>
              <w:adjustRightInd/>
              <w:snapToGrid/>
              <w:spacing w:before="0" w:line="588" w:lineRule="exact"/>
              <w:ind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w:t>
            </w:r>
            <w:r>
              <w:rPr>
                <w:rFonts w:hint="eastAsia" w:ascii="仿宋_GB2312" w:hAnsi="仿宋_GB2312" w:eastAsia="仿宋_GB2312" w:cs="仿宋_GB2312"/>
                <w:spacing w:val="15"/>
                <w:sz w:val="28"/>
                <w:szCs w:val="28"/>
              </w:rPr>
              <w:t xml:space="preserve"> </w:t>
            </w:r>
            <w:r>
              <w:rPr>
                <w:rFonts w:hint="eastAsia" w:ascii="仿宋_GB2312" w:hAnsi="仿宋_GB2312" w:eastAsia="仿宋_GB2312" w:cs="仿宋_GB2312"/>
                <w:spacing w:val="4"/>
                <w:sz w:val="28"/>
                <w:szCs w:val="28"/>
              </w:rPr>
              <w:t>5009.28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21" w:type="dxa"/>
            <w:vAlign w:val="top"/>
          </w:tcPr>
          <w:p>
            <w:pPr>
              <w:pStyle w:val="14"/>
              <w:keepNext w:val="0"/>
              <w:keepLines w:val="0"/>
              <w:pageBreakBefore w:val="0"/>
              <w:widowControl/>
              <w:kinsoku/>
              <w:wordWrap/>
              <w:overflowPunct/>
              <w:topLinePunct w:val="0"/>
              <w:autoSpaceDE/>
              <w:autoSpaceDN/>
              <w:bidi w:val="0"/>
              <w:adjustRightInd/>
              <w:snapToGrid/>
              <w:spacing w:before="0" w:line="588" w:lineRule="exact"/>
              <w:ind w:left="0" w:right="0" w:firstLine="560" w:firstLineChars="200"/>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3376" w:type="dxa"/>
            <w:vAlign w:val="top"/>
          </w:tcPr>
          <w:p>
            <w:pPr>
              <w:keepNext w:val="0"/>
              <w:keepLines w:val="0"/>
              <w:pageBreakBefore w:val="0"/>
              <w:widowControl/>
              <w:kinsoku/>
              <w:wordWrap/>
              <w:overflowPunct/>
              <w:topLinePunct w:val="0"/>
              <w:autoSpaceDE/>
              <w:autoSpaceDN/>
              <w:bidi w:val="0"/>
              <w:adjustRightInd/>
              <w:snapToGrid/>
              <w:spacing w:before="0" w:line="588" w:lineRule="exact"/>
              <w:ind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脱氢乙酸及其钠盐（</w:t>
            </w:r>
            <w:r>
              <w:rPr>
                <w:rFonts w:hint="eastAsia" w:ascii="仿宋_GB2312" w:hAnsi="仿宋_GB2312" w:eastAsia="仿宋_GB2312" w:cs="仿宋_GB2312"/>
                <w:spacing w:val="-20"/>
                <w:sz w:val="28"/>
                <w:szCs w:val="28"/>
              </w:rPr>
              <w:t xml:space="preserve"> </w:t>
            </w:r>
            <w:r>
              <w:rPr>
                <w:rFonts w:hint="eastAsia" w:ascii="仿宋_GB2312" w:hAnsi="仿宋_GB2312" w:eastAsia="仿宋_GB2312" w:cs="仿宋_GB2312"/>
                <w:spacing w:val="4"/>
                <w:sz w:val="28"/>
                <w:szCs w:val="28"/>
              </w:rPr>
              <w:t>以脱氢乙酸计）</w:t>
            </w:r>
          </w:p>
        </w:tc>
        <w:tc>
          <w:tcPr>
            <w:tcW w:w="2330" w:type="dxa"/>
            <w:vAlign w:val="top"/>
          </w:tcPr>
          <w:p>
            <w:pPr>
              <w:pStyle w:val="14"/>
              <w:keepNext w:val="0"/>
              <w:keepLines w:val="0"/>
              <w:pageBreakBefore w:val="0"/>
              <w:widowControl/>
              <w:kinsoku/>
              <w:wordWrap/>
              <w:overflowPunct/>
              <w:topLinePunct w:val="0"/>
              <w:autoSpaceDE/>
              <w:autoSpaceDN/>
              <w:bidi w:val="0"/>
              <w:adjustRightInd/>
              <w:snapToGrid/>
              <w:spacing w:before="0" w:line="588" w:lineRule="exact"/>
              <w:ind w:left="0" w:right="0"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w:t>
            </w:r>
            <w:r>
              <w:rPr>
                <w:rFonts w:hint="eastAsia" w:ascii="仿宋_GB2312" w:hAnsi="仿宋_GB2312" w:eastAsia="仿宋_GB2312" w:cs="仿宋_GB2312"/>
                <w:spacing w:val="5"/>
                <w:sz w:val="28"/>
                <w:szCs w:val="28"/>
              </w:rPr>
              <w:t xml:space="preserve"> 2760</w:t>
            </w:r>
          </w:p>
        </w:tc>
        <w:tc>
          <w:tcPr>
            <w:tcW w:w="1791" w:type="dxa"/>
            <w:vAlign w:val="top"/>
          </w:tcPr>
          <w:p>
            <w:pPr>
              <w:pStyle w:val="14"/>
              <w:keepNext w:val="0"/>
              <w:keepLines w:val="0"/>
              <w:pageBreakBefore w:val="0"/>
              <w:widowControl/>
              <w:kinsoku/>
              <w:wordWrap/>
              <w:overflowPunct/>
              <w:topLinePunct w:val="0"/>
              <w:autoSpaceDE/>
              <w:autoSpaceDN/>
              <w:bidi w:val="0"/>
              <w:adjustRightInd/>
              <w:snapToGrid/>
              <w:spacing w:before="0" w:line="588" w:lineRule="exact"/>
              <w:ind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w:t>
            </w:r>
            <w:r>
              <w:rPr>
                <w:rFonts w:hint="eastAsia" w:ascii="仿宋_GB2312" w:hAnsi="仿宋_GB2312" w:eastAsia="仿宋_GB2312" w:cs="仿宋_GB2312"/>
                <w:spacing w:val="12"/>
                <w:w w:val="101"/>
                <w:sz w:val="28"/>
                <w:szCs w:val="28"/>
              </w:rPr>
              <w:t xml:space="preserve"> </w:t>
            </w:r>
            <w:r>
              <w:rPr>
                <w:rFonts w:hint="eastAsia" w:ascii="仿宋_GB2312" w:hAnsi="仿宋_GB2312" w:eastAsia="仿宋_GB2312" w:cs="仿宋_GB2312"/>
                <w:spacing w:val="1"/>
                <w:sz w:val="28"/>
                <w:szCs w:val="28"/>
              </w:rPr>
              <w:t>5009.</w:t>
            </w:r>
            <w:r>
              <w:rPr>
                <w:rFonts w:hint="eastAsia" w:ascii="仿宋_GB2312" w:hAnsi="仿宋_GB2312" w:eastAsia="仿宋_GB2312" w:cs="仿宋_GB2312"/>
                <w:spacing w:val="-25"/>
                <w:sz w:val="28"/>
                <w:szCs w:val="28"/>
              </w:rPr>
              <w:t xml:space="preserve"> </w:t>
            </w:r>
            <w:r>
              <w:rPr>
                <w:rFonts w:hint="eastAsia" w:ascii="仿宋_GB2312" w:hAnsi="仿宋_GB2312" w:eastAsia="仿宋_GB2312" w:cs="仿宋_GB2312"/>
                <w:spacing w:val="1"/>
                <w:sz w:val="28"/>
                <w:szCs w:val="28"/>
              </w:rPr>
              <w:t>121</w:t>
            </w:r>
          </w:p>
        </w:tc>
      </w:tr>
    </w:tbl>
    <w:p>
      <w:pPr>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67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7"/>
          <w:sz w:val="32"/>
          <w:szCs w:val="32"/>
        </w:rPr>
        <w:t>6</w:t>
      </w:r>
      <w:r>
        <w:rPr>
          <w:rFonts w:hint="eastAsia" w:ascii="仿宋_GB2312" w:hAnsi="仿宋_GB2312" w:eastAsia="仿宋_GB2312" w:cs="仿宋_GB2312"/>
          <w:spacing w:val="7"/>
          <w:sz w:val="32"/>
          <w:szCs w:val="32"/>
        </w:rPr>
        <w:t>判定原则与结论</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668" w:firstLineChars="200"/>
        <w:jc w:val="both"/>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出具抽检检验报告，检验报告中检验结论按如下方式作出判定：</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668" w:firstLineChars="200"/>
        <w:jc w:val="both"/>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6.1检验项目全部符合相应依据的法律法规或标准要求的，检验结论为：“经抽样检验，所检项目符合××××要求”。</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588" w:lineRule="exact"/>
        <w:ind w:left="0" w:right="0" w:firstLine="668" w:firstLineChars="200"/>
        <w:jc w:val="both"/>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6.2检验项目有不符合相应依据的法律法规或标准要求的，检验结论为：“经抽样检验，××项目不符合××××要求，检验结论为不合格”。</w:t>
      </w:r>
    </w:p>
    <w:sectPr>
      <w:footerReference r:id="rId5" w:type="default"/>
      <w:pgSz w:w="11906" w:h="16839"/>
      <w:pgMar w:top="1431" w:right="1463" w:bottom="1157" w:left="1219" w:header="0" w:footer="992" w:gutter="0"/>
      <w:pgNumType w:chapSep="period"/>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embedTrueTypeFonts/>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
  <w:docVars>
    <w:docVar w:name="commondata" w:val="eyJoZGlkIjoiYTdmNTM2OWJiMzg1OTQ3MDEwYzk5MWE1NTYwNGQ4M2EifQ=="/>
  </w:docVars>
  <w:rsids>
    <w:rsidRoot w:val="00000000"/>
    <w:rsid w:val="189E3CDE"/>
    <w:rsid w:val="361707D4"/>
    <w:rsid w:val="3CCB72C0"/>
    <w:rsid w:val="3DDB658B"/>
    <w:rsid w:val="4C5F3864"/>
    <w:rsid w:val="4DCB481E"/>
    <w:rsid w:val="579F2C07"/>
    <w:rsid w:val="58A15587"/>
    <w:rsid w:val="5B7E9ABE"/>
    <w:rsid w:val="61D5318F"/>
    <w:rsid w:val="68076ED2"/>
    <w:rsid w:val="BAFF7CA1"/>
    <w:rsid w:val="FBBAF6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qFormat="1" w:unhideWhenUsed="0" w:uiPriority="0" w:name="line number"/>
    <w:lsdException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suppressLineNumbers w:val="0"/>
      <w:shd w:val="clear" w:fill="auto"/>
      <w:suppressAutoHyphens w:val="0"/>
      <w:bidi w:val="0"/>
      <w:spacing w:before="0" w:beforeAutospacing="0" w:after="0" w:afterAutospacing="0" w:line="240" w:lineRule="auto"/>
      <w:ind w:left="0" w:right="0" w:firstLine="0"/>
      <w:contextualSpacing w:val="0"/>
      <w:jc w:val="left"/>
      <w:outlineLvl w:val="9"/>
    </w:pPr>
    <w:rPr>
      <w:rFonts w:ascii="Arial" w:hAnsi="Arial" w:eastAsia="Arial" w:cs="Arial"/>
      <w:snapToGrid w:val="0"/>
      <w:color w:val="00000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0"/>
      <w:szCs w:val="20"/>
      <w:lang w:val="en-US" w:eastAsia="en-US" w:bidi="ar-SA"/>
    </w:rPr>
  </w:style>
  <w:style w:type="paragraph" w:styleId="3">
    <w:name w:val="endnote text"/>
    <w:link w:val="16"/>
    <w:semiHidden/>
    <w:qFormat/>
    <w:uiPriority w:val="0"/>
    <w:pPr>
      <w:keepNext w:val="0"/>
      <w:keepLines w:val="0"/>
      <w:pageBreakBefore w:val="0"/>
      <w:widowControl/>
      <w:suppressLineNumbers w:val="0"/>
      <w:shd w:val="clear" w:fill="auto"/>
      <w:suppressAutoHyphens w:val="0"/>
      <w:bidi w:val="0"/>
      <w:spacing w:before="0" w:beforeAutospacing="0" w:after="0" w:afterAutospacing="0" w:line="240" w:lineRule="auto"/>
      <w:ind w:left="0" w:right="0" w:firstLine="0"/>
      <w:contextualSpacing w:val="0"/>
      <w:jc w:val="left"/>
      <w:outlineLvl w:val="9"/>
    </w:pPr>
    <w:rPr>
      <w:rFonts w:ascii="Arial" w:hAnsi="Arial" w:eastAsia="Arial" w:cs="Arial"/>
      <w:sz w:val="20"/>
      <w:szCs w:val="20"/>
    </w:rPr>
  </w:style>
  <w:style w:type="paragraph" w:styleId="4">
    <w:name w:val="footer"/>
    <w:basedOn w:val="1"/>
    <w:qFormat/>
    <w:uiPriority w:val="0"/>
    <w:pPr>
      <w:tabs>
        <w:tab w:val="center" w:pos="4153"/>
        <w:tab w:val="right" w:pos="8306"/>
      </w:tabs>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between w:val="none" w:color="auto" w:sz="0" w:space="0"/>
      </w:pBdr>
      <w:tabs>
        <w:tab w:val="center" w:pos="4153"/>
        <w:tab w:val="right" w:pos="8306"/>
      </w:tabs>
      <w:spacing w:beforeAutospacing="0" w:afterAutospacing="0" w:line="240" w:lineRule="auto"/>
      <w:jc w:val="both"/>
      <w:outlineLvl w:val="9"/>
    </w:pPr>
    <w:rPr>
      <w:sz w:val="18"/>
    </w:rPr>
  </w:style>
  <w:style w:type="paragraph" w:styleId="6">
    <w:name w:val="footnote text"/>
    <w:link w:val="15"/>
    <w:semiHidden/>
    <w:qFormat/>
    <w:uiPriority w:val="0"/>
    <w:pPr>
      <w:keepNext w:val="0"/>
      <w:keepLines w:val="0"/>
      <w:pageBreakBefore w:val="0"/>
      <w:widowControl/>
      <w:suppressLineNumbers w:val="0"/>
      <w:shd w:val="clear" w:fill="auto"/>
      <w:suppressAutoHyphens w:val="0"/>
      <w:bidi w:val="0"/>
      <w:spacing w:before="0" w:beforeAutospacing="0" w:after="0" w:afterAutospacing="0" w:line="240" w:lineRule="auto"/>
      <w:ind w:left="0" w:right="0" w:firstLine="0"/>
      <w:contextualSpacing w:val="0"/>
      <w:jc w:val="left"/>
      <w:outlineLvl w:val="9"/>
    </w:pPr>
    <w:rPr>
      <w:rFonts w:ascii="Arial" w:hAnsi="Arial" w:eastAsia="Arial" w:cs="Arial"/>
      <w:sz w:val="20"/>
      <w:szCs w:val="20"/>
    </w:rPr>
  </w:style>
  <w:style w:type="table" w:styleId="8">
    <w:name w:val="Table Simple 1"/>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10">
    <w:name w:val="endnote reference"/>
    <w:semiHidden/>
    <w:qFormat/>
    <w:uiPriority w:val="0"/>
    <w:rPr>
      <w:vertAlign w:val="superscript"/>
    </w:rPr>
  </w:style>
  <w:style w:type="character" w:styleId="11">
    <w:name w:val="line number"/>
    <w:basedOn w:val="9"/>
    <w:semiHidden/>
    <w:qFormat/>
    <w:uiPriority w:val="0"/>
  </w:style>
  <w:style w:type="character" w:styleId="12">
    <w:name w:val="Hyperlink"/>
    <w:qFormat/>
    <w:uiPriority w:val="0"/>
    <w:rPr>
      <w:color w:val="0000FF"/>
      <w:u w:val="single"/>
    </w:rPr>
  </w:style>
  <w:style w:type="character" w:styleId="13">
    <w:name w:val="footnote reference"/>
    <w:semiHidden/>
    <w:qFormat/>
    <w:uiPriority w:val="0"/>
    <w:rPr>
      <w:vertAlign w:val="superscript"/>
    </w:rPr>
  </w:style>
  <w:style w:type="paragraph" w:customStyle="1" w:styleId="14">
    <w:name w:val="Table Text"/>
    <w:basedOn w:val="1"/>
    <w:semiHidden/>
    <w:qFormat/>
    <w:uiPriority w:val="0"/>
    <w:rPr>
      <w:rFonts w:ascii="Times New Roman" w:hAnsi="Times New Roman" w:eastAsia="Times New Roman" w:cs="Times New Roman"/>
      <w:sz w:val="20"/>
      <w:szCs w:val="20"/>
      <w:lang w:val="en-US" w:eastAsia="en-US" w:bidi="ar-SA"/>
    </w:rPr>
  </w:style>
  <w:style w:type="character" w:customStyle="1" w:styleId="15">
    <w:name w:val="Footnote Text Char"/>
    <w:link w:val="6"/>
    <w:semiHidden/>
    <w:qFormat/>
    <w:uiPriority w:val="0"/>
    <w:rPr>
      <w:sz w:val="20"/>
      <w:szCs w:val="20"/>
    </w:rPr>
  </w:style>
  <w:style w:type="character" w:customStyle="1" w:styleId="16">
    <w:name w:val="Endnote Text Char"/>
    <w:link w:val="3"/>
    <w:semiHidden/>
    <w:qFormat/>
    <w:uiPriority w:val="0"/>
    <w:rPr>
      <w:sz w:val="20"/>
      <w:szCs w:val="20"/>
    </w:rPr>
  </w:style>
  <w:style w:type="table" w:customStyle="1" w:styleId="17">
    <w:name w:val="Table Normal1"/>
    <w:semiHidden/>
    <w:qFormat/>
    <w:uiPriority w:val="0"/>
    <w:tblPr>
      <w:tblCellMar>
        <w:top w:w="0" w:type="dxa"/>
        <w:left w:w="0" w:type="dxa"/>
        <w:bottom w:w="0" w:type="dxa"/>
        <w:right w:w="0" w:type="dxa"/>
      </w:tblCellMar>
    </w:tbl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tileRect/>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tileRect/>
        </a:gradFill>
        <a:gradFill rotWithShape="true">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1484</Words>
  <Characters>1607</Characters>
  <TotalTime>208</TotalTime>
  <ScaleCrop>false</ScaleCrop>
  <LinksUpToDate>false</LinksUpToDate>
  <CharactersWithSpaces>1641</CharactersWithSpaces>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2024-05-09T00:39:00Z</dcterms:created>
  <dc:creator>70584</dc:creator>
  <cp:lastModifiedBy> </cp:lastModifiedBy>
  <cp:lastPrinted>2024-05-10T21:26:00Z</cp:lastPrinted>
  <dcterms:modified xsi:type="dcterms:W3CDTF">2024-05-10T19:13:22Z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2024-05-08T16:39:28Z</vt:filetime>
  </property>
  <property fmtid="{D5CDD505-2E9C-101B-9397-08002B2CF9AE}" pid="4" name="KSOProductBuildVer">
    <vt:lpwstr>2052-11.8.2.10290</vt:lpwstr>
  </property>
  <property fmtid="{D5CDD505-2E9C-101B-9397-08002B2CF9AE}" pid="5" name="ICV">
    <vt:lpwstr>C41EFA8B88A549548226AE91E4226880_13</vt:lpwstr>
  </property>
</Properties>
</file>