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1D45">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6"/>
          <w:szCs w:val="36"/>
        </w:rPr>
      </w:pPr>
      <w:bookmarkStart w:id="0" w:name="_Toc30017"/>
    </w:p>
    <w:p w14:paraId="1960D83A">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6"/>
          <w:szCs w:val="36"/>
        </w:rPr>
      </w:pPr>
    </w:p>
    <w:p w14:paraId="6D5A6AE8">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6"/>
          <w:szCs w:val="36"/>
        </w:rPr>
      </w:pPr>
    </w:p>
    <w:p w14:paraId="0F1DC31B">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6"/>
          <w:szCs w:val="36"/>
        </w:rPr>
      </w:pPr>
    </w:p>
    <w:p w14:paraId="21A32F09">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14:paraId="11BE2C8F">
      <w:pPr>
        <w:keepNext w:val="0"/>
        <w:keepLines w:val="0"/>
        <w:pageBreakBefore w:val="0"/>
        <w:widowControl w:val="0"/>
        <w:kinsoku/>
        <w:wordWrap/>
        <w:overflowPunct/>
        <w:topLinePunct w:val="0"/>
        <w:autoSpaceDE/>
        <w:autoSpaceDN/>
        <w:bidi w:val="0"/>
        <w:adjustRightInd/>
        <w:snapToGrid/>
        <w:spacing w:before="192" w:beforeLines="80"/>
        <w:jc w:val="center"/>
        <w:textAlignment w:val="auto"/>
        <w:rPr>
          <w:rFonts w:hint="eastAsia" w:ascii="楷体_GB2312" w:eastAsia="楷体_GB2312"/>
          <w:bCs/>
          <w:sz w:val="48"/>
          <w:szCs w:val="48"/>
        </w:rPr>
      </w:pPr>
      <w:r>
        <w:rPr>
          <w:rFonts w:hint="eastAsia" w:ascii="楷体_GB2312" w:eastAsia="楷体_GB2312"/>
          <w:bCs/>
          <w:sz w:val="48"/>
          <w:szCs w:val="48"/>
        </w:rPr>
        <w:t>（生态影响类）</w:t>
      </w:r>
    </w:p>
    <w:p w14:paraId="25A6DB5A">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ascii="华文仿宋" w:hAnsi="华文仿宋" w:eastAsia="华文仿宋" w:cs="华文仿宋"/>
          <w:color w:val="000000"/>
          <w:kern w:val="44"/>
          <w:sz w:val="44"/>
          <w:szCs w:val="44"/>
        </w:rPr>
      </w:pPr>
      <w:bookmarkStart w:id="1" w:name="_Hlk57883728"/>
    </w:p>
    <w:p w14:paraId="26017AAA">
      <w:pPr>
        <w:keepNext w:val="0"/>
        <w:keepLines w:val="0"/>
        <w:pageBreakBefore w:val="0"/>
        <w:widowControl w:val="0"/>
        <w:kinsoku/>
        <w:wordWrap/>
        <w:overflowPunct/>
        <w:topLinePunct w:val="0"/>
        <w:autoSpaceDE/>
        <w:autoSpaceDN/>
        <w:bidi w:val="0"/>
        <w:adjustRightInd/>
        <w:snapToGrid/>
        <w:jc w:val="center"/>
        <w:textAlignment w:val="auto"/>
        <w:rPr>
          <w:rFonts w:eastAsia="仿宋"/>
          <w:sz w:val="52"/>
          <w:szCs w:val="52"/>
        </w:rPr>
      </w:pPr>
    </w:p>
    <w:p w14:paraId="16E7B74E">
      <w:pPr>
        <w:keepNext w:val="0"/>
        <w:keepLines w:val="0"/>
        <w:pageBreakBefore w:val="0"/>
        <w:widowControl w:val="0"/>
        <w:kinsoku/>
        <w:wordWrap/>
        <w:overflowPunct/>
        <w:topLinePunct w:val="0"/>
        <w:autoSpaceDE/>
        <w:autoSpaceDN/>
        <w:bidi w:val="0"/>
        <w:adjustRightInd/>
        <w:snapToGrid/>
        <w:ind w:firstLine="1040"/>
        <w:textAlignment w:val="auto"/>
        <w:rPr>
          <w:rFonts w:eastAsia="仿宋"/>
          <w:sz w:val="44"/>
          <w:szCs w:val="44"/>
        </w:rPr>
      </w:pPr>
    </w:p>
    <w:p w14:paraId="47F3A902">
      <w:pPr>
        <w:keepNext w:val="0"/>
        <w:keepLines w:val="0"/>
        <w:pageBreakBefore w:val="0"/>
        <w:widowControl w:val="0"/>
        <w:kinsoku/>
        <w:wordWrap/>
        <w:overflowPunct/>
        <w:topLinePunct w:val="0"/>
        <w:autoSpaceDE/>
        <w:autoSpaceDN/>
        <w:bidi w:val="0"/>
        <w:adjustRightInd/>
        <w:snapToGrid/>
        <w:ind w:firstLine="1040"/>
        <w:textAlignment w:val="auto"/>
        <w:rPr>
          <w:rFonts w:eastAsia="仿宋"/>
          <w:sz w:val="44"/>
          <w:szCs w:val="44"/>
        </w:rPr>
      </w:pPr>
    </w:p>
    <w:p w14:paraId="749878AD">
      <w:pPr>
        <w:keepNext w:val="0"/>
        <w:keepLines w:val="0"/>
        <w:pageBreakBefore w:val="0"/>
        <w:widowControl w:val="0"/>
        <w:kinsoku/>
        <w:wordWrap/>
        <w:overflowPunct/>
        <w:topLinePunct w:val="0"/>
        <w:autoSpaceDE/>
        <w:autoSpaceDN/>
        <w:bidi w:val="0"/>
        <w:adjustRightInd/>
        <w:snapToGrid/>
        <w:ind w:firstLine="1040"/>
        <w:textAlignment w:val="auto"/>
        <w:rPr>
          <w:rFonts w:eastAsia="仿宋"/>
          <w:sz w:val="44"/>
          <w:szCs w:val="44"/>
        </w:rPr>
      </w:pPr>
    </w:p>
    <w:bookmarkEnd w:id="1"/>
    <w:p w14:paraId="33F01D1E">
      <w:pPr>
        <w:keepNext w:val="0"/>
        <w:keepLines w:val="0"/>
        <w:pageBreakBefore w:val="0"/>
        <w:widowControl w:val="0"/>
        <w:kinsoku/>
        <w:wordWrap/>
        <w:overflowPunct/>
        <w:topLinePunct w:val="0"/>
        <w:autoSpaceDE/>
        <w:autoSpaceDN/>
        <w:bidi w:val="0"/>
        <w:adjustRightInd/>
        <w:snapToGrid/>
        <w:spacing w:line="288" w:lineRule="auto"/>
        <w:ind w:left="2110" w:leftChars="200" w:hanging="1690" w:hangingChars="500"/>
        <w:textAlignment w:val="auto"/>
        <w:rPr>
          <w:rFonts w:hint="eastAsia" w:ascii="仿宋_GB2312" w:eastAsia="仿宋_GB2312"/>
          <w:spacing w:val="-11"/>
          <w:sz w:val="36"/>
          <w:szCs w:val="36"/>
          <w:u w:val="single"/>
          <w:lang w:val="en-US" w:eastAsia="zh-CN"/>
        </w:rPr>
      </w:pPr>
      <w:r>
        <w:rPr>
          <w:rFonts w:hint="eastAsia" w:ascii="仿宋_GB2312" w:eastAsia="仿宋_GB2312"/>
          <w:spacing w:val="-11"/>
          <w:sz w:val="36"/>
          <w:szCs w:val="36"/>
        </w:rPr>
        <w:t>项目名称：</w:t>
      </w:r>
      <w:r>
        <w:rPr>
          <w:rFonts w:hint="eastAsia" w:ascii="仿宋_GB2312" w:eastAsia="仿宋_GB2312"/>
          <w:spacing w:val="-11"/>
          <w:sz w:val="36"/>
          <w:szCs w:val="36"/>
          <w:u w:val="single"/>
          <w:lang w:val="en-US" w:eastAsia="zh-CN"/>
        </w:rPr>
        <w:t xml:space="preserve"> </w:t>
      </w:r>
      <w:r>
        <w:rPr>
          <w:rFonts w:hint="eastAsia" w:ascii="仿宋_GB2312" w:eastAsia="仿宋_GB2312"/>
          <w:spacing w:val="-11"/>
          <w:sz w:val="36"/>
          <w:szCs w:val="36"/>
          <w:u w:val="single"/>
        </w:rPr>
        <w:t>新疆圣雄能源股份有限公司5000Nm³/h荒煤气绿色提氢综合利用项目</w:t>
      </w:r>
      <w:r>
        <w:rPr>
          <w:rFonts w:hint="eastAsia" w:ascii="仿宋_GB2312" w:eastAsia="仿宋_GB2312"/>
          <w:spacing w:val="-11"/>
          <w:sz w:val="36"/>
          <w:szCs w:val="36"/>
          <w:u w:val="single"/>
          <w:lang w:val="en-US" w:eastAsia="zh-CN"/>
        </w:rPr>
        <w:t xml:space="preserve"> </w:t>
      </w:r>
    </w:p>
    <w:p w14:paraId="4CF3BC1F">
      <w:pPr>
        <w:keepNext w:val="0"/>
        <w:keepLines w:val="0"/>
        <w:pageBreakBefore w:val="0"/>
        <w:widowControl w:val="0"/>
        <w:kinsoku/>
        <w:wordWrap/>
        <w:overflowPunct/>
        <w:topLinePunct w:val="0"/>
        <w:autoSpaceDE/>
        <w:autoSpaceDN/>
        <w:bidi w:val="0"/>
        <w:adjustRightInd/>
        <w:snapToGrid/>
        <w:spacing w:line="288" w:lineRule="auto"/>
        <w:ind w:left="3255" w:leftChars="200" w:hanging="2835"/>
        <w:textAlignment w:val="auto"/>
        <w:rPr>
          <w:rFonts w:hint="eastAsia" w:ascii="仿宋_GB2312" w:eastAsia="仿宋_GB2312"/>
          <w:spacing w:val="-11"/>
          <w:sz w:val="36"/>
          <w:szCs w:val="36"/>
          <w:u w:val="single"/>
          <w:lang w:val="en-US" w:eastAsia="zh-CN"/>
        </w:rPr>
      </w:pPr>
      <w:r>
        <w:rPr>
          <w:rFonts w:hint="eastAsia" w:ascii="仿宋_GB2312" w:eastAsia="仿宋_GB2312"/>
          <w:spacing w:val="-11"/>
          <w:sz w:val="36"/>
          <w:szCs w:val="36"/>
        </w:rPr>
        <w:t>建设单位（盖章）：</w:t>
      </w:r>
      <w:r>
        <w:rPr>
          <w:rFonts w:hint="eastAsia" w:ascii="仿宋_GB2312" w:eastAsia="仿宋_GB2312"/>
          <w:spacing w:val="-11"/>
          <w:sz w:val="36"/>
          <w:szCs w:val="36"/>
          <w:u w:val="single"/>
          <w:lang w:val="en-US" w:eastAsia="zh-CN"/>
        </w:rPr>
        <w:t xml:space="preserve"> 新疆圣雄电石有限公司 </w:t>
      </w:r>
    </w:p>
    <w:p w14:paraId="44EC4C1D">
      <w:pPr>
        <w:keepNext w:val="0"/>
        <w:keepLines w:val="0"/>
        <w:pageBreakBefore w:val="0"/>
        <w:widowControl w:val="0"/>
        <w:kinsoku/>
        <w:wordWrap/>
        <w:overflowPunct/>
        <w:topLinePunct w:val="0"/>
        <w:autoSpaceDE/>
        <w:autoSpaceDN/>
        <w:bidi w:val="0"/>
        <w:adjustRightInd/>
        <w:snapToGrid/>
        <w:spacing w:line="288" w:lineRule="auto"/>
        <w:ind w:firstLine="1040"/>
        <w:textAlignment w:val="auto"/>
        <w:rPr>
          <w:rFonts w:hint="eastAsia" w:ascii="仿宋_GB2312" w:eastAsia="仿宋_GB2312"/>
          <w:sz w:val="36"/>
          <w:szCs w:val="36"/>
        </w:rPr>
      </w:pPr>
    </w:p>
    <w:p w14:paraId="66AA55BD">
      <w:pPr>
        <w:keepNext w:val="0"/>
        <w:keepLines w:val="0"/>
        <w:pageBreakBefore w:val="0"/>
        <w:widowControl w:val="0"/>
        <w:kinsoku/>
        <w:wordWrap/>
        <w:overflowPunct/>
        <w:topLinePunct w:val="0"/>
        <w:autoSpaceDE/>
        <w:autoSpaceDN/>
        <w:bidi w:val="0"/>
        <w:adjustRightInd/>
        <w:snapToGrid/>
        <w:spacing w:line="288" w:lineRule="auto"/>
        <w:ind w:firstLine="1040"/>
        <w:textAlignment w:val="auto"/>
        <w:rPr>
          <w:rFonts w:hint="eastAsia" w:ascii="仿宋_GB2312" w:hAnsi="Times New Roman" w:eastAsia="仿宋_GB2312" w:cs="Times New Roman"/>
          <w:sz w:val="36"/>
          <w:szCs w:val="36"/>
        </w:rPr>
      </w:pPr>
    </w:p>
    <w:p w14:paraId="2266119B">
      <w:pPr>
        <w:keepNext w:val="0"/>
        <w:keepLines w:val="0"/>
        <w:pageBreakBefore w:val="0"/>
        <w:widowControl w:val="0"/>
        <w:kinsoku/>
        <w:wordWrap/>
        <w:overflowPunct/>
        <w:topLinePunct w:val="0"/>
        <w:autoSpaceDE/>
        <w:autoSpaceDN/>
        <w:bidi w:val="0"/>
        <w:adjustRightInd/>
        <w:snapToGrid/>
        <w:spacing w:line="288" w:lineRule="auto"/>
        <w:ind w:firstLine="1040"/>
        <w:textAlignment w:val="auto"/>
        <w:rPr>
          <w:rFonts w:hint="eastAsia" w:ascii="仿宋_GB2312" w:eastAsia="仿宋_GB2312"/>
          <w:sz w:val="36"/>
          <w:szCs w:val="36"/>
        </w:rPr>
      </w:pPr>
    </w:p>
    <w:p w14:paraId="1B13648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b/>
          <w:sz w:val="36"/>
          <w:szCs w:val="36"/>
        </w:rPr>
      </w:pPr>
      <w:r>
        <w:rPr>
          <w:rFonts w:hint="eastAsia" w:ascii="楷体_GB2312" w:eastAsia="楷体_GB2312"/>
          <w:sz w:val="36"/>
          <w:szCs w:val="36"/>
        </w:rPr>
        <w:t>中华人民共和国生态环境部制</w:t>
      </w:r>
      <w:r>
        <w:rPr>
          <w:sz w:val="36"/>
        </w:rPr>
        <w:drawing>
          <wp:anchor distT="0" distB="0" distL="114300" distR="114300" simplePos="0" relativeHeight="251659264" behindDoc="0" locked="0" layoutInCell="1" allowOverlap="1">
            <wp:simplePos x="0" y="0"/>
            <wp:positionH relativeFrom="column">
              <wp:posOffset>-1065530</wp:posOffset>
            </wp:positionH>
            <wp:positionV relativeFrom="paragraph">
              <wp:posOffset>-174852965</wp:posOffset>
            </wp:positionV>
            <wp:extent cx="635" cy="0"/>
            <wp:effectExtent l="0" t="0" r="0" b="0"/>
            <wp:wrapNone/>
            <wp:docPr id="1"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3"/>
                    <pic:cNvPicPr>
                      <a:picLocks noChangeAspect="1"/>
                    </pic:cNvPicPr>
                  </pic:nvPicPr>
                  <pic:blipFill>
                    <a:blip r:embed="rId12"/>
                    <a:stretch>
                      <a:fillRect/>
                    </a:stretch>
                  </pic:blipFill>
                  <pic:spPr>
                    <a:xfrm>
                      <a:off x="0" y="0"/>
                      <a:ext cx="635" cy="0"/>
                    </a:xfrm>
                    <a:prstGeom prst="rect">
                      <a:avLst/>
                    </a:prstGeom>
                    <a:noFill/>
                    <a:ln>
                      <a:noFill/>
                    </a:ln>
                  </pic:spPr>
                </pic:pic>
              </a:graphicData>
            </a:graphic>
          </wp:anchor>
        </w:drawing>
      </w:r>
    </w:p>
    <w:p w14:paraId="3FBE4721">
      <w:pPr>
        <w:pageBreakBefore w:val="0"/>
        <w:kinsoku/>
        <w:wordWrap/>
        <w:topLinePunct w:val="0"/>
        <w:bidi w:val="0"/>
        <w:spacing w:line="360" w:lineRule="auto"/>
        <w:jc w:val="center"/>
        <w:outlineLvl w:val="0"/>
        <w:rPr>
          <w:rFonts w:eastAsia="黑体"/>
          <w:snapToGrid w:val="0"/>
          <w:sz w:val="30"/>
          <w:szCs w:val="30"/>
        </w:rPr>
        <w:sectPr>
          <w:headerReference r:id="rId3" w:type="default"/>
          <w:footerReference r:id="rId4" w:type="default"/>
          <w:pgSz w:w="11905" w:h="16838"/>
          <w:pgMar w:top="1701" w:right="1417" w:bottom="1701" w:left="1417" w:header="850" w:footer="964" w:gutter="0"/>
          <w:pgBorders>
            <w:top w:val="none" w:sz="0" w:space="0"/>
            <w:left w:val="none" w:sz="0" w:space="0"/>
            <w:bottom w:val="none" w:sz="0" w:space="0"/>
            <w:right w:val="none" w:sz="0" w:space="0"/>
          </w:pgBorders>
          <w:pgNumType w:fmt="numberInDash" w:start="1"/>
          <w:cols w:space="720" w:num="1"/>
          <w:docGrid w:type="lines" w:linePitch="312" w:charSpace="0"/>
        </w:sectPr>
      </w:pPr>
    </w:p>
    <w:p w14:paraId="012169C9">
      <w:pPr>
        <w:pageBreakBefore w:val="0"/>
        <w:kinsoku/>
        <w:wordWrap/>
        <w:topLinePunct w:val="0"/>
        <w:bidi w:val="0"/>
        <w:spacing w:line="360" w:lineRule="auto"/>
        <w:jc w:val="center"/>
        <w:outlineLvl w:val="0"/>
        <w:rPr>
          <w:rFonts w:eastAsia="黑体"/>
          <w:snapToGrid w:val="0"/>
          <w:sz w:val="30"/>
          <w:szCs w:val="30"/>
        </w:rPr>
      </w:pPr>
      <w:r>
        <w:rPr>
          <w:rFonts w:eastAsia="黑体"/>
          <w:snapToGrid w:val="0"/>
          <w:sz w:val="30"/>
          <w:szCs w:val="30"/>
        </w:rPr>
        <w:t>一、建设项目基本情况</w:t>
      </w:r>
      <w:bookmarkEnd w:id="0"/>
    </w:p>
    <w:tbl>
      <w:tblPr>
        <w:tblStyle w:val="13"/>
        <w:tblW w:w="94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2045"/>
        <w:gridCol w:w="2554"/>
        <w:gridCol w:w="1861"/>
        <w:gridCol w:w="2951"/>
      </w:tblGrid>
      <w:tr w14:paraId="5C78C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tcBorders>
              <w:top w:val="single" w:color="auto" w:sz="8" w:space="0"/>
            </w:tcBorders>
            <w:noWrap w:val="0"/>
            <w:tcMar>
              <w:top w:w="0" w:type="dxa"/>
              <w:left w:w="28" w:type="dxa"/>
              <w:bottom w:w="0" w:type="dxa"/>
              <w:right w:w="28" w:type="dxa"/>
            </w:tcMar>
            <w:vAlign w:val="center"/>
          </w:tcPr>
          <w:p w14:paraId="4747E58E">
            <w:pPr>
              <w:pageBreakBefore w:val="0"/>
              <w:kinsoku/>
              <w:wordWrap/>
              <w:topLinePunct w:val="0"/>
              <w:autoSpaceDE w:val="0"/>
              <w:autoSpaceDN w:val="0"/>
              <w:bidi w:val="0"/>
              <w:spacing w:line="280" w:lineRule="exact"/>
              <w:jc w:val="center"/>
              <w:rPr>
                <w:sz w:val="24"/>
              </w:rPr>
            </w:pPr>
            <w:r>
              <w:rPr>
                <w:sz w:val="24"/>
              </w:rPr>
              <w:t>建设项目名称</w:t>
            </w:r>
          </w:p>
        </w:tc>
        <w:tc>
          <w:tcPr>
            <w:tcW w:w="7366" w:type="dxa"/>
            <w:gridSpan w:val="3"/>
            <w:tcBorders>
              <w:top w:val="single" w:color="auto" w:sz="8" w:space="0"/>
            </w:tcBorders>
            <w:noWrap w:val="0"/>
            <w:tcMar>
              <w:top w:w="0" w:type="dxa"/>
              <w:left w:w="28" w:type="dxa"/>
              <w:bottom w:w="0" w:type="dxa"/>
              <w:right w:w="28" w:type="dxa"/>
            </w:tcMar>
            <w:vAlign w:val="center"/>
          </w:tcPr>
          <w:p w14:paraId="6EA80052">
            <w:pPr>
              <w:pageBreakBefore w:val="0"/>
              <w:kinsoku/>
              <w:wordWrap/>
              <w:topLinePunct w:val="0"/>
              <w:autoSpaceDE w:val="0"/>
              <w:autoSpaceDN w:val="0"/>
              <w:bidi w:val="0"/>
              <w:spacing w:line="280" w:lineRule="exact"/>
              <w:jc w:val="center"/>
              <w:rPr>
                <w:sz w:val="24"/>
              </w:rPr>
            </w:pPr>
            <w:r>
              <w:rPr>
                <w:rFonts w:hint="eastAsia"/>
                <w:sz w:val="24"/>
              </w:rPr>
              <w:t>新疆圣雄能源股份有限公司5000Nm³/h荒煤气绿色提氢综合利用项目</w:t>
            </w:r>
          </w:p>
        </w:tc>
      </w:tr>
      <w:tr w14:paraId="7FF8E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64775DBD">
            <w:pPr>
              <w:pageBreakBefore w:val="0"/>
              <w:kinsoku/>
              <w:wordWrap/>
              <w:topLinePunct w:val="0"/>
              <w:autoSpaceDE w:val="0"/>
              <w:autoSpaceDN w:val="0"/>
              <w:bidi w:val="0"/>
              <w:spacing w:line="280" w:lineRule="exact"/>
              <w:jc w:val="center"/>
              <w:rPr>
                <w:sz w:val="24"/>
              </w:rPr>
            </w:pPr>
            <w:r>
              <w:rPr>
                <w:sz w:val="24"/>
              </w:rPr>
              <w:t>项目代码</w:t>
            </w:r>
          </w:p>
        </w:tc>
        <w:tc>
          <w:tcPr>
            <w:tcW w:w="7366" w:type="dxa"/>
            <w:gridSpan w:val="3"/>
            <w:noWrap w:val="0"/>
            <w:tcMar>
              <w:top w:w="0" w:type="dxa"/>
              <w:left w:w="28" w:type="dxa"/>
              <w:bottom w:w="0" w:type="dxa"/>
              <w:right w:w="28" w:type="dxa"/>
            </w:tcMar>
            <w:vAlign w:val="center"/>
          </w:tcPr>
          <w:p w14:paraId="19DF6432">
            <w:pPr>
              <w:pageBreakBefore w:val="0"/>
              <w:kinsoku/>
              <w:wordWrap/>
              <w:topLinePunct w:val="0"/>
              <w:autoSpaceDE w:val="0"/>
              <w:autoSpaceDN w:val="0"/>
              <w:bidi w:val="0"/>
              <w:spacing w:line="280" w:lineRule="exact"/>
              <w:jc w:val="center"/>
              <w:rPr>
                <w:sz w:val="24"/>
              </w:rPr>
            </w:pPr>
          </w:p>
        </w:tc>
      </w:tr>
      <w:tr w14:paraId="17557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2506C287">
            <w:pPr>
              <w:pageBreakBefore w:val="0"/>
              <w:kinsoku/>
              <w:wordWrap/>
              <w:topLinePunct w:val="0"/>
              <w:autoSpaceDE w:val="0"/>
              <w:autoSpaceDN w:val="0"/>
              <w:bidi w:val="0"/>
              <w:spacing w:line="280" w:lineRule="exact"/>
              <w:jc w:val="center"/>
              <w:rPr>
                <w:sz w:val="24"/>
              </w:rPr>
            </w:pPr>
            <w:r>
              <w:rPr>
                <w:sz w:val="24"/>
              </w:rPr>
              <w:t>建设单位联系人</w:t>
            </w:r>
          </w:p>
        </w:tc>
        <w:tc>
          <w:tcPr>
            <w:tcW w:w="2554" w:type="dxa"/>
            <w:noWrap w:val="0"/>
            <w:tcMar>
              <w:top w:w="0" w:type="dxa"/>
              <w:left w:w="28" w:type="dxa"/>
              <w:bottom w:w="0" w:type="dxa"/>
              <w:right w:w="28" w:type="dxa"/>
            </w:tcMar>
            <w:vAlign w:val="center"/>
          </w:tcPr>
          <w:p w14:paraId="08063D6F">
            <w:pPr>
              <w:pageBreakBefore w:val="0"/>
              <w:kinsoku/>
              <w:wordWrap/>
              <w:topLinePunct w:val="0"/>
              <w:autoSpaceDE w:val="0"/>
              <w:autoSpaceDN w:val="0"/>
              <w:bidi w:val="0"/>
              <w:spacing w:line="280" w:lineRule="exact"/>
              <w:jc w:val="center"/>
              <w:rPr>
                <w:sz w:val="24"/>
              </w:rPr>
            </w:pPr>
          </w:p>
        </w:tc>
        <w:tc>
          <w:tcPr>
            <w:tcW w:w="1861" w:type="dxa"/>
            <w:noWrap w:val="0"/>
            <w:tcMar>
              <w:top w:w="0" w:type="dxa"/>
              <w:left w:w="28" w:type="dxa"/>
              <w:bottom w:w="0" w:type="dxa"/>
              <w:right w:w="28" w:type="dxa"/>
            </w:tcMar>
            <w:vAlign w:val="center"/>
          </w:tcPr>
          <w:p w14:paraId="2A740667">
            <w:pPr>
              <w:pageBreakBefore w:val="0"/>
              <w:kinsoku/>
              <w:wordWrap/>
              <w:topLinePunct w:val="0"/>
              <w:autoSpaceDE w:val="0"/>
              <w:autoSpaceDN w:val="0"/>
              <w:bidi w:val="0"/>
              <w:spacing w:line="280" w:lineRule="exact"/>
              <w:jc w:val="center"/>
              <w:rPr>
                <w:sz w:val="24"/>
              </w:rPr>
            </w:pPr>
            <w:r>
              <w:rPr>
                <w:sz w:val="24"/>
              </w:rPr>
              <w:t>联系方式</w:t>
            </w:r>
          </w:p>
        </w:tc>
        <w:tc>
          <w:tcPr>
            <w:tcW w:w="2951" w:type="dxa"/>
            <w:noWrap w:val="0"/>
            <w:tcMar>
              <w:top w:w="0" w:type="dxa"/>
              <w:left w:w="28" w:type="dxa"/>
              <w:bottom w:w="0" w:type="dxa"/>
              <w:right w:w="28" w:type="dxa"/>
            </w:tcMar>
            <w:vAlign w:val="center"/>
          </w:tcPr>
          <w:p w14:paraId="7D4F14B2">
            <w:pPr>
              <w:pageBreakBefore w:val="0"/>
              <w:kinsoku/>
              <w:wordWrap/>
              <w:topLinePunct w:val="0"/>
              <w:autoSpaceDE w:val="0"/>
              <w:autoSpaceDN w:val="0"/>
              <w:bidi w:val="0"/>
              <w:spacing w:line="280" w:lineRule="exact"/>
              <w:jc w:val="center"/>
              <w:rPr>
                <w:sz w:val="24"/>
              </w:rPr>
            </w:pPr>
          </w:p>
        </w:tc>
      </w:tr>
      <w:tr w14:paraId="2F963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330CF2A7">
            <w:pPr>
              <w:pageBreakBefore w:val="0"/>
              <w:kinsoku/>
              <w:wordWrap/>
              <w:topLinePunct w:val="0"/>
              <w:autoSpaceDE w:val="0"/>
              <w:autoSpaceDN w:val="0"/>
              <w:bidi w:val="0"/>
              <w:spacing w:line="280" w:lineRule="exact"/>
              <w:jc w:val="center"/>
              <w:rPr>
                <w:sz w:val="24"/>
              </w:rPr>
            </w:pPr>
            <w:r>
              <w:rPr>
                <w:sz w:val="24"/>
              </w:rPr>
              <w:t>建设地点</w:t>
            </w:r>
          </w:p>
        </w:tc>
        <w:tc>
          <w:tcPr>
            <w:tcW w:w="7366" w:type="dxa"/>
            <w:gridSpan w:val="3"/>
            <w:noWrap w:val="0"/>
            <w:tcMar>
              <w:top w:w="0" w:type="dxa"/>
              <w:left w:w="28" w:type="dxa"/>
              <w:bottom w:w="0" w:type="dxa"/>
              <w:right w:w="28" w:type="dxa"/>
            </w:tcMar>
            <w:vAlign w:val="center"/>
          </w:tcPr>
          <w:p w14:paraId="236D5E67">
            <w:pPr>
              <w:pageBreakBefore w:val="0"/>
              <w:kinsoku/>
              <w:wordWrap/>
              <w:topLinePunct w:val="0"/>
              <w:autoSpaceDE w:val="0"/>
              <w:autoSpaceDN w:val="0"/>
              <w:bidi w:val="0"/>
              <w:spacing w:line="280" w:lineRule="exact"/>
              <w:jc w:val="center"/>
              <w:rPr>
                <w:sz w:val="24"/>
              </w:rPr>
            </w:pPr>
          </w:p>
        </w:tc>
      </w:tr>
      <w:tr w14:paraId="5492F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67DE6DAF">
            <w:pPr>
              <w:pageBreakBefore w:val="0"/>
              <w:kinsoku/>
              <w:wordWrap/>
              <w:topLinePunct w:val="0"/>
              <w:autoSpaceDE w:val="0"/>
              <w:autoSpaceDN w:val="0"/>
              <w:bidi w:val="0"/>
              <w:spacing w:line="280" w:lineRule="exact"/>
              <w:jc w:val="center"/>
              <w:rPr>
                <w:sz w:val="24"/>
              </w:rPr>
            </w:pPr>
            <w:r>
              <w:rPr>
                <w:sz w:val="24"/>
              </w:rPr>
              <w:t>地理坐标</w:t>
            </w:r>
          </w:p>
        </w:tc>
        <w:tc>
          <w:tcPr>
            <w:tcW w:w="7366" w:type="dxa"/>
            <w:gridSpan w:val="3"/>
            <w:noWrap w:val="0"/>
            <w:tcMar>
              <w:top w:w="0" w:type="dxa"/>
              <w:left w:w="28" w:type="dxa"/>
              <w:bottom w:w="0" w:type="dxa"/>
              <w:right w:w="28" w:type="dxa"/>
            </w:tcMar>
            <w:vAlign w:val="center"/>
          </w:tcPr>
          <w:p w14:paraId="6AC9798B">
            <w:pPr>
              <w:pageBreakBefore w:val="0"/>
              <w:kinsoku/>
              <w:wordWrap/>
              <w:topLinePunct w:val="0"/>
              <w:autoSpaceDE w:val="0"/>
              <w:autoSpaceDN w:val="0"/>
              <w:bidi w:val="0"/>
              <w:spacing w:line="280" w:lineRule="exact"/>
              <w:jc w:val="center"/>
              <w:rPr>
                <w:sz w:val="24"/>
              </w:rPr>
            </w:pPr>
          </w:p>
        </w:tc>
      </w:tr>
      <w:tr w14:paraId="5E878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18019BF5">
            <w:pPr>
              <w:pageBreakBefore w:val="0"/>
              <w:kinsoku/>
              <w:wordWrap/>
              <w:topLinePunct w:val="0"/>
              <w:autoSpaceDE w:val="0"/>
              <w:autoSpaceDN w:val="0"/>
              <w:bidi w:val="0"/>
              <w:spacing w:line="280" w:lineRule="exact"/>
              <w:jc w:val="center"/>
              <w:rPr>
                <w:sz w:val="24"/>
              </w:rPr>
            </w:pPr>
            <w:r>
              <w:rPr>
                <w:sz w:val="24"/>
              </w:rPr>
              <w:t>国民经济</w:t>
            </w:r>
          </w:p>
          <w:p w14:paraId="5321319A">
            <w:pPr>
              <w:pageBreakBefore w:val="0"/>
              <w:kinsoku/>
              <w:wordWrap/>
              <w:topLinePunct w:val="0"/>
              <w:autoSpaceDE w:val="0"/>
              <w:autoSpaceDN w:val="0"/>
              <w:bidi w:val="0"/>
              <w:spacing w:line="280" w:lineRule="exact"/>
              <w:jc w:val="center"/>
              <w:rPr>
                <w:sz w:val="24"/>
              </w:rPr>
            </w:pPr>
            <w:r>
              <w:rPr>
                <w:sz w:val="24"/>
              </w:rPr>
              <w:t>行业类别</w:t>
            </w:r>
          </w:p>
        </w:tc>
        <w:tc>
          <w:tcPr>
            <w:tcW w:w="2554" w:type="dxa"/>
            <w:noWrap w:val="0"/>
            <w:tcMar>
              <w:top w:w="0" w:type="dxa"/>
              <w:left w:w="28" w:type="dxa"/>
              <w:bottom w:w="0" w:type="dxa"/>
              <w:right w:w="28" w:type="dxa"/>
            </w:tcMar>
            <w:vAlign w:val="center"/>
          </w:tcPr>
          <w:p w14:paraId="26288572">
            <w:pPr>
              <w:pageBreakBefore w:val="0"/>
              <w:kinsoku/>
              <w:wordWrap/>
              <w:topLinePunct w:val="0"/>
              <w:autoSpaceDE w:val="0"/>
              <w:autoSpaceDN w:val="0"/>
              <w:bidi w:val="0"/>
              <w:spacing w:line="280" w:lineRule="exact"/>
              <w:jc w:val="center"/>
              <w:rPr>
                <w:sz w:val="24"/>
              </w:rPr>
            </w:pPr>
            <w:r>
              <w:rPr>
                <w:sz w:val="24"/>
              </w:rPr>
              <w:t>C2619其他基础化学原料制造</w:t>
            </w:r>
          </w:p>
        </w:tc>
        <w:tc>
          <w:tcPr>
            <w:tcW w:w="1861" w:type="dxa"/>
            <w:noWrap w:val="0"/>
            <w:tcMar>
              <w:top w:w="0" w:type="dxa"/>
              <w:left w:w="28" w:type="dxa"/>
              <w:bottom w:w="0" w:type="dxa"/>
              <w:right w:w="28" w:type="dxa"/>
            </w:tcMar>
            <w:vAlign w:val="center"/>
          </w:tcPr>
          <w:p w14:paraId="41C1485B">
            <w:pPr>
              <w:pageBreakBefore w:val="0"/>
              <w:kinsoku/>
              <w:wordWrap/>
              <w:topLinePunct w:val="0"/>
              <w:autoSpaceDE w:val="0"/>
              <w:autoSpaceDN w:val="0"/>
              <w:bidi w:val="0"/>
              <w:spacing w:line="280" w:lineRule="exact"/>
              <w:jc w:val="center"/>
              <w:rPr>
                <w:sz w:val="24"/>
              </w:rPr>
            </w:pPr>
            <w:bookmarkStart w:id="2" w:name="_Hlk49843745"/>
            <w:r>
              <w:rPr>
                <w:sz w:val="24"/>
              </w:rPr>
              <w:t>建设项目</w:t>
            </w:r>
          </w:p>
          <w:p w14:paraId="7BCF616F">
            <w:pPr>
              <w:pageBreakBefore w:val="0"/>
              <w:kinsoku/>
              <w:wordWrap/>
              <w:topLinePunct w:val="0"/>
              <w:autoSpaceDE w:val="0"/>
              <w:autoSpaceDN w:val="0"/>
              <w:bidi w:val="0"/>
              <w:spacing w:line="280" w:lineRule="exact"/>
              <w:jc w:val="center"/>
              <w:rPr>
                <w:sz w:val="24"/>
              </w:rPr>
            </w:pPr>
            <w:r>
              <w:rPr>
                <w:sz w:val="24"/>
              </w:rPr>
              <w:t>行业类别</w:t>
            </w:r>
            <w:bookmarkEnd w:id="2"/>
          </w:p>
        </w:tc>
        <w:tc>
          <w:tcPr>
            <w:tcW w:w="2951" w:type="dxa"/>
            <w:noWrap w:val="0"/>
            <w:tcMar>
              <w:top w:w="0" w:type="dxa"/>
              <w:left w:w="28" w:type="dxa"/>
              <w:bottom w:w="0" w:type="dxa"/>
              <w:right w:w="28" w:type="dxa"/>
            </w:tcMar>
            <w:vAlign w:val="center"/>
          </w:tcPr>
          <w:p w14:paraId="75BDFE6A">
            <w:pPr>
              <w:pageBreakBefore w:val="0"/>
              <w:kinsoku/>
              <w:wordWrap/>
              <w:topLinePunct w:val="0"/>
              <w:autoSpaceDE w:val="0"/>
              <w:autoSpaceDN w:val="0"/>
              <w:bidi w:val="0"/>
              <w:spacing w:line="280" w:lineRule="exact"/>
              <w:jc w:val="center"/>
              <w:rPr>
                <w:sz w:val="24"/>
              </w:rPr>
            </w:pPr>
            <w:r>
              <w:rPr>
                <w:bCs/>
                <w:sz w:val="24"/>
              </w:rPr>
              <w:t>44.基础化学原料制造261</w:t>
            </w:r>
            <w:r>
              <w:rPr>
                <w:sz w:val="24"/>
              </w:rPr>
              <w:t>单纯物理分离、物理提纯、混合、分装的（不产生废水或挥发性有机物的除外）</w:t>
            </w:r>
          </w:p>
        </w:tc>
      </w:tr>
      <w:tr w14:paraId="26097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795F5291">
            <w:pPr>
              <w:pageBreakBefore w:val="0"/>
              <w:kinsoku/>
              <w:wordWrap/>
              <w:topLinePunct w:val="0"/>
              <w:autoSpaceDE w:val="0"/>
              <w:autoSpaceDN w:val="0"/>
              <w:bidi w:val="0"/>
              <w:spacing w:line="280" w:lineRule="exact"/>
              <w:jc w:val="center"/>
              <w:rPr>
                <w:sz w:val="24"/>
              </w:rPr>
            </w:pPr>
            <w:r>
              <w:rPr>
                <w:sz w:val="24"/>
              </w:rPr>
              <w:t>建设性质</w:t>
            </w:r>
          </w:p>
        </w:tc>
        <w:tc>
          <w:tcPr>
            <w:tcW w:w="2554" w:type="dxa"/>
            <w:noWrap w:val="0"/>
            <w:tcMar>
              <w:top w:w="0" w:type="dxa"/>
              <w:left w:w="28" w:type="dxa"/>
              <w:bottom w:w="0" w:type="dxa"/>
              <w:right w:w="28" w:type="dxa"/>
            </w:tcMar>
            <w:vAlign w:val="center"/>
          </w:tcPr>
          <w:p w14:paraId="2618E29C">
            <w:pPr>
              <w:pageBreakBefore w:val="0"/>
              <w:kinsoku/>
              <w:wordWrap/>
              <w:topLinePunct w:val="0"/>
              <w:autoSpaceDE w:val="0"/>
              <w:autoSpaceDN w:val="0"/>
              <w:bidi w:val="0"/>
              <w:spacing w:line="280" w:lineRule="exact"/>
              <w:jc w:val="left"/>
              <w:rPr>
                <w:sz w:val="24"/>
              </w:rPr>
            </w:pPr>
            <w:r>
              <w:rPr>
                <w:sz w:val="24"/>
              </w:rPr>
              <w:sym w:font="Wingdings 2" w:char="0052"/>
            </w:r>
            <w:r>
              <w:rPr>
                <w:sz w:val="24"/>
              </w:rPr>
              <w:t>新建（迁建）</w:t>
            </w:r>
          </w:p>
          <w:p w14:paraId="697E14CE">
            <w:pPr>
              <w:pageBreakBefore w:val="0"/>
              <w:kinsoku/>
              <w:wordWrap/>
              <w:topLinePunct w:val="0"/>
              <w:autoSpaceDE w:val="0"/>
              <w:autoSpaceDN w:val="0"/>
              <w:bidi w:val="0"/>
              <w:spacing w:line="280" w:lineRule="exact"/>
              <w:jc w:val="left"/>
              <w:rPr>
                <w:sz w:val="24"/>
              </w:rPr>
            </w:pPr>
            <w:r>
              <w:rPr>
                <w:sz w:val="24"/>
              </w:rPr>
              <w:sym w:font="Wingdings 2" w:char="00A3"/>
            </w:r>
            <w:r>
              <w:rPr>
                <w:sz w:val="24"/>
              </w:rPr>
              <w:t>改建</w:t>
            </w:r>
          </w:p>
          <w:p w14:paraId="3F388406">
            <w:pPr>
              <w:pageBreakBefore w:val="0"/>
              <w:kinsoku/>
              <w:wordWrap/>
              <w:topLinePunct w:val="0"/>
              <w:autoSpaceDE w:val="0"/>
              <w:autoSpaceDN w:val="0"/>
              <w:bidi w:val="0"/>
              <w:spacing w:line="280" w:lineRule="exact"/>
              <w:jc w:val="left"/>
              <w:rPr>
                <w:sz w:val="24"/>
              </w:rPr>
            </w:pPr>
            <w:r>
              <w:rPr>
                <w:sz w:val="24"/>
              </w:rPr>
              <w:sym w:font="Wingdings 2" w:char="00A3"/>
            </w:r>
            <w:r>
              <w:rPr>
                <w:sz w:val="24"/>
              </w:rPr>
              <w:t>扩建</w:t>
            </w:r>
          </w:p>
          <w:p w14:paraId="075665DF">
            <w:pPr>
              <w:pageBreakBefore w:val="0"/>
              <w:kinsoku/>
              <w:wordWrap/>
              <w:topLinePunct w:val="0"/>
              <w:autoSpaceDE w:val="0"/>
              <w:autoSpaceDN w:val="0"/>
              <w:bidi w:val="0"/>
              <w:spacing w:line="280" w:lineRule="exact"/>
              <w:jc w:val="left"/>
              <w:rPr>
                <w:sz w:val="24"/>
              </w:rPr>
            </w:pPr>
            <w:r>
              <w:rPr>
                <w:sz w:val="24"/>
              </w:rPr>
              <w:sym w:font="Wingdings 2" w:char="00A3"/>
            </w:r>
            <w:r>
              <w:rPr>
                <w:sz w:val="24"/>
              </w:rPr>
              <w:t>技术改造</w:t>
            </w:r>
          </w:p>
        </w:tc>
        <w:tc>
          <w:tcPr>
            <w:tcW w:w="1861" w:type="dxa"/>
            <w:noWrap w:val="0"/>
            <w:tcMar>
              <w:top w:w="0" w:type="dxa"/>
              <w:left w:w="28" w:type="dxa"/>
              <w:bottom w:w="0" w:type="dxa"/>
              <w:right w:w="28" w:type="dxa"/>
            </w:tcMar>
            <w:vAlign w:val="center"/>
          </w:tcPr>
          <w:p w14:paraId="47E63551">
            <w:pPr>
              <w:pageBreakBefore w:val="0"/>
              <w:kinsoku/>
              <w:wordWrap/>
              <w:topLinePunct w:val="0"/>
              <w:autoSpaceDE w:val="0"/>
              <w:autoSpaceDN w:val="0"/>
              <w:bidi w:val="0"/>
              <w:spacing w:line="280" w:lineRule="exact"/>
              <w:jc w:val="center"/>
              <w:rPr>
                <w:sz w:val="24"/>
              </w:rPr>
            </w:pPr>
            <w:r>
              <w:rPr>
                <w:sz w:val="24"/>
              </w:rPr>
              <w:t>建设项目</w:t>
            </w:r>
          </w:p>
          <w:p w14:paraId="089EC29A">
            <w:pPr>
              <w:pageBreakBefore w:val="0"/>
              <w:kinsoku/>
              <w:wordWrap/>
              <w:topLinePunct w:val="0"/>
              <w:autoSpaceDE w:val="0"/>
              <w:autoSpaceDN w:val="0"/>
              <w:bidi w:val="0"/>
              <w:spacing w:line="280" w:lineRule="exact"/>
              <w:jc w:val="center"/>
              <w:rPr>
                <w:sz w:val="24"/>
              </w:rPr>
            </w:pPr>
            <w:r>
              <w:rPr>
                <w:sz w:val="24"/>
              </w:rPr>
              <w:t>申报情形</w:t>
            </w:r>
          </w:p>
        </w:tc>
        <w:tc>
          <w:tcPr>
            <w:tcW w:w="2951" w:type="dxa"/>
            <w:noWrap w:val="0"/>
            <w:tcMar>
              <w:top w:w="0" w:type="dxa"/>
              <w:left w:w="28" w:type="dxa"/>
              <w:bottom w:w="0" w:type="dxa"/>
              <w:right w:w="28" w:type="dxa"/>
            </w:tcMar>
            <w:vAlign w:val="center"/>
          </w:tcPr>
          <w:p w14:paraId="74883C31">
            <w:pPr>
              <w:pageBreakBefore w:val="0"/>
              <w:kinsoku/>
              <w:wordWrap/>
              <w:topLinePunct w:val="0"/>
              <w:autoSpaceDE w:val="0"/>
              <w:autoSpaceDN w:val="0"/>
              <w:bidi w:val="0"/>
              <w:spacing w:line="280" w:lineRule="exact"/>
              <w:jc w:val="left"/>
              <w:rPr>
                <w:sz w:val="24"/>
              </w:rPr>
            </w:pPr>
            <w:r>
              <w:rPr>
                <w:sz w:val="24"/>
              </w:rPr>
              <w:sym w:font="Wingdings 2" w:char="0052"/>
            </w:r>
            <w:r>
              <w:rPr>
                <w:sz w:val="24"/>
              </w:rPr>
              <w:t>首次申报项目</w:t>
            </w:r>
          </w:p>
          <w:p w14:paraId="378F29D2">
            <w:pPr>
              <w:pageBreakBefore w:val="0"/>
              <w:kinsoku/>
              <w:wordWrap/>
              <w:topLinePunct w:val="0"/>
              <w:autoSpaceDE w:val="0"/>
              <w:autoSpaceDN w:val="0"/>
              <w:bidi w:val="0"/>
              <w:spacing w:line="280" w:lineRule="exact"/>
              <w:jc w:val="left"/>
              <w:rPr>
                <w:sz w:val="24"/>
              </w:rPr>
            </w:pPr>
            <w:r>
              <w:rPr>
                <w:sz w:val="24"/>
              </w:rPr>
              <w:sym w:font="Wingdings 2" w:char="00A3"/>
            </w:r>
            <w:r>
              <w:rPr>
                <w:sz w:val="24"/>
              </w:rPr>
              <w:t>不予批准后再次申报项目</w:t>
            </w:r>
          </w:p>
          <w:p w14:paraId="15C0620A">
            <w:pPr>
              <w:pageBreakBefore w:val="0"/>
              <w:kinsoku/>
              <w:wordWrap/>
              <w:topLinePunct w:val="0"/>
              <w:autoSpaceDE w:val="0"/>
              <w:autoSpaceDN w:val="0"/>
              <w:bidi w:val="0"/>
              <w:spacing w:line="280" w:lineRule="exact"/>
              <w:jc w:val="left"/>
              <w:rPr>
                <w:sz w:val="24"/>
              </w:rPr>
            </w:pPr>
            <w:r>
              <w:rPr>
                <w:sz w:val="24"/>
              </w:rPr>
              <w:sym w:font="Wingdings 2" w:char="00A3"/>
            </w:r>
            <w:r>
              <w:rPr>
                <w:sz w:val="24"/>
              </w:rPr>
              <w:t>超五年重新审核项目</w:t>
            </w:r>
          </w:p>
          <w:p w14:paraId="73DDB8D7">
            <w:pPr>
              <w:pageBreakBefore w:val="0"/>
              <w:kinsoku/>
              <w:wordWrap/>
              <w:topLinePunct w:val="0"/>
              <w:autoSpaceDE w:val="0"/>
              <w:autoSpaceDN w:val="0"/>
              <w:bidi w:val="0"/>
              <w:spacing w:line="280" w:lineRule="exact"/>
              <w:jc w:val="left"/>
              <w:rPr>
                <w:sz w:val="24"/>
              </w:rPr>
            </w:pPr>
            <w:r>
              <w:rPr>
                <w:sz w:val="24"/>
              </w:rPr>
              <w:sym w:font="Wingdings 2" w:char="00A3"/>
            </w:r>
            <w:r>
              <w:rPr>
                <w:sz w:val="24"/>
              </w:rPr>
              <w:t>重大变动重新报批项目</w:t>
            </w:r>
          </w:p>
        </w:tc>
      </w:tr>
      <w:tr w14:paraId="1CB8F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0FBD4CAA">
            <w:pPr>
              <w:pageBreakBefore w:val="0"/>
              <w:kinsoku/>
              <w:wordWrap/>
              <w:topLinePunct w:val="0"/>
              <w:autoSpaceDE w:val="0"/>
              <w:autoSpaceDN w:val="0"/>
              <w:bidi w:val="0"/>
              <w:spacing w:line="280" w:lineRule="exact"/>
              <w:jc w:val="center"/>
              <w:rPr>
                <w:sz w:val="24"/>
              </w:rPr>
            </w:pPr>
            <w:r>
              <w:rPr>
                <w:sz w:val="24"/>
              </w:rPr>
              <w:t>项目审批（核准/</w:t>
            </w:r>
          </w:p>
          <w:p w14:paraId="6F0AC960">
            <w:pPr>
              <w:pageBreakBefore w:val="0"/>
              <w:kinsoku/>
              <w:wordWrap/>
              <w:topLinePunct w:val="0"/>
              <w:autoSpaceDE w:val="0"/>
              <w:autoSpaceDN w:val="0"/>
              <w:bidi w:val="0"/>
              <w:spacing w:line="280" w:lineRule="exact"/>
              <w:jc w:val="center"/>
              <w:rPr>
                <w:sz w:val="24"/>
              </w:rPr>
            </w:pPr>
            <w:r>
              <w:rPr>
                <w:sz w:val="24"/>
              </w:rPr>
              <w:t>备案）部门（选填）</w:t>
            </w:r>
          </w:p>
        </w:tc>
        <w:tc>
          <w:tcPr>
            <w:tcW w:w="2554" w:type="dxa"/>
            <w:noWrap w:val="0"/>
            <w:tcMar>
              <w:top w:w="0" w:type="dxa"/>
              <w:left w:w="28" w:type="dxa"/>
              <w:bottom w:w="0" w:type="dxa"/>
              <w:right w:w="28" w:type="dxa"/>
            </w:tcMar>
            <w:vAlign w:val="center"/>
          </w:tcPr>
          <w:p w14:paraId="2CA575AD">
            <w:pPr>
              <w:pageBreakBefore w:val="0"/>
              <w:kinsoku/>
              <w:wordWrap/>
              <w:topLinePunct w:val="0"/>
              <w:autoSpaceDE w:val="0"/>
              <w:autoSpaceDN w:val="0"/>
              <w:bidi w:val="0"/>
              <w:spacing w:line="280" w:lineRule="exact"/>
              <w:jc w:val="center"/>
              <w:rPr>
                <w:sz w:val="24"/>
              </w:rPr>
            </w:pPr>
            <w:r>
              <w:rPr>
                <w:sz w:val="24"/>
              </w:rPr>
              <w:t>托克逊县发展和改革委员会（托克逊县粮食和物资储备局）</w:t>
            </w:r>
          </w:p>
        </w:tc>
        <w:tc>
          <w:tcPr>
            <w:tcW w:w="1861" w:type="dxa"/>
            <w:noWrap w:val="0"/>
            <w:tcMar>
              <w:top w:w="0" w:type="dxa"/>
              <w:left w:w="28" w:type="dxa"/>
              <w:bottom w:w="0" w:type="dxa"/>
              <w:right w:w="28" w:type="dxa"/>
            </w:tcMar>
            <w:vAlign w:val="center"/>
          </w:tcPr>
          <w:p w14:paraId="14882E20">
            <w:pPr>
              <w:pageBreakBefore w:val="0"/>
              <w:kinsoku/>
              <w:wordWrap/>
              <w:topLinePunct w:val="0"/>
              <w:autoSpaceDE w:val="0"/>
              <w:autoSpaceDN w:val="0"/>
              <w:bidi w:val="0"/>
              <w:spacing w:line="280" w:lineRule="exact"/>
              <w:jc w:val="center"/>
              <w:rPr>
                <w:sz w:val="24"/>
              </w:rPr>
            </w:pPr>
            <w:r>
              <w:rPr>
                <w:sz w:val="24"/>
              </w:rPr>
              <w:t>项目审批（核准/备案）文号（选填）</w:t>
            </w:r>
          </w:p>
        </w:tc>
        <w:tc>
          <w:tcPr>
            <w:tcW w:w="2951" w:type="dxa"/>
            <w:noWrap w:val="0"/>
            <w:tcMar>
              <w:top w:w="0" w:type="dxa"/>
              <w:left w:w="28" w:type="dxa"/>
              <w:bottom w:w="0" w:type="dxa"/>
              <w:right w:w="28" w:type="dxa"/>
            </w:tcMar>
            <w:vAlign w:val="center"/>
          </w:tcPr>
          <w:p w14:paraId="1BAE0436">
            <w:pPr>
              <w:pageBreakBefore w:val="0"/>
              <w:kinsoku/>
              <w:wordWrap/>
              <w:topLinePunct w:val="0"/>
              <w:autoSpaceDE w:val="0"/>
              <w:autoSpaceDN w:val="0"/>
              <w:bidi w:val="0"/>
              <w:spacing w:line="280" w:lineRule="exact"/>
              <w:jc w:val="center"/>
              <w:rPr>
                <w:sz w:val="24"/>
              </w:rPr>
            </w:pPr>
            <w:r>
              <w:rPr>
                <w:sz w:val="24"/>
              </w:rPr>
              <w:t>2406041124650400000070</w:t>
            </w:r>
          </w:p>
        </w:tc>
      </w:tr>
      <w:tr w14:paraId="7D548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25E582EE">
            <w:pPr>
              <w:pageBreakBefore w:val="0"/>
              <w:kinsoku/>
              <w:wordWrap/>
              <w:topLinePunct w:val="0"/>
              <w:autoSpaceDE w:val="0"/>
              <w:autoSpaceDN w:val="0"/>
              <w:bidi w:val="0"/>
              <w:spacing w:line="280" w:lineRule="exact"/>
              <w:jc w:val="center"/>
              <w:rPr>
                <w:sz w:val="24"/>
              </w:rPr>
            </w:pPr>
            <w:r>
              <w:rPr>
                <w:sz w:val="24"/>
              </w:rPr>
              <w:t>总投资（万元）</w:t>
            </w:r>
          </w:p>
        </w:tc>
        <w:tc>
          <w:tcPr>
            <w:tcW w:w="2554" w:type="dxa"/>
            <w:noWrap w:val="0"/>
            <w:tcMar>
              <w:top w:w="0" w:type="dxa"/>
              <w:left w:w="28" w:type="dxa"/>
              <w:bottom w:w="0" w:type="dxa"/>
              <w:right w:w="28" w:type="dxa"/>
            </w:tcMar>
            <w:vAlign w:val="center"/>
          </w:tcPr>
          <w:p w14:paraId="2BE4AA36">
            <w:pPr>
              <w:pageBreakBefore w:val="0"/>
              <w:kinsoku/>
              <w:wordWrap/>
              <w:topLinePunct w:val="0"/>
              <w:autoSpaceDE w:val="0"/>
              <w:autoSpaceDN w:val="0"/>
              <w:bidi w:val="0"/>
              <w:spacing w:line="280" w:lineRule="exact"/>
              <w:jc w:val="center"/>
              <w:rPr>
                <w:sz w:val="24"/>
              </w:rPr>
            </w:pPr>
            <w:r>
              <w:rPr>
                <w:rFonts w:hint="eastAsia"/>
                <w:sz w:val="24"/>
              </w:rPr>
              <w:t>12000</w:t>
            </w:r>
          </w:p>
        </w:tc>
        <w:tc>
          <w:tcPr>
            <w:tcW w:w="1861" w:type="dxa"/>
            <w:noWrap w:val="0"/>
            <w:tcMar>
              <w:top w:w="0" w:type="dxa"/>
              <w:left w:w="28" w:type="dxa"/>
              <w:bottom w:w="0" w:type="dxa"/>
              <w:right w:w="28" w:type="dxa"/>
            </w:tcMar>
            <w:vAlign w:val="center"/>
          </w:tcPr>
          <w:p w14:paraId="769F6674">
            <w:pPr>
              <w:pageBreakBefore w:val="0"/>
              <w:kinsoku/>
              <w:wordWrap/>
              <w:topLinePunct w:val="0"/>
              <w:autoSpaceDE w:val="0"/>
              <w:autoSpaceDN w:val="0"/>
              <w:bidi w:val="0"/>
              <w:spacing w:line="280" w:lineRule="exact"/>
              <w:jc w:val="center"/>
              <w:rPr>
                <w:sz w:val="24"/>
              </w:rPr>
            </w:pPr>
            <w:r>
              <w:rPr>
                <w:sz w:val="24"/>
              </w:rPr>
              <w:t>环保投资（万元）</w:t>
            </w:r>
          </w:p>
        </w:tc>
        <w:tc>
          <w:tcPr>
            <w:tcW w:w="2951" w:type="dxa"/>
            <w:noWrap w:val="0"/>
            <w:tcMar>
              <w:top w:w="0" w:type="dxa"/>
              <w:left w:w="28" w:type="dxa"/>
              <w:bottom w:w="0" w:type="dxa"/>
              <w:right w:w="28" w:type="dxa"/>
            </w:tcMar>
            <w:vAlign w:val="center"/>
          </w:tcPr>
          <w:p w14:paraId="0398B096">
            <w:pPr>
              <w:pageBreakBefore w:val="0"/>
              <w:kinsoku/>
              <w:wordWrap/>
              <w:topLinePunct w:val="0"/>
              <w:autoSpaceDE w:val="0"/>
              <w:autoSpaceDN w:val="0"/>
              <w:bidi w:val="0"/>
              <w:spacing w:line="280" w:lineRule="exact"/>
              <w:jc w:val="center"/>
              <w:rPr>
                <w:rFonts w:hint="default" w:eastAsia="宋体"/>
                <w:sz w:val="24"/>
                <w:lang w:val="en-US" w:eastAsia="zh-CN"/>
              </w:rPr>
            </w:pPr>
            <w:r>
              <w:rPr>
                <w:rFonts w:hint="eastAsia"/>
                <w:sz w:val="24"/>
              </w:rPr>
              <w:t>16</w:t>
            </w:r>
            <w:r>
              <w:rPr>
                <w:rFonts w:hint="eastAsia"/>
                <w:sz w:val="24"/>
                <w:lang w:val="en-US" w:eastAsia="zh-CN"/>
              </w:rPr>
              <w:t>8.5</w:t>
            </w:r>
          </w:p>
        </w:tc>
      </w:tr>
      <w:tr w14:paraId="258F7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24A4B57A">
            <w:pPr>
              <w:pageBreakBefore w:val="0"/>
              <w:kinsoku/>
              <w:wordWrap/>
              <w:topLinePunct w:val="0"/>
              <w:autoSpaceDE w:val="0"/>
              <w:autoSpaceDN w:val="0"/>
              <w:bidi w:val="0"/>
              <w:spacing w:line="280" w:lineRule="exact"/>
              <w:jc w:val="center"/>
              <w:rPr>
                <w:sz w:val="24"/>
              </w:rPr>
            </w:pPr>
            <w:r>
              <w:rPr>
                <w:sz w:val="24"/>
              </w:rPr>
              <w:t>环保投资占比（%）</w:t>
            </w:r>
          </w:p>
        </w:tc>
        <w:tc>
          <w:tcPr>
            <w:tcW w:w="2554" w:type="dxa"/>
            <w:noWrap w:val="0"/>
            <w:tcMar>
              <w:top w:w="0" w:type="dxa"/>
              <w:left w:w="28" w:type="dxa"/>
              <w:bottom w:w="0" w:type="dxa"/>
              <w:right w:w="28" w:type="dxa"/>
            </w:tcMar>
            <w:vAlign w:val="center"/>
          </w:tcPr>
          <w:p w14:paraId="5EAB0AF6">
            <w:pPr>
              <w:pageBreakBefore w:val="0"/>
              <w:kinsoku/>
              <w:wordWrap/>
              <w:topLinePunct w:val="0"/>
              <w:autoSpaceDE w:val="0"/>
              <w:autoSpaceDN w:val="0"/>
              <w:bidi w:val="0"/>
              <w:spacing w:line="280" w:lineRule="exact"/>
              <w:jc w:val="center"/>
              <w:rPr>
                <w:rFonts w:hint="eastAsia" w:eastAsia="宋体"/>
                <w:sz w:val="24"/>
                <w:lang w:eastAsia="zh-CN"/>
              </w:rPr>
            </w:pPr>
            <w:r>
              <w:rPr>
                <w:rFonts w:hint="eastAsia"/>
                <w:sz w:val="24"/>
              </w:rPr>
              <w:t>1.</w:t>
            </w:r>
            <w:r>
              <w:rPr>
                <w:rFonts w:hint="eastAsia"/>
                <w:sz w:val="24"/>
                <w:lang w:val="en-US" w:eastAsia="zh-CN"/>
              </w:rPr>
              <w:t>4</w:t>
            </w:r>
          </w:p>
        </w:tc>
        <w:tc>
          <w:tcPr>
            <w:tcW w:w="1861" w:type="dxa"/>
            <w:noWrap w:val="0"/>
            <w:tcMar>
              <w:top w:w="0" w:type="dxa"/>
              <w:left w:w="28" w:type="dxa"/>
              <w:bottom w:w="0" w:type="dxa"/>
              <w:right w:w="28" w:type="dxa"/>
            </w:tcMar>
            <w:vAlign w:val="center"/>
          </w:tcPr>
          <w:p w14:paraId="737B1ED4">
            <w:pPr>
              <w:pageBreakBefore w:val="0"/>
              <w:kinsoku/>
              <w:wordWrap/>
              <w:topLinePunct w:val="0"/>
              <w:autoSpaceDE w:val="0"/>
              <w:autoSpaceDN w:val="0"/>
              <w:bidi w:val="0"/>
              <w:spacing w:line="280" w:lineRule="exact"/>
              <w:jc w:val="center"/>
              <w:rPr>
                <w:sz w:val="24"/>
              </w:rPr>
            </w:pPr>
            <w:r>
              <w:rPr>
                <w:sz w:val="24"/>
              </w:rPr>
              <w:t>施工工期</w:t>
            </w:r>
          </w:p>
        </w:tc>
        <w:tc>
          <w:tcPr>
            <w:tcW w:w="2951" w:type="dxa"/>
            <w:noWrap w:val="0"/>
            <w:tcMar>
              <w:top w:w="0" w:type="dxa"/>
              <w:left w:w="28" w:type="dxa"/>
              <w:bottom w:w="0" w:type="dxa"/>
              <w:right w:w="28" w:type="dxa"/>
            </w:tcMar>
            <w:vAlign w:val="center"/>
          </w:tcPr>
          <w:p w14:paraId="3A5B3B99">
            <w:pPr>
              <w:pageBreakBefore w:val="0"/>
              <w:kinsoku/>
              <w:wordWrap/>
              <w:topLinePunct w:val="0"/>
              <w:autoSpaceDE w:val="0"/>
              <w:autoSpaceDN w:val="0"/>
              <w:bidi w:val="0"/>
              <w:spacing w:line="280" w:lineRule="exact"/>
              <w:jc w:val="center"/>
              <w:rPr>
                <w:sz w:val="24"/>
              </w:rPr>
            </w:pPr>
            <w:r>
              <w:rPr>
                <w:sz w:val="24"/>
              </w:rPr>
              <w:t>12个月</w:t>
            </w:r>
          </w:p>
        </w:tc>
      </w:tr>
      <w:tr w14:paraId="287A1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6F066C57">
            <w:pPr>
              <w:pageBreakBefore w:val="0"/>
              <w:kinsoku/>
              <w:wordWrap/>
              <w:topLinePunct w:val="0"/>
              <w:autoSpaceDE w:val="0"/>
              <w:autoSpaceDN w:val="0"/>
              <w:bidi w:val="0"/>
              <w:spacing w:line="280" w:lineRule="exact"/>
              <w:jc w:val="center"/>
              <w:rPr>
                <w:sz w:val="24"/>
              </w:rPr>
            </w:pPr>
            <w:r>
              <w:rPr>
                <w:sz w:val="24"/>
              </w:rPr>
              <w:t>是否开工建设</w:t>
            </w:r>
          </w:p>
        </w:tc>
        <w:tc>
          <w:tcPr>
            <w:tcW w:w="2554" w:type="dxa"/>
            <w:noWrap w:val="0"/>
            <w:tcMar>
              <w:top w:w="0" w:type="dxa"/>
              <w:left w:w="28" w:type="dxa"/>
              <w:bottom w:w="0" w:type="dxa"/>
              <w:right w:w="28" w:type="dxa"/>
            </w:tcMar>
            <w:vAlign w:val="center"/>
          </w:tcPr>
          <w:p w14:paraId="3A79AE9D">
            <w:pPr>
              <w:pageBreakBefore w:val="0"/>
              <w:kinsoku/>
              <w:wordWrap/>
              <w:topLinePunct w:val="0"/>
              <w:autoSpaceDE w:val="0"/>
              <w:autoSpaceDN w:val="0"/>
              <w:bidi w:val="0"/>
              <w:spacing w:line="280" w:lineRule="exact"/>
              <w:rPr>
                <w:sz w:val="24"/>
              </w:rPr>
            </w:pPr>
            <w:r>
              <w:rPr>
                <w:sz w:val="24"/>
              </w:rPr>
              <w:sym w:font="Wingdings 2" w:char="F052"/>
            </w:r>
            <w:r>
              <w:rPr>
                <w:sz w:val="24"/>
              </w:rPr>
              <w:t>否</w:t>
            </w:r>
          </w:p>
          <w:p w14:paraId="4D4CC156">
            <w:pPr>
              <w:pageBreakBefore w:val="0"/>
              <w:kinsoku/>
              <w:wordWrap/>
              <w:topLinePunct w:val="0"/>
              <w:autoSpaceDE w:val="0"/>
              <w:autoSpaceDN w:val="0"/>
              <w:bidi w:val="0"/>
              <w:spacing w:line="280" w:lineRule="exact"/>
              <w:rPr>
                <w:sz w:val="24"/>
              </w:rPr>
            </w:pPr>
            <w:r>
              <w:rPr>
                <w:sz w:val="24"/>
              </w:rPr>
              <w:sym w:font="Wingdings 2" w:char="F0A3"/>
            </w:r>
            <w:r>
              <w:rPr>
                <w:sz w:val="24"/>
              </w:rPr>
              <w:t>是：</w:t>
            </w:r>
            <w:r>
              <w:rPr>
                <w:sz w:val="24"/>
                <w:u w:val="single"/>
              </w:rPr>
              <w:t xml:space="preserve">             </w:t>
            </w:r>
          </w:p>
        </w:tc>
        <w:tc>
          <w:tcPr>
            <w:tcW w:w="1861" w:type="dxa"/>
            <w:noWrap w:val="0"/>
            <w:tcMar>
              <w:top w:w="0" w:type="dxa"/>
              <w:left w:w="28" w:type="dxa"/>
              <w:bottom w:w="0" w:type="dxa"/>
              <w:right w:w="28" w:type="dxa"/>
            </w:tcMar>
            <w:vAlign w:val="center"/>
          </w:tcPr>
          <w:p w14:paraId="06496D52">
            <w:pPr>
              <w:pageBreakBefore w:val="0"/>
              <w:kinsoku/>
              <w:wordWrap/>
              <w:topLinePunct w:val="0"/>
              <w:autoSpaceDE w:val="0"/>
              <w:autoSpaceDN w:val="0"/>
              <w:bidi w:val="0"/>
              <w:spacing w:line="280" w:lineRule="exact"/>
              <w:jc w:val="center"/>
              <w:rPr>
                <w:sz w:val="24"/>
              </w:rPr>
            </w:pPr>
            <w:r>
              <w:rPr>
                <w:sz w:val="24"/>
              </w:rPr>
              <w:t>用地（用海）</w:t>
            </w:r>
          </w:p>
          <w:p w14:paraId="2A2CCD8A">
            <w:pPr>
              <w:pageBreakBefore w:val="0"/>
              <w:kinsoku/>
              <w:wordWrap/>
              <w:topLinePunct w:val="0"/>
              <w:autoSpaceDE w:val="0"/>
              <w:autoSpaceDN w:val="0"/>
              <w:bidi w:val="0"/>
              <w:spacing w:line="280" w:lineRule="exact"/>
              <w:jc w:val="center"/>
              <w:rPr>
                <w:sz w:val="24"/>
              </w:rPr>
            </w:pPr>
            <w:r>
              <w:rPr>
                <w:sz w:val="24"/>
              </w:rPr>
              <w:t>面积（m</w:t>
            </w:r>
            <w:r>
              <w:rPr>
                <w:sz w:val="24"/>
                <w:vertAlign w:val="superscript"/>
              </w:rPr>
              <w:t>2</w:t>
            </w:r>
            <w:r>
              <w:rPr>
                <w:sz w:val="24"/>
              </w:rPr>
              <w:t>）</w:t>
            </w:r>
          </w:p>
        </w:tc>
        <w:tc>
          <w:tcPr>
            <w:tcW w:w="2951" w:type="dxa"/>
            <w:noWrap w:val="0"/>
            <w:tcMar>
              <w:top w:w="0" w:type="dxa"/>
              <w:left w:w="28" w:type="dxa"/>
              <w:bottom w:w="0" w:type="dxa"/>
              <w:right w:w="28" w:type="dxa"/>
            </w:tcMar>
            <w:vAlign w:val="center"/>
          </w:tcPr>
          <w:p w14:paraId="657C834F">
            <w:pPr>
              <w:pageBreakBefore w:val="0"/>
              <w:kinsoku/>
              <w:wordWrap/>
              <w:topLinePunct w:val="0"/>
              <w:autoSpaceDE w:val="0"/>
              <w:autoSpaceDN w:val="0"/>
              <w:bidi w:val="0"/>
              <w:spacing w:line="280" w:lineRule="exact"/>
              <w:jc w:val="center"/>
              <w:rPr>
                <w:sz w:val="24"/>
              </w:rPr>
            </w:pPr>
            <w:r>
              <w:rPr>
                <w:rFonts w:hint="eastAsia"/>
                <w:kern w:val="0"/>
                <w:sz w:val="24"/>
                <w:lang w:val="en-US" w:eastAsia="zh-CN"/>
              </w:rPr>
              <w:t>17415.94</w:t>
            </w:r>
          </w:p>
        </w:tc>
      </w:tr>
      <w:tr w14:paraId="7EB97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225580B7">
            <w:pPr>
              <w:pageBreakBefore w:val="0"/>
              <w:kinsoku/>
              <w:wordWrap/>
              <w:topLinePunct w:val="0"/>
              <w:autoSpaceDE w:val="0"/>
              <w:autoSpaceDN w:val="0"/>
              <w:bidi w:val="0"/>
              <w:spacing w:line="280" w:lineRule="exact"/>
              <w:jc w:val="center"/>
              <w:rPr>
                <w:kern w:val="0"/>
                <w:sz w:val="24"/>
              </w:rPr>
            </w:pPr>
            <w:r>
              <w:rPr>
                <w:kern w:val="0"/>
                <w:sz w:val="24"/>
              </w:rPr>
              <w:t>专项评价设置情况</w:t>
            </w:r>
          </w:p>
        </w:tc>
        <w:tc>
          <w:tcPr>
            <w:tcW w:w="7366" w:type="dxa"/>
            <w:gridSpan w:val="3"/>
            <w:noWrap w:val="0"/>
            <w:tcMar>
              <w:top w:w="0" w:type="dxa"/>
              <w:left w:w="28" w:type="dxa"/>
              <w:bottom w:w="0" w:type="dxa"/>
              <w:right w:w="28" w:type="dxa"/>
            </w:tcMar>
            <w:vAlign w:val="center"/>
          </w:tcPr>
          <w:p w14:paraId="58D0CB24">
            <w:pPr>
              <w:pageBreakBefore w:val="0"/>
              <w:kinsoku/>
              <w:wordWrap/>
              <w:topLinePunct w:val="0"/>
              <w:autoSpaceDE w:val="0"/>
              <w:autoSpaceDN w:val="0"/>
              <w:bidi w:val="0"/>
              <w:spacing w:line="280" w:lineRule="exact"/>
              <w:jc w:val="center"/>
              <w:rPr>
                <w:kern w:val="0"/>
                <w:sz w:val="24"/>
              </w:rPr>
            </w:pPr>
            <w:r>
              <w:rPr>
                <w:rFonts w:hint="eastAsia"/>
                <w:kern w:val="0"/>
                <w:sz w:val="24"/>
              </w:rPr>
              <w:t>无</w:t>
            </w:r>
          </w:p>
        </w:tc>
      </w:tr>
      <w:tr w14:paraId="09195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422DC7E6">
            <w:pPr>
              <w:pageBreakBefore w:val="0"/>
              <w:kinsoku/>
              <w:wordWrap/>
              <w:topLinePunct w:val="0"/>
              <w:autoSpaceDE w:val="0"/>
              <w:autoSpaceDN w:val="0"/>
              <w:bidi w:val="0"/>
              <w:spacing w:line="280" w:lineRule="exact"/>
              <w:jc w:val="center"/>
              <w:rPr>
                <w:kern w:val="0"/>
                <w:sz w:val="24"/>
              </w:rPr>
            </w:pPr>
            <w:r>
              <w:rPr>
                <w:sz w:val="24"/>
              </w:rPr>
              <w:t>规划情况</w:t>
            </w:r>
          </w:p>
        </w:tc>
        <w:tc>
          <w:tcPr>
            <w:tcW w:w="7366" w:type="dxa"/>
            <w:gridSpan w:val="3"/>
            <w:noWrap w:val="0"/>
            <w:tcMar>
              <w:top w:w="0" w:type="dxa"/>
              <w:left w:w="28" w:type="dxa"/>
              <w:bottom w:w="0" w:type="dxa"/>
              <w:right w:w="28" w:type="dxa"/>
            </w:tcMar>
            <w:vAlign w:val="center"/>
          </w:tcPr>
          <w:p w14:paraId="643001DF">
            <w:pPr>
              <w:pStyle w:val="18"/>
              <w:pageBreakBefore w:val="0"/>
              <w:kinsoku/>
              <w:wordWrap/>
              <w:topLinePunct w:val="0"/>
              <w:bidi w:val="0"/>
            </w:pPr>
            <w:r>
              <w:t>规划名称：《</w:t>
            </w:r>
            <w:r>
              <w:rPr>
                <w:rFonts w:hint="eastAsia"/>
              </w:rPr>
              <w:t>新疆圣雄能源开发有限公司同心工业园规划</w:t>
            </w:r>
            <w:r>
              <w:t>》</w:t>
            </w:r>
          </w:p>
          <w:p w14:paraId="4B9DF80E">
            <w:pPr>
              <w:pStyle w:val="18"/>
              <w:pageBreakBefore w:val="0"/>
              <w:kinsoku/>
              <w:wordWrap/>
              <w:topLinePunct w:val="0"/>
              <w:bidi w:val="0"/>
              <w:rPr>
                <w:rFonts w:hint="default"/>
                <w:lang w:val="en-US" w:eastAsia="zh-CN"/>
              </w:rPr>
            </w:pPr>
            <w:r>
              <w:t>审批机关：</w:t>
            </w:r>
            <w:r>
              <w:rPr>
                <w:rFonts w:hint="eastAsia"/>
                <w:lang w:val="en-US" w:eastAsia="zh-CN"/>
              </w:rPr>
              <w:t>新疆维吾尔自治区人民政府</w:t>
            </w:r>
          </w:p>
          <w:p w14:paraId="4BB36FDD">
            <w:pPr>
              <w:pStyle w:val="18"/>
              <w:pageBreakBefore w:val="0"/>
              <w:kinsoku/>
              <w:wordWrap/>
              <w:topLinePunct w:val="0"/>
              <w:bidi w:val="0"/>
              <w:rPr>
                <w:rFonts w:hint="eastAsia"/>
                <w:kern w:val="0"/>
              </w:rPr>
            </w:pPr>
            <w:r>
              <w:t>审批文号：</w:t>
            </w:r>
            <w:r>
              <w:rPr>
                <w:rFonts w:hint="eastAsia"/>
                <w:lang w:eastAsia="zh-CN"/>
              </w:rPr>
              <w:t>新</w:t>
            </w:r>
            <w:r>
              <w:rPr>
                <w:rFonts w:hint="eastAsia"/>
                <w:lang w:val="en-US" w:eastAsia="zh-CN"/>
              </w:rPr>
              <w:t>政函</w:t>
            </w:r>
            <w:r>
              <w:rPr>
                <w:rFonts w:hint="eastAsia"/>
              </w:rPr>
              <w:t>〔</w:t>
            </w:r>
            <w:r>
              <w:t>201</w:t>
            </w:r>
            <w:r>
              <w:rPr>
                <w:rFonts w:hint="eastAsia"/>
                <w:lang w:val="en-US" w:eastAsia="zh-CN"/>
              </w:rPr>
              <w:t>1</w:t>
            </w:r>
            <w:r>
              <w:rPr>
                <w:rFonts w:hint="eastAsia"/>
              </w:rPr>
              <w:t>〕</w:t>
            </w:r>
            <w:r>
              <w:rPr>
                <w:rFonts w:hint="eastAsia"/>
                <w:lang w:val="en-US" w:eastAsia="zh-CN"/>
              </w:rPr>
              <w:t>305</w:t>
            </w:r>
            <w:r>
              <w:t>号</w:t>
            </w:r>
          </w:p>
        </w:tc>
      </w:tr>
      <w:tr w14:paraId="2B87B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16A1B329">
            <w:pPr>
              <w:pageBreakBefore w:val="0"/>
              <w:kinsoku/>
              <w:wordWrap/>
              <w:topLinePunct w:val="0"/>
              <w:autoSpaceDE w:val="0"/>
              <w:autoSpaceDN w:val="0"/>
              <w:bidi w:val="0"/>
              <w:spacing w:line="280" w:lineRule="exact"/>
              <w:jc w:val="center"/>
              <w:rPr>
                <w:sz w:val="24"/>
              </w:rPr>
            </w:pPr>
            <w:r>
              <w:rPr>
                <w:sz w:val="24"/>
              </w:rPr>
              <w:t>规划环境影响</w:t>
            </w:r>
          </w:p>
          <w:p w14:paraId="6AC8AA2F">
            <w:pPr>
              <w:pageBreakBefore w:val="0"/>
              <w:kinsoku/>
              <w:wordWrap/>
              <w:topLinePunct w:val="0"/>
              <w:autoSpaceDE w:val="0"/>
              <w:autoSpaceDN w:val="0"/>
              <w:bidi w:val="0"/>
              <w:spacing w:line="280" w:lineRule="exact"/>
              <w:jc w:val="center"/>
              <w:rPr>
                <w:kern w:val="0"/>
                <w:sz w:val="24"/>
              </w:rPr>
            </w:pPr>
            <w:r>
              <w:rPr>
                <w:sz w:val="24"/>
              </w:rPr>
              <w:t>评价情况</w:t>
            </w:r>
          </w:p>
        </w:tc>
        <w:tc>
          <w:tcPr>
            <w:tcW w:w="7366" w:type="dxa"/>
            <w:gridSpan w:val="3"/>
            <w:noWrap w:val="0"/>
            <w:tcMar>
              <w:top w:w="0" w:type="dxa"/>
              <w:left w:w="28" w:type="dxa"/>
              <w:bottom w:w="0" w:type="dxa"/>
              <w:right w:w="28" w:type="dxa"/>
            </w:tcMar>
            <w:vAlign w:val="center"/>
          </w:tcPr>
          <w:p w14:paraId="663A6FFF">
            <w:pPr>
              <w:pStyle w:val="18"/>
              <w:pageBreakBefore w:val="0"/>
              <w:kinsoku/>
              <w:wordWrap/>
              <w:topLinePunct w:val="0"/>
              <w:bidi w:val="0"/>
            </w:pPr>
            <w:r>
              <w:t>规划环境影响评价文件名称：《</w:t>
            </w:r>
            <w:r>
              <w:rPr>
                <w:rFonts w:hint="eastAsia"/>
              </w:rPr>
              <w:t>新疆圣雄能源股份有限公司同心工业园规划（2011-2030年）环境影响跟踪评价报告书</w:t>
            </w:r>
            <w:r>
              <w:t>》</w:t>
            </w:r>
          </w:p>
          <w:p w14:paraId="06CCB962">
            <w:pPr>
              <w:pStyle w:val="18"/>
              <w:pageBreakBefore w:val="0"/>
              <w:kinsoku/>
              <w:wordWrap/>
              <w:topLinePunct w:val="0"/>
              <w:bidi w:val="0"/>
            </w:pPr>
            <w:r>
              <w:rPr>
                <w:rFonts w:hint="eastAsia"/>
                <w:lang w:val="en-US" w:eastAsia="zh-CN"/>
              </w:rPr>
              <w:t>审批</w:t>
            </w:r>
            <w:r>
              <w:t>机关：原新疆维吾尔自治区环境保护厅</w:t>
            </w:r>
          </w:p>
          <w:p w14:paraId="6B9066E4">
            <w:pPr>
              <w:pStyle w:val="18"/>
              <w:pageBreakBefore w:val="0"/>
              <w:kinsoku/>
              <w:wordWrap/>
              <w:topLinePunct w:val="0"/>
              <w:bidi w:val="0"/>
              <w:rPr>
                <w:kern w:val="0"/>
              </w:rPr>
            </w:pPr>
            <w:r>
              <w:rPr>
                <w:rFonts w:hint="eastAsia"/>
                <w:lang w:val="en-US" w:eastAsia="zh-CN"/>
              </w:rPr>
              <w:t>审批</w:t>
            </w:r>
            <w:r>
              <w:t>文号：新环函</w:t>
            </w:r>
            <w:r>
              <w:rPr>
                <w:rFonts w:hint="eastAsia"/>
              </w:rPr>
              <w:t>〔</w:t>
            </w:r>
            <w:r>
              <w:t>201</w:t>
            </w:r>
            <w:r>
              <w:rPr>
                <w:rFonts w:hint="eastAsia"/>
                <w:lang w:val="en-US" w:eastAsia="zh-CN"/>
              </w:rPr>
              <w:t>7</w:t>
            </w:r>
            <w:r>
              <w:rPr>
                <w:rFonts w:hint="eastAsia"/>
              </w:rPr>
              <w:t>〕</w:t>
            </w:r>
            <w:r>
              <w:rPr>
                <w:rFonts w:hint="eastAsia"/>
                <w:lang w:val="en-US" w:eastAsia="zh-CN"/>
              </w:rPr>
              <w:t>1</w:t>
            </w:r>
            <w:r>
              <w:t>83</w:t>
            </w:r>
            <w:r>
              <w:rPr>
                <w:rFonts w:hint="eastAsia"/>
                <w:lang w:val="en-US" w:eastAsia="zh-CN"/>
              </w:rPr>
              <w:t>3</w:t>
            </w:r>
            <w:r>
              <w:t>号</w:t>
            </w:r>
          </w:p>
        </w:tc>
      </w:tr>
      <w:tr w14:paraId="36B70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noWrap w:val="0"/>
            <w:tcMar>
              <w:top w:w="0" w:type="dxa"/>
              <w:left w:w="28" w:type="dxa"/>
              <w:bottom w:w="0" w:type="dxa"/>
              <w:right w:w="28" w:type="dxa"/>
            </w:tcMar>
            <w:vAlign w:val="center"/>
          </w:tcPr>
          <w:p w14:paraId="79F87F04">
            <w:pPr>
              <w:pageBreakBefore w:val="0"/>
              <w:kinsoku/>
              <w:wordWrap/>
              <w:topLinePunct w:val="0"/>
              <w:autoSpaceDE w:val="0"/>
              <w:autoSpaceDN w:val="0"/>
              <w:bidi w:val="0"/>
              <w:spacing w:line="280" w:lineRule="exact"/>
              <w:jc w:val="center"/>
              <w:rPr>
                <w:spacing w:val="-17"/>
                <w:kern w:val="0"/>
                <w:sz w:val="24"/>
              </w:rPr>
            </w:pPr>
            <w:r>
              <w:rPr>
                <w:spacing w:val="-17"/>
                <w:kern w:val="0"/>
                <w:sz w:val="24"/>
              </w:rPr>
              <w:t>规划及规划环境</w:t>
            </w:r>
          </w:p>
          <w:p w14:paraId="1E2B35D4">
            <w:pPr>
              <w:pageBreakBefore w:val="0"/>
              <w:kinsoku/>
              <w:wordWrap/>
              <w:topLinePunct w:val="0"/>
              <w:autoSpaceDE w:val="0"/>
              <w:autoSpaceDN w:val="0"/>
              <w:bidi w:val="0"/>
              <w:spacing w:line="280" w:lineRule="exact"/>
              <w:jc w:val="center"/>
              <w:rPr>
                <w:kern w:val="0"/>
                <w:sz w:val="24"/>
              </w:rPr>
            </w:pPr>
            <w:r>
              <w:rPr>
                <w:spacing w:val="-17"/>
                <w:kern w:val="0"/>
                <w:sz w:val="24"/>
              </w:rPr>
              <w:t>影响评价符合性分析</w:t>
            </w:r>
          </w:p>
        </w:tc>
        <w:tc>
          <w:tcPr>
            <w:tcW w:w="7366" w:type="dxa"/>
            <w:gridSpan w:val="3"/>
            <w:noWrap w:val="0"/>
            <w:tcMar>
              <w:top w:w="0" w:type="dxa"/>
              <w:left w:w="28" w:type="dxa"/>
              <w:bottom w:w="0" w:type="dxa"/>
              <w:right w:w="28" w:type="dxa"/>
            </w:tcMar>
            <w:vAlign w:val="center"/>
          </w:tcPr>
          <w:p w14:paraId="326724F9">
            <w:pPr>
              <w:pStyle w:val="18"/>
              <w:pageBreakBefore w:val="0"/>
              <w:kinsoku/>
              <w:wordWrap/>
              <w:topLinePunct w:val="0"/>
              <w:bidi w:val="0"/>
              <w:rPr>
                <w:color w:val="auto"/>
                <w:spacing w:val="0"/>
                <w:sz w:val="24"/>
              </w:rPr>
            </w:pPr>
            <w:r>
              <w:rPr>
                <w:color w:val="auto"/>
                <w:spacing w:val="0"/>
                <w:sz w:val="24"/>
              </w:rPr>
              <w:t>（1）与园区规划符合性分析</w:t>
            </w:r>
          </w:p>
          <w:p w14:paraId="5F82D5C3">
            <w:pPr>
              <w:pStyle w:val="18"/>
              <w:pageBreakBefore w:val="0"/>
              <w:kinsoku/>
              <w:wordWrap/>
              <w:topLinePunct w:val="0"/>
              <w:bidi w:val="0"/>
              <w:rPr>
                <w:color w:val="auto"/>
                <w:spacing w:val="0"/>
                <w:sz w:val="24"/>
              </w:rPr>
            </w:pPr>
            <w:r>
              <w:rPr>
                <w:color w:val="auto"/>
                <w:spacing w:val="0"/>
                <w:sz w:val="24"/>
              </w:rPr>
              <w:t>新疆圣雄能源开发有限公司同心工业园位于乐惠镇。规划总面积约7.2</w:t>
            </w:r>
            <w:r>
              <w:rPr>
                <w:rFonts w:hint="eastAsia"/>
                <w:color w:val="auto"/>
                <w:spacing w:val="0"/>
                <w:sz w:val="24"/>
              </w:rPr>
              <w:t>km</w:t>
            </w:r>
            <w:r>
              <w:rPr>
                <w:rFonts w:hint="eastAsia"/>
                <w:color w:val="auto"/>
                <w:spacing w:val="0"/>
                <w:sz w:val="24"/>
                <w:vertAlign w:val="superscript"/>
              </w:rPr>
              <w:t>2</w:t>
            </w:r>
            <w:r>
              <w:rPr>
                <w:color w:val="auto"/>
                <w:spacing w:val="0"/>
                <w:sz w:val="24"/>
              </w:rPr>
              <w:t>。其中近期2.8</w:t>
            </w:r>
            <w:r>
              <w:rPr>
                <w:rFonts w:hint="eastAsia"/>
                <w:color w:val="auto"/>
                <w:spacing w:val="0"/>
                <w:sz w:val="24"/>
              </w:rPr>
              <w:t>km</w:t>
            </w:r>
            <w:r>
              <w:rPr>
                <w:rFonts w:hint="eastAsia"/>
                <w:color w:val="auto"/>
                <w:spacing w:val="0"/>
                <w:sz w:val="24"/>
                <w:vertAlign w:val="superscript"/>
              </w:rPr>
              <w:t>2</w:t>
            </w:r>
            <w:r>
              <w:rPr>
                <w:color w:val="auto"/>
                <w:spacing w:val="0"/>
                <w:sz w:val="24"/>
              </w:rPr>
              <w:t>，远期4.4</w:t>
            </w:r>
            <w:r>
              <w:rPr>
                <w:rFonts w:hint="eastAsia"/>
                <w:color w:val="auto"/>
                <w:spacing w:val="0"/>
                <w:sz w:val="24"/>
              </w:rPr>
              <w:t>km</w:t>
            </w:r>
            <w:r>
              <w:rPr>
                <w:rFonts w:hint="eastAsia"/>
                <w:color w:val="auto"/>
                <w:spacing w:val="0"/>
                <w:sz w:val="24"/>
                <w:vertAlign w:val="superscript"/>
              </w:rPr>
              <w:t>2</w:t>
            </w:r>
            <w:r>
              <w:rPr>
                <w:color w:val="auto"/>
                <w:spacing w:val="0"/>
                <w:sz w:val="24"/>
              </w:rPr>
              <w:t>。根据《新疆圣雄能源股份有限公司同心工业园规划（2011-2030）》</w:t>
            </w:r>
            <w:r>
              <w:rPr>
                <w:rFonts w:hint="eastAsia"/>
                <w:color w:val="auto"/>
                <w:spacing w:val="0"/>
                <w:sz w:val="24"/>
              </w:rPr>
              <w:t>，</w:t>
            </w:r>
            <w:r>
              <w:rPr>
                <w:color w:val="auto"/>
                <w:spacing w:val="0"/>
                <w:sz w:val="24"/>
              </w:rPr>
              <w:t>产业园区定位为：以圣雄公司已建项目为龙头，以煤电化工、盐化工为主体，采用“整体规划、分步实施”方式，以聚氯乙烯（PVC）为核心产品，围绕该产品，建设煤、电、一体化的产业群，形成上下游产业链紧密结合的效益型结构，最终成为可持续发展的热电联产的大型现代化煤电、煤化工产业群。实现节约能源、节约资源、保护环境、保护生态可持续发展的目标，达到经济效益、环境效益和社会效益的高度统一。</w:t>
            </w:r>
          </w:p>
          <w:p w14:paraId="6A999490">
            <w:pPr>
              <w:pStyle w:val="18"/>
              <w:pageBreakBefore w:val="0"/>
              <w:kinsoku/>
              <w:wordWrap/>
              <w:topLinePunct w:val="0"/>
              <w:bidi w:val="0"/>
              <w:rPr>
                <w:color w:val="auto"/>
                <w:spacing w:val="0"/>
                <w:sz w:val="24"/>
              </w:rPr>
            </w:pPr>
            <w:r>
              <w:rPr>
                <w:color w:val="auto"/>
                <w:spacing w:val="0"/>
                <w:sz w:val="24"/>
              </w:rPr>
              <w:t>本项目位于</w:t>
            </w:r>
            <w:r>
              <w:rPr>
                <w:rFonts w:hint="eastAsia"/>
                <w:color w:val="auto"/>
                <w:spacing w:val="0"/>
                <w:sz w:val="24"/>
                <w:lang w:eastAsia="zh-CN"/>
              </w:rPr>
              <w:t>，</w:t>
            </w:r>
            <w:r>
              <w:rPr>
                <w:rFonts w:hint="eastAsia"/>
                <w:color w:val="auto"/>
                <w:spacing w:val="0"/>
                <w:sz w:val="24"/>
              </w:rPr>
              <w:t>该区域为</w:t>
            </w:r>
            <w:r>
              <w:rPr>
                <w:color w:val="auto"/>
                <w:spacing w:val="0"/>
                <w:sz w:val="24"/>
              </w:rPr>
              <w:t>园区三类工业用地，用地符合园区用地规划。</w:t>
            </w:r>
          </w:p>
          <w:p w14:paraId="7FBCCBDF">
            <w:pPr>
              <w:pStyle w:val="18"/>
              <w:pageBreakBefore w:val="0"/>
              <w:kinsoku/>
              <w:wordWrap/>
              <w:topLinePunct w:val="0"/>
              <w:bidi w:val="0"/>
              <w:rPr>
                <w:color w:val="auto"/>
                <w:spacing w:val="0"/>
                <w:sz w:val="24"/>
              </w:rPr>
            </w:pPr>
            <w:r>
              <w:rPr>
                <w:color w:val="auto"/>
                <w:spacing w:val="0"/>
                <w:sz w:val="24"/>
              </w:rPr>
              <w:t>本项目利用新疆圣雄能源股份有限公司的兰炭尾气作为</w:t>
            </w:r>
            <w:r>
              <w:rPr>
                <w:rFonts w:hint="eastAsia"/>
                <w:color w:val="auto"/>
                <w:spacing w:val="0"/>
                <w:sz w:val="24"/>
              </w:rPr>
              <w:t>原料，将其中的氢气提取后用于制甲醇生产线，提取后的</w:t>
            </w:r>
            <w:r>
              <w:rPr>
                <w:rFonts w:hint="eastAsia"/>
                <w:color w:val="auto"/>
                <w:spacing w:val="0"/>
                <w:sz w:val="24"/>
                <w:lang w:eastAsia="zh-CN"/>
              </w:rPr>
              <w:t>解吸气</w:t>
            </w:r>
            <w:r>
              <w:rPr>
                <w:rFonts w:hint="eastAsia"/>
                <w:color w:val="auto"/>
                <w:spacing w:val="0"/>
                <w:sz w:val="24"/>
              </w:rPr>
              <w:t>作为燃料输送至“</w:t>
            </w:r>
            <w:r>
              <w:rPr>
                <w:rFonts w:hint="eastAsia"/>
                <w:color w:val="auto"/>
                <w:spacing w:val="0"/>
                <w:sz w:val="24"/>
                <w:szCs w:val="21"/>
              </w:rPr>
              <w:t>新疆冠达能源有限公司圣雄尾气综合利用绿色环保减排型示范项目”，</w:t>
            </w:r>
            <w:r>
              <w:rPr>
                <w:color w:val="auto"/>
                <w:spacing w:val="0"/>
                <w:sz w:val="24"/>
              </w:rPr>
              <w:t>符合园区实现节约能源、节约资源、保护环境、保护生态可持续发展的目标，本项目的建设与园区规划要求相符。</w:t>
            </w:r>
          </w:p>
          <w:p w14:paraId="7C112951">
            <w:pPr>
              <w:pStyle w:val="18"/>
              <w:pageBreakBefore w:val="0"/>
              <w:kinsoku/>
              <w:wordWrap/>
              <w:topLinePunct w:val="0"/>
              <w:bidi w:val="0"/>
              <w:ind w:firstLine="420"/>
              <w:rPr>
                <w:color w:val="auto"/>
                <w:spacing w:val="0"/>
                <w:sz w:val="24"/>
              </w:rPr>
            </w:pPr>
            <w:r>
              <w:rPr>
                <w:color w:val="auto"/>
                <w:spacing w:val="0"/>
                <w:sz w:val="24"/>
              </w:rPr>
              <w:t>（2）与规划环境影响评价符合性分析</w:t>
            </w:r>
          </w:p>
          <w:p w14:paraId="6B811019">
            <w:pPr>
              <w:pStyle w:val="18"/>
              <w:pageBreakBefore w:val="0"/>
              <w:kinsoku/>
              <w:wordWrap/>
              <w:topLinePunct w:val="0"/>
              <w:bidi w:val="0"/>
              <w:rPr>
                <w:color w:val="auto"/>
                <w:spacing w:val="0"/>
                <w:sz w:val="24"/>
              </w:rPr>
            </w:pPr>
            <w:r>
              <w:rPr>
                <w:color w:val="auto"/>
                <w:spacing w:val="0"/>
                <w:sz w:val="24"/>
              </w:rPr>
              <w:t>20</w:t>
            </w:r>
            <w:r>
              <w:rPr>
                <w:rFonts w:hint="eastAsia"/>
                <w:color w:val="auto"/>
                <w:spacing w:val="0"/>
                <w:sz w:val="24"/>
                <w:lang w:val="en-US" w:eastAsia="zh-CN"/>
              </w:rPr>
              <w:t>17</w:t>
            </w:r>
            <w:r>
              <w:rPr>
                <w:color w:val="auto"/>
                <w:spacing w:val="0"/>
                <w:sz w:val="24"/>
              </w:rPr>
              <w:t>年1</w:t>
            </w:r>
            <w:r>
              <w:rPr>
                <w:rFonts w:hint="eastAsia"/>
                <w:color w:val="auto"/>
                <w:spacing w:val="0"/>
                <w:sz w:val="24"/>
                <w:lang w:val="en-US" w:eastAsia="zh-CN"/>
              </w:rPr>
              <w:t>1</w:t>
            </w:r>
            <w:r>
              <w:rPr>
                <w:color w:val="auto"/>
                <w:spacing w:val="0"/>
                <w:sz w:val="24"/>
              </w:rPr>
              <w:t>月</w:t>
            </w:r>
            <w:r>
              <w:rPr>
                <w:rFonts w:hint="eastAsia"/>
                <w:color w:val="auto"/>
                <w:spacing w:val="0"/>
                <w:sz w:val="24"/>
                <w:lang w:val="en-US" w:eastAsia="zh-CN"/>
              </w:rPr>
              <w:t>13</w:t>
            </w:r>
            <w:r>
              <w:rPr>
                <w:color w:val="auto"/>
                <w:spacing w:val="0"/>
                <w:sz w:val="24"/>
              </w:rPr>
              <w:t>日原新疆维吾尔自治区环境保护厅出具了</w:t>
            </w:r>
            <w:r>
              <w:rPr>
                <w:rFonts w:hint="eastAsia"/>
                <w:color w:val="auto"/>
                <w:spacing w:val="0"/>
                <w:sz w:val="24"/>
              </w:rPr>
              <w:t>《</w:t>
            </w:r>
            <w:r>
              <w:rPr>
                <w:color w:val="auto"/>
                <w:spacing w:val="0"/>
                <w:sz w:val="24"/>
              </w:rPr>
              <w:t>关于</w:t>
            </w:r>
            <w:r>
              <w:rPr>
                <w:rFonts w:hint="eastAsia"/>
                <w:color w:val="auto"/>
                <w:spacing w:val="0"/>
                <w:sz w:val="24"/>
              </w:rPr>
              <w:t>新疆圣雄能源股份有限公司同心工业园规划（2011-2030年）环境影响跟踪评价报告书</w:t>
            </w:r>
            <w:r>
              <w:rPr>
                <w:color w:val="auto"/>
                <w:spacing w:val="0"/>
                <w:sz w:val="24"/>
              </w:rPr>
              <w:t>的审查意见》（新环函</w:t>
            </w:r>
            <w:r>
              <w:rPr>
                <w:rFonts w:hint="eastAsia"/>
                <w:color w:val="auto"/>
                <w:spacing w:val="0"/>
                <w:sz w:val="24"/>
              </w:rPr>
              <w:t>〔</w:t>
            </w:r>
            <w:r>
              <w:rPr>
                <w:color w:val="auto"/>
                <w:spacing w:val="0"/>
                <w:sz w:val="24"/>
              </w:rPr>
              <w:t>201</w:t>
            </w:r>
            <w:r>
              <w:rPr>
                <w:rFonts w:hint="eastAsia"/>
                <w:color w:val="auto"/>
                <w:spacing w:val="0"/>
                <w:sz w:val="24"/>
                <w:lang w:val="en-US" w:eastAsia="zh-CN"/>
              </w:rPr>
              <w:t>7</w:t>
            </w:r>
            <w:r>
              <w:rPr>
                <w:rFonts w:hint="eastAsia"/>
                <w:color w:val="auto"/>
                <w:spacing w:val="0"/>
                <w:sz w:val="24"/>
              </w:rPr>
              <w:t>〕</w:t>
            </w:r>
            <w:r>
              <w:rPr>
                <w:rFonts w:hint="eastAsia"/>
                <w:color w:val="auto"/>
                <w:spacing w:val="0"/>
                <w:sz w:val="24"/>
                <w:lang w:val="en-US" w:eastAsia="zh-CN"/>
              </w:rPr>
              <w:t>1</w:t>
            </w:r>
            <w:r>
              <w:rPr>
                <w:color w:val="auto"/>
                <w:spacing w:val="0"/>
                <w:sz w:val="24"/>
              </w:rPr>
              <w:t>83</w:t>
            </w:r>
            <w:r>
              <w:rPr>
                <w:rFonts w:hint="eastAsia"/>
                <w:color w:val="auto"/>
                <w:spacing w:val="0"/>
                <w:sz w:val="24"/>
                <w:lang w:val="en-US" w:eastAsia="zh-CN"/>
              </w:rPr>
              <w:t>3</w:t>
            </w:r>
            <w:r>
              <w:rPr>
                <w:color w:val="auto"/>
                <w:spacing w:val="0"/>
                <w:sz w:val="24"/>
              </w:rPr>
              <w:t>号），规划环评审查意见中要求“严格入园项目的环境准入，并督促建设单位依法开展建设项目环境影响评价，并严格执行建设项目“三同时”环境管理制度。与园区产业类型不相符合达不到园区环境准入条件的建设项目严禁入园。”</w:t>
            </w:r>
          </w:p>
          <w:p w14:paraId="56F7A2AC">
            <w:pPr>
              <w:pStyle w:val="18"/>
              <w:pageBreakBefore w:val="0"/>
              <w:kinsoku/>
              <w:wordWrap/>
              <w:topLinePunct w:val="0"/>
              <w:bidi w:val="0"/>
            </w:pPr>
            <w:r>
              <w:rPr>
                <w:color w:val="auto"/>
                <w:spacing w:val="0"/>
                <w:sz w:val="24"/>
              </w:rPr>
              <w:t>本项目</w:t>
            </w:r>
            <w:r>
              <w:rPr>
                <w:rFonts w:hint="eastAsia"/>
                <w:color w:val="auto"/>
                <w:spacing w:val="0"/>
                <w:sz w:val="24"/>
              </w:rPr>
              <w:t>合理</w:t>
            </w:r>
            <w:r>
              <w:rPr>
                <w:color w:val="auto"/>
                <w:spacing w:val="0"/>
                <w:sz w:val="24"/>
              </w:rPr>
              <w:t>利用新疆圣雄能源股份有限公司的兰炭尾气</w:t>
            </w:r>
            <w:r>
              <w:rPr>
                <w:rFonts w:hint="eastAsia"/>
                <w:color w:val="auto"/>
                <w:spacing w:val="0"/>
                <w:sz w:val="24"/>
              </w:rPr>
              <w:t>，</w:t>
            </w:r>
            <w:r>
              <w:rPr>
                <w:color w:val="auto"/>
                <w:spacing w:val="0"/>
                <w:sz w:val="24"/>
              </w:rPr>
              <w:t>不属于园区禁止准入项目，本项目的建设与规划环境影响报告书及其审查意见要求相符。</w:t>
            </w:r>
          </w:p>
        </w:tc>
      </w:tr>
      <w:tr w14:paraId="7A5084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2045" w:type="dxa"/>
            <w:tcBorders>
              <w:bottom w:val="single" w:color="auto" w:sz="8" w:space="0"/>
            </w:tcBorders>
            <w:noWrap w:val="0"/>
            <w:tcMar>
              <w:top w:w="0" w:type="dxa"/>
              <w:left w:w="28" w:type="dxa"/>
              <w:bottom w:w="0" w:type="dxa"/>
              <w:right w:w="28" w:type="dxa"/>
            </w:tcMar>
            <w:vAlign w:val="center"/>
          </w:tcPr>
          <w:p w14:paraId="567CE0BF">
            <w:pPr>
              <w:pageBreakBefore w:val="0"/>
              <w:kinsoku/>
              <w:wordWrap/>
              <w:topLinePunct w:val="0"/>
              <w:autoSpaceDE w:val="0"/>
              <w:autoSpaceDN w:val="0"/>
              <w:bidi w:val="0"/>
              <w:jc w:val="center"/>
              <w:rPr>
                <w:kern w:val="0"/>
                <w:sz w:val="24"/>
              </w:rPr>
            </w:pPr>
            <w:r>
              <w:rPr>
                <w:kern w:val="0"/>
                <w:sz w:val="24"/>
              </w:rPr>
              <w:t>其他符合性分析</w:t>
            </w:r>
          </w:p>
        </w:tc>
        <w:tc>
          <w:tcPr>
            <w:tcW w:w="7366" w:type="dxa"/>
            <w:gridSpan w:val="3"/>
            <w:tcBorders>
              <w:bottom w:val="single" w:color="auto" w:sz="8" w:space="0"/>
            </w:tcBorders>
            <w:noWrap w:val="0"/>
            <w:tcMar>
              <w:top w:w="0" w:type="dxa"/>
              <w:left w:w="28" w:type="dxa"/>
              <w:bottom w:w="0" w:type="dxa"/>
              <w:right w:w="28" w:type="dxa"/>
            </w:tcMar>
            <w:vAlign w:val="center"/>
          </w:tcPr>
          <w:p w14:paraId="4AE802ED">
            <w:pPr>
              <w:pageBreakBefore w:val="0"/>
              <w:kinsoku/>
              <w:wordWrap/>
              <w:topLinePunct w:val="0"/>
              <w:autoSpaceDE w:val="0"/>
              <w:autoSpaceDN w:val="0"/>
              <w:bidi w:val="0"/>
              <w:spacing w:line="360" w:lineRule="auto"/>
              <w:ind w:firstLine="482" w:firstLineChars="200"/>
              <w:rPr>
                <w:sz w:val="24"/>
              </w:rPr>
            </w:pPr>
            <w:r>
              <w:rPr>
                <w:b/>
                <w:bCs/>
                <w:kern w:val="0"/>
                <w:sz w:val="24"/>
              </w:rPr>
              <w:t>1 产业政策符合性分析</w:t>
            </w:r>
          </w:p>
          <w:p w14:paraId="1668A139">
            <w:pPr>
              <w:pStyle w:val="18"/>
              <w:pageBreakBefore w:val="0"/>
              <w:kinsoku/>
              <w:wordWrap/>
              <w:topLinePunct w:val="0"/>
              <w:bidi w:val="0"/>
              <w:rPr>
                <w:spacing w:val="0"/>
                <w:sz w:val="24"/>
              </w:rPr>
            </w:pPr>
            <w:r>
              <w:rPr>
                <w:spacing w:val="0"/>
                <w:sz w:val="24"/>
              </w:rPr>
              <w:t>本项目属于“其他基础化学原料制造项目”，根据</w:t>
            </w:r>
            <w:r>
              <w:rPr>
                <w:rFonts w:hint="eastAsia"/>
                <w:spacing w:val="0"/>
                <w:sz w:val="24"/>
              </w:rPr>
              <w:t>2023年12月27日国家发展改革委令第7号公布</w:t>
            </w:r>
            <w:r>
              <w:rPr>
                <w:spacing w:val="0"/>
                <w:sz w:val="24"/>
              </w:rPr>
              <w:t>《产业结构调整指导目录（202</w:t>
            </w:r>
            <w:r>
              <w:rPr>
                <w:rFonts w:hint="eastAsia"/>
                <w:spacing w:val="0"/>
                <w:sz w:val="24"/>
                <w:lang w:val="en-US" w:eastAsia="zh-CN"/>
              </w:rPr>
              <w:t>4</w:t>
            </w:r>
            <w:r>
              <w:rPr>
                <w:spacing w:val="0"/>
                <w:sz w:val="24"/>
              </w:rPr>
              <w:t>年本）》，该文件的鼓励类、限制类及淘汰类均不涉及其他基础化学原料制造项目。</w:t>
            </w:r>
          </w:p>
          <w:p w14:paraId="04E931E0">
            <w:pPr>
              <w:pStyle w:val="18"/>
              <w:pageBreakBefore w:val="0"/>
              <w:kinsoku/>
              <w:wordWrap/>
              <w:topLinePunct w:val="0"/>
              <w:bidi w:val="0"/>
              <w:rPr>
                <w:spacing w:val="0"/>
                <w:sz w:val="24"/>
              </w:rPr>
            </w:pPr>
            <w:r>
              <w:rPr>
                <w:spacing w:val="0"/>
                <w:sz w:val="24"/>
              </w:rPr>
              <w:t>根据《促进产业结构调整暂行规定》第13条规定，“不属于鼓励类、限制类和淘汰类，且符合国家有关</w:t>
            </w:r>
            <w:r>
              <w:rPr>
                <w:rFonts w:hint="eastAsia"/>
                <w:spacing w:val="0"/>
                <w:sz w:val="24"/>
              </w:rPr>
              <w:t>法律法规</w:t>
            </w:r>
            <w:r>
              <w:rPr>
                <w:spacing w:val="0"/>
                <w:sz w:val="24"/>
              </w:rPr>
              <w:t>和政策规定的，为允许类；允许类不列入《产业结构调整指导目录》”，因此本项目虽不属于上述三类，但符合国家有关</w:t>
            </w:r>
            <w:r>
              <w:rPr>
                <w:rFonts w:hint="eastAsia"/>
                <w:spacing w:val="0"/>
                <w:sz w:val="24"/>
              </w:rPr>
              <w:t>法律法规</w:t>
            </w:r>
            <w:r>
              <w:rPr>
                <w:spacing w:val="0"/>
                <w:sz w:val="24"/>
              </w:rPr>
              <w:t>和政策规定，符合国家产业政策要求。</w:t>
            </w:r>
          </w:p>
          <w:p w14:paraId="29B79B14">
            <w:pPr>
              <w:pageBreakBefore w:val="0"/>
              <w:kinsoku/>
              <w:wordWrap/>
              <w:topLinePunct w:val="0"/>
              <w:autoSpaceDE w:val="0"/>
              <w:autoSpaceDN w:val="0"/>
              <w:bidi w:val="0"/>
              <w:spacing w:line="360" w:lineRule="auto"/>
              <w:ind w:firstLine="482" w:firstLineChars="200"/>
              <w:rPr>
                <w:sz w:val="24"/>
              </w:rPr>
            </w:pPr>
            <w:r>
              <w:rPr>
                <w:b/>
                <w:bCs/>
                <w:sz w:val="24"/>
              </w:rPr>
              <w:t>2 与《新疆维吾尔自治区“三线一单”生态环境分区管控方案》的符合性分析</w:t>
            </w:r>
          </w:p>
          <w:p w14:paraId="37AE136D">
            <w:pPr>
              <w:pStyle w:val="18"/>
              <w:pageBreakBefore w:val="0"/>
              <w:kinsoku/>
              <w:wordWrap/>
              <w:topLinePunct w:val="0"/>
              <w:bidi w:val="0"/>
              <w:rPr>
                <w:spacing w:val="0"/>
                <w:sz w:val="24"/>
              </w:rPr>
            </w:pPr>
            <w:r>
              <w:rPr>
                <w:spacing w:val="0"/>
                <w:sz w:val="24"/>
              </w:rPr>
              <w:t>根据《新疆维吾尔自治区“三线一单”生态环境分区管控方案》，自治区共划定1323个环境管控单元，分为优先保护单元、重点管控单元和一般管控单元三类，实施分类管控。其中优先保护单元465个，重点管控单元699个，一般管控单元159个。</w:t>
            </w:r>
          </w:p>
          <w:p w14:paraId="237FD8A2">
            <w:pPr>
              <w:pStyle w:val="18"/>
              <w:pageBreakBefore w:val="0"/>
              <w:kinsoku/>
              <w:wordWrap/>
              <w:topLinePunct w:val="0"/>
              <w:bidi w:val="0"/>
              <w:rPr>
                <w:rFonts w:hint="eastAsia"/>
                <w:b/>
                <w:bCs/>
                <w:spacing w:val="0"/>
                <w:sz w:val="24"/>
              </w:rPr>
            </w:pPr>
            <w:r>
              <w:rPr>
                <w:spacing w:val="0"/>
                <w:sz w:val="24"/>
              </w:rPr>
              <w:t>项目所在区域位于</w:t>
            </w:r>
            <w:r>
              <w:rPr>
                <w:rFonts w:hint="eastAsia"/>
                <w:spacing w:val="0"/>
                <w:sz w:val="24"/>
              </w:rPr>
              <w:t>重点</w:t>
            </w:r>
            <w:r>
              <w:rPr>
                <w:spacing w:val="0"/>
                <w:sz w:val="24"/>
              </w:rPr>
              <w:t>管控单元，项目与自治区环境管控单元位置关系见附图1。</w:t>
            </w:r>
          </w:p>
          <w:p w14:paraId="467E8272">
            <w:pPr>
              <w:pageBreakBefore w:val="0"/>
              <w:kinsoku/>
              <w:wordWrap/>
              <w:topLinePunct w:val="0"/>
              <w:autoSpaceDE w:val="0"/>
              <w:autoSpaceDN w:val="0"/>
              <w:bidi w:val="0"/>
              <w:spacing w:line="360" w:lineRule="auto"/>
              <w:ind w:firstLine="482" w:firstLineChars="200"/>
              <w:rPr>
                <w:rFonts w:hint="eastAsia"/>
                <w:b/>
                <w:bCs/>
                <w:sz w:val="24"/>
              </w:rPr>
            </w:pPr>
            <w:r>
              <w:rPr>
                <w:rFonts w:hint="eastAsia"/>
                <w:b/>
                <w:bCs/>
                <w:sz w:val="24"/>
              </w:rPr>
              <w:t>3 与《吐鲁番市“三线一单”生态环境分区管控方案》符合性分析</w:t>
            </w:r>
          </w:p>
          <w:p w14:paraId="6A5A410B">
            <w:pPr>
              <w:pStyle w:val="18"/>
              <w:pageBreakBefore w:val="0"/>
              <w:kinsoku/>
              <w:wordWrap/>
              <w:topLinePunct w:val="0"/>
              <w:bidi w:val="0"/>
              <w:rPr>
                <w:rFonts w:hint="eastAsia"/>
                <w:spacing w:val="0"/>
                <w:sz w:val="24"/>
                <w:szCs w:val="21"/>
              </w:rPr>
            </w:pPr>
            <w:r>
              <w:rPr>
                <w:rFonts w:hint="eastAsia"/>
                <w:spacing w:val="0"/>
                <w:sz w:val="24"/>
              </w:rPr>
              <w:t>根据《关于印发〈吐鲁番市“三线一单”生态环境分区管控方案〉的通知》（吐政办〔2021〕24号），</w:t>
            </w:r>
            <w:r>
              <w:rPr>
                <w:spacing w:val="0"/>
                <w:sz w:val="24"/>
              </w:rPr>
              <w:t>本项目</w:t>
            </w:r>
            <w:r>
              <w:rPr>
                <w:rFonts w:hint="eastAsia"/>
                <w:spacing w:val="0"/>
                <w:sz w:val="24"/>
              </w:rPr>
              <w:t>位于托克逊县圣雄同心工业园，属于托克逊县圣雄同心工业园重点管控单元01，管控单元编码：ZH65042220004，管控单元类别为重点管控单元。根据管控要求，本项目与该方案符合性分析见下表，附图2。</w:t>
            </w:r>
          </w:p>
          <w:p w14:paraId="23DFC1CB">
            <w:pPr>
              <w:pStyle w:val="25"/>
              <w:pageBreakBefore w:val="0"/>
              <w:kinsoku/>
              <w:wordWrap/>
              <w:topLinePunct w:val="0"/>
              <w:bidi w:val="0"/>
              <w:rPr>
                <w:rFonts w:hint="default" w:ascii="Times New Roman" w:hAnsi="Times New Roman" w:cs="Times New Roman"/>
                <w:b/>
              </w:rPr>
            </w:pPr>
            <w:r>
              <w:rPr>
                <w:rFonts w:hint="default"/>
              </w:rPr>
              <w:t>表</w:t>
            </w:r>
            <w:r>
              <w:t>1-2</w:t>
            </w:r>
            <w:r>
              <w:rPr>
                <w:rFonts w:hint="default"/>
              </w:rPr>
              <w:t xml:space="preserve">  </w:t>
            </w:r>
            <w:r>
              <w:t>与《吐鲁番市“三线一单”生态环境分区管控方案》</w:t>
            </w:r>
            <w:r>
              <w:rPr>
                <w:rFonts w:hint="default"/>
              </w:rPr>
              <w:t>符合性分析一览表</w:t>
            </w:r>
          </w:p>
          <w:tbl>
            <w:tblPr>
              <w:tblStyle w:val="13"/>
              <w:tblW w:w="714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77"/>
              <w:gridCol w:w="3301"/>
              <w:gridCol w:w="2711"/>
              <w:gridCol w:w="754"/>
            </w:tblGrid>
            <w:tr w14:paraId="77D43A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gridSpan w:val="2"/>
                  <w:tcBorders>
                    <w:tl2br w:val="nil"/>
                    <w:tr2bl w:val="nil"/>
                  </w:tcBorders>
                  <w:noWrap w:val="0"/>
                  <w:vAlign w:val="center"/>
                </w:tcPr>
                <w:p w14:paraId="6FE8F595">
                  <w:pPr>
                    <w:pageBreakBefore w:val="0"/>
                    <w:kinsoku/>
                    <w:wordWrap/>
                    <w:topLinePunct w:val="0"/>
                    <w:bidi w:val="0"/>
                    <w:spacing w:line="280" w:lineRule="exact"/>
                    <w:jc w:val="center"/>
                    <w:rPr>
                      <w:rFonts w:eastAsia="黑体"/>
                      <w:b/>
                      <w:bCs/>
                      <w:szCs w:val="21"/>
                    </w:rPr>
                  </w:pPr>
                  <w:r>
                    <w:rPr>
                      <w:b/>
                      <w:bCs/>
                      <w:szCs w:val="21"/>
                    </w:rPr>
                    <w:t>生态环境分区管控方案要求</w:t>
                  </w:r>
                </w:p>
              </w:tc>
              <w:tc>
                <w:tcPr>
                  <w:tcW w:w="1897" w:type="pct"/>
                  <w:tcBorders>
                    <w:tl2br w:val="nil"/>
                    <w:tr2bl w:val="nil"/>
                  </w:tcBorders>
                  <w:noWrap w:val="0"/>
                  <w:vAlign w:val="center"/>
                </w:tcPr>
                <w:p w14:paraId="3320B0CA">
                  <w:pPr>
                    <w:pageBreakBefore w:val="0"/>
                    <w:kinsoku/>
                    <w:wordWrap/>
                    <w:topLinePunct w:val="0"/>
                    <w:bidi w:val="0"/>
                    <w:spacing w:line="280" w:lineRule="exact"/>
                    <w:jc w:val="center"/>
                    <w:rPr>
                      <w:rFonts w:eastAsia="黑体"/>
                      <w:b/>
                      <w:bCs/>
                      <w:szCs w:val="21"/>
                    </w:rPr>
                  </w:pPr>
                  <w:r>
                    <w:rPr>
                      <w:b/>
                      <w:bCs/>
                      <w:szCs w:val="21"/>
                    </w:rPr>
                    <w:t>项目情况</w:t>
                  </w:r>
                </w:p>
              </w:tc>
              <w:tc>
                <w:tcPr>
                  <w:tcW w:w="527" w:type="pct"/>
                  <w:tcBorders>
                    <w:tl2br w:val="nil"/>
                    <w:tr2bl w:val="nil"/>
                  </w:tcBorders>
                  <w:noWrap w:val="0"/>
                  <w:vAlign w:val="center"/>
                </w:tcPr>
                <w:p w14:paraId="313963F9">
                  <w:pPr>
                    <w:pageBreakBefore w:val="0"/>
                    <w:kinsoku/>
                    <w:wordWrap/>
                    <w:topLinePunct w:val="0"/>
                    <w:bidi w:val="0"/>
                    <w:spacing w:line="280" w:lineRule="exact"/>
                    <w:jc w:val="center"/>
                    <w:rPr>
                      <w:b/>
                      <w:bCs/>
                      <w:szCs w:val="21"/>
                    </w:rPr>
                  </w:pPr>
                  <w:r>
                    <w:rPr>
                      <w:b/>
                      <w:bCs/>
                      <w:szCs w:val="21"/>
                    </w:rPr>
                    <w:t>符合性</w:t>
                  </w:r>
                </w:p>
              </w:tc>
            </w:tr>
            <w:tr w14:paraId="70B4A9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3" w:type="pct"/>
                  <w:tcBorders>
                    <w:tl2br w:val="nil"/>
                    <w:tr2bl w:val="nil"/>
                  </w:tcBorders>
                  <w:noWrap w:val="0"/>
                  <w:vAlign w:val="center"/>
                </w:tcPr>
                <w:p w14:paraId="33CAAE03">
                  <w:pPr>
                    <w:pageBreakBefore w:val="0"/>
                    <w:kinsoku/>
                    <w:wordWrap/>
                    <w:topLinePunct w:val="0"/>
                    <w:bidi w:val="0"/>
                    <w:spacing w:line="280" w:lineRule="exact"/>
                    <w:jc w:val="center"/>
                    <w:rPr>
                      <w:szCs w:val="21"/>
                    </w:rPr>
                  </w:pPr>
                  <w:r>
                    <w:rPr>
                      <w:szCs w:val="21"/>
                    </w:rPr>
                    <w:t>空间布局</w:t>
                  </w:r>
                </w:p>
                <w:p w14:paraId="5B9C8FD2">
                  <w:pPr>
                    <w:pageBreakBefore w:val="0"/>
                    <w:kinsoku/>
                    <w:wordWrap/>
                    <w:topLinePunct w:val="0"/>
                    <w:bidi w:val="0"/>
                    <w:spacing w:line="280" w:lineRule="exact"/>
                    <w:jc w:val="center"/>
                    <w:rPr>
                      <w:rFonts w:eastAsia="黑体"/>
                      <w:b/>
                      <w:szCs w:val="21"/>
                      <w:highlight w:val="yellow"/>
                    </w:rPr>
                  </w:pPr>
                  <w:r>
                    <w:rPr>
                      <w:szCs w:val="21"/>
                    </w:rPr>
                    <w:t>约束</w:t>
                  </w:r>
                </w:p>
              </w:tc>
              <w:tc>
                <w:tcPr>
                  <w:tcW w:w="2310" w:type="pct"/>
                  <w:tcBorders>
                    <w:tl2br w:val="nil"/>
                    <w:tr2bl w:val="nil"/>
                  </w:tcBorders>
                  <w:noWrap w:val="0"/>
                  <w:vAlign w:val="center"/>
                </w:tcPr>
                <w:p w14:paraId="11497E92">
                  <w:pPr>
                    <w:pageBreakBefore w:val="0"/>
                    <w:kinsoku/>
                    <w:wordWrap/>
                    <w:topLinePunct w:val="0"/>
                    <w:bidi w:val="0"/>
                    <w:spacing w:line="280" w:lineRule="exact"/>
                    <w:rPr>
                      <w:rFonts w:hint="eastAsia" w:ascii="宋体" w:hAnsi="宋体" w:cs="宋体"/>
                      <w:szCs w:val="21"/>
                      <w:lang w:bidi="en-US"/>
                    </w:rPr>
                  </w:pPr>
                  <w:r>
                    <w:rPr>
                      <w:rFonts w:hint="eastAsia" w:ascii="宋体" w:hAnsi="宋体" w:cs="宋体"/>
                      <w:szCs w:val="21"/>
                      <w:lang w:bidi="en-US"/>
                    </w:rPr>
                    <w:t>1.新建、改建、扩建企业要符合工业园区各项规划及规划环评要求。建设项目需满足企业自身产业链需求。</w:t>
                  </w:r>
                </w:p>
                <w:p w14:paraId="0D404DD5">
                  <w:pPr>
                    <w:pageBreakBefore w:val="0"/>
                    <w:kinsoku/>
                    <w:wordWrap/>
                    <w:topLinePunct w:val="0"/>
                    <w:bidi w:val="0"/>
                    <w:spacing w:line="280" w:lineRule="exact"/>
                    <w:rPr>
                      <w:rFonts w:hint="eastAsia" w:ascii="宋体" w:hAnsi="宋体" w:cs="宋体"/>
                      <w:szCs w:val="21"/>
                    </w:rPr>
                  </w:pPr>
                  <w:r>
                    <w:rPr>
                      <w:rFonts w:hint="eastAsia" w:ascii="宋体" w:hAnsi="宋体" w:cs="宋体"/>
                      <w:szCs w:val="21"/>
                      <w:lang w:bidi="en-US"/>
                    </w:rPr>
                    <w:t>2.</w:t>
                  </w:r>
                  <w:r>
                    <w:rPr>
                      <w:rFonts w:hint="eastAsia" w:ascii="宋体" w:hAnsi="宋体" w:cs="宋体"/>
                      <w:bCs/>
                      <w:szCs w:val="21"/>
                      <w:lang w:bidi="en-US"/>
                    </w:rPr>
                    <w:t>禁止不符合相关要求的高污染（排放）、高能（水）耗、高环境风险的工业项目。</w:t>
                  </w:r>
                </w:p>
              </w:tc>
              <w:tc>
                <w:tcPr>
                  <w:tcW w:w="1897" w:type="pct"/>
                  <w:tcBorders>
                    <w:tl2br w:val="nil"/>
                    <w:tr2bl w:val="nil"/>
                  </w:tcBorders>
                  <w:noWrap w:val="0"/>
                  <w:vAlign w:val="center"/>
                </w:tcPr>
                <w:p w14:paraId="562BF90F">
                  <w:pPr>
                    <w:pageBreakBefore w:val="0"/>
                    <w:kinsoku/>
                    <w:wordWrap/>
                    <w:topLinePunct w:val="0"/>
                    <w:bidi w:val="0"/>
                    <w:spacing w:line="280" w:lineRule="exact"/>
                    <w:rPr>
                      <w:rFonts w:hint="eastAsia"/>
                      <w:szCs w:val="21"/>
                    </w:rPr>
                  </w:pPr>
                  <w:r>
                    <w:rPr>
                      <w:rFonts w:hint="eastAsia"/>
                      <w:szCs w:val="21"/>
                    </w:rPr>
                    <w:t>1.</w:t>
                  </w:r>
                  <w:r>
                    <w:rPr>
                      <w:szCs w:val="21"/>
                    </w:rPr>
                    <w:t>本项目符合工业园区各项规划及规划环评要求</w:t>
                  </w:r>
                  <w:r>
                    <w:rPr>
                      <w:rFonts w:hint="eastAsia"/>
                      <w:szCs w:val="21"/>
                    </w:rPr>
                    <w:t>；</w:t>
                  </w:r>
                </w:p>
                <w:p w14:paraId="4D8D163F">
                  <w:pPr>
                    <w:pageBreakBefore w:val="0"/>
                    <w:kinsoku/>
                    <w:wordWrap/>
                    <w:topLinePunct w:val="0"/>
                    <w:bidi w:val="0"/>
                    <w:spacing w:line="280" w:lineRule="exact"/>
                    <w:rPr>
                      <w:szCs w:val="21"/>
                    </w:rPr>
                  </w:pPr>
                  <w:r>
                    <w:rPr>
                      <w:rFonts w:hint="eastAsia"/>
                      <w:szCs w:val="21"/>
                    </w:rPr>
                    <w:t>2.本项目</w:t>
                  </w:r>
                  <w:r>
                    <w:rPr>
                      <w:rFonts w:hint="eastAsia"/>
                      <w:bCs/>
                      <w:szCs w:val="21"/>
                    </w:rPr>
                    <w:t>不属于“三高”</w:t>
                  </w:r>
                  <w:r>
                    <w:rPr>
                      <w:rFonts w:hint="eastAsia"/>
                      <w:szCs w:val="21"/>
                    </w:rPr>
                    <w:t>项目。</w:t>
                  </w:r>
                </w:p>
              </w:tc>
              <w:tc>
                <w:tcPr>
                  <w:tcW w:w="527" w:type="pct"/>
                  <w:tcBorders>
                    <w:tl2br w:val="nil"/>
                    <w:tr2bl w:val="nil"/>
                  </w:tcBorders>
                  <w:noWrap w:val="0"/>
                  <w:vAlign w:val="center"/>
                </w:tcPr>
                <w:p w14:paraId="75D2D55A">
                  <w:pPr>
                    <w:pageBreakBefore w:val="0"/>
                    <w:kinsoku/>
                    <w:wordWrap/>
                    <w:topLinePunct w:val="0"/>
                    <w:bidi w:val="0"/>
                    <w:spacing w:line="280" w:lineRule="exact"/>
                    <w:jc w:val="center"/>
                    <w:rPr>
                      <w:szCs w:val="21"/>
                    </w:rPr>
                  </w:pPr>
                  <w:r>
                    <w:rPr>
                      <w:szCs w:val="21"/>
                    </w:rPr>
                    <w:t>符合</w:t>
                  </w:r>
                </w:p>
              </w:tc>
            </w:tr>
            <w:tr w14:paraId="069E13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3" w:type="pct"/>
                  <w:tcBorders>
                    <w:tl2br w:val="nil"/>
                    <w:tr2bl w:val="nil"/>
                  </w:tcBorders>
                  <w:noWrap w:val="0"/>
                  <w:vAlign w:val="center"/>
                </w:tcPr>
                <w:p w14:paraId="794817B4">
                  <w:pPr>
                    <w:pageBreakBefore w:val="0"/>
                    <w:kinsoku/>
                    <w:wordWrap/>
                    <w:topLinePunct w:val="0"/>
                    <w:bidi w:val="0"/>
                    <w:spacing w:line="280" w:lineRule="exact"/>
                    <w:jc w:val="center"/>
                    <w:rPr>
                      <w:szCs w:val="21"/>
                    </w:rPr>
                  </w:pPr>
                  <w:r>
                    <w:rPr>
                      <w:szCs w:val="21"/>
                    </w:rPr>
                    <w:t>污染物排放管控</w:t>
                  </w:r>
                </w:p>
              </w:tc>
              <w:tc>
                <w:tcPr>
                  <w:tcW w:w="2310" w:type="pct"/>
                  <w:tcBorders>
                    <w:tl2br w:val="nil"/>
                    <w:tr2bl w:val="nil"/>
                  </w:tcBorders>
                  <w:noWrap w:val="0"/>
                  <w:vAlign w:val="center"/>
                </w:tcPr>
                <w:p w14:paraId="6F64E8AC">
                  <w:pPr>
                    <w:pageBreakBefore w:val="0"/>
                    <w:kinsoku/>
                    <w:wordWrap/>
                    <w:topLinePunct w:val="0"/>
                    <w:bidi w:val="0"/>
                    <w:spacing w:line="280" w:lineRule="exact"/>
                    <w:rPr>
                      <w:rFonts w:hint="eastAsia" w:ascii="宋体" w:hAnsi="宋体" w:cs="宋体"/>
                      <w:szCs w:val="21"/>
                      <w:lang w:bidi="en-US"/>
                    </w:rPr>
                  </w:pPr>
                  <w:r>
                    <w:rPr>
                      <w:rFonts w:hint="eastAsia" w:ascii="宋体" w:hAnsi="宋体" w:cs="宋体"/>
                      <w:szCs w:val="21"/>
                      <w:lang w:bidi="en-US"/>
                    </w:rPr>
                    <w:t>1.对园区的SO</w:t>
                  </w:r>
                  <w:r>
                    <w:rPr>
                      <w:rFonts w:hint="eastAsia" w:ascii="宋体" w:hAnsi="宋体" w:cs="宋体"/>
                      <w:szCs w:val="21"/>
                      <w:vertAlign w:val="subscript"/>
                      <w:lang w:bidi="en-US"/>
                    </w:rPr>
                    <w:t>2</w:t>
                  </w:r>
                  <w:r>
                    <w:rPr>
                      <w:rFonts w:hint="eastAsia" w:ascii="宋体" w:hAnsi="宋体" w:cs="宋体"/>
                      <w:szCs w:val="21"/>
                      <w:lang w:bidi="en-US"/>
                    </w:rPr>
                    <w:t>、NO</w:t>
                  </w:r>
                  <w:r>
                    <w:rPr>
                      <w:rFonts w:hint="eastAsia" w:ascii="宋体" w:hAnsi="宋体" w:cs="宋体"/>
                      <w:szCs w:val="21"/>
                      <w:vertAlign w:val="subscript"/>
                      <w:lang w:bidi="en-US"/>
                    </w:rPr>
                    <w:t>X</w:t>
                  </w:r>
                  <w:r>
                    <w:rPr>
                      <w:rFonts w:hint="eastAsia" w:ascii="宋体" w:hAnsi="宋体" w:cs="宋体"/>
                      <w:szCs w:val="21"/>
                      <w:lang w:bidi="en-US"/>
                    </w:rPr>
                    <w:t>、烟粉尘和VOCs进行总量控制。</w:t>
                  </w:r>
                </w:p>
                <w:p w14:paraId="160D3352">
                  <w:pPr>
                    <w:pageBreakBefore w:val="0"/>
                    <w:kinsoku/>
                    <w:wordWrap/>
                    <w:topLinePunct w:val="0"/>
                    <w:bidi w:val="0"/>
                    <w:spacing w:line="280" w:lineRule="exact"/>
                    <w:rPr>
                      <w:rFonts w:hint="eastAsia" w:ascii="宋体" w:hAnsi="宋体" w:cs="宋体"/>
                      <w:szCs w:val="21"/>
                      <w:lang w:bidi="en-US"/>
                    </w:rPr>
                  </w:pPr>
                  <w:r>
                    <w:rPr>
                      <w:rFonts w:hint="eastAsia" w:ascii="宋体" w:hAnsi="宋体" w:cs="宋体"/>
                      <w:szCs w:val="21"/>
                      <w:lang w:bidi="en-US"/>
                    </w:rPr>
                    <w:t>2.推进热电联产项目提标改造，确保烟气超低排放。对石灰窑烟气（电石炭料加热尾气）处理实施脱硝改造、水泥熟料生产项目烟气治理实施提标改造。</w:t>
                  </w:r>
                </w:p>
                <w:p w14:paraId="2C033214">
                  <w:pPr>
                    <w:pageBreakBefore w:val="0"/>
                    <w:kinsoku/>
                    <w:wordWrap/>
                    <w:topLinePunct w:val="0"/>
                    <w:bidi w:val="0"/>
                    <w:spacing w:line="280" w:lineRule="exact"/>
                    <w:rPr>
                      <w:rFonts w:hint="eastAsia" w:ascii="宋体" w:hAnsi="宋体" w:cs="宋体"/>
                      <w:szCs w:val="21"/>
                      <w:lang w:bidi="en-US"/>
                    </w:rPr>
                  </w:pPr>
                  <w:r>
                    <w:rPr>
                      <w:rFonts w:hint="eastAsia" w:ascii="宋体" w:hAnsi="宋体" w:cs="宋体"/>
                      <w:szCs w:val="21"/>
                      <w:lang w:bidi="en-US"/>
                    </w:rPr>
                    <w:t>3.加快推进化工行业VOCs综合治理。</w:t>
                  </w:r>
                </w:p>
                <w:p w14:paraId="7057B5AA">
                  <w:pPr>
                    <w:pageBreakBefore w:val="0"/>
                    <w:kinsoku/>
                    <w:wordWrap/>
                    <w:topLinePunct w:val="0"/>
                    <w:bidi w:val="0"/>
                    <w:spacing w:line="280" w:lineRule="exact"/>
                    <w:rPr>
                      <w:rFonts w:hint="eastAsia" w:ascii="宋体" w:hAnsi="宋体" w:cs="宋体"/>
                      <w:szCs w:val="21"/>
                      <w:lang w:bidi="en-US"/>
                    </w:rPr>
                  </w:pPr>
                  <w:r>
                    <w:rPr>
                      <w:rFonts w:hint="eastAsia" w:ascii="宋体" w:hAnsi="宋体" w:cs="宋体"/>
                      <w:szCs w:val="21"/>
                      <w:lang w:bidi="en-US"/>
                    </w:rPr>
                    <w:t>4.加强工艺过程除尘设施配置，全面控制工业烟粉尘排放。煤堆、料堆场建立密闭料仓与传送装置。</w:t>
                  </w:r>
                </w:p>
                <w:p w14:paraId="526316FC">
                  <w:pPr>
                    <w:pageBreakBefore w:val="0"/>
                    <w:kinsoku/>
                    <w:wordWrap/>
                    <w:topLinePunct w:val="0"/>
                    <w:bidi w:val="0"/>
                    <w:spacing w:line="280" w:lineRule="exact"/>
                    <w:rPr>
                      <w:rFonts w:hint="eastAsia" w:ascii="宋体" w:hAnsi="宋体" w:cs="宋体"/>
                      <w:szCs w:val="21"/>
                      <w:lang w:bidi="en-US"/>
                    </w:rPr>
                  </w:pPr>
                  <w:r>
                    <w:rPr>
                      <w:rFonts w:hint="eastAsia" w:ascii="宋体" w:hAnsi="宋体" w:cs="宋体"/>
                      <w:szCs w:val="21"/>
                      <w:lang w:bidi="en-US"/>
                    </w:rPr>
                    <w:t>5.加强对园区内企业的废水、废气中重金属的污染防控措施，严格执行重金属总量控制政策。</w:t>
                  </w:r>
                </w:p>
                <w:p w14:paraId="42C5045C">
                  <w:pPr>
                    <w:pageBreakBefore w:val="0"/>
                    <w:kinsoku/>
                    <w:wordWrap/>
                    <w:topLinePunct w:val="0"/>
                    <w:bidi w:val="0"/>
                    <w:spacing w:line="280" w:lineRule="exact"/>
                    <w:rPr>
                      <w:rFonts w:hint="eastAsia" w:ascii="宋体" w:hAnsi="宋体" w:cs="宋体"/>
                      <w:szCs w:val="21"/>
                    </w:rPr>
                  </w:pPr>
                  <w:r>
                    <w:rPr>
                      <w:rFonts w:hint="eastAsia" w:ascii="宋体" w:hAnsi="宋体" w:cs="宋体"/>
                      <w:szCs w:val="21"/>
                      <w:lang w:bidi="en-US"/>
                    </w:rPr>
                    <w:t>6.推进污水集中处理设施及再生水回用系统；完善污水管网建设，加强对企业排放的污废水的监控，禁止在园内设置排污口。</w:t>
                  </w:r>
                </w:p>
              </w:tc>
              <w:tc>
                <w:tcPr>
                  <w:tcW w:w="1897" w:type="pct"/>
                  <w:tcBorders>
                    <w:tl2br w:val="nil"/>
                    <w:tr2bl w:val="nil"/>
                  </w:tcBorders>
                  <w:noWrap w:val="0"/>
                  <w:vAlign w:val="center"/>
                </w:tcPr>
                <w:p w14:paraId="54AC86A9">
                  <w:pPr>
                    <w:pageBreakBefore w:val="0"/>
                    <w:kinsoku/>
                    <w:wordWrap/>
                    <w:topLinePunct w:val="0"/>
                    <w:bidi w:val="0"/>
                    <w:spacing w:line="280" w:lineRule="exact"/>
                    <w:rPr>
                      <w:rFonts w:hint="eastAsia"/>
                      <w:szCs w:val="21"/>
                    </w:rPr>
                  </w:pPr>
                  <w:r>
                    <w:rPr>
                      <w:rFonts w:hint="eastAsia"/>
                      <w:szCs w:val="21"/>
                    </w:rPr>
                    <w:t>1.</w:t>
                  </w:r>
                  <w:r>
                    <w:rPr>
                      <w:szCs w:val="21"/>
                    </w:rPr>
                    <w:t>本项目</w:t>
                  </w:r>
                  <w:r>
                    <w:rPr>
                      <w:rFonts w:hint="eastAsia"/>
                      <w:szCs w:val="21"/>
                    </w:rPr>
                    <w:t>无废气排放；</w:t>
                  </w:r>
                </w:p>
                <w:p w14:paraId="3D8CB903">
                  <w:pPr>
                    <w:pageBreakBefore w:val="0"/>
                    <w:kinsoku/>
                    <w:wordWrap/>
                    <w:topLinePunct w:val="0"/>
                    <w:bidi w:val="0"/>
                    <w:spacing w:line="280" w:lineRule="exact"/>
                    <w:rPr>
                      <w:rFonts w:hint="eastAsia"/>
                      <w:szCs w:val="21"/>
                    </w:rPr>
                  </w:pPr>
                  <w:r>
                    <w:rPr>
                      <w:rFonts w:hint="eastAsia"/>
                      <w:szCs w:val="21"/>
                    </w:rPr>
                    <w:t>2.本项目不属于热电联产项目，不涉及石灰窑，不属于水泥生产项目；</w:t>
                  </w:r>
                </w:p>
                <w:p w14:paraId="0CF2B0E5">
                  <w:pPr>
                    <w:pageBreakBefore w:val="0"/>
                    <w:kinsoku/>
                    <w:wordWrap/>
                    <w:topLinePunct w:val="0"/>
                    <w:bidi w:val="0"/>
                    <w:spacing w:line="280" w:lineRule="exact"/>
                    <w:rPr>
                      <w:rFonts w:hint="eastAsia"/>
                      <w:szCs w:val="21"/>
                    </w:rPr>
                  </w:pPr>
                  <w:r>
                    <w:rPr>
                      <w:rFonts w:hint="eastAsia"/>
                      <w:szCs w:val="21"/>
                    </w:rPr>
                    <w:t>3.本项目不涉及VOCs排放；</w:t>
                  </w:r>
                </w:p>
                <w:p w14:paraId="48629C7C">
                  <w:pPr>
                    <w:pageBreakBefore w:val="0"/>
                    <w:kinsoku/>
                    <w:wordWrap/>
                    <w:topLinePunct w:val="0"/>
                    <w:bidi w:val="0"/>
                    <w:spacing w:line="280" w:lineRule="exact"/>
                    <w:rPr>
                      <w:rFonts w:hint="eastAsia"/>
                      <w:szCs w:val="21"/>
                    </w:rPr>
                  </w:pPr>
                  <w:r>
                    <w:rPr>
                      <w:rFonts w:hint="eastAsia"/>
                      <w:szCs w:val="21"/>
                    </w:rPr>
                    <w:t>4.本项目运营期无粉尘废气产生；</w:t>
                  </w:r>
                </w:p>
                <w:p w14:paraId="457011A5">
                  <w:pPr>
                    <w:pageBreakBefore w:val="0"/>
                    <w:kinsoku/>
                    <w:wordWrap/>
                    <w:topLinePunct w:val="0"/>
                    <w:bidi w:val="0"/>
                    <w:spacing w:line="280" w:lineRule="exact"/>
                    <w:rPr>
                      <w:rFonts w:hint="eastAsia"/>
                      <w:szCs w:val="21"/>
                    </w:rPr>
                  </w:pPr>
                  <w:r>
                    <w:rPr>
                      <w:rFonts w:hint="eastAsia"/>
                      <w:szCs w:val="21"/>
                    </w:rPr>
                    <w:t>5.本项目不涉及重金属排放；</w:t>
                  </w:r>
                </w:p>
                <w:p w14:paraId="2D2BB2AA">
                  <w:pPr>
                    <w:pageBreakBefore w:val="0"/>
                    <w:kinsoku/>
                    <w:wordWrap/>
                    <w:topLinePunct w:val="0"/>
                    <w:bidi w:val="0"/>
                    <w:spacing w:line="280" w:lineRule="exact"/>
                    <w:rPr>
                      <w:szCs w:val="21"/>
                    </w:rPr>
                  </w:pPr>
                  <w:r>
                    <w:rPr>
                      <w:rFonts w:hint="eastAsia"/>
                      <w:szCs w:val="21"/>
                    </w:rPr>
                    <w:t>6.本项目生活污水和生产废水依托污水处理站处理，出水全部回用。</w:t>
                  </w:r>
                </w:p>
              </w:tc>
              <w:tc>
                <w:tcPr>
                  <w:tcW w:w="527" w:type="pct"/>
                  <w:tcBorders>
                    <w:tl2br w:val="nil"/>
                    <w:tr2bl w:val="nil"/>
                  </w:tcBorders>
                  <w:noWrap w:val="0"/>
                  <w:vAlign w:val="center"/>
                </w:tcPr>
                <w:p w14:paraId="24631B23">
                  <w:pPr>
                    <w:pageBreakBefore w:val="0"/>
                    <w:kinsoku/>
                    <w:wordWrap/>
                    <w:topLinePunct w:val="0"/>
                    <w:bidi w:val="0"/>
                    <w:spacing w:line="280" w:lineRule="exact"/>
                    <w:jc w:val="center"/>
                    <w:rPr>
                      <w:szCs w:val="21"/>
                    </w:rPr>
                  </w:pPr>
                  <w:r>
                    <w:rPr>
                      <w:szCs w:val="21"/>
                    </w:rPr>
                    <w:t>符合</w:t>
                  </w:r>
                </w:p>
              </w:tc>
            </w:tr>
            <w:tr w14:paraId="1DEEAB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3" w:type="pct"/>
                  <w:tcBorders>
                    <w:tl2br w:val="nil"/>
                    <w:tr2bl w:val="nil"/>
                  </w:tcBorders>
                  <w:noWrap w:val="0"/>
                  <w:vAlign w:val="center"/>
                </w:tcPr>
                <w:p w14:paraId="5001CC9F">
                  <w:pPr>
                    <w:pageBreakBefore w:val="0"/>
                    <w:kinsoku/>
                    <w:wordWrap/>
                    <w:topLinePunct w:val="0"/>
                    <w:bidi w:val="0"/>
                    <w:spacing w:line="280" w:lineRule="exact"/>
                    <w:jc w:val="center"/>
                    <w:rPr>
                      <w:szCs w:val="21"/>
                    </w:rPr>
                  </w:pPr>
                  <w:r>
                    <w:rPr>
                      <w:szCs w:val="21"/>
                    </w:rPr>
                    <w:t>环境风险防控</w:t>
                  </w:r>
                </w:p>
              </w:tc>
              <w:tc>
                <w:tcPr>
                  <w:tcW w:w="2310" w:type="pct"/>
                  <w:tcBorders>
                    <w:tl2br w:val="nil"/>
                    <w:tr2bl w:val="nil"/>
                  </w:tcBorders>
                  <w:noWrap w:val="0"/>
                  <w:vAlign w:val="center"/>
                </w:tcPr>
                <w:p w14:paraId="1B3A1CAC">
                  <w:pPr>
                    <w:pageBreakBefore w:val="0"/>
                    <w:kinsoku/>
                    <w:wordWrap/>
                    <w:topLinePunct w:val="0"/>
                    <w:bidi w:val="0"/>
                    <w:spacing w:line="280" w:lineRule="exact"/>
                    <w:rPr>
                      <w:rFonts w:hint="eastAsia" w:ascii="宋体" w:hAnsi="宋体" w:cs="宋体"/>
                      <w:szCs w:val="21"/>
                      <w:lang w:bidi="en-US"/>
                    </w:rPr>
                  </w:pPr>
                  <w:r>
                    <w:rPr>
                      <w:rFonts w:hint="eastAsia" w:ascii="宋体" w:hAnsi="宋体" w:cs="宋体"/>
                      <w:szCs w:val="21"/>
                      <w:lang w:bidi="en-US"/>
                    </w:rPr>
                    <w:t>1.强化有毒有害原辅材料运输、储存、使用等过程的监管；做好厂区、渣场等的分区防渗措施。</w:t>
                  </w:r>
                </w:p>
                <w:p w14:paraId="438AC088">
                  <w:pPr>
                    <w:pageBreakBefore w:val="0"/>
                    <w:kinsoku/>
                    <w:wordWrap/>
                    <w:topLinePunct w:val="0"/>
                    <w:bidi w:val="0"/>
                    <w:spacing w:line="280" w:lineRule="exact"/>
                    <w:rPr>
                      <w:rFonts w:hint="eastAsia" w:ascii="宋体" w:hAnsi="宋体" w:cs="宋体"/>
                      <w:szCs w:val="21"/>
                    </w:rPr>
                  </w:pPr>
                  <w:r>
                    <w:rPr>
                      <w:rFonts w:hint="eastAsia" w:ascii="宋体" w:hAnsi="宋体" w:cs="宋体"/>
                      <w:szCs w:val="21"/>
                      <w:lang w:bidi="en-US"/>
                    </w:rPr>
                    <w:t>2.定期排查废水污染治理设施建设运行情况、并做好防腐防渗措施；园区污水集中处理设施安装自动在线监控装置；加强园区下游的水质监测。</w:t>
                  </w:r>
                </w:p>
              </w:tc>
              <w:tc>
                <w:tcPr>
                  <w:tcW w:w="1897" w:type="pct"/>
                  <w:tcBorders>
                    <w:tl2br w:val="nil"/>
                    <w:tr2bl w:val="nil"/>
                  </w:tcBorders>
                  <w:noWrap w:val="0"/>
                  <w:vAlign w:val="center"/>
                </w:tcPr>
                <w:p w14:paraId="470801EC">
                  <w:pPr>
                    <w:pageBreakBefore w:val="0"/>
                    <w:kinsoku/>
                    <w:wordWrap/>
                    <w:topLinePunct w:val="0"/>
                    <w:bidi w:val="0"/>
                    <w:spacing w:line="280" w:lineRule="exact"/>
                    <w:rPr>
                      <w:rFonts w:hint="eastAsia"/>
                      <w:szCs w:val="21"/>
                    </w:rPr>
                  </w:pPr>
                  <w:r>
                    <w:rPr>
                      <w:rFonts w:hint="eastAsia"/>
                      <w:szCs w:val="21"/>
                    </w:rPr>
                    <w:t>1.</w:t>
                  </w:r>
                  <w:r>
                    <w:rPr>
                      <w:szCs w:val="21"/>
                    </w:rPr>
                    <w:t>本项目</w:t>
                  </w:r>
                  <w:r>
                    <w:rPr>
                      <w:rFonts w:hint="eastAsia"/>
                      <w:szCs w:val="21"/>
                    </w:rPr>
                    <w:t>制定分区防渗措施；</w:t>
                  </w:r>
                </w:p>
                <w:p w14:paraId="39A3000B">
                  <w:pPr>
                    <w:pageBreakBefore w:val="0"/>
                    <w:kinsoku/>
                    <w:wordWrap/>
                    <w:topLinePunct w:val="0"/>
                    <w:bidi w:val="0"/>
                    <w:spacing w:line="280" w:lineRule="exact"/>
                    <w:rPr>
                      <w:szCs w:val="21"/>
                    </w:rPr>
                  </w:pPr>
                  <w:r>
                    <w:rPr>
                      <w:rFonts w:hint="eastAsia"/>
                      <w:szCs w:val="21"/>
                    </w:rPr>
                    <w:t>2.本项目运营期定期</w:t>
                  </w:r>
                  <w:r>
                    <w:rPr>
                      <w:rFonts w:hint="eastAsia" w:ascii="宋体" w:hAnsi="宋体" w:cs="宋体"/>
                      <w:szCs w:val="21"/>
                      <w:lang w:bidi="en-US"/>
                    </w:rPr>
                    <w:t>排查废水污染治理设施建设运行情况、并做好防腐防渗措施。</w:t>
                  </w:r>
                  <w:r>
                    <w:rPr>
                      <w:szCs w:val="21"/>
                    </w:rPr>
                    <w:t>符合</w:t>
                  </w:r>
                  <w:r>
                    <w:rPr>
                      <w:rFonts w:hint="eastAsia"/>
                      <w:szCs w:val="21"/>
                    </w:rPr>
                    <w:t>管控单元环境风险防控要求。</w:t>
                  </w:r>
                </w:p>
              </w:tc>
              <w:tc>
                <w:tcPr>
                  <w:tcW w:w="527" w:type="pct"/>
                  <w:tcBorders>
                    <w:tl2br w:val="nil"/>
                    <w:tr2bl w:val="nil"/>
                  </w:tcBorders>
                  <w:noWrap w:val="0"/>
                  <w:vAlign w:val="center"/>
                </w:tcPr>
                <w:p w14:paraId="207C2E98">
                  <w:pPr>
                    <w:pageBreakBefore w:val="0"/>
                    <w:kinsoku/>
                    <w:wordWrap/>
                    <w:topLinePunct w:val="0"/>
                    <w:bidi w:val="0"/>
                    <w:spacing w:line="280" w:lineRule="exact"/>
                    <w:jc w:val="center"/>
                    <w:rPr>
                      <w:szCs w:val="21"/>
                    </w:rPr>
                  </w:pPr>
                  <w:r>
                    <w:rPr>
                      <w:szCs w:val="21"/>
                    </w:rPr>
                    <w:t>符合</w:t>
                  </w:r>
                </w:p>
              </w:tc>
            </w:tr>
            <w:tr w14:paraId="0CCDA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63" w:type="pct"/>
                  <w:tcBorders>
                    <w:tl2br w:val="nil"/>
                    <w:tr2bl w:val="nil"/>
                  </w:tcBorders>
                  <w:noWrap w:val="0"/>
                  <w:vAlign w:val="center"/>
                </w:tcPr>
                <w:p w14:paraId="50B3E3CD">
                  <w:pPr>
                    <w:pageBreakBefore w:val="0"/>
                    <w:kinsoku/>
                    <w:wordWrap/>
                    <w:topLinePunct w:val="0"/>
                    <w:bidi w:val="0"/>
                    <w:spacing w:line="280" w:lineRule="exact"/>
                    <w:jc w:val="center"/>
                    <w:rPr>
                      <w:szCs w:val="21"/>
                    </w:rPr>
                  </w:pPr>
                  <w:r>
                    <w:rPr>
                      <w:szCs w:val="21"/>
                    </w:rPr>
                    <w:t>资源利用效率</w:t>
                  </w:r>
                </w:p>
              </w:tc>
              <w:tc>
                <w:tcPr>
                  <w:tcW w:w="2310" w:type="pct"/>
                  <w:tcBorders>
                    <w:tl2br w:val="nil"/>
                    <w:tr2bl w:val="nil"/>
                  </w:tcBorders>
                  <w:noWrap w:val="0"/>
                  <w:vAlign w:val="center"/>
                </w:tcPr>
                <w:p w14:paraId="631736BF">
                  <w:pPr>
                    <w:pageBreakBefore w:val="0"/>
                    <w:kinsoku/>
                    <w:wordWrap/>
                    <w:topLinePunct w:val="0"/>
                    <w:bidi w:val="0"/>
                    <w:spacing w:line="280" w:lineRule="exact"/>
                    <w:rPr>
                      <w:rFonts w:hint="eastAsia" w:ascii="宋体" w:hAnsi="宋体" w:cs="宋体"/>
                      <w:szCs w:val="21"/>
                      <w:lang w:bidi="en-US"/>
                    </w:rPr>
                  </w:pPr>
                  <w:r>
                    <w:rPr>
                      <w:rFonts w:hint="eastAsia" w:ascii="宋体" w:hAnsi="宋体" w:cs="宋体"/>
                      <w:szCs w:val="21"/>
                      <w:lang w:bidi="en-US"/>
                    </w:rPr>
                    <w:t>1.严把耗煤新项目准入关，控制煤炭消费总量。</w:t>
                  </w:r>
                </w:p>
                <w:p w14:paraId="4DB161AD">
                  <w:pPr>
                    <w:pageBreakBefore w:val="0"/>
                    <w:kinsoku/>
                    <w:wordWrap/>
                    <w:topLinePunct w:val="0"/>
                    <w:bidi w:val="0"/>
                    <w:spacing w:line="280" w:lineRule="exact"/>
                    <w:rPr>
                      <w:rFonts w:hint="eastAsia" w:ascii="宋体" w:hAnsi="宋体" w:cs="宋体"/>
                      <w:szCs w:val="21"/>
                      <w:lang w:bidi="en-US"/>
                    </w:rPr>
                  </w:pPr>
                  <w:r>
                    <w:rPr>
                      <w:rFonts w:hint="eastAsia" w:ascii="宋体" w:hAnsi="宋体" w:cs="宋体"/>
                      <w:szCs w:val="21"/>
                      <w:lang w:bidi="en-US"/>
                    </w:rPr>
                    <w:t>2.严格实施用水管理。新建、改建、扩建项目用水要达到行业先进水平，节水设施应与主体工程同时设计、同时施工、同时投运。</w:t>
                  </w:r>
                </w:p>
                <w:p w14:paraId="33C2DC24">
                  <w:pPr>
                    <w:pageBreakBefore w:val="0"/>
                    <w:kinsoku/>
                    <w:wordWrap/>
                    <w:topLinePunct w:val="0"/>
                    <w:bidi w:val="0"/>
                    <w:spacing w:line="280" w:lineRule="exact"/>
                    <w:rPr>
                      <w:rFonts w:hint="eastAsia" w:ascii="宋体" w:hAnsi="宋体" w:cs="宋体"/>
                      <w:szCs w:val="21"/>
                    </w:rPr>
                  </w:pPr>
                  <w:r>
                    <w:rPr>
                      <w:rFonts w:hint="eastAsia" w:ascii="宋体" w:hAnsi="宋体" w:cs="宋体"/>
                      <w:szCs w:val="21"/>
                      <w:lang w:bidi="en-US"/>
                    </w:rPr>
                    <w:t>3.采取高效节水措施，提高工业用水效率。</w:t>
                  </w:r>
                </w:p>
              </w:tc>
              <w:tc>
                <w:tcPr>
                  <w:tcW w:w="1897" w:type="pct"/>
                  <w:tcBorders>
                    <w:tl2br w:val="nil"/>
                    <w:tr2bl w:val="nil"/>
                  </w:tcBorders>
                  <w:noWrap w:val="0"/>
                  <w:vAlign w:val="center"/>
                </w:tcPr>
                <w:p w14:paraId="2A3EF46F">
                  <w:pPr>
                    <w:pageBreakBefore w:val="0"/>
                    <w:kinsoku/>
                    <w:wordWrap/>
                    <w:topLinePunct w:val="0"/>
                    <w:bidi w:val="0"/>
                    <w:spacing w:line="280" w:lineRule="exact"/>
                    <w:rPr>
                      <w:rFonts w:hint="eastAsia"/>
                      <w:szCs w:val="21"/>
                    </w:rPr>
                  </w:pPr>
                  <w:r>
                    <w:rPr>
                      <w:rFonts w:hint="eastAsia"/>
                      <w:szCs w:val="21"/>
                    </w:rPr>
                    <w:t>1.本项目不消耗煤；</w:t>
                  </w:r>
                </w:p>
                <w:p w14:paraId="2A1342AD">
                  <w:pPr>
                    <w:pageBreakBefore w:val="0"/>
                    <w:kinsoku/>
                    <w:wordWrap/>
                    <w:topLinePunct w:val="0"/>
                    <w:bidi w:val="0"/>
                    <w:spacing w:line="280" w:lineRule="exact"/>
                    <w:rPr>
                      <w:rFonts w:hint="eastAsia"/>
                      <w:szCs w:val="21"/>
                    </w:rPr>
                  </w:pPr>
                  <w:r>
                    <w:rPr>
                      <w:rFonts w:hint="eastAsia"/>
                      <w:szCs w:val="21"/>
                    </w:rPr>
                    <w:t>2.本项目仅涉及循环水消耗，耗水量可达到行业先进水平；</w:t>
                  </w:r>
                </w:p>
                <w:p w14:paraId="31347739">
                  <w:pPr>
                    <w:pageBreakBefore w:val="0"/>
                    <w:kinsoku/>
                    <w:wordWrap/>
                    <w:topLinePunct w:val="0"/>
                    <w:bidi w:val="0"/>
                    <w:spacing w:line="280" w:lineRule="exact"/>
                    <w:rPr>
                      <w:szCs w:val="21"/>
                    </w:rPr>
                  </w:pPr>
                  <w:r>
                    <w:rPr>
                      <w:rFonts w:hint="eastAsia"/>
                      <w:szCs w:val="21"/>
                    </w:rPr>
                    <w:t>3.本项目冷却循环水利用效率可达到行业先进水平</w:t>
                  </w:r>
                </w:p>
              </w:tc>
              <w:tc>
                <w:tcPr>
                  <w:tcW w:w="527" w:type="pct"/>
                  <w:tcBorders>
                    <w:tl2br w:val="nil"/>
                    <w:tr2bl w:val="nil"/>
                  </w:tcBorders>
                  <w:noWrap w:val="0"/>
                  <w:vAlign w:val="center"/>
                </w:tcPr>
                <w:p w14:paraId="7CAA031D">
                  <w:pPr>
                    <w:pageBreakBefore w:val="0"/>
                    <w:kinsoku/>
                    <w:wordWrap/>
                    <w:topLinePunct w:val="0"/>
                    <w:bidi w:val="0"/>
                    <w:spacing w:line="280" w:lineRule="exact"/>
                    <w:jc w:val="center"/>
                    <w:rPr>
                      <w:szCs w:val="21"/>
                    </w:rPr>
                  </w:pPr>
                  <w:r>
                    <w:rPr>
                      <w:szCs w:val="21"/>
                    </w:rPr>
                    <w:t>符合</w:t>
                  </w:r>
                </w:p>
              </w:tc>
            </w:tr>
          </w:tbl>
          <w:p w14:paraId="2E720559">
            <w:pPr>
              <w:pageBreakBefore w:val="0"/>
              <w:kinsoku/>
              <w:wordWrap/>
              <w:topLinePunct w:val="0"/>
              <w:autoSpaceDE w:val="0"/>
              <w:autoSpaceDN w:val="0"/>
              <w:bidi w:val="0"/>
              <w:spacing w:line="360" w:lineRule="auto"/>
              <w:ind w:firstLine="482" w:firstLineChars="200"/>
              <w:rPr>
                <w:sz w:val="24"/>
              </w:rPr>
            </w:pPr>
            <w:r>
              <w:rPr>
                <w:rFonts w:hint="eastAsia"/>
                <w:b/>
                <w:bCs/>
                <w:sz w:val="24"/>
              </w:rPr>
              <w:t>4 与《关于印发〈新疆维吾尔自治区七大片区“三线一单”生态环境分区管控要求〉（2021年版）的通知》符合性分析</w:t>
            </w:r>
          </w:p>
          <w:p w14:paraId="2C1D3E80">
            <w:pPr>
              <w:pStyle w:val="18"/>
              <w:keepNext w:val="0"/>
              <w:keepLines w:val="0"/>
              <w:pageBreakBefore w:val="0"/>
              <w:widowControl w:val="0"/>
              <w:kinsoku/>
              <w:wordWrap/>
              <w:overflowPunct w:val="0"/>
              <w:topLinePunct w:val="0"/>
              <w:autoSpaceDE/>
              <w:autoSpaceDN/>
              <w:bidi w:val="0"/>
              <w:adjustRightInd/>
              <w:snapToGrid/>
              <w:textAlignment w:val="auto"/>
              <w:rPr>
                <w:spacing w:val="0"/>
                <w:sz w:val="24"/>
              </w:rPr>
            </w:pPr>
            <w:r>
              <w:rPr>
                <w:rFonts w:hint="eastAsia"/>
                <w:spacing w:val="0"/>
                <w:sz w:val="24"/>
              </w:rPr>
              <w:t>本项目建设区域属于一般管控单元，项目与《自治区生态环境分区管控方案和七大片区管控要求》中一般管控单元</w:t>
            </w:r>
            <w:r>
              <w:rPr>
                <w:spacing w:val="0"/>
                <w:sz w:val="24"/>
              </w:rPr>
              <w:t>符合性分析见</w:t>
            </w:r>
            <w:r>
              <w:rPr>
                <w:rFonts w:hint="eastAsia"/>
                <w:spacing w:val="0"/>
                <w:sz w:val="24"/>
                <w:lang w:val="en-US" w:eastAsia="zh-CN"/>
              </w:rPr>
              <w:t>下</w:t>
            </w:r>
            <w:r>
              <w:rPr>
                <w:spacing w:val="0"/>
                <w:sz w:val="24"/>
              </w:rPr>
              <w:t>表</w:t>
            </w:r>
            <w:r>
              <w:rPr>
                <w:rFonts w:hint="eastAsia"/>
                <w:spacing w:val="0"/>
                <w:sz w:val="24"/>
              </w:rPr>
              <w:t>。</w:t>
            </w:r>
          </w:p>
          <w:p w14:paraId="6A76CB99">
            <w:pPr>
              <w:pageBreakBefore w:val="0"/>
              <w:kinsoku/>
              <w:wordWrap/>
              <w:topLinePunct w:val="0"/>
              <w:autoSpaceDE w:val="0"/>
              <w:autoSpaceDN w:val="0"/>
              <w:bidi w:val="0"/>
              <w:spacing w:line="360" w:lineRule="auto"/>
              <w:jc w:val="center"/>
              <w:rPr>
                <w:sz w:val="24"/>
              </w:rPr>
            </w:pPr>
            <w:r>
              <w:rPr>
                <w:rFonts w:eastAsia="黑体"/>
                <w:szCs w:val="21"/>
              </w:rPr>
              <w:t>表1-</w:t>
            </w:r>
            <w:r>
              <w:rPr>
                <w:rFonts w:hint="eastAsia" w:eastAsia="黑体"/>
                <w:szCs w:val="21"/>
              </w:rPr>
              <w:t xml:space="preserve">2 </w:t>
            </w:r>
            <w:r>
              <w:rPr>
                <w:rFonts w:eastAsia="黑体"/>
                <w:szCs w:val="21"/>
              </w:rPr>
              <w:t xml:space="preserve"> </w:t>
            </w:r>
            <w:r>
              <w:rPr>
                <w:rFonts w:hint="eastAsia" w:eastAsia="黑体"/>
                <w:szCs w:val="21"/>
              </w:rPr>
              <w:t>一般环境管控单元分类管控要求</w:t>
            </w:r>
          </w:p>
          <w:tbl>
            <w:tblPr>
              <w:tblStyle w:val="14"/>
              <w:tblW w:w="714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08"/>
              <w:gridCol w:w="4135"/>
              <w:gridCol w:w="1568"/>
              <w:gridCol w:w="732"/>
            </w:tblGrid>
            <w:tr w14:paraId="57545D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843" w:type="dxa"/>
                  <w:gridSpan w:val="2"/>
                  <w:noWrap w:val="0"/>
                  <w:vAlign w:val="center"/>
                </w:tcPr>
                <w:p w14:paraId="1CF181ED">
                  <w:pPr>
                    <w:pageBreakBefore w:val="0"/>
                    <w:kinsoku/>
                    <w:wordWrap/>
                    <w:topLinePunct w:val="0"/>
                    <w:autoSpaceDE w:val="0"/>
                    <w:autoSpaceDN w:val="0"/>
                    <w:bidi w:val="0"/>
                    <w:spacing w:line="280" w:lineRule="exact"/>
                    <w:jc w:val="center"/>
                    <w:rPr>
                      <w:szCs w:val="21"/>
                    </w:rPr>
                  </w:pPr>
                  <w:r>
                    <w:rPr>
                      <w:rFonts w:hint="eastAsia"/>
                      <w:b/>
                      <w:bCs/>
                      <w:szCs w:val="21"/>
                    </w:rPr>
                    <w:t>管控要求</w:t>
                  </w:r>
                </w:p>
              </w:tc>
              <w:tc>
                <w:tcPr>
                  <w:tcW w:w="1568" w:type="dxa"/>
                  <w:noWrap w:val="0"/>
                  <w:vAlign w:val="center"/>
                </w:tcPr>
                <w:p w14:paraId="35E93142">
                  <w:pPr>
                    <w:pageBreakBefore w:val="0"/>
                    <w:kinsoku/>
                    <w:wordWrap/>
                    <w:topLinePunct w:val="0"/>
                    <w:autoSpaceDE w:val="0"/>
                    <w:autoSpaceDN w:val="0"/>
                    <w:bidi w:val="0"/>
                    <w:spacing w:line="280" w:lineRule="exact"/>
                    <w:jc w:val="center"/>
                    <w:rPr>
                      <w:szCs w:val="21"/>
                    </w:rPr>
                  </w:pPr>
                  <w:r>
                    <w:rPr>
                      <w:b/>
                      <w:bCs/>
                      <w:kern w:val="0"/>
                      <w:szCs w:val="21"/>
                    </w:rPr>
                    <w:t>项目现状</w:t>
                  </w:r>
                </w:p>
              </w:tc>
              <w:tc>
                <w:tcPr>
                  <w:tcW w:w="732" w:type="dxa"/>
                  <w:noWrap w:val="0"/>
                  <w:vAlign w:val="center"/>
                </w:tcPr>
                <w:p w14:paraId="74D6FD7A">
                  <w:pPr>
                    <w:pageBreakBefore w:val="0"/>
                    <w:kinsoku/>
                    <w:wordWrap/>
                    <w:topLinePunct w:val="0"/>
                    <w:autoSpaceDE w:val="0"/>
                    <w:autoSpaceDN w:val="0"/>
                    <w:bidi w:val="0"/>
                    <w:spacing w:line="280" w:lineRule="exact"/>
                    <w:jc w:val="center"/>
                    <w:rPr>
                      <w:szCs w:val="21"/>
                    </w:rPr>
                  </w:pPr>
                  <w:r>
                    <w:rPr>
                      <w:b/>
                      <w:bCs/>
                      <w:kern w:val="0"/>
                      <w:szCs w:val="21"/>
                    </w:rPr>
                    <w:t>符合性</w:t>
                  </w:r>
                </w:p>
              </w:tc>
            </w:tr>
            <w:tr w14:paraId="044A9D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noWrap w:val="0"/>
                  <w:vAlign w:val="center"/>
                </w:tcPr>
                <w:p w14:paraId="615F966E">
                  <w:pPr>
                    <w:pageBreakBefore w:val="0"/>
                    <w:kinsoku/>
                    <w:wordWrap/>
                    <w:topLinePunct w:val="0"/>
                    <w:autoSpaceDE w:val="0"/>
                    <w:autoSpaceDN w:val="0"/>
                    <w:bidi w:val="0"/>
                    <w:spacing w:line="280" w:lineRule="exact"/>
                    <w:jc w:val="center"/>
                    <w:rPr>
                      <w:szCs w:val="21"/>
                    </w:rPr>
                  </w:pPr>
                  <w:r>
                    <w:rPr>
                      <w:szCs w:val="21"/>
                    </w:rPr>
                    <w:t>A7.1</w:t>
                  </w:r>
                </w:p>
                <w:p w14:paraId="6B26E74C">
                  <w:pPr>
                    <w:pageBreakBefore w:val="0"/>
                    <w:kinsoku/>
                    <w:wordWrap/>
                    <w:topLinePunct w:val="0"/>
                    <w:autoSpaceDE w:val="0"/>
                    <w:autoSpaceDN w:val="0"/>
                    <w:bidi w:val="0"/>
                    <w:spacing w:line="280" w:lineRule="exact"/>
                    <w:jc w:val="center"/>
                    <w:rPr>
                      <w:szCs w:val="21"/>
                    </w:rPr>
                  </w:pPr>
                  <w:r>
                    <w:rPr>
                      <w:szCs w:val="21"/>
                    </w:rPr>
                    <w:t>空间</w:t>
                  </w:r>
                </w:p>
                <w:p w14:paraId="3A449014">
                  <w:pPr>
                    <w:pageBreakBefore w:val="0"/>
                    <w:kinsoku/>
                    <w:wordWrap/>
                    <w:topLinePunct w:val="0"/>
                    <w:autoSpaceDE w:val="0"/>
                    <w:autoSpaceDN w:val="0"/>
                    <w:bidi w:val="0"/>
                    <w:spacing w:line="280" w:lineRule="exact"/>
                    <w:jc w:val="center"/>
                    <w:rPr>
                      <w:szCs w:val="21"/>
                    </w:rPr>
                  </w:pPr>
                  <w:r>
                    <w:rPr>
                      <w:szCs w:val="21"/>
                    </w:rPr>
                    <w:t>布局</w:t>
                  </w:r>
                </w:p>
                <w:p w14:paraId="6AEDC1BC">
                  <w:pPr>
                    <w:pageBreakBefore w:val="0"/>
                    <w:kinsoku/>
                    <w:wordWrap/>
                    <w:topLinePunct w:val="0"/>
                    <w:autoSpaceDE w:val="0"/>
                    <w:autoSpaceDN w:val="0"/>
                    <w:bidi w:val="0"/>
                    <w:spacing w:line="280" w:lineRule="exact"/>
                    <w:jc w:val="center"/>
                    <w:rPr>
                      <w:szCs w:val="21"/>
                    </w:rPr>
                  </w:pPr>
                  <w:r>
                    <w:rPr>
                      <w:szCs w:val="21"/>
                    </w:rPr>
                    <w:t>约束</w:t>
                  </w:r>
                </w:p>
              </w:tc>
              <w:tc>
                <w:tcPr>
                  <w:tcW w:w="4135" w:type="dxa"/>
                  <w:noWrap w:val="0"/>
                  <w:vAlign w:val="center"/>
                </w:tcPr>
                <w:p w14:paraId="00D8DDAF">
                  <w:pPr>
                    <w:pageBreakBefore w:val="0"/>
                    <w:kinsoku/>
                    <w:wordWrap/>
                    <w:topLinePunct w:val="0"/>
                    <w:autoSpaceDE w:val="0"/>
                    <w:autoSpaceDN w:val="0"/>
                    <w:bidi w:val="0"/>
                    <w:spacing w:line="280" w:lineRule="exact"/>
                    <w:jc w:val="center"/>
                    <w:rPr>
                      <w:szCs w:val="21"/>
                    </w:rPr>
                  </w:pPr>
                  <w:r>
                    <w:rPr>
                      <w:szCs w:val="21"/>
                    </w:rPr>
                    <w:t>【A7.1-1】限制进行大规模高强度工业化城镇化开发，严格控制金属冶炼、石油化工、焦化等“高污染、高环境风险产品”工业项目，原则上不增加产能，现有“高污染、高环境风险产品”工业项目持续削减污染物排放总量并严格控制环境风险。原则上禁止建设涉及一类重金属、持久性有机污染物排放的工业项目。建立集镇居住商业区、耕地保护区与工业功能区等集聚区块之间的防护带。严格执行畜禽养殖禁养区规定，根据区域用地和消纳水平，合理确定养殖规模。加强基本农田保护，严格限制非农项目占用耕地。</w:t>
                  </w:r>
                </w:p>
              </w:tc>
              <w:tc>
                <w:tcPr>
                  <w:tcW w:w="1568" w:type="dxa"/>
                  <w:noWrap w:val="0"/>
                  <w:vAlign w:val="center"/>
                </w:tcPr>
                <w:p w14:paraId="40796111">
                  <w:pPr>
                    <w:pageBreakBefore w:val="0"/>
                    <w:kinsoku/>
                    <w:wordWrap/>
                    <w:topLinePunct w:val="0"/>
                    <w:autoSpaceDE w:val="0"/>
                    <w:autoSpaceDN w:val="0"/>
                    <w:bidi w:val="0"/>
                    <w:spacing w:line="280" w:lineRule="exact"/>
                    <w:jc w:val="center"/>
                    <w:rPr>
                      <w:szCs w:val="21"/>
                    </w:rPr>
                  </w:pPr>
                  <w:r>
                    <w:rPr>
                      <w:rFonts w:hint="eastAsia"/>
                      <w:szCs w:val="21"/>
                    </w:rPr>
                    <w:t>本项目不属于“三高”类项目，项目选址远离集镇居住商业区，选址属于不具放牧能力的荒草地，周边无耕地及农田，不属于养殖类项目。</w:t>
                  </w:r>
                </w:p>
              </w:tc>
              <w:tc>
                <w:tcPr>
                  <w:tcW w:w="732" w:type="dxa"/>
                  <w:noWrap w:val="0"/>
                  <w:vAlign w:val="center"/>
                </w:tcPr>
                <w:p w14:paraId="0034F3B6">
                  <w:pPr>
                    <w:pageBreakBefore w:val="0"/>
                    <w:kinsoku/>
                    <w:wordWrap/>
                    <w:topLinePunct w:val="0"/>
                    <w:autoSpaceDE w:val="0"/>
                    <w:autoSpaceDN w:val="0"/>
                    <w:bidi w:val="0"/>
                    <w:spacing w:line="280" w:lineRule="exact"/>
                    <w:jc w:val="center"/>
                    <w:rPr>
                      <w:szCs w:val="21"/>
                    </w:rPr>
                  </w:pPr>
                  <w:r>
                    <w:rPr>
                      <w:rFonts w:hint="eastAsia"/>
                      <w:szCs w:val="21"/>
                    </w:rPr>
                    <w:t>符合</w:t>
                  </w:r>
                </w:p>
              </w:tc>
            </w:tr>
            <w:tr w14:paraId="7234E2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noWrap w:val="0"/>
                  <w:vAlign w:val="center"/>
                </w:tcPr>
                <w:p w14:paraId="1C73CDC4">
                  <w:pPr>
                    <w:pageBreakBefore w:val="0"/>
                    <w:kinsoku/>
                    <w:wordWrap/>
                    <w:topLinePunct w:val="0"/>
                    <w:autoSpaceDE w:val="0"/>
                    <w:autoSpaceDN w:val="0"/>
                    <w:bidi w:val="0"/>
                    <w:spacing w:line="280" w:lineRule="exact"/>
                    <w:jc w:val="center"/>
                    <w:rPr>
                      <w:rFonts w:hint="eastAsia"/>
                      <w:szCs w:val="21"/>
                    </w:rPr>
                  </w:pPr>
                  <w:r>
                    <w:rPr>
                      <w:rFonts w:hint="eastAsia"/>
                      <w:szCs w:val="21"/>
                    </w:rPr>
                    <w:t>A7.2</w:t>
                  </w:r>
                </w:p>
                <w:p w14:paraId="0BF37EA1">
                  <w:pPr>
                    <w:pageBreakBefore w:val="0"/>
                    <w:kinsoku/>
                    <w:wordWrap/>
                    <w:topLinePunct w:val="0"/>
                    <w:autoSpaceDE w:val="0"/>
                    <w:autoSpaceDN w:val="0"/>
                    <w:bidi w:val="0"/>
                    <w:spacing w:line="280" w:lineRule="exact"/>
                    <w:jc w:val="center"/>
                    <w:rPr>
                      <w:rFonts w:hint="eastAsia"/>
                      <w:szCs w:val="21"/>
                    </w:rPr>
                  </w:pPr>
                  <w:r>
                    <w:rPr>
                      <w:rFonts w:hint="eastAsia"/>
                      <w:szCs w:val="21"/>
                    </w:rPr>
                    <w:t>污染物</w:t>
                  </w:r>
                </w:p>
                <w:p w14:paraId="69949385">
                  <w:pPr>
                    <w:pageBreakBefore w:val="0"/>
                    <w:kinsoku/>
                    <w:wordWrap/>
                    <w:topLinePunct w:val="0"/>
                    <w:autoSpaceDE w:val="0"/>
                    <w:autoSpaceDN w:val="0"/>
                    <w:bidi w:val="0"/>
                    <w:spacing w:line="280" w:lineRule="exact"/>
                    <w:jc w:val="center"/>
                    <w:rPr>
                      <w:rFonts w:hint="eastAsia"/>
                      <w:szCs w:val="21"/>
                    </w:rPr>
                  </w:pPr>
                  <w:r>
                    <w:rPr>
                      <w:rFonts w:hint="eastAsia"/>
                      <w:szCs w:val="21"/>
                    </w:rPr>
                    <w:t>排放</w:t>
                  </w:r>
                </w:p>
                <w:p w14:paraId="1C4D9AFF">
                  <w:pPr>
                    <w:pageBreakBefore w:val="0"/>
                    <w:kinsoku/>
                    <w:wordWrap/>
                    <w:topLinePunct w:val="0"/>
                    <w:autoSpaceDE w:val="0"/>
                    <w:autoSpaceDN w:val="0"/>
                    <w:bidi w:val="0"/>
                    <w:spacing w:line="280" w:lineRule="exact"/>
                    <w:jc w:val="center"/>
                    <w:rPr>
                      <w:szCs w:val="21"/>
                    </w:rPr>
                  </w:pPr>
                  <w:r>
                    <w:rPr>
                      <w:rFonts w:hint="eastAsia"/>
                      <w:szCs w:val="21"/>
                    </w:rPr>
                    <w:t>管控</w:t>
                  </w:r>
                </w:p>
              </w:tc>
              <w:tc>
                <w:tcPr>
                  <w:tcW w:w="4135" w:type="dxa"/>
                  <w:noWrap w:val="0"/>
                  <w:vAlign w:val="center"/>
                </w:tcPr>
                <w:p w14:paraId="1F4DB7C9">
                  <w:pPr>
                    <w:pageBreakBefore w:val="0"/>
                    <w:kinsoku/>
                    <w:wordWrap/>
                    <w:topLinePunct w:val="0"/>
                    <w:autoSpaceDE w:val="0"/>
                    <w:autoSpaceDN w:val="0"/>
                    <w:bidi w:val="0"/>
                    <w:spacing w:line="280" w:lineRule="exact"/>
                    <w:jc w:val="center"/>
                    <w:rPr>
                      <w:szCs w:val="21"/>
                    </w:rPr>
                  </w:pPr>
                  <w:r>
                    <w:rPr>
                      <w:szCs w:val="21"/>
                    </w:rPr>
                    <w:t>【A7.2-1】落实污染物总量控制制度，根据区域环境质量改善目标，削减污染物排放总量。加强农业面源污染治理，严格控制化肥农药施加量，逐步削减农业面源污染物排放量。</w:t>
                  </w:r>
                </w:p>
              </w:tc>
              <w:tc>
                <w:tcPr>
                  <w:tcW w:w="1568" w:type="dxa"/>
                  <w:noWrap w:val="0"/>
                  <w:vAlign w:val="center"/>
                </w:tcPr>
                <w:p w14:paraId="450223B3">
                  <w:pPr>
                    <w:pageBreakBefore w:val="0"/>
                    <w:kinsoku/>
                    <w:wordWrap/>
                    <w:topLinePunct w:val="0"/>
                    <w:autoSpaceDE w:val="0"/>
                    <w:autoSpaceDN w:val="0"/>
                    <w:bidi w:val="0"/>
                    <w:spacing w:line="280" w:lineRule="exact"/>
                    <w:jc w:val="center"/>
                    <w:rPr>
                      <w:szCs w:val="21"/>
                    </w:rPr>
                  </w:pPr>
                  <w:r>
                    <w:rPr>
                      <w:rFonts w:hint="eastAsia"/>
                      <w:szCs w:val="21"/>
                    </w:rPr>
                    <w:t>本项目不涉及总量控制污染物排放，运营期无农业污染物产生。</w:t>
                  </w:r>
                </w:p>
              </w:tc>
              <w:tc>
                <w:tcPr>
                  <w:tcW w:w="732" w:type="dxa"/>
                  <w:noWrap w:val="0"/>
                  <w:vAlign w:val="center"/>
                </w:tcPr>
                <w:p w14:paraId="505D57CF">
                  <w:pPr>
                    <w:pageBreakBefore w:val="0"/>
                    <w:kinsoku/>
                    <w:wordWrap/>
                    <w:topLinePunct w:val="0"/>
                    <w:autoSpaceDE w:val="0"/>
                    <w:autoSpaceDN w:val="0"/>
                    <w:bidi w:val="0"/>
                    <w:spacing w:line="280" w:lineRule="exact"/>
                    <w:jc w:val="center"/>
                    <w:rPr>
                      <w:szCs w:val="21"/>
                    </w:rPr>
                  </w:pPr>
                  <w:r>
                    <w:rPr>
                      <w:rFonts w:hint="eastAsia"/>
                      <w:szCs w:val="21"/>
                    </w:rPr>
                    <w:t>符合</w:t>
                  </w:r>
                </w:p>
              </w:tc>
            </w:tr>
            <w:tr w14:paraId="0F00A1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noWrap w:val="0"/>
                  <w:vAlign w:val="center"/>
                </w:tcPr>
                <w:p w14:paraId="7C7C2B4C">
                  <w:pPr>
                    <w:pageBreakBefore w:val="0"/>
                    <w:kinsoku/>
                    <w:wordWrap/>
                    <w:topLinePunct w:val="0"/>
                    <w:autoSpaceDE w:val="0"/>
                    <w:autoSpaceDN w:val="0"/>
                    <w:bidi w:val="0"/>
                    <w:spacing w:line="280" w:lineRule="exact"/>
                    <w:jc w:val="center"/>
                    <w:rPr>
                      <w:rFonts w:hint="eastAsia"/>
                      <w:szCs w:val="21"/>
                    </w:rPr>
                  </w:pPr>
                  <w:r>
                    <w:rPr>
                      <w:rFonts w:hint="eastAsia"/>
                      <w:szCs w:val="21"/>
                    </w:rPr>
                    <w:t>A7.3</w:t>
                  </w:r>
                </w:p>
                <w:p w14:paraId="4900BD13">
                  <w:pPr>
                    <w:pageBreakBefore w:val="0"/>
                    <w:kinsoku/>
                    <w:wordWrap/>
                    <w:topLinePunct w:val="0"/>
                    <w:autoSpaceDE w:val="0"/>
                    <w:autoSpaceDN w:val="0"/>
                    <w:bidi w:val="0"/>
                    <w:spacing w:line="280" w:lineRule="exact"/>
                    <w:jc w:val="center"/>
                    <w:rPr>
                      <w:rFonts w:hint="eastAsia"/>
                      <w:szCs w:val="21"/>
                    </w:rPr>
                  </w:pPr>
                  <w:r>
                    <w:rPr>
                      <w:rFonts w:hint="eastAsia"/>
                      <w:szCs w:val="21"/>
                    </w:rPr>
                    <w:t>环境</w:t>
                  </w:r>
                </w:p>
                <w:p w14:paraId="0D9C837C">
                  <w:pPr>
                    <w:pageBreakBefore w:val="0"/>
                    <w:kinsoku/>
                    <w:wordWrap/>
                    <w:topLinePunct w:val="0"/>
                    <w:autoSpaceDE w:val="0"/>
                    <w:autoSpaceDN w:val="0"/>
                    <w:bidi w:val="0"/>
                    <w:spacing w:line="280" w:lineRule="exact"/>
                    <w:jc w:val="center"/>
                    <w:rPr>
                      <w:rFonts w:hint="eastAsia"/>
                      <w:szCs w:val="21"/>
                    </w:rPr>
                  </w:pPr>
                  <w:r>
                    <w:rPr>
                      <w:rFonts w:hint="eastAsia"/>
                      <w:szCs w:val="21"/>
                    </w:rPr>
                    <w:t>风险</w:t>
                  </w:r>
                </w:p>
                <w:p w14:paraId="72EAC99F">
                  <w:pPr>
                    <w:pageBreakBefore w:val="0"/>
                    <w:kinsoku/>
                    <w:wordWrap/>
                    <w:topLinePunct w:val="0"/>
                    <w:autoSpaceDE w:val="0"/>
                    <w:autoSpaceDN w:val="0"/>
                    <w:bidi w:val="0"/>
                    <w:spacing w:line="280" w:lineRule="exact"/>
                    <w:jc w:val="center"/>
                    <w:rPr>
                      <w:szCs w:val="21"/>
                    </w:rPr>
                  </w:pPr>
                  <w:r>
                    <w:rPr>
                      <w:rFonts w:hint="eastAsia"/>
                      <w:szCs w:val="21"/>
                    </w:rPr>
                    <w:t>防控</w:t>
                  </w:r>
                </w:p>
              </w:tc>
              <w:tc>
                <w:tcPr>
                  <w:tcW w:w="4135" w:type="dxa"/>
                  <w:noWrap w:val="0"/>
                  <w:vAlign w:val="center"/>
                </w:tcPr>
                <w:p w14:paraId="305A215C">
                  <w:pPr>
                    <w:pageBreakBefore w:val="0"/>
                    <w:kinsoku/>
                    <w:wordWrap/>
                    <w:topLinePunct w:val="0"/>
                    <w:autoSpaceDE w:val="0"/>
                    <w:autoSpaceDN w:val="0"/>
                    <w:bidi w:val="0"/>
                    <w:spacing w:line="280" w:lineRule="exact"/>
                    <w:jc w:val="center"/>
                    <w:rPr>
                      <w:szCs w:val="21"/>
                    </w:rPr>
                  </w:pPr>
                  <w:r>
                    <w:rPr>
                      <w:szCs w:val="21"/>
                    </w:rPr>
                    <w:t>【A7.3-1】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tc>
              <w:tc>
                <w:tcPr>
                  <w:tcW w:w="1568" w:type="dxa"/>
                  <w:noWrap w:val="0"/>
                  <w:vAlign w:val="center"/>
                </w:tcPr>
                <w:p w14:paraId="4E848228">
                  <w:pPr>
                    <w:pageBreakBefore w:val="0"/>
                    <w:kinsoku/>
                    <w:wordWrap/>
                    <w:topLinePunct w:val="0"/>
                    <w:autoSpaceDE w:val="0"/>
                    <w:autoSpaceDN w:val="0"/>
                    <w:bidi w:val="0"/>
                    <w:spacing w:line="280" w:lineRule="exact"/>
                    <w:jc w:val="center"/>
                    <w:rPr>
                      <w:szCs w:val="21"/>
                    </w:rPr>
                  </w:pPr>
                  <w:r>
                    <w:rPr>
                      <w:rFonts w:hint="eastAsia"/>
                      <w:szCs w:val="21"/>
                    </w:rPr>
                    <w:t>本项目建成后用地全面硬化处置；生活污水依托污水处理站进行处理；本次评价开展了土壤及地下水的现状监测，并对可能造成的环境风险进行评估。</w:t>
                  </w:r>
                </w:p>
              </w:tc>
              <w:tc>
                <w:tcPr>
                  <w:tcW w:w="732" w:type="dxa"/>
                  <w:noWrap w:val="0"/>
                  <w:vAlign w:val="center"/>
                </w:tcPr>
                <w:p w14:paraId="3E16EF48">
                  <w:pPr>
                    <w:pageBreakBefore w:val="0"/>
                    <w:kinsoku/>
                    <w:wordWrap/>
                    <w:topLinePunct w:val="0"/>
                    <w:autoSpaceDE w:val="0"/>
                    <w:autoSpaceDN w:val="0"/>
                    <w:bidi w:val="0"/>
                    <w:spacing w:line="280" w:lineRule="exact"/>
                    <w:jc w:val="center"/>
                    <w:rPr>
                      <w:szCs w:val="21"/>
                    </w:rPr>
                  </w:pPr>
                  <w:r>
                    <w:rPr>
                      <w:rFonts w:hint="eastAsia"/>
                      <w:szCs w:val="21"/>
                    </w:rPr>
                    <w:t>符合</w:t>
                  </w:r>
                </w:p>
              </w:tc>
            </w:tr>
            <w:tr w14:paraId="2C9D23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noWrap w:val="0"/>
                  <w:vAlign w:val="center"/>
                </w:tcPr>
                <w:p w14:paraId="359061AE">
                  <w:pPr>
                    <w:pageBreakBefore w:val="0"/>
                    <w:kinsoku/>
                    <w:wordWrap/>
                    <w:topLinePunct w:val="0"/>
                    <w:autoSpaceDE w:val="0"/>
                    <w:autoSpaceDN w:val="0"/>
                    <w:bidi w:val="0"/>
                    <w:spacing w:line="280" w:lineRule="exact"/>
                    <w:jc w:val="center"/>
                    <w:rPr>
                      <w:rFonts w:hint="eastAsia"/>
                      <w:szCs w:val="21"/>
                    </w:rPr>
                  </w:pPr>
                  <w:r>
                    <w:rPr>
                      <w:rFonts w:hint="eastAsia"/>
                      <w:szCs w:val="21"/>
                    </w:rPr>
                    <w:t>A7.4</w:t>
                  </w:r>
                </w:p>
                <w:p w14:paraId="1DF46A63">
                  <w:pPr>
                    <w:pageBreakBefore w:val="0"/>
                    <w:kinsoku/>
                    <w:wordWrap/>
                    <w:topLinePunct w:val="0"/>
                    <w:autoSpaceDE w:val="0"/>
                    <w:autoSpaceDN w:val="0"/>
                    <w:bidi w:val="0"/>
                    <w:spacing w:line="280" w:lineRule="exact"/>
                    <w:jc w:val="center"/>
                    <w:rPr>
                      <w:rFonts w:hint="eastAsia"/>
                      <w:szCs w:val="21"/>
                    </w:rPr>
                  </w:pPr>
                  <w:r>
                    <w:rPr>
                      <w:rFonts w:hint="eastAsia"/>
                      <w:szCs w:val="21"/>
                    </w:rPr>
                    <w:t>资源</w:t>
                  </w:r>
                </w:p>
                <w:p w14:paraId="008CA3C6">
                  <w:pPr>
                    <w:pageBreakBefore w:val="0"/>
                    <w:kinsoku/>
                    <w:wordWrap/>
                    <w:topLinePunct w:val="0"/>
                    <w:autoSpaceDE w:val="0"/>
                    <w:autoSpaceDN w:val="0"/>
                    <w:bidi w:val="0"/>
                    <w:spacing w:line="280" w:lineRule="exact"/>
                    <w:jc w:val="center"/>
                    <w:rPr>
                      <w:rFonts w:hint="eastAsia"/>
                      <w:szCs w:val="21"/>
                    </w:rPr>
                  </w:pPr>
                  <w:r>
                    <w:rPr>
                      <w:rFonts w:hint="eastAsia"/>
                      <w:szCs w:val="21"/>
                    </w:rPr>
                    <w:t>利用</w:t>
                  </w:r>
                </w:p>
                <w:p w14:paraId="5815296F">
                  <w:pPr>
                    <w:pageBreakBefore w:val="0"/>
                    <w:kinsoku/>
                    <w:wordWrap/>
                    <w:topLinePunct w:val="0"/>
                    <w:autoSpaceDE w:val="0"/>
                    <w:autoSpaceDN w:val="0"/>
                    <w:bidi w:val="0"/>
                    <w:spacing w:line="280" w:lineRule="exact"/>
                    <w:jc w:val="center"/>
                    <w:rPr>
                      <w:szCs w:val="21"/>
                    </w:rPr>
                  </w:pPr>
                  <w:r>
                    <w:rPr>
                      <w:rFonts w:hint="eastAsia"/>
                      <w:szCs w:val="21"/>
                    </w:rPr>
                    <w:t>要求</w:t>
                  </w:r>
                </w:p>
              </w:tc>
              <w:tc>
                <w:tcPr>
                  <w:tcW w:w="4135" w:type="dxa"/>
                  <w:noWrap w:val="0"/>
                  <w:vAlign w:val="center"/>
                </w:tcPr>
                <w:p w14:paraId="19A9AAE7">
                  <w:pPr>
                    <w:pageBreakBefore w:val="0"/>
                    <w:kinsoku/>
                    <w:wordWrap/>
                    <w:topLinePunct w:val="0"/>
                    <w:autoSpaceDE w:val="0"/>
                    <w:autoSpaceDN w:val="0"/>
                    <w:bidi w:val="0"/>
                    <w:spacing w:line="280" w:lineRule="exact"/>
                    <w:jc w:val="center"/>
                    <w:rPr>
                      <w:szCs w:val="21"/>
                    </w:rPr>
                  </w:pPr>
                  <w:r>
                    <w:rPr>
                      <w:szCs w:val="21"/>
                    </w:rPr>
                    <w:t>【A7.4-1】实行水资源消耗总量和强度双控，推进农业节水，提高农业用水效率。优化能源结构，加强能源清洁利用。</w:t>
                  </w:r>
                </w:p>
              </w:tc>
              <w:tc>
                <w:tcPr>
                  <w:tcW w:w="1568" w:type="dxa"/>
                  <w:noWrap w:val="0"/>
                  <w:vAlign w:val="center"/>
                </w:tcPr>
                <w:p w14:paraId="10FC4A80">
                  <w:pPr>
                    <w:pageBreakBefore w:val="0"/>
                    <w:kinsoku/>
                    <w:wordWrap/>
                    <w:topLinePunct w:val="0"/>
                    <w:autoSpaceDE w:val="0"/>
                    <w:autoSpaceDN w:val="0"/>
                    <w:bidi w:val="0"/>
                    <w:spacing w:line="280" w:lineRule="exact"/>
                    <w:jc w:val="center"/>
                    <w:rPr>
                      <w:szCs w:val="21"/>
                    </w:rPr>
                  </w:pPr>
                  <w:r>
                    <w:rPr>
                      <w:rFonts w:hint="eastAsia"/>
                      <w:szCs w:val="21"/>
                    </w:rPr>
                    <w:t>本项目不属于农业项目。</w:t>
                  </w:r>
                </w:p>
              </w:tc>
              <w:tc>
                <w:tcPr>
                  <w:tcW w:w="732" w:type="dxa"/>
                  <w:noWrap w:val="0"/>
                  <w:vAlign w:val="center"/>
                </w:tcPr>
                <w:p w14:paraId="3361830A">
                  <w:pPr>
                    <w:pageBreakBefore w:val="0"/>
                    <w:kinsoku/>
                    <w:wordWrap/>
                    <w:topLinePunct w:val="0"/>
                    <w:autoSpaceDE w:val="0"/>
                    <w:autoSpaceDN w:val="0"/>
                    <w:bidi w:val="0"/>
                    <w:spacing w:line="280" w:lineRule="exact"/>
                    <w:jc w:val="center"/>
                    <w:rPr>
                      <w:szCs w:val="21"/>
                    </w:rPr>
                  </w:pPr>
                  <w:r>
                    <w:rPr>
                      <w:rFonts w:hint="eastAsia"/>
                      <w:szCs w:val="21"/>
                    </w:rPr>
                    <w:t>符合</w:t>
                  </w:r>
                </w:p>
              </w:tc>
            </w:tr>
          </w:tbl>
          <w:p w14:paraId="3B4ED906">
            <w:pPr>
              <w:pageBreakBefore w:val="0"/>
              <w:kinsoku/>
              <w:wordWrap/>
              <w:topLinePunct w:val="0"/>
              <w:autoSpaceDE w:val="0"/>
              <w:autoSpaceDN w:val="0"/>
              <w:bidi w:val="0"/>
              <w:spacing w:line="360" w:lineRule="auto"/>
              <w:ind w:firstLine="482" w:firstLineChars="200"/>
              <w:rPr>
                <w:b/>
                <w:bCs/>
                <w:sz w:val="24"/>
              </w:rPr>
            </w:pPr>
            <w:r>
              <w:rPr>
                <w:rFonts w:hint="eastAsia"/>
                <w:b/>
                <w:bCs/>
                <w:sz w:val="24"/>
              </w:rPr>
              <w:t>5 与《</w:t>
            </w:r>
            <w:r>
              <w:rPr>
                <w:rFonts w:hint="eastAsia" w:ascii="宋体" w:hAnsi="宋体" w:cs="宋体"/>
                <w:b/>
                <w:bCs/>
                <w:kern w:val="0"/>
                <w:sz w:val="24"/>
                <w:lang w:bidi="ar"/>
              </w:rPr>
              <w:t>新疆生态环境保护“十四五”规划</w:t>
            </w:r>
            <w:r>
              <w:rPr>
                <w:rFonts w:hint="eastAsia"/>
                <w:b/>
                <w:bCs/>
                <w:sz w:val="24"/>
              </w:rPr>
              <w:t>》符合性分析</w:t>
            </w:r>
          </w:p>
          <w:p w14:paraId="57ABC3C3">
            <w:pPr>
              <w:pStyle w:val="18"/>
              <w:pageBreakBefore w:val="0"/>
              <w:kinsoku/>
              <w:wordWrap/>
              <w:topLinePunct w:val="0"/>
              <w:bidi w:val="0"/>
              <w:rPr>
                <w:rFonts w:hint="eastAsia"/>
                <w:spacing w:val="0"/>
                <w:sz w:val="24"/>
              </w:rPr>
            </w:pPr>
            <w:r>
              <w:rPr>
                <w:rFonts w:hint="eastAsia"/>
                <w:spacing w:val="0"/>
                <w:sz w:val="24"/>
              </w:rPr>
              <w:t>本项目国民经济行业类别属于“C2619其他基础化学原料制造”，《新疆生态环境保护“十四五”规划》对化工行业做出如下要求：</w:t>
            </w:r>
          </w:p>
          <w:p w14:paraId="6C3CB51C">
            <w:pPr>
              <w:pStyle w:val="18"/>
              <w:pageBreakBefore w:val="0"/>
              <w:kinsoku/>
              <w:wordWrap/>
              <w:topLinePunct w:val="0"/>
              <w:bidi w:val="0"/>
              <w:rPr>
                <w:rFonts w:hint="eastAsia"/>
                <w:spacing w:val="0"/>
                <w:sz w:val="24"/>
              </w:rPr>
            </w:pPr>
            <w:r>
              <w:rPr>
                <w:rFonts w:hint="eastAsia"/>
                <w:spacing w:val="0"/>
                <w:sz w:val="24"/>
              </w:rPr>
              <w:t>“支持企业实施智能化改造升级，推动石油开采、石油化工、煤化工、有色金属、钢铁、焦化、建材、农副产品加工等传统产业的重点企业改进工艺、节能降耗、提质增效，促进传统产业绿色化、智能化、高端化发展。”</w:t>
            </w:r>
          </w:p>
          <w:p w14:paraId="5577700B">
            <w:pPr>
              <w:pStyle w:val="18"/>
              <w:pageBreakBefore w:val="0"/>
              <w:kinsoku/>
              <w:wordWrap/>
              <w:topLinePunct w:val="0"/>
              <w:bidi w:val="0"/>
              <w:rPr>
                <w:rFonts w:hint="eastAsia"/>
                <w:spacing w:val="0"/>
                <w:sz w:val="24"/>
              </w:rPr>
            </w:pPr>
            <w:r>
              <w:rPr>
                <w:rFonts w:hint="eastAsia"/>
                <w:spacing w:val="0"/>
                <w:sz w:val="24"/>
              </w:rPr>
              <w:t>“推动落实“碳达峰十大行动”，加强对高耗能、高排放的“两高”项目源头管控，鼓励能源、工业、交通和建筑等领域制定达峰专项行动方案，推动钢铁、建材、有色、化工、电力、煤炭等重点行业制定二氧化碳达峰目标，确定达峰路径。探索开展重点行业企业碳排放对标行动。”</w:t>
            </w:r>
          </w:p>
          <w:p w14:paraId="5063BBA8">
            <w:pPr>
              <w:pStyle w:val="18"/>
              <w:pageBreakBefore w:val="0"/>
              <w:kinsoku/>
              <w:wordWrap/>
              <w:topLinePunct w:val="0"/>
              <w:bidi w:val="0"/>
              <w:rPr>
                <w:rFonts w:hint="eastAsia"/>
                <w:spacing w:val="0"/>
                <w:sz w:val="24"/>
              </w:rPr>
            </w:pPr>
            <w:r>
              <w:rPr>
                <w:rFonts w:hint="eastAsia"/>
                <w:spacing w:val="0"/>
                <w:sz w:val="24"/>
              </w:rPr>
              <w:t>“推动能源、钢铁、建材、有色、电力、化工等重点领域技术升级，控制工业过程温室气体排放，推动工业领域绿色低碳发展。”</w:t>
            </w:r>
          </w:p>
          <w:p w14:paraId="24887212">
            <w:pPr>
              <w:pStyle w:val="18"/>
              <w:pageBreakBefore w:val="0"/>
              <w:kinsoku/>
              <w:wordWrap/>
              <w:topLinePunct w:val="0"/>
              <w:bidi w:val="0"/>
              <w:rPr>
                <w:rFonts w:hint="eastAsia"/>
                <w:spacing w:val="0"/>
                <w:sz w:val="24"/>
              </w:rPr>
            </w:pPr>
            <w:r>
              <w:rPr>
                <w:rFonts w:hint="eastAsia"/>
                <w:spacing w:val="0"/>
                <w:sz w:val="24"/>
              </w:rPr>
              <w:t>“实施VOCs排放总量控制，重点推进石油天然气开采、石化、化工、包装印刷、工业涂装、油品储运销等重点行业排放源以及机动车等移动源VOCs污染防治，加强重点行业、重点企业的精细化管控；全面推进使用低VOCs含量涂料、油墨、胶粘剂、清洗剂等；加强汽修行业VOCs综合治理，加大餐饮油烟污染治理力度，持续削减VOCs排放量。”</w:t>
            </w:r>
          </w:p>
          <w:p w14:paraId="2CEF1BBE">
            <w:pPr>
              <w:pStyle w:val="18"/>
              <w:pageBreakBefore w:val="0"/>
              <w:kinsoku/>
              <w:wordWrap/>
              <w:topLinePunct w:val="0"/>
              <w:bidi w:val="0"/>
              <w:rPr>
                <w:rFonts w:hint="eastAsia"/>
                <w:spacing w:val="0"/>
                <w:sz w:val="24"/>
              </w:rPr>
            </w:pPr>
            <w:r>
              <w:rPr>
                <w:rFonts w:hint="eastAsia"/>
                <w:spacing w:val="0"/>
                <w:sz w:val="24"/>
              </w:rPr>
              <w:t>本项目将新疆圣雄能源股份有限公司</w:t>
            </w:r>
            <w:r>
              <w:rPr>
                <w:rFonts w:hint="eastAsia"/>
                <w:spacing w:val="0"/>
                <w:sz w:val="24"/>
                <w:lang w:val="en-US" w:eastAsia="zh-CN"/>
              </w:rPr>
              <w:t>自有工厂副产的</w:t>
            </w:r>
            <w:r>
              <w:rPr>
                <w:rFonts w:hint="eastAsia"/>
                <w:spacing w:val="0"/>
                <w:sz w:val="24"/>
              </w:rPr>
              <w:t>荒煤气进行综合利用，将提取出的氢气作为原料</w:t>
            </w:r>
            <w:r>
              <w:rPr>
                <w:rFonts w:hint="eastAsia"/>
                <w:spacing w:val="0"/>
                <w:sz w:val="24"/>
                <w:lang w:val="en-US" w:eastAsia="zh-CN"/>
              </w:rPr>
              <w:t>供应给</w:t>
            </w:r>
            <w:r>
              <w:rPr>
                <w:rFonts w:hint="eastAsia"/>
                <w:spacing w:val="0"/>
                <w:sz w:val="24"/>
              </w:rPr>
              <w:t>制备甲醇</w:t>
            </w:r>
            <w:r>
              <w:rPr>
                <w:rFonts w:hint="eastAsia"/>
                <w:spacing w:val="0"/>
                <w:sz w:val="24"/>
                <w:lang w:val="en-US" w:eastAsia="zh-CN"/>
              </w:rPr>
              <w:t>生产工艺</w:t>
            </w:r>
            <w:r>
              <w:rPr>
                <w:rFonts w:hint="eastAsia"/>
                <w:spacing w:val="0"/>
                <w:sz w:val="24"/>
              </w:rPr>
              <w:t>，</w:t>
            </w:r>
            <w:r>
              <w:rPr>
                <w:rFonts w:hint="eastAsia"/>
                <w:spacing w:val="0"/>
                <w:sz w:val="24"/>
                <w:lang w:eastAsia="zh-CN"/>
              </w:rPr>
              <w:t>解吸气</w:t>
            </w:r>
            <w:r>
              <w:rPr>
                <w:rFonts w:hint="eastAsia"/>
                <w:spacing w:val="0"/>
                <w:sz w:val="24"/>
              </w:rPr>
              <w:t>用作燃料燃烧后提供热能。</w:t>
            </w:r>
          </w:p>
          <w:p w14:paraId="629FA5BB">
            <w:pPr>
              <w:pageBreakBefore w:val="0"/>
              <w:kinsoku/>
              <w:wordWrap/>
              <w:topLinePunct w:val="0"/>
              <w:autoSpaceDE w:val="0"/>
              <w:autoSpaceDN w:val="0"/>
              <w:bidi w:val="0"/>
              <w:spacing w:line="360" w:lineRule="auto"/>
              <w:ind w:firstLine="482" w:firstLineChars="200"/>
              <w:rPr>
                <w:b/>
                <w:bCs/>
                <w:sz w:val="24"/>
              </w:rPr>
            </w:pPr>
            <w:r>
              <w:rPr>
                <w:rFonts w:hint="eastAsia"/>
                <w:b/>
                <w:bCs/>
                <w:sz w:val="24"/>
              </w:rPr>
              <w:t>6</w:t>
            </w:r>
            <w:r>
              <w:rPr>
                <w:b/>
                <w:bCs/>
                <w:sz w:val="24"/>
              </w:rPr>
              <w:t xml:space="preserve"> 选址符合性分析</w:t>
            </w:r>
          </w:p>
          <w:p w14:paraId="5D33FB70">
            <w:pPr>
              <w:pStyle w:val="18"/>
              <w:pageBreakBefore w:val="0"/>
              <w:kinsoku/>
              <w:wordWrap/>
              <w:topLinePunct w:val="0"/>
              <w:bidi w:val="0"/>
              <w:rPr>
                <w:rFonts w:hint="eastAsia"/>
                <w:spacing w:val="0"/>
                <w:sz w:val="24"/>
              </w:rPr>
            </w:pPr>
            <w:r>
              <w:rPr>
                <w:rFonts w:hint="eastAsia"/>
                <w:spacing w:val="0"/>
                <w:sz w:val="24"/>
              </w:rPr>
              <w:t>（1）与《新疆维吾尔自治区重点行业生态环境准入条件（2024年）》的符合性分析</w:t>
            </w:r>
          </w:p>
          <w:p w14:paraId="02DAEADD">
            <w:pPr>
              <w:pStyle w:val="18"/>
              <w:pageBreakBefore w:val="0"/>
              <w:kinsoku/>
              <w:wordWrap/>
              <w:topLinePunct w:val="0"/>
              <w:bidi w:val="0"/>
              <w:rPr>
                <w:rFonts w:hint="default" w:eastAsia="宋体"/>
                <w:bCs/>
                <w:spacing w:val="0"/>
                <w:sz w:val="24"/>
                <w:lang w:val="en-US" w:eastAsia="zh-CN"/>
              </w:rPr>
            </w:pPr>
            <w:r>
              <w:rPr>
                <w:rFonts w:hint="eastAsia"/>
                <w:spacing w:val="0"/>
                <w:sz w:val="24"/>
                <w:lang w:val="en-US" w:eastAsia="zh-CN"/>
              </w:rPr>
              <w:t>本项目与</w:t>
            </w:r>
            <w:r>
              <w:rPr>
                <w:spacing w:val="0"/>
                <w:sz w:val="24"/>
              </w:rPr>
              <w:t>《</w:t>
            </w:r>
            <w:r>
              <w:rPr>
                <w:rFonts w:hint="eastAsia"/>
                <w:spacing w:val="0"/>
                <w:sz w:val="24"/>
              </w:rPr>
              <w:t>新疆维吾尔自治区重点行业生态环境准入条件（2024年）</w:t>
            </w:r>
            <w:r>
              <w:rPr>
                <w:spacing w:val="0"/>
                <w:sz w:val="24"/>
              </w:rPr>
              <w:t>》</w:t>
            </w:r>
            <w:r>
              <w:rPr>
                <w:rFonts w:hint="eastAsia"/>
                <w:spacing w:val="0"/>
                <w:sz w:val="24"/>
                <w:lang w:val="en-US" w:eastAsia="zh-CN"/>
              </w:rPr>
              <w:t>生态环境准入总体要求的符合性分析见下表。</w:t>
            </w:r>
          </w:p>
          <w:p w14:paraId="10D79B6E">
            <w:pPr>
              <w:pStyle w:val="25"/>
              <w:pageBreakBefore w:val="0"/>
              <w:kinsoku/>
              <w:wordWrap/>
              <w:topLinePunct w:val="0"/>
              <w:bidi w:val="0"/>
              <w:rPr>
                <w:rFonts w:hint="default"/>
                <w:lang w:val="en-US" w:eastAsia="zh-CN"/>
              </w:rPr>
            </w:pPr>
            <w:r>
              <w:rPr>
                <w:rFonts w:hint="eastAsia"/>
                <w:lang w:val="en-US" w:eastAsia="zh-CN"/>
              </w:rPr>
              <w:t>表  本项目与</w:t>
            </w:r>
            <w:r>
              <w:rPr>
                <w:rFonts w:hint="eastAsia"/>
              </w:rPr>
              <w:t>《新疆维吾尔自治区重点行业生态环境准入条件（2024年）》的符合性分析</w:t>
            </w:r>
          </w:p>
          <w:tbl>
            <w:tblPr>
              <w:tblStyle w:val="13"/>
              <w:tblW w:w="714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678"/>
              <w:gridCol w:w="2711"/>
              <w:gridCol w:w="754"/>
            </w:tblGrid>
            <w:tr w14:paraId="7D9351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30144B0D">
                  <w:pPr>
                    <w:pageBreakBefore w:val="0"/>
                    <w:kinsoku/>
                    <w:wordWrap/>
                    <w:topLinePunct w:val="0"/>
                    <w:bidi w:val="0"/>
                    <w:spacing w:line="280" w:lineRule="exact"/>
                    <w:jc w:val="center"/>
                    <w:rPr>
                      <w:rFonts w:eastAsia="黑体"/>
                      <w:b/>
                      <w:bCs/>
                      <w:szCs w:val="21"/>
                    </w:rPr>
                  </w:pPr>
                  <w:r>
                    <w:rPr>
                      <w:rFonts w:hint="eastAsia"/>
                      <w:b/>
                      <w:bCs/>
                      <w:szCs w:val="21"/>
                    </w:rPr>
                    <w:t>重点行业生态环境准入条件</w:t>
                  </w:r>
                  <w:r>
                    <w:rPr>
                      <w:b/>
                      <w:bCs/>
                      <w:szCs w:val="21"/>
                    </w:rPr>
                    <w:t>要求</w:t>
                  </w:r>
                </w:p>
              </w:tc>
              <w:tc>
                <w:tcPr>
                  <w:tcW w:w="1897" w:type="pct"/>
                  <w:tcBorders>
                    <w:tl2br w:val="nil"/>
                    <w:tr2bl w:val="nil"/>
                  </w:tcBorders>
                  <w:noWrap w:val="0"/>
                  <w:vAlign w:val="center"/>
                </w:tcPr>
                <w:p w14:paraId="01CA1554">
                  <w:pPr>
                    <w:pageBreakBefore w:val="0"/>
                    <w:kinsoku/>
                    <w:wordWrap/>
                    <w:topLinePunct w:val="0"/>
                    <w:bidi w:val="0"/>
                    <w:spacing w:line="280" w:lineRule="exact"/>
                    <w:jc w:val="center"/>
                    <w:rPr>
                      <w:rFonts w:eastAsia="黑体"/>
                      <w:b/>
                      <w:bCs/>
                      <w:szCs w:val="21"/>
                    </w:rPr>
                  </w:pPr>
                  <w:r>
                    <w:rPr>
                      <w:b/>
                      <w:bCs/>
                      <w:szCs w:val="21"/>
                    </w:rPr>
                    <w:t>项目情况</w:t>
                  </w:r>
                </w:p>
              </w:tc>
              <w:tc>
                <w:tcPr>
                  <w:tcW w:w="527" w:type="pct"/>
                  <w:tcBorders>
                    <w:tl2br w:val="nil"/>
                    <w:tr2bl w:val="nil"/>
                  </w:tcBorders>
                  <w:noWrap w:val="0"/>
                  <w:vAlign w:val="center"/>
                </w:tcPr>
                <w:p w14:paraId="3673CC28">
                  <w:pPr>
                    <w:pageBreakBefore w:val="0"/>
                    <w:kinsoku/>
                    <w:wordWrap/>
                    <w:topLinePunct w:val="0"/>
                    <w:bidi w:val="0"/>
                    <w:spacing w:line="280" w:lineRule="exact"/>
                    <w:jc w:val="center"/>
                    <w:rPr>
                      <w:b/>
                      <w:bCs/>
                      <w:szCs w:val="21"/>
                    </w:rPr>
                  </w:pPr>
                  <w:r>
                    <w:rPr>
                      <w:b/>
                      <w:bCs/>
                      <w:szCs w:val="21"/>
                    </w:rPr>
                    <w:t>符合性</w:t>
                  </w:r>
                </w:p>
              </w:tc>
            </w:tr>
            <w:tr w14:paraId="60AF28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776F7635">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1.建设单位应依法依规组织编制环境影响评价文件，并报具有审批权限的生态环境部门审批。</w:t>
                  </w:r>
                </w:p>
              </w:tc>
              <w:tc>
                <w:tcPr>
                  <w:tcW w:w="1897" w:type="pct"/>
                  <w:tcBorders>
                    <w:tl2br w:val="nil"/>
                    <w:tr2bl w:val="nil"/>
                  </w:tcBorders>
                  <w:noWrap w:val="0"/>
                  <w:vAlign w:val="center"/>
                </w:tcPr>
                <w:p w14:paraId="65512F72">
                  <w:pPr>
                    <w:pageBreakBefore w:val="0"/>
                    <w:kinsoku/>
                    <w:wordWrap/>
                    <w:topLinePunct w:val="0"/>
                    <w:bidi w:val="0"/>
                    <w:spacing w:line="280" w:lineRule="exact"/>
                    <w:rPr>
                      <w:rFonts w:hint="default"/>
                      <w:szCs w:val="21"/>
                    </w:rPr>
                  </w:pPr>
                  <w:r>
                    <w:rPr>
                      <w:rFonts w:hint="eastAsia"/>
                      <w:szCs w:val="21"/>
                      <w:lang w:val="en-US" w:eastAsia="zh-CN"/>
                    </w:rPr>
                    <w:t>本项目依法编制了环境影响评价文件，并报送生态环境部门审批。</w:t>
                  </w:r>
                </w:p>
              </w:tc>
              <w:tc>
                <w:tcPr>
                  <w:tcW w:w="527" w:type="pct"/>
                  <w:tcBorders>
                    <w:tl2br w:val="nil"/>
                    <w:tr2bl w:val="nil"/>
                  </w:tcBorders>
                  <w:noWrap w:val="0"/>
                  <w:vAlign w:val="center"/>
                </w:tcPr>
                <w:p w14:paraId="05CCBF43">
                  <w:pPr>
                    <w:pageBreakBefore w:val="0"/>
                    <w:kinsoku/>
                    <w:wordWrap/>
                    <w:topLinePunct w:val="0"/>
                    <w:bidi w:val="0"/>
                    <w:spacing w:line="280" w:lineRule="exact"/>
                    <w:jc w:val="center"/>
                    <w:rPr>
                      <w:szCs w:val="21"/>
                    </w:rPr>
                  </w:pPr>
                  <w:r>
                    <w:rPr>
                      <w:szCs w:val="21"/>
                    </w:rPr>
                    <w:t>符合</w:t>
                  </w:r>
                </w:p>
              </w:tc>
            </w:tr>
            <w:tr w14:paraId="4D3B6C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42A29819">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2.建设项目应符合国家、自治区相关法律法规规章、产业政策要求，采用的工艺、技术和设备应符合《产业结构调整指导目录》《产业转移指导目录》《鼓励外商投资产业目录》《西部地区鼓励类产业目录》等相关要求，不得采用国家和自治区限制、淘汰或禁止使用的工艺、技术和设备。在环评审批中，严格落实国家及自治区有关行业产能替代、压减等措施。</w:t>
                  </w:r>
                </w:p>
              </w:tc>
              <w:tc>
                <w:tcPr>
                  <w:tcW w:w="1897" w:type="pct"/>
                  <w:tcBorders>
                    <w:tl2br w:val="nil"/>
                    <w:tr2bl w:val="nil"/>
                  </w:tcBorders>
                  <w:noWrap w:val="0"/>
                  <w:vAlign w:val="center"/>
                </w:tcPr>
                <w:p w14:paraId="53F0F526">
                  <w:pPr>
                    <w:pageBreakBefore w:val="0"/>
                    <w:kinsoku/>
                    <w:wordWrap/>
                    <w:topLinePunct w:val="0"/>
                    <w:bidi w:val="0"/>
                    <w:spacing w:line="280" w:lineRule="exact"/>
                    <w:rPr>
                      <w:rFonts w:hint="default"/>
                      <w:szCs w:val="21"/>
                    </w:rPr>
                  </w:pPr>
                  <w:r>
                    <w:rPr>
                      <w:rFonts w:hint="eastAsia"/>
                      <w:szCs w:val="21"/>
                      <w:lang w:val="en-US" w:eastAsia="zh-CN"/>
                    </w:rPr>
                    <w:t>本项目生产工艺、技术和设备均不属于限制、淘汰或禁止使用类别。</w:t>
                  </w:r>
                </w:p>
              </w:tc>
              <w:tc>
                <w:tcPr>
                  <w:tcW w:w="527" w:type="pct"/>
                  <w:tcBorders>
                    <w:tl2br w:val="nil"/>
                    <w:tr2bl w:val="nil"/>
                  </w:tcBorders>
                  <w:noWrap w:val="0"/>
                  <w:vAlign w:val="center"/>
                </w:tcPr>
                <w:p w14:paraId="514EAB18">
                  <w:pPr>
                    <w:pageBreakBefore w:val="0"/>
                    <w:kinsoku/>
                    <w:wordWrap/>
                    <w:topLinePunct w:val="0"/>
                    <w:bidi w:val="0"/>
                    <w:spacing w:line="280" w:lineRule="exact"/>
                    <w:jc w:val="center"/>
                    <w:rPr>
                      <w:szCs w:val="21"/>
                    </w:rPr>
                  </w:pPr>
                  <w:r>
                    <w:rPr>
                      <w:szCs w:val="21"/>
                    </w:rPr>
                    <w:t>符合</w:t>
                  </w:r>
                </w:p>
              </w:tc>
            </w:tr>
            <w:tr w14:paraId="03BFE4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750D6E02">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3.一切开发建设活动应符合国家、自治区主体功能区规划、自治区和各地颁布实施的国民经济发展规划、生态功能区划、国土空间规划、产业发展规划等相关规划及生态环境分区管控要求</w:t>
                  </w:r>
                  <w:r>
                    <w:rPr>
                      <w:rFonts w:hint="eastAsia" w:cs="Times New Roman"/>
                      <w:szCs w:val="21"/>
                      <w:lang w:eastAsia="zh-CN"/>
                    </w:rPr>
                    <w:t>，</w:t>
                  </w:r>
                  <w:r>
                    <w:rPr>
                      <w:rFonts w:hint="default" w:ascii="Times New Roman" w:hAnsi="Times New Roman" w:cs="Times New Roman"/>
                      <w:szCs w:val="21"/>
                    </w:rPr>
                    <w:t>符合区域（流域）或产业规划环评及审查意见要求。</w:t>
                  </w:r>
                </w:p>
              </w:tc>
              <w:tc>
                <w:tcPr>
                  <w:tcW w:w="1897" w:type="pct"/>
                  <w:tcBorders>
                    <w:tl2br w:val="nil"/>
                    <w:tr2bl w:val="nil"/>
                  </w:tcBorders>
                  <w:noWrap w:val="0"/>
                  <w:vAlign w:val="center"/>
                </w:tcPr>
                <w:p w14:paraId="4974BFDC">
                  <w:pPr>
                    <w:pageBreakBefore w:val="0"/>
                    <w:kinsoku/>
                    <w:wordWrap/>
                    <w:topLinePunct w:val="0"/>
                    <w:bidi w:val="0"/>
                    <w:spacing w:line="280" w:lineRule="exact"/>
                    <w:rPr>
                      <w:rFonts w:hint="default"/>
                      <w:szCs w:val="21"/>
                    </w:rPr>
                  </w:pPr>
                  <w:r>
                    <w:rPr>
                      <w:rFonts w:hint="eastAsia"/>
                      <w:szCs w:val="21"/>
                      <w:lang w:val="en-US" w:eastAsia="zh-CN"/>
                    </w:rPr>
                    <w:t>本项目建设符合生态环境分区管控要求，符合</w:t>
                  </w:r>
                  <w:r>
                    <w:rPr>
                      <w:rFonts w:hint="eastAsia"/>
                      <w:color w:val="auto"/>
                    </w:rPr>
                    <w:t>新疆圣雄能源股份有限公司同心工业园规划（2011-2030年）</w:t>
                  </w:r>
                  <w:r>
                    <w:rPr>
                      <w:rFonts w:hint="eastAsia"/>
                      <w:color w:val="auto"/>
                      <w:lang w:val="en-US" w:eastAsia="zh-CN"/>
                    </w:rPr>
                    <w:t>环评及审查意见要求</w:t>
                  </w:r>
                  <w:r>
                    <w:rPr>
                      <w:rFonts w:hint="eastAsia"/>
                      <w:szCs w:val="21"/>
                      <w:lang w:val="en-US" w:eastAsia="zh-CN"/>
                    </w:rPr>
                    <w:t>。</w:t>
                  </w:r>
                </w:p>
              </w:tc>
              <w:tc>
                <w:tcPr>
                  <w:tcW w:w="527" w:type="pct"/>
                  <w:tcBorders>
                    <w:tl2br w:val="nil"/>
                    <w:tr2bl w:val="nil"/>
                  </w:tcBorders>
                  <w:noWrap w:val="0"/>
                  <w:vAlign w:val="center"/>
                </w:tcPr>
                <w:p w14:paraId="24627DA7">
                  <w:pPr>
                    <w:pageBreakBefore w:val="0"/>
                    <w:kinsoku/>
                    <w:wordWrap/>
                    <w:topLinePunct w:val="0"/>
                    <w:bidi w:val="0"/>
                    <w:spacing w:line="280" w:lineRule="exact"/>
                    <w:jc w:val="center"/>
                    <w:rPr>
                      <w:szCs w:val="21"/>
                    </w:rPr>
                  </w:pPr>
                  <w:r>
                    <w:rPr>
                      <w:szCs w:val="21"/>
                    </w:rPr>
                    <w:t>符合</w:t>
                  </w:r>
                </w:p>
              </w:tc>
            </w:tr>
            <w:tr w14:paraId="5C3AD2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6D369AE0">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4.禁止在自然保护区、世界自然遗产地、风景名胜区、自然公园（森林公园、地质公园、湿地公园、沙漠公园等）、重要湿地、饮用水水源保护区等依法划定禁止开发建设的环境敏感区</w:t>
                  </w:r>
                  <w:r>
                    <w:rPr>
                      <w:rFonts w:hint="eastAsia" w:cs="Times New Roman"/>
                      <w:szCs w:val="21"/>
                      <w:lang w:eastAsia="zh-CN"/>
                    </w:rPr>
                    <w:t>及其它</w:t>
                  </w:r>
                  <w:r>
                    <w:rPr>
                      <w:rFonts w:hint="default" w:ascii="Times New Roman" w:hAnsi="Times New Roman" w:cs="Times New Roman"/>
                      <w:szCs w:val="21"/>
                    </w:rPr>
                    <w:t>法律法规规章禁止的区域进行污染环境的任何开发活动。禁止在青藏高原水土流失严重、生态脆弱的区域开展可能造成水土流失的生产建设活动。确因国家发展战略和国计民生需要建设的，应当经科学论证，并依法办理审批手续，严格控制扰动范围。涉及生态保护红线的其他要求，按照《自然资源部 生态环境部</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国家林业和草原局关于加强生态保护红线管理的通知（试行）》（自然资发〔2022〕142号）执行，生态保护红线管控要求调整、更新的，从其规定。</w:t>
                  </w:r>
                </w:p>
              </w:tc>
              <w:tc>
                <w:tcPr>
                  <w:tcW w:w="1897" w:type="pct"/>
                  <w:tcBorders>
                    <w:tl2br w:val="nil"/>
                    <w:tr2bl w:val="nil"/>
                  </w:tcBorders>
                  <w:noWrap w:val="0"/>
                  <w:vAlign w:val="center"/>
                </w:tcPr>
                <w:p w14:paraId="080CA215">
                  <w:pPr>
                    <w:pageBreakBefore w:val="0"/>
                    <w:kinsoku/>
                    <w:wordWrap/>
                    <w:topLinePunct w:val="0"/>
                    <w:bidi w:val="0"/>
                    <w:spacing w:line="280" w:lineRule="exact"/>
                    <w:rPr>
                      <w:rFonts w:hint="eastAsia"/>
                      <w:szCs w:val="21"/>
                    </w:rPr>
                  </w:pPr>
                  <w:r>
                    <w:rPr>
                      <w:rFonts w:hint="eastAsia"/>
                      <w:szCs w:val="21"/>
                      <w:lang w:val="en-US" w:eastAsia="zh-CN"/>
                    </w:rPr>
                    <w:t>本项目选址不涉及</w:t>
                  </w:r>
                  <w:r>
                    <w:rPr>
                      <w:rFonts w:hint="default" w:ascii="Times New Roman" w:hAnsi="Times New Roman" w:cs="Times New Roman"/>
                      <w:szCs w:val="21"/>
                    </w:rPr>
                    <w:t>环境敏感区</w:t>
                  </w:r>
                  <w:r>
                    <w:rPr>
                      <w:rFonts w:hint="eastAsia" w:ascii="Times New Roman" w:hAnsi="Times New Roman" w:cs="Times New Roman"/>
                      <w:szCs w:val="21"/>
                      <w:lang w:eastAsia="zh-CN"/>
                    </w:rPr>
                    <w:t>。</w:t>
                  </w:r>
                </w:p>
              </w:tc>
              <w:tc>
                <w:tcPr>
                  <w:tcW w:w="527" w:type="pct"/>
                  <w:tcBorders>
                    <w:tl2br w:val="nil"/>
                    <w:tr2bl w:val="nil"/>
                  </w:tcBorders>
                  <w:noWrap w:val="0"/>
                  <w:vAlign w:val="center"/>
                </w:tcPr>
                <w:p w14:paraId="7A19B7C3">
                  <w:pPr>
                    <w:pageBreakBefore w:val="0"/>
                    <w:kinsoku/>
                    <w:wordWrap/>
                    <w:topLinePunct w:val="0"/>
                    <w:bidi w:val="0"/>
                    <w:spacing w:line="280" w:lineRule="exact"/>
                    <w:jc w:val="center"/>
                    <w:rPr>
                      <w:szCs w:val="21"/>
                    </w:rPr>
                  </w:pPr>
                  <w:r>
                    <w:rPr>
                      <w:szCs w:val="21"/>
                    </w:rPr>
                    <w:t>符合</w:t>
                  </w:r>
                </w:p>
              </w:tc>
            </w:tr>
            <w:tr w14:paraId="4FE972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67169781">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5.矿产资源开发按照国家及自治区绿色矿山建设规范进行建设，遵循“谁开发、谁保护，谁破坏、谁恢复，谁受益、谁补偿，谁污染、谁付费”的原则，制定矿山生态环境保护与恢复治理方案并严格组织实施。违反国家规定造成生态环境损害的，依法依规开展生态环境损害赔偿工作，依法追究生态环境损害赔偿责任。</w:t>
                  </w:r>
                </w:p>
              </w:tc>
              <w:tc>
                <w:tcPr>
                  <w:tcW w:w="1897" w:type="pct"/>
                  <w:tcBorders>
                    <w:tl2br w:val="nil"/>
                    <w:tr2bl w:val="nil"/>
                  </w:tcBorders>
                  <w:noWrap w:val="0"/>
                  <w:vAlign w:val="center"/>
                </w:tcPr>
                <w:p w14:paraId="7A590805">
                  <w:pPr>
                    <w:pageBreakBefore w:val="0"/>
                    <w:kinsoku/>
                    <w:wordWrap/>
                    <w:topLinePunct w:val="0"/>
                    <w:bidi w:val="0"/>
                    <w:spacing w:line="280" w:lineRule="exact"/>
                    <w:rPr>
                      <w:rFonts w:hint="default"/>
                      <w:szCs w:val="21"/>
                    </w:rPr>
                  </w:pPr>
                  <w:r>
                    <w:rPr>
                      <w:rFonts w:hint="eastAsia"/>
                      <w:szCs w:val="21"/>
                      <w:lang w:val="en-US" w:eastAsia="zh-CN"/>
                    </w:rPr>
                    <w:t>本项目不属于矿产资源开发项目。</w:t>
                  </w:r>
                </w:p>
              </w:tc>
              <w:tc>
                <w:tcPr>
                  <w:tcW w:w="527" w:type="pct"/>
                  <w:tcBorders>
                    <w:tl2br w:val="nil"/>
                    <w:tr2bl w:val="nil"/>
                  </w:tcBorders>
                  <w:noWrap w:val="0"/>
                  <w:vAlign w:val="center"/>
                </w:tcPr>
                <w:p w14:paraId="08AAAD71">
                  <w:pPr>
                    <w:pageBreakBefore w:val="0"/>
                    <w:kinsoku/>
                    <w:wordWrap/>
                    <w:topLinePunct w:val="0"/>
                    <w:bidi w:val="0"/>
                    <w:spacing w:line="280" w:lineRule="exact"/>
                    <w:jc w:val="center"/>
                    <w:rPr>
                      <w:szCs w:val="21"/>
                    </w:rPr>
                  </w:pPr>
                  <w:r>
                    <w:rPr>
                      <w:rFonts w:hint="eastAsia"/>
                      <w:szCs w:val="21"/>
                      <w:lang w:val="en-US" w:eastAsia="zh-CN"/>
                    </w:rPr>
                    <w:t>符合</w:t>
                  </w:r>
                </w:p>
              </w:tc>
            </w:tr>
            <w:tr w14:paraId="30A840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7FE8F73F">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6.建设项目用地原则上不得占用基本农田，确需占用的，应符合《中华人民共和国基本农田保护条例》相关要求；占用耕地、林地或草地的建设项目应符合国家、自治区有关规定。</w:t>
                  </w:r>
                </w:p>
              </w:tc>
              <w:tc>
                <w:tcPr>
                  <w:tcW w:w="1897" w:type="pct"/>
                  <w:tcBorders>
                    <w:tl2br w:val="nil"/>
                    <w:tr2bl w:val="nil"/>
                  </w:tcBorders>
                  <w:noWrap w:val="0"/>
                  <w:vAlign w:val="center"/>
                </w:tcPr>
                <w:p w14:paraId="5695E1C5">
                  <w:pPr>
                    <w:pageBreakBefore w:val="0"/>
                    <w:kinsoku/>
                    <w:wordWrap/>
                    <w:topLinePunct w:val="0"/>
                    <w:bidi w:val="0"/>
                    <w:spacing w:line="280" w:lineRule="exact"/>
                    <w:rPr>
                      <w:rFonts w:hint="default"/>
                      <w:szCs w:val="21"/>
                    </w:rPr>
                  </w:pPr>
                  <w:r>
                    <w:rPr>
                      <w:rFonts w:hint="eastAsia"/>
                      <w:szCs w:val="21"/>
                      <w:lang w:val="en-US" w:eastAsia="zh-CN"/>
                    </w:rPr>
                    <w:t>本项目建设用地不涉及基本农田。</w:t>
                  </w:r>
                </w:p>
              </w:tc>
              <w:tc>
                <w:tcPr>
                  <w:tcW w:w="527" w:type="pct"/>
                  <w:tcBorders>
                    <w:tl2br w:val="nil"/>
                    <w:tr2bl w:val="nil"/>
                  </w:tcBorders>
                  <w:noWrap w:val="0"/>
                  <w:vAlign w:val="center"/>
                </w:tcPr>
                <w:p w14:paraId="3539E01F">
                  <w:pPr>
                    <w:pageBreakBefore w:val="0"/>
                    <w:kinsoku/>
                    <w:wordWrap/>
                    <w:topLinePunct w:val="0"/>
                    <w:bidi w:val="0"/>
                    <w:spacing w:line="280" w:lineRule="exact"/>
                    <w:jc w:val="center"/>
                    <w:rPr>
                      <w:szCs w:val="21"/>
                    </w:rPr>
                  </w:pPr>
                  <w:r>
                    <w:rPr>
                      <w:rFonts w:hint="eastAsia"/>
                      <w:szCs w:val="21"/>
                      <w:lang w:val="en-US" w:eastAsia="zh-CN"/>
                    </w:rPr>
                    <w:t>符合</w:t>
                  </w:r>
                </w:p>
              </w:tc>
            </w:tr>
            <w:tr w14:paraId="0D75C8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6664106C">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7.新建、扩建工业项目原则上应布置于依法合规设立、环境保护基础设施完善的产业园区、工业聚集区或规划矿区，并符合相关规划、规划环评及其审查意见要求；法律法规规章和政策另有规定的，从其规定。选址和厂区布置不合理的现有污染企业应根据相关要求，通过“搬迁、转产、停产”等方式限期整改，退城进园。</w:t>
                  </w:r>
                </w:p>
              </w:tc>
              <w:tc>
                <w:tcPr>
                  <w:tcW w:w="1897" w:type="pct"/>
                  <w:tcBorders>
                    <w:tl2br w:val="nil"/>
                    <w:tr2bl w:val="nil"/>
                  </w:tcBorders>
                  <w:noWrap w:val="0"/>
                  <w:vAlign w:val="center"/>
                </w:tcPr>
                <w:p w14:paraId="1230AC1A">
                  <w:pPr>
                    <w:pageBreakBefore w:val="0"/>
                    <w:kinsoku/>
                    <w:wordWrap/>
                    <w:topLinePunct w:val="0"/>
                    <w:bidi w:val="0"/>
                    <w:spacing w:line="280" w:lineRule="exact"/>
                    <w:rPr>
                      <w:rFonts w:hint="default"/>
                      <w:szCs w:val="21"/>
                    </w:rPr>
                  </w:pPr>
                  <w:r>
                    <w:rPr>
                      <w:rFonts w:hint="eastAsia"/>
                      <w:szCs w:val="21"/>
                      <w:lang w:val="en-US" w:eastAsia="zh-CN"/>
                    </w:rPr>
                    <w:t>本项目选址位于</w:t>
                  </w:r>
                  <w:r>
                    <w:rPr>
                      <w:rFonts w:hint="eastAsia"/>
                      <w:color w:val="auto"/>
                    </w:rPr>
                    <w:t>新疆圣雄能源股份有限公司同心工业园</w:t>
                  </w:r>
                  <w:r>
                    <w:rPr>
                      <w:rFonts w:hint="eastAsia"/>
                      <w:color w:val="auto"/>
                      <w:lang w:val="en-US" w:eastAsia="zh-CN"/>
                    </w:rPr>
                    <w:t>内，符合园区</w:t>
                  </w:r>
                  <w:r>
                    <w:rPr>
                      <w:rFonts w:hint="eastAsia"/>
                      <w:color w:val="auto"/>
                    </w:rPr>
                    <w:t>规划</w:t>
                  </w:r>
                  <w:r>
                    <w:rPr>
                      <w:rFonts w:hint="eastAsia"/>
                      <w:color w:val="auto"/>
                      <w:lang w:val="en-US" w:eastAsia="zh-CN"/>
                    </w:rPr>
                    <w:t>环评及审查意见要求。</w:t>
                  </w:r>
                </w:p>
              </w:tc>
              <w:tc>
                <w:tcPr>
                  <w:tcW w:w="527" w:type="pct"/>
                  <w:tcBorders>
                    <w:tl2br w:val="nil"/>
                    <w:tr2bl w:val="nil"/>
                  </w:tcBorders>
                  <w:noWrap w:val="0"/>
                  <w:vAlign w:val="center"/>
                </w:tcPr>
                <w:p w14:paraId="53FB9A11">
                  <w:pPr>
                    <w:pageBreakBefore w:val="0"/>
                    <w:kinsoku/>
                    <w:wordWrap/>
                    <w:topLinePunct w:val="0"/>
                    <w:bidi w:val="0"/>
                    <w:spacing w:line="280" w:lineRule="exact"/>
                    <w:jc w:val="center"/>
                    <w:rPr>
                      <w:szCs w:val="21"/>
                    </w:rPr>
                  </w:pPr>
                  <w:r>
                    <w:rPr>
                      <w:rFonts w:hint="eastAsia"/>
                      <w:szCs w:val="21"/>
                      <w:lang w:val="en-US" w:eastAsia="zh-CN"/>
                    </w:rPr>
                    <w:t>符合</w:t>
                  </w:r>
                </w:p>
              </w:tc>
            </w:tr>
            <w:tr w14:paraId="49BCDF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57F02183">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8.按照国家和自治区排污许可规定，按期持证排污、按证排污，不得无证排污。新增主要污染物排放总量的建设项目必须落实主要污染物排放总量指标来源和控制要求。石化、煤化工、燃煤发电（含热电）、钢铁、有色金属冶炼等新增主要污染物排放量的建设项目所在区域、流域控制单元环境质量未达到国家或者地方环境质量标准的，建设项目应提出有效的区域削减方案，主要污染物实行区域倍量削减，确保项目投产后区域环境质量有改善。所在区域、流域控制单元环境质量达到国家或者地方环境质量标准的，原则上建设项目主要污染物实行区域等量削减，确保项目投产后区域环境质量不恶化。区域削减方案应符合建设项目环境影响评价管理要求，同时符合国家和地方主要污染物排放总量控制要求。涉重金属的新建、改扩建项目其重金属污染物遵循“等量替代”或“减量替代”原则。</w:t>
                  </w:r>
                </w:p>
              </w:tc>
              <w:tc>
                <w:tcPr>
                  <w:tcW w:w="1897" w:type="pct"/>
                  <w:tcBorders>
                    <w:tl2br w:val="nil"/>
                    <w:tr2bl w:val="nil"/>
                  </w:tcBorders>
                  <w:noWrap w:val="0"/>
                  <w:vAlign w:val="center"/>
                </w:tcPr>
                <w:p w14:paraId="1DC082B4">
                  <w:pPr>
                    <w:pageBreakBefore w:val="0"/>
                    <w:kinsoku/>
                    <w:wordWrap/>
                    <w:topLinePunct w:val="0"/>
                    <w:bidi w:val="0"/>
                    <w:spacing w:line="280" w:lineRule="exact"/>
                    <w:rPr>
                      <w:rFonts w:hint="default"/>
                      <w:szCs w:val="21"/>
                    </w:rPr>
                  </w:pPr>
                  <w:r>
                    <w:rPr>
                      <w:rFonts w:hint="eastAsia"/>
                      <w:szCs w:val="21"/>
                      <w:lang w:val="en-US" w:eastAsia="zh-CN"/>
                    </w:rPr>
                    <w:t>本次评价已对本项目提出开展排污许可证登记工作的要求。</w:t>
                  </w:r>
                </w:p>
              </w:tc>
              <w:tc>
                <w:tcPr>
                  <w:tcW w:w="527" w:type="pct"/>
                  <w:tcBorders>
                    <w:tl2br w:val="nil"/>
                    <w:tr2bl w:val="nil"/>
                  </w:tcBorders>
                  <w:noWrap w:val="0"/>
                  <w:vAlign w:val="center"/>
                </w:tcPr>
                <w:p w14:paraId="44A9DD54">
                  <w:pPr>
                    <w:pageBreakBefore w:val="0"/>
                    <w:kinsoku/>
                    <w:wordWrap/>
                    <w:topLinePunct w:val="0"/>
                    <w:bidi w:val="0"/>
                    <w:spacing w:line="280" w:lineRule="exact"/>
                    <w:jc w:val="center"/>
                    <w:rPr>
                      <w:szCs w:val="21"/>
                    </w:rPr>
                  </w:pPr>
                  <w:r>
                    <w:rPr>
                      <w:rFonts w:hint="eastAsia"/>
                      <w:szCs w:val="21"/>
                      <w:lang w:val="en-US" w:eastAsia="zh-CN"/>
                    </w:rPr>
                    <w:t>符合</w:t>
                  </w:r>
                </w:p>
              </w:tc>
            </w:tr>
            <w:tr w14:paraId="07C939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4D6B725A">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9.煤电、石化、化工、钢铁、有色金属冶炼、建材等六个行业建设项目应将碳排放影响评价纳入环境影响评价体系，统筹开展污染物和碳排放的源项识别、源强核算、减污降碳措施可行性论证及方案比选，提出协同控制最优方案。</w:t>
                  </w:r>
                </w:p>
              </w:tc>
              <w:tc>
                <w:tcPr>
                  <w:tcW w:w="1897" w:type="pct"/>
                  <w:tcBorders>
                    <w:tl2br w:val="nil"/>
                    <w:tr2bl w:val="nil"/>
                  </w:tcBorders>
                  <w:noWrap w:val="0"/>
                  <w:vAlign w:val="center"/>
                </w:tcPr>
                <w:p w14:paraId="4797E828">
                  <w:pPr>
                    <w:pageBreakBefore w:val="0"/>
                    <w:kinsoku/>
                    <w:wordWrap/>
                    <w:topLinePunct w:val="0"/>
                    <w:bidi w:val="0"/>
                    <w:spacing w:line="280" w:lineRule="exact"/>
                    <w:rPr>
                      <w:rFonts w:hint="default"/>
                      <w:szCs w:val="21"/>
                    </w:rPr>
                  </w:pPr>
                  <w:r>
                    <w:rPr>
                      <w:rFonts w:hint="eastAsia"/>
                      <w:szCs w:val="21"/>
                      <w:lang w:val="en-US" w:eastAsia="zh-CN"/>
                    </w:rPr>
                    <w:t>本项目不涉及碳排放。</w:t>
                  </w:r>
                </w:p>
              </w:tc>
              <w:tc>
                <w:tcPr>
                  <w:tcW w:w="527" w:type="pct"/>
                  <w:tcBorders>
                    <w:tl2br w:val="nil"/>
                    <w:tr2bl w:val="nil"/>
                  </w:tcBorders>
                  <w:noWrap w:val="0"/>
                  <w:vAlign w:val="center"/>
                </w:tcPr>
                <w:p w14:paraId="7453A2B8">
                  <w:pPr>
                    <w:pageBreakBefore w:val="0"/>
                    <w:kinsoku/>
                    <w:wordWrap/>
                    <w:topLinePunct w:val="0"/>
                    <w:bidi w:val="0"/>
                    <w:spacing w:line="280" w:lineRule="exact"/>
                    <w:jc w:val="center"/>
                    <w:rPr>
                      <w:szCs w:val="21"/>
                    </w:rPr>
                  </w:pPr>
                  <w:r>
                    <w:rPr>
                      <w:rFonts w:hint="eastAsia"/>
                      <w:szCs w:val="21"/>
                      <w:lang w:val="en-US" w:eastAsia="zh-CN"/>
                    </w:rPr>
                    <w:t>符合</w:t>
                  </w:r>
                </w:p>
              </w:tc>
            </w:tr>
            <w:tr w14:paraId="70CF00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1A3070FA">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10.存在地下水和土壤污染途径的建设项目应采取分区防渗措施，防止地下水和土壤污染。存在环境风险的建设项目，提出有效的环境风险防范措施及环境风险应急预案编制原则和要求，纳入区域环境风险应急联动机制。各类开发区、工业园区和工业聚集区应编制环境风险应急预案，并具备环境风险应急处置能力。未通过认定或不属于一般或较低安全风险的化工园区，不得新建、改扩建危险化学品生产项目（安全、环保、节能和智能化改造和与其他行业生产装置配套建设项目，太阳能、风能等可再生能源电解水制氢项目除外），引导其他石化化工项目在化工园区发展。地方政府要依法依规妥善做好未通过认定化工园区的整改或关闭，以及园区内企业的监管及处置工作。涉及《重点管控新污染物清单》《优先控制化学品名录》所列新污染物（化学物质）生产、加工使用、进出口的建设项目，应当按照国家有关规定采取禁止、限制、限排等环境风险管控措施，对于二噁英、六氯丁二烯、二氯甲烷、三氯甲烷、抗生素等已纳入排放标准的新污染物（化学物质）应进行充分论证和评价，并提出可靠的污染防治措施，确保排放满足相关标准要求，环境影响可接受。</w:t>
                  </w:r>
                </w:p>
              </w:tc>
              <w:tc>
                <w:tcPr>
                  <w:tcW w:w="1897" w:type="pct"/>
                  <w:tcBorders>
                    <w:tl2br w:val="nil"/>
                    <w:tr2bl w:val="nil"/>
                  </w:tcBorders>
                  <w:noWrap w:val="0"/>
                  <w:vAlign w:val="center"/>
                </w:tcPr>
                <w:p w14:paraId="057F48D6">
                  <w:pPr>
                    <w:pageBreakBefore w:val="0"/>
                    <w:kinsoku/>
                    <w:wordWrap/>
                    <w:topLinePunct w:val="0"/>
                    <w:bidi w:val="0"/>
                    <w:spacing w:line="280" w:lineRule="exact"/>
                    <w:rPr>
                      <w:rFonts w:hint="default"/>
                      <w:szCs w:val="21"/>
                    </w:rPr>
                  </w:pPr>
                  <w:r>
                    <w:rPr>
                      <w:rFonts w:hint="eastAsia"/>
                      <w:szCs w:val="21"/>
                      <w:lang w:val="en-US" w:eastAsia="zh-CN"/>
                    </w:rPr>
                    <w:t>本项目已根据项目特点进行分区防渗，并提出相关措施。</w:t>
                  </w:r>
                </w:p>
              </w:tc>
              <w:tc>
                <w:tcPr>
                  <w:tcW w:w="527" w:type="pct"/>
                  <w:tcBorders>
                    <w:tl2br w:val="nil"/>
                    <w:tr2bl w:val="nil"/>
                  </w:tcBorders>
                  <w:noWrap w:val="0"/>
                  <w:vAlign w:val="center"/>
                </w:tcPr>
                <w:p w14:paraId="7A857E18">
                  <w:pPr>
                    <w:pageBreakBefore w:val="0"/>
                    <w:kinsoku/>
                    <w:wordWrap/>
                    <w:topLinePunct w:val="0"/>
                    <w:bidi w:val="0"/>
                    <w:spacing w:line="280" w:lineRule="exact"/>
                    <w:jc w:val="center"/>
                    <w:rPr>
                      <w:szCs w:val="21"/>
                    </w:rPr>
                  </w:pPr>
                  <w:r>
                    <w:rPr>
                      <w:rFonts w:hint="eastAsia"/>
                      <w:szCs w:val="21"/>
                      <w:lang w:val="en-US" w:eastAsia="zh-CN"/>
                    </w:rPr>
                    <w:t>符合</w:t>
                  </w:r>
                </w:p>
              </w:tc>
            </w:tr>
            <w:tr w14:paraId="231ADC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4063E2DD">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11.企业排污车间或工段与环境敏感区距离应满足国家、地方规定或环境影响评价文件提出的大气环境防护距离要求，环境防护距离范围内不应有居民区、学校、医院等环境敏感目标。</w:t>
                  </w:r>
                </w:p>
              </w:tc>
              <w:tc>
                <w:tcPr>
                  <w:tcW w:w="1897" w:type="pct"/>
                  <w:tcBorders>
                    <w:tl2br w:val="nil"/>
                    <w:tr2bl w:val="nil"/>
                  </w:tcBorders>
                  <w:noWrap w:val="0"/>
                  <w:vAlign w:val="center"/>
                </w:tcPr>
                <w:p w14:paraId="6DA4CA4D">
                  <w:pPr>
                    <w:pageBreakBefore w:val="0"/>
                    <w:kinsoku/>
                    <w:wordWrap/>
                    <w:topLinePunct w:val="0"/>
                    <w:bidi w:val="0"/>
                    <w:spacing w:line="280" w:lineRule="exact"/>
                    <w:rPr>
                      <w:rFonts w:hint="default"/>
                      <w:szCs w:val="21"/>
                    </w:rPr>
                  </w:pPr>
                  <w:r>
                    <w:rPr>
                      <w:rFonts w:hint="eastAsia"/>
                      <w:szCs w:val="21"/>
                      <w:lang w:val="en-US" w:eastAsia="zh-CN"/>
                    </w:rPr>
                    <w:t>本项目评价范围周边无居民区、学校、医院等环境敏感目标。</w:t>
                  </w:r>
                </w:p>
              </w:tc>
              <w:tc>
                <w:tcPr>
                  <w:tcW w:w="527" w:type="pct"/>
                  <w:tcBorders>
                    <w:tl2br w:val="nil"/>
                    <w:tr2bl w:val="nil"/>
                  </w:tcBorders>
                  <w:noWrap w:val="0"/>
                  <w:vAlign w:val="center"/>
                </w:tcPr>
                <w:p w14:paraId="3E2C667B">
                  <w:pPr>
                    <w:pageBreakBefore w:val="0"/>
                    <w:kinsoku/>
                    <w:wordWrap/>
                    <w:topLinePunct w:val="0"/>
                    <w:bidi w:val="0"/>
                    <w:spacing w:line="280" w:lineRule="exact"/>
                    <w:jc w:val="center"/>
                    <w:rPr>
                      <w:szCs w:val="21"/>
                    </w:rPr>
                  </w:pPr>
                  <w:r>
                    <w:rPr>
                      <w:rFonts w:hint="eastAsia"/>
                      <w:szCs w:val="21"/>
                      <w:lang w:val="en-US" w:eastAsia="zh-CN"/>
                    </w:rPr>
                    <w:t>符合</w:t>
                  </w:r>
                </w:p>
              </w:tc>
            </w:tr>
            <w:tr w14:paraId="4BB60F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721D08B3">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12.根据《固体废物鉴别标准 通则》（GB34330）《建设项目危险废物环境影响评价指南》，对建设项目产生的所有副产物，应依据产生来源、利用和处置过程鉴别该副产物是否属于固体废物，作为固体废物管理的副产物应按照《国家危险废物名录》《危险废物鉴别标准 通则》（GB5085.7）等进行危险废物属性判定或鉴别。环评阶段不具备开展危险特性鉴别条件的可能含有危险特性的固体废物，应明确疑似危险废物的名称、种类、可能的有害成分，并明确暂按危险废物从严管理，并要求在该类固体废物产生后开展危险特性鉴别。建设单位应持续提高资源产出率，大宗工业固体废物综合利用率应达到国家及自治区有关要求。</w:t>
                  </w:r>
                </w:p>
              </w:tc>
              <w:tc>
                <w:tcPr>
                  <w:tcW w:w="1897" w:type="pct"/>
                  <w:tcBorders>
                    <w:tl2br w:val="nil"/>
                    <w:tr2bl w:val="nil"/>
                  </w:tcBorders>
                  <w:noWrap w:val="0"/>
                  <w:vAlign w:val="center"/>
                </w:tcPr>
                <w:p w14:paraId="12CF1733">
                  <w:pPr>
                    <w:pageBreakBefore w:val="0"/>
                    <w:kinsoku/>
                    <w:wordWrap/>
                    <w:topLinePunct w:val="0"/>
                    <w:bidi w:val="0"/>
                    <w:spacing w:line="280" w:lineRule="exact"/>
                    <w:rPr>
                      <w:rFonts w:hint="default"/>
                      <w:szCs w:val="21"/>
                    </w:rPr>
                  </w:pPr>
                  <w:r>
                    <w:rPr>
                      <w:rFonts w:hint="eastAsia"/>
                      <w:szCs w:val="21"/>
                      <w:lang w:val="en-US" w:eastAsia="zh-CN"/>
                    </w:rPr>
                    <w:t>本项目无一般工业固体废物产生，无危险废物产生。</w:t>
                  </w:r>
                </w:p>
              </w:tc>
              <w:tc>
                <w:tcPr>
                  <w:tcW w:w="527" w:type="pct"/>
                  <w:tcBorders>
                    <w:tl2br w:val="nil"/>
                    <w:tr2bl w:val="nil"/>
                  </w:tcBorders>
                  <w:noWrap w:val="0"/>
                  <w:vAlign w:val="center"/>
                </w:tcPr>
                <w:p w14:paraId="443E5306">
                  <w:pPr>
                    <w:pageBreakBefore w:val="0"/>
                    <w:kinsoku/>
                    <w:wordWrap/>
                    <w:topLinePunct w:val="0"/>
                    <w:bidi w:val="0"/>
                    <w:spacing w:line="280" w:lineRule="exact"/>
                    <w:jc w:val="center"/>
                    <w:rPr>
                      <w:szCs w:val="21"/>
                    </w:rPr>
                  </w:pPr>
                  <w:r>
                    <w:rPr>
                      <w:rFonts w:hint="eastAsia"/>
                      <w:szCs w:val="21"/>
                      <w:lang w:val="en-US" w:eastAsia="zh-CN"/>
                    </w:rPr>
                    <w:t>符合</w:t>
                  </w:r>
                </w:p>
              </w:tc>
            </w:tr>
            <w:tr w14:paraId="48A35F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72C0F284">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13.磷酸盐采选和直接以磷酸盐矿为原料的加工项目，煤炭开采、选矿项目，锆及氧化锆、铌/钽、锡、铝、铅/锌、铜、钒、钼、镍、锗、钛、金等采、选、冶建设项目应符合《关于发布</w:t>
                  </w:r>
                  <w:r>
                    <w:rPr>
                      <w:rFonts w:hint="eastAsia" w:cs="Times New Roman"/>
                      <w:szCs w:val="21"/>
                      <w:lang w:eastAsia="zh-CN"/>
                    </w:rPr>
                    <w:t>〈</w:t>
                  </w:r>
                  <w:r>
                    <w:rPr>
                      <w:rFonts w:hint="default" w:ascii="Times New Roman" w:hAnsi="Times New Roman" w:cs="Times New Roman"/>
                      <w:szCs w:val="21"/>
                    </w:rPr>
                    <w:t>矿产资源开发利用辐射环境监督管理名录</w:t>
                  </w:r>
                  <w:r>
                    <w:rPr>
                      <w:rFonts w:hint="eastAsia" w:cs="Times New Roman"/>
                      <w:szCs w:val="21"/>
                      <w:lang w:eastAsia="zh-CN"/>
                    </w:rPr>
                    <w:t>〉</w:t>
                  </w:r>
                  <w:r>
                    <w:rPr>
                      <w:rFonts w:hint="default" w:ascii="Times New Roman" w:hAnsi="Times New Roman" w:cs="Times New Roman"/>
                      <w:szCs w:val="21"/>
                    </w:rPr>
                    <w:t>的公告》和《伴生放射性矿产资源开发利用企业环境辐射监测及信息公开管理办法</w:t>
                  </w:r>
                  <w:r>
                    <w:rPr>
                      <w:rFonts w:hint="eastAsia" w:cs="Times New Roman"/>
                      <w:szCs w:val="21"/>
                      <w:lang w:eastAsia="zh-CN"/>
                    </w:rPr>
                    <w:t>（</w:t>
                  </w:r>
                  <w:r>
                    <w:rPr>
                      <w:rFonts w:hint="default" w:ascii="Times New Roman" w:hAnsi="Times New Roman" w:cs="Times New Roman"/>
                      <w:szCs w:val="21"/>
                    </w:rPr>
                    <w:t>试行)》要求。</w:t>
                  </w:r>
                </w:p>
              </w:tc>
              <w:tc>
                <w:tcPr>
                  <w:tcW w:w="1897" w:type="pct"/>
                  <w:tcBorders>
                    <w:tl2br w:val="nil"/>
                    <w:tr2bl w:val="nil"/>
                  </w:tcBorders>
                  <w:noWrap w:val="0"/>
                  <w:vAlign w:val="center"/>
                </w:tcPr>
                <w:p w14:paraId="7FC8C736">
                  <w:pPr>
                    <w:pageBreakBefore w:val="0"/>
                    <w:kinsoku/>
                    <w:wordWrap/>
                    <w:topLinePunct w:val="0"/>
                    <w:bidi w:val="0"/>
                    <w:spacing w:line="280" w:lineRule="exact"/>
                    <w:rPr>
                      <w:rFonts w:hint="default"/>
                      <w:szCs w:val="21"/>
                    </w:rPr>
                  </w:pPr>
                  <w:r>
                    <w:rPr>
                      <w:rFonts w:hint="eastAsia"/>
                      <w:szCs w:val="21"/>
                      <w:lang w:val="en-US" w:eastAsia="zh-CN"/>
                    </w:rPr>
                    <w:t>本项目不属于矿物开采及加工项目。</w:t>
                  </w:r>
                </w:p>
              </w:tc>
              <w:tc>
                <w:tcPr>
                  <w:tcW w:w="527" w:type="pct"/>
                  <w:tcBorders>
                    <w:tl2br w:val="nil"/>
                    <w:tr2bl w:val="nil"/>
                  </w:tcBorders>
                  <w:noWrap w:val="0"/>
                  <w:vAlign w:val="center"/>
                </w:tcPr>
                <w:p w14:paraId="16C8DF63">
                  <w:pPr>
                    <w:pageBreakBefore w:val="0"/>
                    <w:kinsoku/>
                    <w:wordWrap/>
                    <w:topLinePunct w:val="0"/>
                    <w:bidi w:val="0"/>
                    <w:spacing w:line="280" w:lineRule="exact"/>
                    <w:jc w:val="center"/>
                    <w:rPr>
                      <w:szCs w:val="21"/>
                    </w:rPr>
                  </w:pPr>
                  <w:r>
                    <w:rPr>
                      <w:rFonts w:hint="eastAsia"/>
                      <w:szCs w:val="21"/>
                      <w:lang w:val="en-US" w:eastAsia="zh-CN"/>
                    </w:rPr>
                    <w:t>符合</w:t>
                  </w:r>
                </w:p>
              </w:tc>
            </w:tr>
            <w:tr w14:paraId="68304A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520F7017">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14.建设项目清洁生产水平应达到国家清洁生产标准的国际先进、国内领先水平或满足清洁生产评价指标体系中的清洁生产企业要求。无国家清洁生产标准和清洁生产评价指标体系的建设项目，其生产工艺与装备要求、资源能源利用指标、污染物产生指标、废物回收利用指标、环境管理要求等各项指标水平应达到国内同行业现有企业先进水平。</w:t>
                  </w:r>
                </w:p>
              </w:tc>
              <w:tc>
                <w:tcPr>
                  <w:tcW w:w="1897" w:type="pct"/>
                  <w:tcBorders>
                    <w:tl2br w:val="nil"/>
                    <w:tr2bl w:val="nil"/>
                  </w:tcBorders>
                  <w:noWrap w:val="0"/>
                  <w:vAlign w:val="center"/>
                </w:tcPr>
                <w:p w14:paraId="5858C26A">
                  <w:pPr>
                    <w:pageBreakBefore w:val="0"/>
                    <w:kinsoku/>
                    <w:wordWrap/>
                    <w:topLinePunct w:val="0"/>
                    <w:bidi w:val="0"/>
                    <w:spacing w:line="280" w:lineRule="exact"/>
                    <w:rPr>
                      <w:rFonts w:hint="default"/>
                      <w:szCs w:val="21"/>
                    </w:rPr>
                  </w:pPr>
                  <w:r>
                    <w:rPr>
                      <w:rFonts w:hint="eastAsia"/>
                      <w:szCs w:val="21"/>
                      <w:lang w:val="en-US" w:eastAsia="zh-CN"/>
                    </w:rPr>
                    <w:t>本项目将现有工程产生的副产品荒煤气进行综合利用，符合清洁生产理念。</w:t>
                  </w:r>
                </w:p>
              </w:tc>
              <w:tc>
                <w:tcPr>
                  <w:tcW w:w="527" w:type="pct"/>
                  <w:tcBorders>
                    <w:tl2br w:val="nil"/>
                    <w:tr2bl w:val="nil"/>
                  </w:tcBorders>
                  <w:noWrap w:val="0"/>
                  <w:vAlign w:val="center"/>
                </w:tcPr>
                <w:p w14:paraId="1AD985A7">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符合</w:t>
                  </w:r>
                </w:p>
              </w:tc>
            </w:tr>
            <w:tr w14:paraId="29C9B7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32A53DDB">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15.鼓励合理利用资源、能源。尽可能采用清洁能源，生产过程中产生的余热、余气、余压应合理利用。采用天然气作原料的应符合天然气利用政策，高污染燃料的使用应符合本通则及其他相关政策要求。按照“清污分流、一水多用、循环使用”的原则，加强节水和统筹用水的管理。鼓励矿井水、中水利用，严格限制使用地下水，最大限度提高水的复用率，减少外排量或实现零排放。</w:t>
                  </w:r>
                </w:p>
              </w:tc>
              <w:tc>
                <w:tcPr>
                  <w:tcW w:w="1897" w:type="pct"/>
                  <w:tcBorders>
                    <w:tl2br w:val="nil"/>
                    <w:tr2bl w:val="nil"/>
                  </w:tcBorders>
                  <w:noWrap w:val="0"/>
                  <w:vAlign w:val="center"/>
                </w:tcPr>
                <w:p w14:paraId="40682ABC">
                  <w:pPr>
                    <w:pageBreakBefore w:val="0"/>
                    <w:kinsoku/>
                    <w:wordWrap/>
                    <w:topLinePunct w:val="0"/>
                    <w:bidi w:val="0"/>
                    <w:spacing w:line="280" w:lineRule="exact"/>
                    <w:rPr>
                      <w:szCs w:val="21"/>
                    </w:rPr>
                  </w:pPr>
                  <w:r>
                    <w:rPr>
                      <w:rFonts w:hint="eastAsia"/>
                      <w:szCs w:val="21"/>
                      <w:lang w:val="en-US" w:eastAsia="zh-CN"/>
                    </w:rPr>
                    <w:t>本项目将现有工程产生的副产品荒煤气进行综合利用，符合清洁生产理念。</w:t>
                  </w:r>
                </w:p>
              </w:tc>
              <w:tc>
                <w:tcPr>
                  <w:tcW w:w="527" w:type="pct"/>
                  <w:tcBorders>
                    <w:tl2br w:val="nil"/>
                    <w:tr2bl w:val="nil"/>
                  </w:tcBorders>
                  <w:noWrap w:val="0"/>
                  <w:vAlign w:val="center"/>
                </w:tcPr>
                <w:p w14:paraId="50AD561D">
                  <w:pPr>
                    <w:pageBreakBefore w:val="0"/>
                    <w:kinsoku/>
                    <w:wordWrap/>
                    <w:topLinePunct w:val="0"/>
                    <w:bidi w:val="0"/>
                    <w:spacing w:line="280" w:lineRule="exact"/>
                    <w:jc w:val="center"/>
                    <w:rPr>
                      <w:szCs w:val="21"/>
                    </w:rPr>
                  </w:pPr>
                  <w:r>
                    <w:rPr>
                      <w:rFonts w:hint="eastAsia"/>
                      <w:szCs w:val="21"/>
                      <w:lang w:val="en-US" w:eastAsia="zh-CN"/>
                    </w:rPr>
                    <w:t>符合</w:t>
                  </w:r>
                </w:p>
              </w:tc>
            </w:tr>
            <w:tr w14:paraId="64E04B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6F12FE9E">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16.改建、扩建项目，应对现有工程的环境保护措施及效果进行全面梳理评估，针对项目原有环境污染和生态破坏提出有效防治措施并纳入竣工环保验收。</w:t>
                  </w:r>
                </w:p>
              </w:tc>
              <w:tc>
                <w:tcPr>
                  <w:tcW w:w="1897" w:type="pct"/>
                  <w:tcBorders>
                    <w:tl2br w:val="nil"/>
                    <w:tr2bl w:val="nil"/>
                  </w:tcBorders>
                  <w:noWrap w:val="0"/>
                  <w:vAlign w:val="center"/>
                </w:tcPr>
                <w:p w14:paraId="64AB548A">
                  <w:pPr>
                    <w:pageBreakBefore w:val="0"/>
                    <w:kinsoku/>
                    <w:wordWrap/>
                    <w:topLinePunct w:val="0"/>
                    <w:bidi w:val="0"/>
                    <w:spacing w:line="280" w:lineRule="exact"/>
                    <w:rPr>
                      <w:rFonts w:hint="default"/>
                      <w:szCs w:val="21"/>
                    </w:rPr>
                  </w:pPr>
                  <w:r>
                    <w:rPr>
                      <w:rFonts w:hint="eastAsia"/>
                      <w:szCs w:val="21"/>
                      <w:lang w:val="en-US" w:eastAsia="zh-CN"/>
                    </w:rPr>
                    <w:t>本项目属于新建工程，项目选址无原有环境污染和生态破坏问题。</w:t>
                  </w:r>
                </w:p>
              </w:tc>
              <w:tc>
                <w:tcPr>
                  <w:tcW w:w="527" w:type="pct"/>
                  <w:tcBorders>
                    <w:tl2br w:val="nil"/>
                    <w:tr2bl w:val="nil"/>
                  </w:tcBorders>
                  <w:noWrap w:val="0"/>
                  <w:vAlign w:val="center"/>
                </w:tcPr>
                <w:p w14:paraId="36978906">
                  <w:pPr>
                    <w:pageBreakBefore w:val="0"/>
                    <w:kinsoku/>
                    <w:wordWrap/>
                    <w:topLinePunct w:val="0"/>
                    <w:bidi w:val="0"/>
                    <w:spacing w:line="280" w:lineRule="exact"/>
                    <w:jc w:val="center"/>
                    <w:rPr>
                      <w:szCs w:val="21"/>
                    </w:rPr>
                  </w:pPr>
                  <w:r>
                    <w:rPr>
                      <w:rFonts w:hint="eastAsia"/>
                      <w:szCs w:val="21"/>
                      <w:lang w:val="en-US" w:eastAsia="zh-CN"/>
                    </w:rPr>
                    <w:t>符合</w:t>
                  </w:r>
                </w:p>
              </w:tc>
            </w:tr>
            <w:tr w14:paraId="2A937C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0B832E01">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17.落实国家及自治区深入打好污染防治攻坚战和各环境要素污染防治行动计划要求。</w:t>
                  </w:r>
                </w:p>
              </w:tc>
              <w:tc>
                <w:tcPr>
                  <w:tcW w:w="1897" w:type="pct"/>
                  <w:tcBorders>
                    <w:tl2br w:val="nil"/>
                    <w:tr2bl w:val="nil"/>
                  </w:tcBorders>
                  <w:noWrap w:val="0"/>
                  <w:vAlign w:val="center"/>
                </w:tcPr>
                <w:p w14:paraId="7CCD33D2">
                  <w:pPr>
                    <w:pageBreakBefore w:val="0"/>
                    <w:kinsoku/>
                    <w:wordWrap/>
                    <w:topLinePunct w:val="0"/>
                    <w:bidi w:val="0"/>
                    <w:spacing w:line="280" w:lineRule="exact"/>
                    <w:rPr>
                      <w:rFonts w:hint="default"/>
                      <w:szCs w:val="21"/>
                    </w:rPr>
                  </w:pPr>
                  <w:r>
                    <w:rPr>
                      <w:rFonts w:hint="eastAsia"/>
                      <w:szCs w:val="21"/>
                      <w:lang w:val="en-US" w:eastAsia="zh-CN"/>
                    </w:rPr>
                    <w:t>本项目运营期产生的所有污染物均得到妥善处置，所造成的影响在可接受范围内。</w:t>
                  </w:r>
                </w:p>
              </w:tc>
              <w:tc>
                <w:tcPr>
                  <w:tcW w:w="527" w:type="pct"/>
                  <w:tcBorders>
                    <w:tl2br w:val="nil"/>
                    <w:tr2bl w:val="nil"/>
                  </w:tcBorders>
                  <w:noWrap w:val="0"/>
                  <w:vAlign w:val="center"/>
                </w:tcPr>
                <w:p w14:paraId="63D7AD66">
                  <w:pPr>
                    <w:pageBreakBefore w:val="0"/>
                    <w:kinsoku/>
                    <w:wordWrap/>
                    <w:topLinePunct w:val="0"/>
                    <w:bidi w:val="0"/>
                    <w:spacing w:line="280" w:lineRule="exact"/>
                    <w:jc w:val="center"/>
                    <w:rPr>
                      <w:szCs w:val="21"/>
                    </w:rPr>
                  </w:pPr>
                  <w:r>
                    <w:rPr>
                      <w:rFonts w:hint="eastAsia"/>
                      <w:szCs w:val="21"/>
                      <w:lang w:val="en-US" w:eastAsia="zh-CN"/>
                    </w:rPr>
                    <w:t>符合</w:t>
                  </w:r>
                </w:p>
              </w:tc>
            </w:tr>
            <w:tr w14:paraId="0FD10F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74" w:type="pct"/>
                  <w:tcBorders>
                    <w:tl2br w:val="nil"/>
                    <w:tr2bl w:val="nil"/>
                  </w:tcBorders>
                  <w:noWrap w:val="0"/>
                  <w:vAlign w:val="center"/>
                </w:tcPr>
                <w:p w14:paraId="7355EDD1">
                  <w:pPr>
                    <w:pageBreakBefore w:val="0"/>
                    <w:kinsoku/>
                    <w:wordWrap/>
                    <w:topLinePunct w:val="0"/>
                    <w:bidi w:val="0"/>
                    <w:spacing w:line="280" w:lineRule="exact"/>
                    <w:rPr>
                      <w:rFonts w:hint="default" w:ascii="Times New Roman" w:hAnsi="Times New Roman" w:cs="Times New Roman"/>
                      <w:szCs w:val="21"/>
                    </w:rPr>
                  </w:pPr>
                  <w:r>
                    <w:rPr>
                      <w:rFonts w:hint="default" w:ascii="Times New Roman" w:hAnsi="Times New Roman" w:cs="Times New Roman"/>
                      <w:szCs w:val="21"/>
                    </w:rPr>
                    <w:t>18.享有国家及自治区特殊差别化政策的地区及建设项目按照差别化政策执行。</w:t>
                  </w:r>
                </w:p>
              </w:tc>
              <w:tc>
                <w:tcPr>
                  <w:tcW w:w="1897" w:type="pct"/>
                  <w:tcBorders>
                    <w:tl2br w:val="nil"/>
                    <w:tr2bl w:val="nil"/>
                  </w:tcBorders>
                  <w:noWrap w:val="0"/>
                  <w:vAlign w:val="center"/>
                </w:tcPr>
                <w:p w14:paraId="300336BD">
                  <w:pPr>
                    <w:pageBreakBefore w:val="0"/>
                    <w:kinsoku/>
                    <w:wordWrap/>
                    <w:topLinePunct w:val="0"/>
                    <w:bidi w:val="0"/>
                    <w:spacing w:line="280" w:lineRule="exact"/>
                    <w:rPr>
                      <w:rFonts w:hint="default"/>
                      <w:szCs w:val="21"/>
                    </w:rPr>
                  </w:pPr>
                  <w:r>
                    <w:rPr>
                      <w:rFonts w:hint="eastAsia"/>
                      <w:szCs w:val="21"/>
                      <w:lang w:val="en-US" w:eastAsia="zh-CN"/>
                    </w:rPr>
                    <w:t>本项目选址不享受差别化政策。</w:t>
                  </w:r>
                </w:p>
              </w:tc>
              <w:tc>
                <w:tcPr>
                  <w:tcW w:w="527" w:type="pct"/>
                  <w:tcBorders>
                    <w:tl2br w:val="nil"/>
                    <w:tr2bl w:val="nil"/>
                  </w:tcBorders>
                  <w:noWrap w:val="0"/>
                  <w:vAlign w:val="center"/>
                </w:tcPr>
                <w:p w14:paraId="6545515D">
                  <w:pPr>
                    <w:pageBreakBefore w:val="0"/>
                    <w:kinsoku/>
                    <w:wordWrap/>
                    <w:topLinePunct w:val="0"/>
                    <w:bidi w:val="0"/>
                    <w:spacing w:line="280" w:lineRule="exact"/>
                    <w:jc w:val="center"/>
                    <w:rPr>
                      <w:rFonts w:hint="eastAsia"/>
                      <w:szCs w:val="21"/>
                    </w:rPr>
                  </w:pPr>
                  <w:r>
                    <w:rPr>
                      <w:rFonts w:hint="eastAsia"/>
                      <w:szCs w:val="21"/>
                      <w:lang w:val="en-US" w:eastAsia="zh-CN"/>
                    </w:rPr>
                    <w:t>符合</w:t>
                  </w:r>
                </w:p>
              </w:tc>
            </w:tr>
          </w:tbl>
          <w:p w14:paraId="288D4422">
            <w:pPr>
              <w:pageBreakBefore w:val="0"/>
              <w:kinsoku/>
              <w:wordWrap/>
              <w:topLinePunct w:val="0"/>
              <w:autoSpaceDE w:val="0"/>
              <w:autoSpaceDN w:val="0"/>
              <w:bidi w:val="0"/>
              <w:spacing w:line="360" w:lineRule="auto"/>
              <w:ind w:firstLine="480" w:firstLineChars="200"/>
              <w:rPr>
                <w:bCs/>
                <w:sz w:val="24"/>
              </w:rPr>
            </w:pPr>
            <w:r>
              <w:rPr>
                <w:rFonts w:hint="eastAsia"/>
                <w:bCs/>
                <w:sz w:val="24"/>
                <w:lang w:val="en-US" w:eastAsia="zh-CN"/>
              </w:rPr>
              <w:t>综上所述，本项目建设符合</w:t>
            </w:r>
            <w:r>
              <w:rPr>
                <w:rFonts w:hint="eastAsia"/>
                <w:bCs/>
                <w:sz w:val="24"/>
              </w:rPr>
              <w:t>《新疆维吾尔自治区重点行业生态环境准入条件（2024年）》通则要求</w:t>
            </w:r>
            <w:r>
              <w:rPr>
                <w:bCs/>
                <w:sz w:val="24"/>
              </w:rPr>
              <w:t>。</w:t>
            </w:r>
          </w:p>
          <w:p w14:paraId="2C3C53E5">
            <w:pPr>
              <w:pageBreakBefore w:val="0"/>
              <w:kinsoku/>
              <w:wordWrap/>
              <w:topLinePunct w:val="0"/>
              <w:autoSpaceDE w:val="0"/>
              <w:autoSpaceDN w:val="0"/>
              <w:bidi w:val="0"/>
              <w:spacing w:line="360" w:lineRule="auto"/>
              <w:ind w:firstLine="480" w:firstLineChars="200"/>
              <w:rPr>
                <w:rFonts w:hint="default" w:eastAsia="宋体"/>
                <w:bCs/>
                <w:sz w:val="24"/>
                <w:lang w:val="en-US" w:eastAsia="zh-CN"/>
              </w:rPr>
            </w:pPr>
            <w:r>
              <w:rPr>
                <w:rFonts w:hint="eastAsia"/>
                <w:bCs/>
                <w:sz w:val="24"/>
                <w:lang w:eastAsia="zh-CN"/>
              </w:rPr>
              <w:t>（</w:t>
            </w:r>
            <w:r>
              <w:rPr>
                <w:rFonts w:hint="eastAsia"/>
                <w:bCs/>
                <w:sz w:val="24"/>
                <w:lang w:val="en-US" w:eastAsia="zh-CN"/>
              </w:rPr>
              <w:t>2</w:t>
            </w:r>
            <w:r>
              <w:rPr>
                <w:rFonts w:hint="eastAsia"/>
                <w:bCs/>
                <w:sz w:val="24"/>
                <w:lang w:eastAsia="zh-CN"/>
              </w:rPr>
              <w:t>）</w:t>
            </w:r>
            <w:r>
              <w:rPr>
                <w:rFonts w:hint="eastAsia"/>
                <w:bCs/>
                <w:sz w:val="24"/>
                <w:lang w:val="en-US" w:eastAsia="zh-CN"/>
              </w:rPr>
              <w:t>选址依托可行性分析</w:t>
            </w:r>
          </w:p>
          <w:p w14:paraId="7F24AEBD">
            <w:pPr>
              <w:pageBreakBefore w:val="0"/>
              <w:kinsoku/>
              <w:wordWrap/>
              <w:topLinePunct w:val="0"/>
              <w:autoSpaceDE w:val="0"/>
              <w:autoSpaceDN w:val="0"/>
              <w:bidi w:val="0"/>
              <w:spacing w:line="360" w:lineRule="auto"/>
              <w:ind w:firstLine="480" w:firstLineChars="200"/>
              <w:rPr>
                <w:rFonts w:hint="default" w:eastAsia="宋体"/>
                <w:bCs/>
                <w:sz w:val="24"/>
                <w:lang w:val="en-US" w:eastAsia="zh-CN"/>
              </w:rPr>
            </w:pPr>
            <w:r>
              <w:rPr>
                <w:rFonts w:hint="eastAsia"/>
                <w:bCs/>
                <w:sz w:val="24"/>
                <w:lang w:val="en-US" w:eastAsia="zh-CN"/>
              </w:rPr>
              <w:t>本项目所用荒煤气由</w:t>
            </w:r>
            <w:r>
              <w:rPr>
                <w:rFonts w:hint="eastAsia" w:ascii="宋体" w:hAnsi="宋体" w:cs="宋体"/>
                <w:bCs/>
                <w:sz w:val="24"/>
              </w:rPr>
              <w:t>“新疆圣雄电石有限公司煤电盐化循环经济一期工程年产60万吨电石、60万吨石灰、75万吨兰炭项目”</w:t>
            </w:r>
            <w:r>
              <w:rPr>
                <w:rFonts w:hint="eastAsia" w:ascii="宋体" w:hAnsi="宋体" w:cs="宋体"/>
                <w:bCs/>
                <w:sz w:val="24"/>
                <w:lang w:val="en-US" w:eastAsia="zh-CN"/>
              </w:rPr>
              <w:t>提供，根据现有工程厂区平面布置，可从本项目西侧接入，提取出的氢气可从东侧外输给制甲醇项目，解吸气可从北侧外输给“新疆冠达能源有限公司圣雄尾气综合利用绿色环保减排型示范项目”，原料及产品输送条件便利，不用设置大容量的高压储气设施。</w:t>
            </w:r>
          </w:p>
          <w:p w14:paraId="75EC4D30">
            <w:pPr>
              <w:pageBreakBefore w:val="0"/>
              <w:kinsoku/>
              <w:wordWrap/>
              <w:topLinePunct w:val="0"/>
              <w:autoSpaceDE w:val="0"/>
              <w:autoSpaceDN w:val="0"/>
              <w:bidi w:val="0"/>
              <w:spacing w:line="360" w:lineRule="auto"/>
              <w:ind w:firstLine="480" w:firstLineChars="200"/>
              <w:rPr>
                <w:rFonts w:hint="default" w:eastAsia="宋体"/>
                <w:bCs/>
                <w:sz w:val="24"/>
                <w:lang w:val="en-US" w:eastAsia="zh-CN"/>
              </w:rPr>
            </w:pPr>
            <w:r>
              <w:rPr>
                <w:bCs/>
                <w:sz w:val="24"/>
              </w:rPr>
              <w:t>本项目选址</w:t>
            </w:r>
            <w:r>
              <w:rPr>
                <w:sz w:val="24"/>
              </w:rPr>
              <w:t>位于</w:t>
            </w:r>
            <w:r>
              <w:rPr>
                <w:rFonts w:hint="eastAsia"/>
                <w:sz w:val="24"/>
                <w:lang w:val="en-US" w:eastAsia="zh-CN"/>
              </w:rPr>
              <w:t xml:space="preserve">      </w:t>
            </w:r>
            <w:r>
              <w:rPr>
                <w:rFonts w:hint="eastAsia"/>
                <w:bCs/>
                <w:sz w:val="24"/>
                <w:lang w:val="en-US" w:eastAsia="zh-CN"/>
              </w:rPr>
              <w:t>，现有已建工程技术设施建设齐全，可满足本项目运营期电能、蒸汽、脱盐水、新鲜水等能源需求，相关废水处理设施及危险废弃物存储设施也可满足本项目所需，项目选址合理。</w:t>
            </w:r>
          </w:p>
          <w:p w14:paraId="0757D659">
            <w:pPr>
              <w:pStyle w:val="8"/>
              <w:pageBreakBefore w:val="0"/>
              <w:kinsoku/>
              <w:wordWrap/>
              <w:topLinePunct w:val="0"/>
              <w:bidi w:val="0"/>
              <w:adjustRightInd/>
              <w:spacing w:line="360" w:lineRule="auto"/>
              <w:ind w:firstLine="480"/>
              <w:jc w:val="both"/>
              <w:rPr>
                <w:rFonts w:hint="eastAsia" w:ascii="宋体" w:hAnsi="宋体" w:eastAsia="宋体" w:cs="宋体"/>
                <w:sz w:val="24"/>
              </w:rPr>
            </w:pPr>
          </w:p>
          <w:p w14:paraId="090F9B30">
            <w:pPr>
              <w:pStyle w:val="8"/>
              <w:pageBreakBefore w:val="0"/>
              <w:kinsoku/>
              <w:wordWrap/>
              <w:topLinePunct w:val="0"/>
              <w:bidi w:val="0"/>
              <w:adjustRightInd/>
              <w:spacing w:line="360" w:lineRule="auto"/>
              <w:ind w:firstLine="480"/>
              <w:jc w:val="both"/>
              <w:rPr>
                <w:rFonts w:hint="eastAsia" w:ascii="宋体" w:hAnsi="宋体" w:eastAsia="宋体" w:cs="宋体"/>
                <w:sz w:val="24"/>
              </w:rPr>
            </w:pPr>
          </w:p>
          <w:p w14:paraId="2ACD2653">
            <w:pPr>
              <w:pStyle w:val="8"/>
              <w:pageBreakBefore w:val="0"/>
              <w:kinsoku/>
              <w:wordWrap/>
              <w:topLinePunct w:val="0"/>
              <w:bidi w:val="0"/>
              <w:adjustRightInd/>
              <w:spacing w:line="360" w:lineRule="auto"/>
              <w:ind w:firstLine="480"/>
              <w:jc w:val="both"/>
              <w:rPr>
                <w:rFonts w:hint="eastAsia" w:ascii="宋体" w:hAnsi="宋体" w:eastAsia="宋体" w:cs="宋体"/>
                <w:sz w:val="24"/>
              </w:rPr>
            </w:pPr>
          </w:p>
          <w:p w14:paraId="2B3CBDA7">
            <w:pPr>
              <w:pStyle w:val="8"/>
              <w:pageBreakBefore w:val="0"/>
              <w:kinsoku/>
              <w:wordWrap/>
              <w:topLinePunct w:val="0"/>
              <w:bidi w:val="0"/>
              <w:adjustRightInd/>
              <w:spacing w:line="360" w:lineRule="auto"/>
              <w:ind w:firstLine="480"/>
              <w:jc w:val="both"/>
              <w:rPr>
                <w:rFonts w:hint="eastAsia" w:ascii="宋体" w:hAnsi="宋体" w:eastAsia="宋体" w:cs="宋体"/>
                <w:sz w:val="24"/>
              </w:rPr>
            </w:pPr>
          </w:p>
          <w:p w14:paraId="5D3F6647">
            <w:pPr>
              <w:pStyle w:val="8"/>
              <w:pageBreakBefore w:val="0"/>
              <w:kinsoku/>
              <w:wordWrap/>
              <w:topLinePunct w:val="0"/>
              <w:bidi w:val="0"/>
              <w:adjustRightInd/>
              <w:spacing w:line="360" w:lineRule="auto"/>
              <w:ind w:firstLine="480"/>
              <w:jc w:val="both"/>
              <w:rPr>
                <w:rFonts w:hint="eastAsia" w:ascii="宋体" w:hAnsi="宋体" w:eastAsia="宋体" w:cs="宋体"/>
                <w:sz w:val="24"/>
              </w:rPr>
            </w:pPr>
          </w:p>
          <w:p w14:paraId="226A0C90">
            <w:pPr>
              <w:pStyle w:val="8"/>
              <w:pageBreakBefore w:val="0"/>
              <w:kinsoku/>
              <w:wordWrap/>
              <w:topLinePunct w:val="0"/>
              <w:bidi w:val="0"/>
              <w:adjustRightInd/>
              <w:spacing w:line="360" w:lineRule="auto"/>
              <w:ind w:firstLine="480"/>
              <w:jc w:val="both"/>
              <w:rPr>
                <w:rFonts w:hint="eastAsia" w:ascii="宋体" w:hAnsi="宋体" w:eastAsia="宋体" w:cs="宋体"/>
                <w:sz w:val="24"/>
              </w:rPr>
            </w:pPr>
          </w:p>
        </w:tc>
      </w:tr>
    </w:tbl>
    <w:p w14:paraId="1A98F42C">
      <w:pPr>
        <w:pageBreakBefore w:val="0"/>
        <w:kinsoku/>
        <w:wordWrap/>
        <w:topLinePunct w:val="0"/>
        <w:bidi w:val="0"/>
        <w:rPr>
          <w:rFonts w:eastAsia="黑体"/>
          <w:sz w:val="24"/>
        </w:rPr>
        <w:sectPr>
          <w:headerReference r:id="rId5" w:type="default"/>
          <w:pgSz w:w="11905" w:h="16838"/>
          <w:pgMar w:top="1701" w:right="1417" w:bottom="1701" w:left="1417" w:header="850" w:footer="964" w:gutter="0"/>
          <w:pgBorders>
            <w:top w:val="none" w:sz="0" w:space="0"/>
            <w:left w:val="none" w:sz="0" w:space="0"/>
            <w:bottom w:val="none" w:sz="0" w:space="0"/>
            <w:right w:val="none" w:sz="0" w:space="0"/>
          </w:pgBorders>
          <w:pgNumType w:fmt="numberInDash" w:start="1"/>
          <w:cols w:space="720" w:num="1"/>
          <w:docGrid w:type="lines" w:linePitch="312" w:charSpace="0"/>
        </w:sectPr>
      </w:pPr>
    </w:p>
    <w:p w14:paraId="10C04376">
      <w:pPr>
        <w:pageBreakBefore w:val="0"/>
        <w:kinsoku/>
        <w:wordWrap/>
        <w:topLinePunct w:val="0"/>
        <w:bidi w:val="0"/>
        <w:spacing w:line="360" w:lineRule="auto"/>
        <w:jc w:val="center"/>
        <w:outlineLvl w:val="0"/>
        <w:rPr>
          <w:rFonts w:eastAsia="黑体"/>
          <w:snapToGrid w:val="0"/>
          <w:sz w:val="30"/>
          <w:szCs w:val="30"/>
        </w:rPr>
      </w:pPr>
      <w:bookmarkStart w:id="3" w:name="_Toc17237"/>
      <w:r>
        <w:rPr>
          <w:rFonts w:eastAsia="黑体"/>
          <w:snapToGrid w:val="0"/>
          <w:sz w:val="30"/>
          <w:szCs w:val="30"/>
        </w:rPr>
        <w:t>二、建设项目工程分析</w:t>
      </w:r>
      <w:bookmarkEnd w:id="3"/>
    </w:p>
    <w:tbl>
      <w:tblPr>
        <w:tblStyle w:val="13"/>
        <w:tblW w:w="94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697"/>
        <w:gridCol w:w="8714"/>
      </w:tblGrid>
      <w:tr w14:paraId="1CE11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jc w:val="center"/>
        </w:trPr>
        <w:tc>
          <w:tcPr>
            <w:tcW w:w="697" w:type="dxa"/>
            <w:tcBorders>
              <w:top w:val="single" w:color="auto" w:sz="8" w:space="0"/>
            </w:tcBorders>
            <w:noWrap w:val="0"/>
            <w:vAlign w:val="center"/>
          </w:tcPr>
          <w:p w14:paraId="611EAB76">
            <w:pPr>
              <w:pageBreakBefore w:val="0"/>
              <w:kinsoku/>
              <w:wordWrap/>
              <w:topLinePunct w:val="0"/>
              <w:autoSpaceDE w:val="0"/>
              <w:autoSpaceDN w:val="0"/>
              <w:bidi w:val="0"/>
              <w:jc w:val="center"/>
              <w:rPr>
                <w:szCs w:val="21"/>
              </w:rPr>
            </w:pPr>
            <w:r>
              <w:rPr>
                <w:szCs w:val="21"/>
              </w:rPr>
              <w:t>建设</w:t>
            </w:r>
          </w:p>
          <w:p w14:paraId="1696B423">
            <w:pPr>
              <w:pageBreakBefore w:val="0"/>
              <w:kinsoku/>
              <w:wordWrap/>
              <w:topLinePunct w:val="0"/>
              <w:autoSpaceDE w:val="0"/>
              <w:autoSpaceDN w:val="0"/>
              <w:bidi w:val="0"/>
              <w:jc w:val="center"/>
              <w:rPr>
                <w:szCs w:val="21"/>
              </w:rPr>
            </w:pPr>
            <w:r>
              <w:rPr>
                <w:szCs w:val="21"/>
              </w:rPr>
              <w:t>内容</w:t>
            </w:r>
          </w:p>
        </w:tc>
        <w:tc>
          <w:tcPr>
            <w:tcW w:w="8714" w:type="dxa"/>
            <w:tcBorders>
              <w:top w:val="single" w:color="auto" w:sz="8" w:space="0"/>
            </w:tcBorders>
            <w:noWrap w:val="0"/>
            <w:vAlign w:val="top"/>
          </w:tcPr>
          <w:p w14:paraId="5BAE2F54">
            <w:pPr>
              <w:pStyle w:val="18"/>
              <w:pageBreakBefore w:val="0"/>
              <w:kinsoku/>
              <w:wordWrap/>
              <w:topLinePunct w:val="0"/>
              <w:bidi w:val="0"/>
              <w:rPr>
                <w:rFonts w:hint="default"/>
                <w:spacing w:val="0"/>
                <w:sz w:val="24"/>
                <w:lang w:val="en-US" w:eastAsia="zh-CN"/>
              </w:rPr>
            </w:pPr>
            <w:r>
              <w:rPr>
                <w:rFonts w:hint="eastAsia"/>
                <w:b/>
                <w:bCs/>
                <w:spacing w:val="0"/>
                <w:sz w:val="24"/>
                <w:lang w:val="en-US" w:eastAsia="zh-CN"/>
              </w:rPr>
              <w:t>1 项目背景</w:t>
            </w:r>
          </w:p>
          <w:p w14:paraId="07C3389C">
            <w:pPr>
              <w:pStyle w:val="18"/>
              <w:pageBreakBefore w:val="0"/>
              <w:kinsoku/>
              <w:wordWrap/>
              <w:topLinePunct w:val="0"/>
              <w:bidi w:val="0"/>
              <w:rPr>
                <w:spacing w:val="0"/>
                <w:sz w:val="24"/>
              </w:rPr>
            </w:pPr>
            <w:r>
              <w:rPr>
                <w:rFonts w:hint="eastAsia"/>
                <w:spacing w:val="0"/>
                <w:sz w:val="24"/>
              </w:rPr>
              <w:t>新疆圣雄电石有限公司是一家以发展煤电盐化为一体的循环经济产业和生产高附加值化工产品的现代化电石企业，依托吐鲁番地区丰富的煤炭及石灰石资源，通过先进的工艺技术，最终实现所有的废气、废渣、废水的综合再利用，打造节能、绿色、循环、可持续发展的环保型产业链。一期项目包括8台电石炉、4台石灰窑及相关配套装置，装置设计产能为60万吨/年电石、60万吨/年石灰。二期项目包括8台电石炉、4台石灰窑、10台兰炭炉及相关配套装置，设计产能50万吨/年电石、60万吨/年石灰、75万吨/年兰炭，依托托克逊丰富的煤炭、石灰石等自然资源，目前已形成年产100万吨电石、120万吨石灰和75万吨兰炭的生产规模。</w:t>
            </w:r>
          </w:p>
          <w:p w14:paraId="50C8FCAD">
            <w:pPr>
              <w:pStyle w:val="18"/>
              <w:pageBreakBefore w:val="0"/>
              <w:kinsoku/>
              <w:wordWrap/>
              <w:topLinePunct w:val="0"/>
              <w:bidi w:val="0"/>
              <w:rPr>
                <w:rFonts w:hint="eastAsia"/>
                <w:spacing w:val="0"/>
                <w:sz w:val="24"/>
              </w:rPr>
            </w:pPr>
            <w:r>
              <w:rPr>
                <w:rFonts w:hint="eastAsia"/>
                <w:spacing w:val="0"/>
                <w:sz w:val="24"/>
              </w:rPr>
              <w:t>本项目利用现圣雄电石兰炭装置产生的荒煤气中的氢气作为原料生产甲醇。荒煤气提氢技术具有资源利用率高、环境友好、能源转化效率高、降低能源成本和增加可持续发展能力等优点。随着技术的不断创新和完善，相信该技术在能源产业中的应用将会得到进一步拓展，为能源转型和可持续发展做出更大的贡献。</w:t>
            </w:r>
          </w:p>
          <w:p w14:paraId="4109C299">
            <w:pPr>
              <w:pageBreakBefore w:val="0"/>
              <w:kinsoku/>
              <w:wordWrap/>
              <w:topLinePunct w:val="0"/>
              <w:autoSpaceDE w:val="0"/>
              <w:autoSpaceDN w:val="0"/>
              <w:bidi w:val="0"/>
              <w:spacing w:line="360" w:lineRule="auto"/>
              <w:ind w:firstLine="482" w:firstLineChars="200"/>
              <w:rPr>
                <w:b/>
                <w:sz w:val="24"/>
              </w:rPr>
            </w:pPr>
            <w:r>
              <w:rPr>
                <w:rFonts w:hint="eastAsia"/>
                <w:b/>
                <w:sz w:val="24"/>
                <w:lang w:val="en-US" w:eastAsia="zh-CN"/>
              </w:rPr>
              <w:t>2</w:t>
            </w:r>
            <w:r>
              <w:rPr>
                <w:b/>
                <w:sz w:val="24"/>
              </w:rPr>
              <w:t xml:space="preserve"> 项目建设内容</w:t>
            </w:r>
          </w:p>
          <w:p w14:paraId="38649C3F">
            <w:pPr>
              <w:pageBreakBefore w:val="0"/>
              <w:kinsoku/>
              <w:wordWrap/>
              <w:topLinePunct w:val="0"/>
              <w:autoSpaceDE w:val="0"/>
              <w:autoSpaceDN w:val="0"/>
              <w:bidi w:val="0"/>
              <w:spacing w:line="360" w:lineRule="auto"/>
              <w:ind w:firstLine="480" w:firstLineChars="200"/>
              <w:rPr>
                <w:rFonts w:hint="eastAsia"/>
                <w:bCs/>
                <w:sz w:val="24"/>
                <w:highlight w:val="yellow"/>
              </w:rPr>
            </w:pPr>
            <w:r>
              <w:rPr>
                <w:bCs/>
                <w:sz w:val="24"/>
              </w:rPr>
              <w:t>项目名称：</w:t>
            </w:r>
            <w:r>
              <w:rPr>
                <w:rFonts w:hint="eastAsia"/>
                <w:bCs/>
                <w:sz w:val="24"/>
              </w:rPr>
              <w:t>新疆圣雄能源股份有限公司5000Nm³/h荒煤气绿色提氢综合利用项目</w:t>
            </w:r>
          </w:p>
          <w:p w14:paraId="63A9C5DC">
            <w:pPr>
              <w:pageBreakBefore w:val="0"/>
              <w:kinsoku/>
              <w:wordWrap/>
              <w:topLinePunct w:val="0"/>
              <w:autoSpaceDE w:val="0"/>
              <w:autoSpaceDN w:val="0"/>
              <w:bidi w:val="0"/>
              <w:spacing w:line="360" w:lineRule="auto"/>
              <w:ind w:firstLine="480" w:firstLineChars="200"/>
              <w:rPr>
                <w:bCs/>
                <w:sz w:val="24"/>
              </w:rPr>
            </w:pPr>
            <w:r>
              <w:rPr>
                <w:bCs/>
                <w:sz w:val="24"/>
              </w:rPr>
              <w:t>建设单位：</w:t>
            </w:r>
            <w:r>
              <w:rPr>
                <w:rFonts w:hint="eastAsia"/>
                <w:bCs/>
                <w:sz w:val="24"/>
              </w:rPr>
              <w:t>新疆圣雄电石有限公司</w:t>
            </w:r>
            <w:r>
              <w:rPr>
                <w:bCs/>
                <w:sz w:val="24"/>
              </w:rPr>
              <w:t>；</w:t>
            </w:r>
          </w:p>
          <w:p w14:paraId="1B52C615">
            <w:pPr>
              <w:pageBreakBefore w:val="0"/>
              <w:kinsoku/>
              <w:wordWrap/>
              <w:topLinePunct w:val="0"/>
              <w:autoSpaceDE w:val="0"/>
              <w:autoSpaceDN w:val="0"/>
              <w:bidi w:val="0"/>
              <w:spacing w:line="360" w:lineRule="auto"/>
              <w:ind w:firstLine="480" w:firstLineChars="200"/>
              <w:rPr>
                <w:bCs/>
                <w:sz w:val="24"/>
              </w:rPr>
            </w:pPr>
            <w:r>
              <w:rPr>
                <w:bCs/>
                <w:sz w:val="24"/>
              </w:rPr>
              <w:t>项目性质：</w:t>
            </w:r>
            <w:r>
              <w:rPr>
                <w:rFonts w:hint="eastAsia"/>
                <w:bCs/>
                <w:sz w:val="24"/>
              </w:rPr>
              <w:t>新建</w:t>
            </w:r>
            <w:r>
              <w:rPr>
                <w:bCs/>
                <w:sz w:val="24"/>
              </w:rPr>
              <w:t>；</w:t>
            </w:r>
          </w:p>
          <w:p w14:paraId="3B601254">
            <w:pPr>
              <w:pageBreakBefore w:val="0"/>
              <w:kinsoku/>
              <w:wordWrap/>
              <w:topLinePunct w:val="0"/>
              <w:autoSpaceDE w:val="0"/>
              <w:autoSpaceDN w:val="0"/>
              <w:bidi w:val="0"/>
              <w:spacing w:line="360" w:lineRule="auto"/>
              <w:ind w:firstLine="480" w:firstLineChars="200"/>
              <w:rPr>
                <w:sz w:val="24"/>
              </w:rPr>
            </w:pPr>
            <w:r>
              <w:rPr>
                <w:bCs/>
                <w:sz w:val="24"/>
              </w:rPr>
              <w:t>建设地点：</w:t>
            </w:r>
            <w:r>
              <w:rPr>
                <w:rFonts w:hint="eastAsia"/>
                <w:bCs/>
                <w:sz w:val="24"/>
              </w:rPr>
              <w:t>。</w:t>
            </w:r>
          </w:p>
          <w:p w14:paraId="4C389A46">
            <w:pPr>
              <w:pageBreakBefore w:val="0"/>
              <w:kinsoku/>
              <w:wordWrap/>
              <w:topLinePunct w:val="0"/>
              <w:autoSpaceDE w:val="0"/>
              <w:autoSpaceDN w:val="0"/>
              <w:bidi w:val="0"/>
              <w:spacing w:line="360" w:lineRule="auto"/>
              <w:ind w:firstLine="480" w:firstLineChars="200"/>
              <w:rPr>
                <w:sz w:val="24"/>
              </w:rPr>
            </w:pPr>
            <w:r>
              <w:rPr>
                <w:sz w:val="24"/>
              </w:rPr>
              <w:t>本项目地理位置图见附图</w:t>
            </w:r>
            <w:r>
              <w:rPr>
                <w:rFonts w:hint="eastAsia"/>
                <w:sz w:val="24"/>
              </w:rPr>
              <w:t>3</w:t>
            </w:r>
            <w:r>
              <w:rPr>
                <w:sz w:val="24"/>
              </w:rPr>
              <w:t>，项目选址与周边关系见附图</w:t>
            </w:r>
            <w:r>
              <w:rPr>
                <w:rFonts w:hint="eastAsia"/>
                <w:sz w:val="24"/>
              </w:rPr>
              <w:t>4</w:t>
            </w:r>
            <w:r>
              <w:rPr>
                <w:sz w:val="24"/>
              </w:rPr>
              <w:t>。</w:t>
            </w:r>
          </w:p>
          <w:p w14:paraId="4A2087C6">
            <w:pPr>
              <w:pageBreakBefore w:val="0"/>
              <w:kinsoku/>
              <w:wordWrap/>
              <w:topLinePunct w:val="0"/>
              <w:autoSpaceDE w:val="0"/>
              <w:autoSpaceDN w:val="0"/>
              <w:bidi w:val="0"/>
              <w:spacing w:line="360" w:lineRule="auto"/>
              <w:ind w:firstLine="480" w:firstLineChars="200"/>
              <w:rPr>
                <w:sz w:val="24"/>
              </w:rPr>
            </w:pPr>
            <w:r>
              <w:rPr>
                <w:sz w:val="24"/>
              </w:rPr>
              <w:t>投资总额：</w:t>
            </w:r>
            <w:r>
              <w:rPr>
                <w:rFonts w:hint="eastAsia"/>
                <w:sz w:val="24"/>
              </w:rPr>
              <w:t>12000</w:t>
            </w:r>
            <w:r>
              <w:rPr>
                <w:sz w:val="24"/>
              </w:rPr>
              <w:t>万元，资金来源为企业自筹；</w:t>
            </w:r>
          </w:p>
          <w:p w14:paraId="0A5CDBB7">
            <w:pPr>
              <w:pageBreakBefore w:val="0"/>
              <w:kinsoku/>
              <w:wordWrap/>
              <w:topLinePunct w:val="0"/>
              <w:autoSpaceDE w:val="0"/>
              <w:autoSpaceDN w:val="0"/>
              <w:bidi w:val="0"/>
              <w:spacing w:line="360" w:lineRule="auto"/>
              <w:ind w:firstLine="480" w:firstLineChars="200"/>
              <w:rPr>
                <w:bCs/>
                <w:sz w:val="24"/>
              </w:rPr>
            </w:pPr>
            <w:r>
              <w:rPr>
                <w:bCs/>
                <w:sz w:val="24"/>
              </w:rPr>
              <w:t>劳动定员及工作制度：</w:t>
            </w:r>
            <w:r>
              <w:rPr>
                <w:rFonts w:hint="eastAsia"/>
                <w:bCs/>
                <w:sz w:val="24"/>
              </w:rPr>
              <w:t>本项目需新增定员45人</w:t>
            </w:r>
            <w:r>
              <w:rPr>
                <w:bCs/>
                <w:sz w:val="24"/>
              </w:rPr>
              <w:t>。</w:t>
            </w:r>
            <w:r>
              <w:rPr>
                <w:rFonts w:hint="eastAsia"/>
                <w:bCs/>
                <w:sz w:val="24"/>
              </w:rPr>
              <w:t>项目生产岗位实行“四班三运转”制，年运营时间8000h（333d）。</w:t>
            </w:r>
          </w:p>
          <w:p w14:paraId="50A0A352">
            <w:pPr>
              <w:pageBreakBefore w:val="0"/>
              <w:kinsoku/>
              <w:wordWrap/>
              <w:topLinePunct w:val="0"/>
              <w:autoSpaceDE w:val="0"/>
              <w:autoSpaceDN w:val="0"/>
              <w:bidi w:val="0"/>
              <w:spacing w:line="360" w:lineRule="auto"/>
              <w:ind w:firstLine="480" w:firstLineChars="200"/>
              <w:rPr>
                <w:bCs/>
                <w:sz w:val="24"/>
              </w:rPr>
            </w:pPr>
            <w:r>
              <w:rPr>
                <w:rFonts w:hint="eastAsia"/>
                <w:bCs/>
                <w:sz w:val="24"/>
              </w:rPr>
              <w:t>建设内容：建设一套5000Nm</w:t>
            </w:r>
            <w:r>
              <w:rPr>
                <w:rFonts w:hint="eastAsia"/>
                <w:bCs/>
                <w:sz w:val="24"/>
                <w:vertAlign w:val="superscript"/>
              </w:rPr>
              <w:t>3</w:t>
            </w:r>
            <w:r>
              <w:rPr>
                <w:rFonts w:hint="eastAsia"/>
                <w:bCs/>
                <w:sz w:val="24"/>
              </w:rPr>
              <w:t>/h荒煤气制氢装置及配套附属设施。</w:t>
            </w:r>
          </w:p>
          <w:p w14:paraId="501C5557">
            <w:pPr>
              <w:pageBreakBefore w:val="0"/>
              <w:kinsoku/>
              <w:wordWrap/>
              <w:topLinePunct w:val="0"/>
              <w:autoSpaceDE w:val="0"/>
              <w:autoSpaceDN w:val="0"/>
              <w:bidi w:val="0"/>
              <w:spacing w:line="360" w:lineRule="auto"/>
              <w:ind w:firstLine="480" w:firstLineChars="200"/>
              <w:rPr>
                <w:bCs/>
                <w:sz w:val="24"/>
              </w:rPr>
            </w:pPr>
            <w:r>
              <w:rPr>
                <w:bCs/>
                <w:sz w:val="24"/>
              </w:rPr>
              <w:t>拟建工程组成详见</w:t>
            </w:r>
            <w:r>
              <w:rPr>
                <w:rFonts w:hint="eastAsia"/>
                <w:bCs/>
                <w:sz w:val="24"/>
                <w:lang w:val="en-US" w:eastAsia="zh-CN"/>
              </w:rPr>
              <w:t>下</w:t>
            </w:r>
            <w:r>
              <w:rPr>
                <w:bCs/>
                <w:sz w:val="24"/>
              </w:rPr>
              <w:t>表。</w:t>
            </w:r>
          </w:p>
          <w:p w14:paraId="5CCCCE6B">
            <w:pPr>
              <w:pageBreakBefore w:val="0"/>
              <w:kinsoku/>
              <w:wordWrap/>
              <w:topLinePunct w:val="0"/>
              <w:autoSpaceDE w:val="0"/>
              <w:autoSpaceDN w:val="0"/>
              <w:bidi w:val="0"/>
              <w:spacing w:line="360" w:lineRule="auto"/>
              <w:ind w:firstLine="480" w:firstLineChars="200"/>
              <w:rPr>
                <w:bCs/>
                <w:sz w:val="24"/>
              </w:rPr>
            </w:pPr>
          </w:p>
          <w:p w14:paraId="15F7932C">
            <w:pPr>
              <w:pageBreakBefore w:val="0"/>
              <w:kinsoku/>
              <w:wordWrap/>
              <w:topLinePunct w:val="0"/>
              <w:autoSpaceDE w:val="0"/>
              <w:autoSpaceDN w:val="0"/>
              <w:bidi w:val="0"/>
              <w:spacing w:line="360" w:lineRule="auto"/>
              <w:ind w:firstLine="480" w:firstLineChars="200"/>
              <w:rPr>
                <w:bCs/>
                <w:sz w:val="24"/>
              </w:rPr>
            </w:pPr>
          </w:p>
          <w:p w14:paraId="6089D371">
            <w:pPr>
              <w:pageBreakBefore w:val="0"/>
              <w:kinsoku/>
              <w:wordWrap/>
              <w:topLinePunct w:val="0"/>
              <w:autoSpaceDE w:val="0"/>
              <w:autoSpaceDN w:val="0"/>
              <w:bidi w:val="0"/>
              <w:spacing w:line="360" w:lineRule="auto"/>
              <w:jc w:val="center"/>
              <w:rPr>
                <w:bCs/>
                <w:szCs w:val="21"/>
              </w:rPr>
            </w:pPr>
            <w:r>
              <w:rPr>
                <w:rFonts w:eastAsia="黑体"/>
                <w:bCs/>
                <w:szCs w:val="21"/>
              </w:rPr>
              <w:t>表2-1  工程组成一览表</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1071"/>
              <w:gridCol w:w="2175"/>
              <w:gridCol w:w="3885"/>
              <w:gridCol w:w="1259"/>
            </w:tblGrid>
            <w:tr w14:paraId="4930E5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noWrap w:val="0"/>
                  <w:tcMar>
                    <w:top w:w="0" w:type="dxa"/>
                    <w:left w:w="28" w:type="dxa"/>
                    <w:right w:w="28" w:type="dxa"/>
                  </w:tcMar>
                  <w:vAlign w:val="center"/>
                </w:tcPr>
                <w:p w14:paraId="457B6D81">
                  <w:pPr>
                    <w:pageBreakBefore w:val="0"/>
                    <w:kinsoku/>
                    <w:wordWrap/>
                    <w:topLinePunct w:val="0"/>
                    <w:autoSpaceDE w:val="0"/>
                    <w:autoSpaceDN w:val="0"/>
                    <w:bidi w:val="0"/>
                    <w:spacing w:line="280" w:lineRule="exact"/>
                    <w:contextualSpacing/>
                    <w:jc w:val="center"/>
                    <w:rPr>
                      <w:b/>
                      <w:bCs/>
                      <w:szCs w:val="21"/>
                    </w:rPr>
                  </w:pPr>
                  <w:r>
                    <w:rPr>
                      <w:b/>
                      <w:bCs/>
                      <w:szCs w:val="21"/>
                    </w:rPr>
                    <w:t>工程类别</w:t>
                  </w:r>
                </w:p>
              </w:tc>
              <w:tc>
                <w:tcPr>
                  <w:tcW w:w="2175" w:type="dxa"/>
                  <w:noWrap w:val="0"/>
                  <w:tcMar>
                    <w:top w:w="0" w:type="dxa"/>
                    <w:left w:w="28" w:type="dxa"/>
                    <w:right w:w="28" w:type="dxa"/>
                  </w:tcMar>
                  <w:vAlign w:val="center"/>
                </w:tcPr>
                <w:p w14:paraId="5B51344C">
                  <w:pPr>
                    <w:pageBreakBefore w:val="0"/>
                    <w:kinsoku/>
                    <w:wordWrap/>
                    <w:topLinePunct w:val="0"/>
                    <w:autoSpaceDE w:val="0"/>
                    <w:autoSpaceDN w:val="0"/>
                    <w:bidi w:val="0"/>
                    <w:spacing w:line="280" w:lineRule="exact"/>
                    <w:contextualSpacing/>
                    <w:jc w:val="center"/>
                    <w:rPr>
                      <w:b/>
                      <w:bCs/>
                      <w:szCs w:val="21"/>
                    </w:rPr>
                  </w:pPr>
                  <w:r>
                    <w:rPr>
                      <w:b/>
                      <w:bCs/>
                      <w:szCs w:val="21"/>
                    </w:rPr>
                    <w:t>工程内容</w:t>
                  </w:r>
                </w:p>
              </w:tc>
              <w:tc>
                <w:tcPr>
                  <w:tcW w:w="3885" w:type="dxa"/>
                  <w:noWrap w:val="0"/>
                  <w:tcMar>
                    <w:top w:w="0" w:type="dxa"/>
                    <w:left w:w="28" w:type="dxa"/>
                    <w:right w:w="28" w:type="dxa"/>
                  </w:tcMar>
                  <w:vAlign w:val="center"/>
                </w:tcPr>
                <w:p w14:paraId="4BBBD8B1">
                  <w:pPr>
                    <w:pageBreakBefore w:val="0"/>
                    <w:kinsoku/>
                    <w:wordWrap/>
                    <w:topLinePunct w:val="0"/>
                    <w:autoSpaceDE w:val="0"/>
                    <w:autoSpaceDN w:val="0"/>
                    <w:bidi w:val="0"/>
                    <w:spacing w:line="280" w:lineRule="exact"/>
                    <w:contextualSpacing/>
                    <w:jc w:val="center"/>
                    <w:rPr>
                      <w:b/>
                      <w:bCs/>
                      <w:szCs w:val="21"/>
                    </w:rPr>
                  </w:pPr>
                  <w:r>
                    <w:rPr>
                      <w:rFonts w:hint="eastAsia"/>
                      <w:b/>
                      <w:bCs/>
                      <w:szCs w:val="21"/>
                    </w:rPr>
                    <w:t>建设内容</w:t>
                  </w:r>
                </w:p>
              </w:tc>
              <w:tc>
                <w:tcPr>
                  <w:tcW w:w="1259" w:type="dxa"/>
                  <w:noWrap w:val="0"/>
                  <w:tcMar>
                    <w:top w:w="0" w:type="dxa"/>
                    <w:left w:w="28" w:type="dxa"/>
                    <w:right w:w="28" w:type="dxa"/>
                  </w:tcMar>
                  <w:vAlign w:val="center"/>
                </w:tcPr>
                <w:p w14:paraId="0D088CEE">
                  <w:pPr>
                    <w:pageBreakBefore w:val="0"/>
                    <w:kinsoku/>
                    <w:wordWrap/>
                    <w:topLinePunct w:val="0"/>
                    <w:autoSpaceDE w:val="0"/>
                    <w:autoSpaceDN w:val="0"/>
                    <w:bidi w:val="0"/>
                    <w:spacing w:line="280" w:lineRule="exact"/>
                    <w:contextualSpacing/>
                    <w:jc w:val="center"/>
                    <w:rPr>
                      <w:b/>
                      <w:bCs/>
                      <w:szCs w:val="21"/>
                    </w:rPr>
                  </w:pPr>
                  <w:r>
                    <w:rPr>
                      <w:b/>
                      <w:bCs/>
                      <w:szCs w:val="21"/>
                    </w:rPr>
                    <w:t>备注</w:t>
                  </w:r>
                </w:p>
              </w:tc>
            </w:tr>
            <w:tr w14:paraId="3163C0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restart"/>
                  <w:noWrap w:val="0"/>
                  <w:tcMar>
                    <w:top w:w="0" w:type="dxa"/>
                    <w:left w:w="28" w:type="dxa"/>
                    <w:right w:w="28" w:type="dxa"/>
                  </w:tcMar>
                  <w:vAlign w:val="center"/>
                </w:tcPr>
                <w:p w14:paraId="6A17CFE2">
                  <w:pPr>
                    <w:pageBreakBefore w:val="0"/>
                    <w:kinsoku/>
                    <w:wordWrap/>
                    <w:topLinePunct w:val="0"/>
                    <w:autoSpaceDE w:val="0"/>
                    <w:autoSpaceDN w:val="0"/>
                    <w:bidi w:val="0"/>
                    <w:spacing w:line="280" w:lineRule="exact"/>
                    <w:contextualSpacing/>
                    <w:jc w:val="center"/>
                    <w:rPr>
                      <w:szCs w:val="21"/>
                    </w:rPr>
                  </w:pPr>
                  <w:r>
                    <w:rPr>
                      <w:szCs w:val="21"/>
                    </w:rPr>
                    <w:t>主体工程</w:t>
                  </w:r>
                </w:p>
              </w:tc>
              <w:tc>
                <w:tcPr>
                  <w:tcW w:w="2175" w:type="dxa"/>
                  <w:noWrap w:val="0"/>
                  <w:tcMar>
                    <w:top w:w="0" w:type="dxa"/>
                    <w:left w:w="28" w:type="dxa"/>
                    <w:right w:w="28" w:type="dxa"/>
                  </w:tcMar>
                  <w:vAlign w:val="center"/>
                </w:tcPr>
                <w:p w14:paraId="5E25302C">
                  <w:pPr>
                    <w:pageBreakBefore w:val="0"/>
                    <w:kinsoku/>
                    <w:wordWrap/>
                    <w:topLinePunct w:val="0"/>
                    <w:bidi w:val="0"/>
                    <w:spacing w:line="280" w:lineRule="exact"/>
                    <w:jc w:val="center"/>
                    <w:rPr>
                      <w:szCs w:val="21"/>
                    </w:rPr>
                  </w:pPr>
                  <w:r>
                    <w:rPr>
                      <w:rFonts w:hint="eastAsia"/>
                      <w:szCs w:val="21"/>
                    </w:rPr>
                    <w:t>预净化单元</w:t>
                  </w:r>
                </w:p>
              </w:tc>
              <w:tc>
                <w:tcPr>
                  <w:tcW w:w="3885" w:type="dxa"/>
                  <w:noWrap w:val="0"/>
                  <w:tcMar>
                    <w:top w:w="0" w:type="dxa"/>
                    <w:left w:w="28" w:type="dxa"/>
                    <w:right w:w="28" w:type="dxa"/>
                  </w:tcMar>
                  <w:vAlign w:val="center"/>
                </w:tcPr>
                <w:p w14:paraId="62909063">
                  <w:pPr>
                    <w:pageBreakBefore w:val="0"/>
                    <w:kinsoku/>
                    <w:wordWrap/>
                    <w:topLinePunct w:val="0"/>
                    <w:bidi w:val="0"/>
                    <w:spacing w:line="280" w:lineRule="exact"/>
                    <w:jc w:val="center"/>
                    <w:rPr>
                      <w:szCs w:val="21"/>
                    </w:rPr>
                  </w:pPr>
                  <w:r>
                    <w:rPr>
                      <w:rFonts w:hint="eastAsia"/>
                      <w:szCs w:val="21"/>
                    </w:rPr>
                    <w:t>预处理塔、加热器、冷却器、电捕焦等</w:t>
                  </w:r>
                </w:p>
              </w:tc>
              <w:tc>
                <w:tcPr>
                  <w:tcW w:w="1259" w:type="dxa"/>
                  <w:noWrap w:val="0"/>
                  <w:tcMar>
                    <w:top w:w="0" w:type="dxa"/>
                    <w:left w:w="28" w:type="dxa"/>
                    <w:right w:w="28" w:type="dxa"/>
                  </w:tcMar>
                  <w:vAlign w:val="center"/>
                </w:tcPr>
                <w:p w14:paraId="06EBE30B">
                  <w:pPr>
                    <w:pageBreakBefore w:val="0"/>
                    <w:kinsoku/>
                    <w:wordWrap/>
                    <w:topLinePunct w:val="0"/>
                    <w:autoSpaceDE w:val="0"/>
                    <w:autoSpaceDN w:val="0"/>
                    <w:bidi w:val="0"/>
                    <w:spacing w:line="280" w:lineRule="exact"/>
                    <w:contextualSpacing/>
                    <w:jc w:val="center"/>
                    <w:rPr>
                      <w:szCs w:val="21"/>
                    </w:rPr>
                  </w:pPr>
                </w:p>
              </w:tc>
            </w:tr>
            <w:tr w14:paraId="3393FF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0113BF87">
                  <w:pPr>
                    <w:pageBreakBefore w:val="0"/>
                    <w:kinsoku/>
                    <w:wordWrap/>
                    <w:topLinePunct w:val="0"/>
                    <w:autoSpaceDE w:val="0"/>
                    <w:autoSpaceDN w:val="0"/>
                    <w:bidi w:val="0"/>
                    <w:spacing w:line="280" w:lineRule="exact"/>
                    <w:contextualSpacing/>
                    <w:jc w:val="center"/>
                    <w:rPr>
                      <w:szCs w:val="21"/>
                    </w:rPr>
                  </w:pPr>
                </w:p>
              </w:tc>
              <w:tc>
                <w:tcPr>
                  <w:tcW w:w="2175" w:type="dxa"/>
                  <w:noWrap w:val="0"/>
                  <w:tcMar>
                    <w:top w:w="0" w:type="dxa"/>
                    <w:left w:w="28" w:type="dxa"/>
                    <w:right w:w="28" w:type="dxa"/>
                  </w:tcMar>
                  <w:vAlign w:val="center"/>
                </w:tcPr>
                <w:p w14:paraId="495BB0A6">
                  <w:pPr>
                    <w:pageBreakBefore w:val="0"/>
                    <w:kinsoku/>
                    <w:wordWrap/>
                    <w:topLinePunct w:val="0"/>
                    <w:bidi w:val="0"/>
                    <w:spacing w:line="280" w:lineRule="exact"/>
                    <w:jc w:val="center"/>
                    <w:rPr>
                      <w:szCs w:val="21"/>
                    </w:rPr>
                  </w:pPr>
                  <w:r>
                    <w:rPr>
                      <w:rFonts w:hint="eastAsia"/>
                      <w:szCs w:val="21"/>
                    </w:rPr>
                    <w:t>螺杆压缩机单元</w:t>
                  </w:r>
                </w:p>
              </w:tc>
              <w:tc>
                <w:tcPr>
                  <w:tcW w:w="3885" w:type="dxa"/>
                  <w:noWrap w:val="0"/>
                  <w:tcMar>
                    <w:top w:w="0" w:type="dxa"/>
                    <w:left w:w="28" w:type="dxa"/>
                    <w:right w:w="28" w:type="dxa"/>
                  </w:tcMar>
                  <w:vAlign w:val="center"/>
                </w:tcPr>
                <w:p w14:paraId="4B60ED27">
                  <w:pPr>
                    <w:pageBreakBefore w:val="0"/>
                    <w:kinsoku/>
                    <w:wordWrap/>
                    <w:topLinePunct w:val="0"/>
                    <w:bidi w:val="0"/>
                    <w:spacing w:line="280" w:lineRule="exact"/>
                    <w:jc w:val="center"/>
                    <w:rPr>
                      <w:szCs w:val="21"/>
                    </w:rPr>
                  </w:pPr>
                  <w:r>
                    <w:rPr>
                      <w:rFonts w:hint="eastAsia"/>
                      <w:szCs w:val="21"/>
                    </w:rPr>
                    <w:t>压缩机</w:t>
                  </w:r>
                </w:p>
              </w:tc>
              <w:tc>
                <w:tcPr>
                  <w:tcW w:w="1259" w:type="dxa"/>
                  <w:noWrap w:val="0"/>
                  <w:tcMar>
                    <w:top w:w="0" w:type="dxa"/>
                    <w:left w:w="28" w:type="dxa"/>
                    <w:right w:w="28" w:type="dxa"/>
                  </w:tcMar>
                  <w:vAlign w:val="center"/>
                </w:tcPr>
                <w:p w14:paraId="510460BC">
                  <w:pPr>
                    <w:pageBreakBefore w:val="0"/>
                    <w:kinsoku/>
                    <w:wordWrap/>
                    <w:topLinePunct w:val="0"/>
                    <w:autoSpaceDE w:val="0"/>
                    <w:autoSpaceDN w:val="0"/>
                    <w:bidi w:val="0"/>
                    <w:spacing w:line="280" w:lineRule="exact"/>
                    <w:contextualSpacing/>
                    <w:jc w:val="center"/>
                    <w:rPr>
                      <w:szCs w:val="21"/>
                    </w:rPr>
                  </w:pPr>
                </w:p>
              </w:tc>
            </w:tr>
            <w:tr w14:paraId="3D93F3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3F61B562">
                  <w:pPr>
                    <w:pageBreakBefore w:val="0"/>
                    <w:kinsoku/>
                    <w:wordWrap/>
                    <w:topLinePunct w:val="0"/>
                    <w:autoSpaceDE w:val="0"/>
                    <w:autoSpaceDN w:val="0"/>
                    <w:bidi w:val="0"/>
                    <w:spacing w:line="280" w:lineRule="exact"/>
                    <w:contextualSpacing/>
                    <w:jc w:val="center"/>
                    <w:rPr>
                      <w:szCs w:val="21"/>
                    </w:rPr>
                  </w:pPr>
                </w:p>
              </w:tc>
              <w:tc>
                <w:tcPr>
                  <w:tcW w:w="2175" w:type="dxa"/>
                  <w:noWrap w:val="0"/>
                  <w:tcMar>
                    <w:top w:w="0" w:type="dxa"/>
                    <w:left w:w="28" w:type="dxa"/>
                    <w:right w:w="28" w:type="dxa"/>
                  </w:tcMar>
                  <w:vAlign w:val="center"/>
                </w:tcPr>
                <w:p w14:paraId="1800B6AF">
                  <w:pPr>
                    <w:pageBreakBefore w:val="0"/>
                    <w:kinsoku/>
                    <w:wordWrap/>
                    <w:topLinePunct w:val="0"/>
                    <w:bidi w:val="0"/>
                    <w:spacing w:line="280" w:lineRule="exact"/>
                    <w:jc w:val="center"/>
                    <w:rPr>
                      <w:szCs w:val="21"/>
                    </w:rPr>
                  </w:pPr>
                  <w:r>
                    <w:rPr>
                      <w:rFonts w:hint="eastAsia"/>
                      <w:szCs w:val="21"/>
                    </w:rPr>
                    <w:t>预处理单元</w:t>
                  </w:r>
                </w:p>
              </w:tc>
              <w:tc>
                <w:tcPr>
                  <w:tcW w:w="3885" w:type="dxa"/>
                  <w:noWrap w:val="0"/>
                  <w:tcMar>
                    <w:top w:w="0" w:type="dxa"/>
                    <w:left w:w="28" w:type="dxa"/>
                    <w:right w:w="28" w:type="dxa"/>
                  </w:tcMar>
                  <w:vAlign w:val="center"/>
                </w:tcPr>
                <w:p w14:paraId="4711581E">
                  <w:pPr>
                    <w:pageBreakBefore w:val="0"/>
                    <w:kinsoku/>
                    <w:wordWrap/>
                    <w:topLinePunct w:val="0"/>
                    <w:bidi w:val="0"/>
                    <w:spacing w:line="280" w:lineRule="exact"/>
                    <w:jc w:val="center"/>
                    <w:rPr>
                      <w:szCs w:val="21"/>
                    </w:rPr>
                  </w:pPr>
                  <w:r>
                    <w:rPr>
                      <w:rFonts w:hint="eastAsia"/>
                      <w:szCs w:val="21"/>
                    </w:rPr>
                    <w:t>预净化塔、加热器、冷却器等</w:t>
                  </w:r>
                </w:p>
              </w:tc>
              <w:tc>
                <w:tcPr>
                  <w:tcW w:w="1259" w:type="dxa"/>
                  <w:noWrap w:val="0"/>
                  <w:tcMar>
                    <w:top w:w="0" w:type="dxa"/>
                    <w:left w:w="28" w:type="dxa"/>
                    <w:right w:w="28" w:type="dxa"/>
                  </w:tcMar>
                  <w:vAlign w:val="center"/>
                </w:tcPr>
                <w:p w14:paraId="342F1FC6">
                  <w:pPr>
                    <w:pageBreakBefore w:val="0"/>
                    <w:kinsoku/>
                    <w:wordWrap/>
                    <w:topLinePunct w:val="0"/>
                    <w:autoSpaceDE w:val="0"/>
                    <w:autoSpaceDN w:val="0"/>
                    <w:bidi w:val="0"/>
                    <w:spacing w:line="280" w:lineRule="exact"/>
                    <w:contextualSpacing/>
                    <w:jc w:val="center"/>
                    <w:rPr>
                      <w:szCs w:val="21"/>
                    </w:rPr>
                  </w:pPr>
                </w:p>
              </w:tc>
            </w:tr>
            <w:tr w14:paraId="45E869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1EFE9188">
                  <w:pPr>
                    <w:pageBreakBefore w:val="0"/>
                    <w:kinsoku/>
                    <w:wordWrap/>
                    <w:topLinePunct w:val="0"/>
                    <w:autoSpaceDE w:val="0"/>
                    <w:autoSpaceDN w:val="0"/>
                    <w:bidi w:val="0"/>
                    <w:spacing w:line="280" w:lineRule="exact"/>
                    <w:contextualSpacing/>
                    <w:jc w:val="center"/>
                    <w:rPr>
                      <w:szCs w:val="21"/>
                    </w:rPr>
                  </w:pPr>
                </w:p>
              </w:tc>
              <w:tc>
                <w:tcPr>
                  <w:tcW w:w="2175" w:type="dxa"/>
                  <w:noWrap w:val="0"/>
                  <w:tcMar>
                    <w:top w:w="0" w:type="dxa"/>
                    <w:left w:w="28" w:type="dxa"/>
                    <w:right w:w="28" w:type="dxa"/>
                  </w:tcMar>
                  <w:vAlign w:val="center"/>
                </w:tcPr>
                <w:p w14:paraId="32D6C7B8">
                  <w:pPr>
                    <w:pageBreakBefore w:val="0"/>
                    <w:kinsoku/>
                    <w:wordWrap/>
                    <w:topLinePunct w:val="0"/>
                    <w:bidi w:val="0"/>
                    <w:spacing w:line="280" w:lineRule="exact"/>
                    <w:jc w:val="center"/>
                    <w:rPr>
                      <w:szCs w:val="21"/>
                    </w:rPr>
                  </w:pPr>
                  <w:r>
                    <w:rPr>
                      <w:rFonts w:hint="eastAsia"/>
                      <w:szCs w:val="21"/>
                    </w:rPr>
                    <w:t>VPSA单元</w:t>
                  </w:r>
                </w:p>
              </w:tc>
              <w:tc>
                <w:tcPr>
                  <w:tcW w:w="3885" w:type="dxa"/>
                  <w:noWrap w:val="0"/>
                  <w:tcMar>
                    <w:top w:w="0" w:type="dxa"/>
                    <w:left w:w="28" w:type="dxa"/>
                    <w:right w:w="28" w:type="dxa"/>
                  </w:tcMar>
                  <w:vAlign w:val="center"/>
                </w:tcPr>
                <w:p w14:paraId="439FA2E0">
                  <w:pPr>
                    <w:pageBreakBefore w:val="0"/>
                    <w:kinsoku/>
                    <w:wordWrap/>
                    <w:topLinePunct w:val="0"/>
                    <w:bidi w:val="0"/>
                    <w:spacing w:line="280" w:lineRule="exact"/>
                    <w:jc w:val="center"/>
                    <w:rPr>
                      <w:szCs w:val="21"/>
                    </w:rPr>
                  </w:pPr>
                  <w:r>
                    <w:rPr>
                      <w:rFonts w:hint="eastAsia"/>
                      <w:szCs w:val="21"/>
                    </w:rPr>
                    <w:t>吸附塔</w:t>
                  </w:r>
                </w:p>
              </w:tc>
              <w:tc>
                <w:tcPr>
                  <w:tcW w:w="1259" w:type="dxa"/>
                  <w:noWrap w:val="0"/>
                  <w:tcMar>
                    <w:top w:w="0" w:type="dxa"/>
                    <w:left w:w="28" w:type="dxa"/>
                    <w:right w:w="28" w:type="dxa"/>
                  </w:tcMar>
                  <w:vAlign w:val="center"/>
                </w:tcPr>
                <w:p w14:paraId="5B5515A8">
                  <w:pPr>
                    <w:pageBreakBefore w:val="0"/>
                    <w:kinsoku/>
                    <w:wordWrap/>
                    <w:topLinePunct w:val="0"/>
                    <w:autoSpaceDE w:val="0"/>
                    <w:autoSpaceDN w:val="0"/>
                    <w:bidi w:val="0"/>
                    <w:spacing w:line="280" w:lineRule="exact"/>
                    <w:contextualSpacing/>
                    <w:jc w:val="center"/>
                    <w:rPr>
                      <w:szCs w:val="21"/>
                    </w:rPr>
                  </w:pPr>
                </w:p>
              </w:tc>
            </w:tr>
            <w:tr w14:paraId="7E2D2D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251B805A">
                  <w:pPr>
                    <w:pageBreakBefore w:val="0"/>
                    <w:kinsoku/>
                    <w:wordWrap/>
                    <w:topLinePunct w:val="0"/>
                    <w:autoSpaceDE w:val="0"/>
                    <w:autoSpaceDN w:val="0"/>
                    <w:bidi w:val="0"/>
                    <w:spacing w:line="280" w:lineRule="exact"/>
                    <w:contextualSpacing/>
                    <w:jc w:val="center"/>
                    <w:rPr>
                      <w:szCs w:val="21"/>
                    </w:rPr>
                  </w:pPr>
                </w:p>
              </w:tc>
              <w:tc>
                <w:tcPr>
                  <w:tcW w:w="2175" w:type="dxa"/>
                  <w:noWrap w:val="0"/>
                  <w:tcMar>
                    <w:top w:w="0" w:type="dxa"/>
                    <w:left w:w="28" w:type="dxa"/>
                    <w:right w:w="28" w:type="dxa"/>
                  </w:tcMar>
                  <w:vAlign w:val="center"/>
                </w:tcPr>
                <w:p w14:paraId="47BC1FBF">
                  <w:pPr>
                    <w:pageBreakBefore w:val="0"/>
                    <w:kinsoku/>
                    <w:wordWrap/>
                    <w:topLinePunct w:val="0"/>
                    <w:bidi w:val="0"/>
                    <w:spacing w:line="280" w:lineRule="exact"/>
                    <w:jc w:val="center"/>
                    <w:rPr>
                      <w:szCs w:val="21"/>
                    </w:rPr>
                  </w:pPr>
                  <w:r>
                    <w:rPr>
                      <w:rFonts w:hint="eastAsia"/>
                      <w:szCs w:val="21"/>
                    </w:rPr>
                    <w:t>往复式压缩机单元</w:t>
                  </w:r>
                </w:p>
              </w:tc>
              <w:tc>
                <w:tcPr>
                  <w:tcW w:w="3885" w:type="dxa"/>
                  <w:noWrap w:val="0"/>
                  <w:tcMar>
                    <w:top w:w="0" w:type="dxa"/>
                    <w:left w:w="28" w:type="dxa"/>
                    <w:right w:w="28" w:type="dxa"/>
                  </w:tcMar>
                  <w:vAlign w:val="center"/>
                </w:tcPr>
                <w:p w14:paraId="41D030F3">
                  <w:pPr>
                    <w:pageBreakBefore w:val="0"/>
                    <w:kinsoku/>
                    <w:wordWrap/>
                    <w:topLinePunct w:val="0"/>
                    <w:bidi w:val="0"/>
                    <w:spacing w:line="280" w:lineRule="exact"/>
                    <w:jc w:val="center"/>
                    <w:rPr>
                      <w:szCs w:val="21"/>
                    </w:rPr>
                  </w:pPr>
                  <w:r>
                    <w:rPr>
                      <w:rFonts w:hint="eastAsia"/>
                      <w:szCs w:val="21"/>
                    </w:rPr>
                    <w:t>压缩机</w:t>
                  </w:r>
                </w:p>
              </w:tc>
              <w:tc>
                <w:tcPr>
                  <w:tcW w:w="1259" w:type="dxa"/>
                  <w:noWrap w:val="0"/>
                  <w:tcMar>
                    <w:top w:w="0" w:type="dxa"/>
                    <w:left w:w="28" w:type="dxa"/>
                    <w:right w:w="28" w:type="dxa"/>
                  </w:tcMar>
                  <w:vAlign w:val="center"/>
                </w:tcPr>
                <w:p w14:paraId="5EFD8B03">
                  <w:pPr>
                    <w:pageBreakBefore w:val="0"/>
                    <w:kinsoku/>
                    <w:wordWrap/>
                    <w:topLinePunct w:val="0"/>
                    <w:autoSpaceDE w:val="0"/>
                    <w:autoSpaceDN w:val="0"/>
                    <w:bidi w:val="0"/>
                    <w:spacing w:line="280" w:lineRule="exact"/>
                    <w:contextualSpacing/>
                    <w:jc w:val="center"/>
                    <w:rPr>
                      <w:rFonts w:hint="eastAsia"/>
                      <w:szCs w:val="21"/>
                    </w:rPr>
                  </w:pPr>
                </w:p>
              </w:tc>
            </w:tr>
            <w:tr w14:paraId="61E4E8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restart"/>
                  <w:noWrap w:val="0"/>
                  <w:tcMar>
                    <w:top w:w="0" w:type="dxa"/>
                    <w:left w:w="28" w:type="dxa"/>
                    <w:right w:w="28" w:type="dxa"/>
                  </w:tcMar>
                  <w:vAlign w:val="center"/>
                </w:tcPr>
                <w:p w14:paraId="3117B696">
                  <w:pPr>
                    <w:pStyle w:val="26"/>
                    <w:pageBreakBefore w:val="0"/>
                    <w:kinsoku/>
                    <w:wordWrap/>
                    <w:topLinePunct w:val="0"/>
                    <w:autoSpaceDE w:val="0"/>
                    <w:autoSpaceDN w:val="0"/>
                    <w:bidi w:val="0"/>
                    <w:contextualSpacing/>
                    <w:rPr>
                      <w:rFonts w:hint="default"/>
                      <w:szCs w:val="21"/>
                    </w:rPr>
                  </w:pPr>
                  <w:r>
                    <w:rPr>
                      <w:rFonts w:hint="default"/>
                      <w:szCs w:val="21"/>
                    </w:rPr>
                    <w:t>储运工程</w:t>
                  </w:r>
                </w:p>
              </w:tc>
              <w:tc>
                <w:tcPr>
                  <w:tcW w:w="2175" w:type="dxa"/>
                  <w:noWrap w:val="0"/>
                  <w:tcMar>
                    <w:top w:w="0" w:type="dxa"/>
                    <w:left w:w="28" w:type="dxa"/>
                    <w:right w:w="28" w:type="dxa"/>
                  </w:tcMar>
                  <w:vAlign w:val="center"/>
                </w:tcPr>
                <w:p w14:paraId="490D3C99">
                  <w:pPr>
                    <w:pStyle w:val="26"/>
                    <w:pageBreakBefore w:val="0"/>
                    <w:kinsoku/>
                    <w:wordWrap/>
                    <w:topLinePunct w:val="0"/>
                    <w:autoSpaceDE w:val="0"/>
                    <w:autoSpaceDN w:val="0"/>
                    <w:bidi w:val="0"/>
                    <w:contextualSpacing/>
                    <w:rPr>
                      <w:rFonts w:hint="default"/>
                      <w:szCs w:val="21"/>
                    </w:rPr>
                  </w:pPr>
                  <w:r>
                    <w:rPr>
                      <w:szCs w:val="21"/>
                    </w:rPr>
                    <w:t>污油罐</w:t>
                  </w:r>
                </w:p>
              </w:tc>
              <w:tc>
                <w:tcPr>
                  <w:tcW w:w="3885" w:type="dxa"/>
                  <w:noWrap w:val="0"/>
                  <w:tcMar>
                    <w:top w:w="0" w:type="dxa"/>
                    <w:left w:w="28" w:type="dxa"/>
                    <w:right w:w="28" w:type="dxa"/>
                  </w:tcMar>
                  <w:vAlign w:val="center"/>
                </w:tcPr>
                <w:p w14:paraId="2EE881A6">
                  <w:pPr>
                    <w:pStyle w:val="26"/>
                    <w:pageBreakBefore w:val="0"/>
                    <w:kinsoku/>
                    <w:wordWrap/>
                    <w:topLinePunct w:val="0"/>
                    <w:autoSpaceDE w:val="0"/>
                    <w:autoSpaceDN w:val="0"/>
                    <w:bidi w:val="0"/>
                    <w:contextualSpacing/>
                    <w:rPr>
                      <w:rFonts w:hint="default" w:eastAsia="宋体"/>
                      <w:szCs w:val="21"/>
                      <w:vertAlign w:val="superscript"/>
                      <w:lang w:val="en-US" w:eastAsia="zh-CN"/>
                    </w:rPr>
                  </w:pPr>
                  <w:r>
                    <w:rPr>
                      <w:szCs w:val="21"/>
                    </w:rPr>
                    <w:t>1个，Ф2000×4000</w:t>
                  </w:r>
                  <w:r>
                    <w:rPr>
                      <w:rFonts w:hint="eastAsia"/>
                      <w:szCs w:val="21"/>
                      <w:lang w:eastAsia="zh-CN"/>
                    </w:rPr>
                    <w:t>，</w:t>
                  </w:r>
                  <w:r>
                    <w:rPr>
                      <w:rFonts w:hint="eastAsia"/>
                      <w:szCs w:val="21"/>
                      <w:lang w:val="en-US" w:eastAsia="zh-CN"/>
                    </w:rPr>
                    <w:t>12.56m</w:t>
                  </w:r>
                  <w:r>
                    <w:rPr>
                      <w:rFonts w:hint="eastAsia"/>
                      <w:szCs w:val="21"/>
                      <w:vertAlign w:val="superscript"/>
                      <w:lang w:val="en-US" w:eastAsia="zh-CN"/>
                    </w:rPr>
                    <w:t>3</w:t>
                  </w:r>
                </w:p>
              </w:tc>
              <w:tc>
                <w:tcPr>
                  <w:tcW w:w="1259" w:type="dxa"/>
                  <w:noWrap w:val="0"/>
                  <w:tcMar>
                    <w:top w:w="0" w:type="dxa"/>
                    <w:left w:w="28" w:type="dxa"/>
                    <w:right w:w="28" w:type="dxa"/>
                  </w:tcMar>
                  <w:vAlign w:val="center"/>
                </w:tcPr>
                <w:p w14:paraId="6F9E1C36">
                  <w:pPr>
                    <w:pStyle w:val="26"/>
                    <w:pageBreakBefore w:val="0"/>
                    <w:kinsoku/>
                    <w:wordWrap/>
                    <w:topLinePunct w:val="0"/>
                    <w:autoSpaceDE w:val="0"/>
                    <w:autoSpaceDN w:val="0"/>
                    <w:bidi w:val="0"/>
                    <w:contextualSpacing/>
                    <w:rPr>
                      <w:rFonts w:hint="default"/>
                      <w:szCs w:val="21"/>
                    </w:rPr>
                  </w:pPr>
                  <w:r>
                    <w:rPr>
                      <w:szCs w:val="21"/>
                    </w:rPr>
                    <w:t>地埋式</w:t>
                  </w:r>
                </w:p>
              </w:tc>
            </w:tr>
            <w:tr w14:paraId="0510FF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3AAFC1C9">
                  <w:pPr>
                    <w:pStyle w:val="26"/>
                    <w:pageBreakBefore w:val="0"/>
                    <w:kinsoku/>
                    <w:wordWrap/>
                    <w:topLinePunct w:val="0"/>
                    <w:autoSpaceDE w:val="0"/>
                    <w:autoSpaceDN w:val="0"/>
                    <w:bidi w:val="0"/>
                    <w:contextualSpacing/>
                    <w:rPr>
                      <w:rFonts w:hint="default"/>
                      <w:szCs w:val="21"/>
                    </w:rPr>
                  </w:pPr>
                </w:p>
              </w:tc>
              <w:tc>
                <w:tcPr>
                  <w:tcW w:w="2175" w:type="dxa"/>
                  <w:noWrap w:val="0"/>
                  <w:tcMar>
                    <w:top w:w="0" w:type="dxa"/>
                    <w:left w:w="28" w:type="dxa"/>
                    <w:right w:w="28" w:type="dxa"/>
                  </w:tcMar>
                  <w:vAlign w:val="center"/>
                </w:tcPr>
                <w:p w14:paraId="6900E1DC">
                  <w:pPr>
                    <w:pStyle w:val="26"/>
                    <w:pageBreakBefore w:val="0"/>
                    <w:kinsoku/>
                    <w:wordWrap/>
                    <w:topLinePunct w:val="0"/>
                    <w:autoSpaceDE w:val="0"/>
                    <w:autoSpaceDN w:val="0"/>
                    <w:bidi w:val="0"/>
                    <w:contextualSpacing/>
                    <w:rPr>
                      <w:rFonts w:hint="default"/>
                      <w:szCs w:val="21"/>
                    </w:rPr>
                  </w:pPr>
                  <w:r>
                    <w:rPr>
                      <w:szCs w:val="21"/>
                    </w:rPr>
                    <w:t>预净化分液罐</w:t>
                  </w:r>
                </w:p>
              </w:tc>
              <w:tc>
                <w:tcPr>
                  <w:tcW w:w="3885" w:type="dxa"/>
                  <w:noWrap w:val="0"/>
                  <w:tcMar>
                    <w:top w:w="0" w:type="dxa"/>
                    <w:left w:w="28" w:type="dxa"/>
                    <w:right w:w="28" w:type="dxa"/>
                  </w:tcMar>
                  <w:vAlign w:val="center"/>
                </w:tcPr>
                <w:p w14:paraId="3FAC3848">
                  <w:pPr>
                    <w:pStyle w:val="26"/>
                    <w:pageBreakBefore w:val="0"/>
                    <w:kinsoku/>
                    <w:wordWrap/>
                    <w:topLinePunct w:val="0"/>
                    <w:autoSpaceDE w:val="0"/>
                    <w:autoSpaceDN w:val="0"/>
                    <w:bidi w:val="0"/>
                    <w:contextualSpacing/>
                    <w:rPr>
                      <w:szCs w:val="21"/>
                    </w:rPr>
                  </w:pPr>
                  <w:r>
                    <w:rPr>
                      <w:szCs w:val="21"/>
                    </w:rPr>
                    <w:t>1个，Ф1800×6000</w:t>
                  </w:r>
                  <w:r>
                    <w:rPr>
                      <w:rFonts w:hint="eastAsia"/>
                      <w:szCs w:val="21"/>
                      <w:lang w:eastAsia="zh-CN"/>
                    </w:rPr>
                    <w:t>，</w:t>
                  </w:r>
                  <w:r>
                    <w:rPr>
                      <w:rFonts w:hint="eastAsia"/>
                      <w:szCs w:val="21"/>
                      <w:lang w:val="en-US" w:eastAsia="zh-CN"/>
                    </w:rPr>
                    <w:t>15.26m</w:t>
                  </w:r>
                  <w:r>
                    <w:rPr>
                      <w:rFonts w:hint="eastAsia"/>
                      <w:szCs w:val="21"/>
                      <w:vertAlign w:val="superscript"/>
                      <w:lang w:val="en-US" w:eastAsia="zh-CN"/>
                    </w:rPr>
                    <w:t>3</w:t>
                  </w:r>
                </w:p>
              </w:tc>
              <w:tc>
                <w:tcPr>
                  <w:tcW w:w="1259" w:type="dxa"/>
                  <w:noWrap w:val="0"/>
                  <w:tcMar>
                    <w:top w:w="0" w:type="dxa"/>
                    <w:left w:w="28" w:type="dxa"/>
                    <w:right w:w="28" w:type="dxa"/>
                  </w:tcMar>
                  <w:vAlign w:val="center"/>
                </w:tcPr>
                <w:p w14:paraId="7CC2B0D5">
                  <w:pPr>
                    <w:pStyle w:val="26"/>
                    <w:pageBreakBefore w:val="0"/>
                    <w:kinsoku/>
                    <w:wordWrap/>
                    <w:topLinePunct w:val="0"/>
                    <w:autoSpaceDE w:val="0"/>
                    <w:autoSpaceDN w:val="0"/>
                    <w:bidi w:val="0"/>
                    <w:contextualSpacing/>
                    <w:rPr>
                      <w:szCs w:val="21"/>
                    </w:rPr>
                  </w:pPr>
                </w:p>
              </w:tc>
            </w:tr>
            <w:tr w14:paraId="68CE4C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73550568">
                  <w:pPr>
                    <w:pStyle w:val="26"/>
                    <w:pageBreakBefore w:val="0"/>
                    <w:kinsoku/>
                    <w:wordWrap/>
                    <w:topLinePunct w:val="0"/>
                    <w:autoSpaceDE w:val="0"/>
                    <w:autoSpaceDN w:val="0"/>
                    <w:bidi w:val="0"/>
                    <w:contextualSpacing/>
                    <w:rPr>
                      <w:rFonts w:hint="default"/>
                      <w:szCs w:val="21"/>
                    </w:rPr>
                  </w:pPr>
                </w:p>
              </w:tc>
              <w:tc>
                <w:tcPr>
                  <w:tcW w:w="2175" w:type="dxa"/>
                  <w:noWrap w:val="0"/>
                  <w:tcMar>
                    <w:top w:w="0" w:type="dxa"/>
                    <w:left w:w="28" w:type="dxa"/>
                    <w:right w:w="28" w:type="dxa"/>
                  </w:tcMar>
                  <w:vAlign w:val="center"/>
                </w:tcPr>
                <w:p w14:paraId="7418CB19">
                  <w:pPr>
                    <w:pStyle w:val="26"/>
                    <w:pageBreakBefore w:val="0"/>
                    <w:kinsoku/>
                    <w:wordWrap/>
                    <w:topLinePunct w:val="0"/>
                    <w:autoSpaceDE w:val="0"/>
                    <w:autoSpaceDN w:val="0"/>
                    <w:bidi w:val="0"/>
                    <w:contextualSpacing/>
                    <w:rPr>
                      <w:rFonts w:hint="default"/>
                      <w:szCs w:val="21"/>
                    </w:rPr>
                  </w:pPr>
                  <w:r>
                    <w:rPr>
                      <w:szCs w:val="21"/>
                    </w:rPr>
                    <w:t>原料气缓冲罐</w:t>
                  </w:r>
                </w:p>
              </w:tc>
              <w:tc>
                <w:tcPr>
                  <w:tcW w:w="3885" w:type="dxa"/>
                  <w:noWrap w:val="0"/>
                  <w:tcMar>
                    <w:top w:w="0" w:type="dxa"/>
                    <w:left w:w="28" w:type="dxa"/>
                    <w:right w:w="28" w:type="dxa"/>
                  </w:tcMar>
                  <w:vAlign w:val="center"/>
                </w:tcPr>
                <w:p w14:paraId="444B3389">
                  <w:pPr>
                    <w:pStyle w:val="26"/>
                    <w:pageBreakBefore w:val="0"/>
                    <w:kinsoku/>
                    <w:wordWrap/>
                    <w:topLinePunct w:val="0"/>
                    <w:autoSpaceDE w:val="0"/>
                    <w:autoSpaceDN w:val="0"/>
                    <w:bidi w:val="0"/>
                    <w:contextualSpacing/>
                    <w:rPr>
                      <w:szCs w:val="21"/>
                    </w:rPr>
                  </w:pPr>
                  <w:r>
                    <w:rPr>
                      <w:szCs w:val="21"/>
                    </w:rPr>
                    <w:t>1个，Φ</w:t>
                  </w:r>
                  <w:r>
                    <w:rPr>
                      <w:rFonts w:hint="eastAsia"/>
                      <w:szCs w:val="21"/>
                      <w:lang w:val="en-US" w:eastAsia="zh-CN"/>
                    </w:rPr>
                    <w:t>44</w:t>
                  </w:r>
                  <w:r>
                    <w:rPr>
                      <w:szCs w:val="21"/>
                    </w:rPr>
                    <w:t>00×</w:t>
                  </w:r>
                  <w:r>
                    <w:rPr>
                      <w:rFonts w:hint="eastAsia"/>
                      <w:szCs w:val="21"/>
                      <w:lang w:val="en-US" w:eastAsia="zh-CN"/>
                    </w:rPr>
                    <w:t>100</w:t>
                  </w:r>
                  <w:r>
                    <w:rPr>
                      <w:szCs w:val="21"/>
                    </w:rPr>
                    <w:t>00</w:t>
                  </w:r>
                  <w:r>
                    <w:rPr>
                      <w:rFonts w:hint="eastAsia"/>
                      <w:szCs w:val="21"/>
                      <w:lang w:eastAsia="zh-CN"/>
                    </w:rPr>
                    <w:t>，</w:t>
                  </w:r>
                  <w:r>
                    <w:rPr>
                      <w:rFonts w:hint="eastAsia"/>
                      <w:szCs w:val="21"/>
                      <w:lang w:val="en-US" w:eastAsia="zh-CN"/>
                    </w:rPr>
                    <w:t>151.976m</w:t>
                  </w:r>
                  <w:r>
                    <w:rPr>
                      <w:rFonts w:hint="eastAsia"/>
                      <w:szCs w:val="21"/>
                      <w:vertAlign w:val="superscript"/>
                      <w:lang w:val="en-US" w:eastAsia="zh-CN"/>
                    </w:rPr>
                    <w:t>3</w:t>
                  </w:r>
                </w:p>
              </w:tc>
              <w:tc>
                <w:tcPr>
                  <w:tcW w:w="1259" w:type="dxa"/>
                  <w:noWrap w:val="0"/>
                  <w:tcMar>
                    <w:top w:w="0" w:type="dxa"/>
                    <w:left w:w="28" w:type="dxa"/>
                    <w:right w:w="28" w:type="dxa"/>
                  </w:tcMar>
                  <w:vAlign w:val="center"/>
                </w:tcPr>
                <w:p w14:paraId="1331E810">
                  <w:pPr>
                    <w:pStyle w:val="26"/>
                    <w:pageBreakBefore w:val="0"/>
                    <w:kinsoku/>
                    <w:wordWrap/>
                    <w:topLinePunct w:val="0"/>
                    <w:autoSpaceDE w:val="0"/>
                    <w:autoSpaceDN w:val="0"/>
                    <w:bidi w:val="0"/>
                    <w:contextualSpacing/>
                    <w:rPr>
                      <w:szCs w:val="21"/>
                    </w:rPr>
                  </w:pPr>
                </w:p>
              </w:tc>
            </w:tr>
            <w:tr w14:paraId="756081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563A7D01">
                  <w:pPr>
                    <w:pStyle w:val="26"/>
                    <w:pageBreakBefore w:val="0"/>
                    <w:kinsoku/>
                    <w:wordWrap/>
                    <w:topLinePunct w:val="0"/>
                    <w:autoSpaceDE w:val="0"/>
                    <w:autoSpaceDN w:val="0"/>
                    <w:bidi w:val="0"/>
                    <w:contextualSpacing/>
                    <w:rPr>
                      <w:rFonts w:hint="default"/>
                      <w:szCs w:val="21"/>
                    </w:rPr>
                  </w:pPr>
                </w:p>
              </w:tc>
              <w:tc>
                <w:tcPr>
                  <w:tcW w:w="2175" w:type="dxa"/>
                  <w:noWrap w:val="0"/>
                  <w:tcMar>
                    <w:top w:w="0" w:type="dxa"/>
                    <w:left w:w="28" w:type="dxa"/>
                    <w:right w:w="28" w:type="dxa"/>
                  </w:tcMar>
                  <w:vAlign w:val="center"/>
                </w:tcPr>
                <w:p w14:paraId="1282AAD8">
                  <w:pPr>
                    <w:pStyle w:val="26"/>
                    <w:pageBreakBefore w:val="0"/>
                    <w:kinsoku/>
                    <w:wordWrap/>
                    <w:topLinePunct w:val="0"/>
                    <w:autoSpaceDE w:val="0"/>
                    <w:autoSpaceDN w:val="0"/>
                    <w:bidi w:val="0"/>
                    <w:contextualSpacing/>
                    <w:rPr>
                      <w:szCs w:val="21"/>
                    </w:rPr>
                  </w:pPr>
                  <w:r>
                    <w:rPr>
                      <w:szCs w:val="21"/>
                    </w:rPr>
                    <w:t>产品氢气缓冲罐</w:t>
                  </w:r>
                </w:p>
              </w:tc>
              <w:tc>
                <w:tcPr>
                  <w:tcW w:w="3885" w:type="dxa"/>
                  <w:noWrap w:val="0"/>
                  <w:tcMar>
                    <w:top w:w="0" w:type="dxa"/>
                    <w:left w:w="28" w:type="dxa"/>
                    <w:right w:w="28" w:type="dxa"/>
                  </w:tcMar>
                  <w:vAlign w:val="center"/>
                </w:tcPr>
                <w:p w14:paraId="5486909A">
                  <w:pPr>
                    <w:pStyle w:val="26"/>
                    <w:pageBreakBefore w:val="0"/>
                    <w:kinsoku/>
                    <w:wordWrap/>
                    <w:topLinePunct w:val="0"/>
                    <w:autoSpaceDE w:val="0"/>
                    <w:autoSpaceDN w:val="0"/>
                    <w:bidi w:val="0"/>
                    <w:contextualSpacing/>
                    <w:rPr>
                      <w:szCs w:val="21"/>
                    </w:rPr>
                  </w:pPr>
                  <w:r>
                    <w:rPr>
                      <w:szCs w:val="21"/>
                    </w:rPr>
                    <w:t>1个，Φ2200×10000</w:t>
                  </w:r>
                  <w:r>
                    <w:rPr>
                      <w:rFonts w:hint="eastAsia"/>
                      <w:szCs w:val="21"/>
                      <w:lang w:eastAsia="zh-CN"/>
                    </w:rPr>
                    <w:t>，</w:t>
                  </w:r>
                  <w:r>
                    <w:rPr>
                      <w:rFonts w:hint="eastAsia"/>
                      <w:szCs w:val="21"/>
                      <w:lang w:val="en-US" w:eastAsia="zh-CN"/>
                    </w:rPr>
                    <w:t>37.994m</w:t>
                  </w:r>
                  <w:r>
                    <w:rPr>
                      <w:rFonts w:hint="eastAsia"/>
                      <w:szCs w:val="21"/>
                      <w:vertAlign w:val="superscript"/>
                      <w:lang w:val="en-US" w:eastAsia="zh-CN"/>
                    </w:rPr>
                    <w:t>3</w:t>
                  </w:r>
                </w:p>
              </w:tc>
              <w:tc>
                <w:tcPr>
                  <w:tcW w:w="1259" w:type="dxa"/>
                  <w:noWrap w:val="0"/>
                  <w:tcMar>
                    <w:top w:w="0" w:type="dxa"/>
                    <w:left w:w="28" w:type="dxa"/>
                    <w:right w:w="28" w:type="dxa"/>
                  </w:tcMar>
                  <w:vAlign w:val="center"/>
                </w:tcPr>
                <w:p w14:paraId="077E01ED">
                  <w:pPr>
                    <w:pStyle w:val="26"/>
                    <w:pageBreakBefore w:val="0"/>
                    <w:kinsoku/>
                    <w:wordWrap/>
                    <w:topLinePunct w:val="0"/>
                    <w:autoSpaceDE w:val="0"/>
                    <w:autoSpaceDN w:val="0"/>
                    <w:bidi w:val="0"/>
                    <w:contextualSpacing/>
                    <w:rPr>
                      <w:rFonts w:hint="default"/>
                      <w:szCs w:val="21"/>
                    </w:rPr>
                  </w:pPr>
                </w:p>
              </w:tc>
            </w:tr>
            <w:tr w14:paraId="6B5D9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53DBA28C">
                  <w:pPr>
                    <w:pStyle w:val="26"/>
                    <w:pageBreakBefore w:val="0"/>
                    <w:kinsoku/>
                    <w:wordWrap/>
                    <w:topLinePunct w:val="0"/>
                    <w:autoSpaceDE w:val="0"/>
                    <w:autoSpaceDN w:val="0"/>
                    <w:bidi w:val="0"/>
                    <w:contextualSpacing/>
                    <w:rPr>
                      <w:rFonts w:hint="default"/>
                      <w:szCs w:val="21"/>
                    </w:rPr>
                  </w:pPr>
                </w:p>
              </w:tc>
              <w:tc>
                <w:tcPr>
                  <w:tcW w:w="2175" w:type="dxa"/>
                  <w:noWrap w:val="0"/>
                  <w:tcMar>
                    <w:top w:w="0" w:type="dxa"/>
                    <w:left w:w="28" w:type="dxa"/>
                    <w:right w:w="28" w:type="dxa"/>
                  </w:tcMar>
                  <w:vAlign w:val="center"/>
                </w:tcPr>
                <w:p w14:paraId="452B1569">
                  <w:pPr>
                    <w:pStyle w:val="26"/>
                    <w:pageBreakBefore w:val="0"/>
                    <w:kinsoku/>
                    <w:wordWrap/>
                    <w:topLinePunct w:val="0"/>
                    <w:autoSpaceDE w:val="0"/>
                    <w:autoSpaceDN w:val="0"/>
                    <w:bidi w:val="0"/>
                    <w:contextualSpacing/>
                    <w:rPr>
                      <w:rFonts w:hint="default"/>
                      <w:szCs w:val="21"/>
                    </w:rPr>
                  </w:pPr>
                  <w:r>
                    <w:rPr>
                      <w:szCs w:val="21"/>
                    </w:rPr>
                    <w:t>顺放气缓冲罐</w:t>
                  </w:r>
                </w:p>
              </w:tc>
              <w:tc>
                <w:tcPr>
                  <w:tcW w:w="3885" w:type="dxa"/>
                  <w:noWrap w:val="0"/>
                  <w:tcMar>
                    <w:top w:w="0" w:type="dxa"/>
                    <w:left w:w="28" w:type="dxa"/>
                    <w:right w:w="28" w:type="dxa"/>
                  </w:tcMar>
                  <w:vAlign w:val="center"/>
                </w:tcPr>
                <w:p w14:paraId="1B8B5A67">
                  <w:pPr>
                    <w:pStyle w:val="26"/>
                    <w:pageBreakBefore w:val="0"/>
                    <w:kinsoku/>
                    <w:wordWrap/>
                    <w:topLinePunct w:val="0"/>
                    <w:autoSpaceDE w:val="0"/>
                    <w:autoSpaceDN w:val="0"/>
                    <w:bidi w:val="0"/>
                    <w:contextualSpacing/>
                    <w:rPr>
                      <w:rFonts w:hint="default"/>
                      <w:szCs w:val="21"/>
                    </w:rPr>
                  </w:pPr>
                  <w:r>
                    <w:rPr>
                      <w:szCs w:val="21"/>
                    </w:rPr>
                    <w:t>1个，</w:t>
                  </w:r>
                  <w:r>
                    <w:rPr>
                      <w:rFonts w:hint="default"/>
                      <w:szCs w:val="21"/>
                    </w:rPr>
                    <w:t>Φ3600×15570</w:t>
                  </w:r>
                  <w:r>
                    <w:rPr>
                      <w:rFonts w:hint="eastAsia"/>
                      <w:szCs w:val="21"/>
                      <w:lang w:eastAsia="zh-CN"/>
                    </w:rPr>
                    <w:t>，</w:t>
                  </w:r>
                  <w:r>
                    <w:rPr>
                      <w:rFonts w:hint="eastAsia"/>
                      <w:szCs w:val="21"/>
                      <w:lang w:val="en-US" w:eastAsia="zh-CN"/>
                    </w:rPr>
                    <w:t>158.403m</w:t>
                  </w:r>
                  <w:r>
                    <w:rPr>
                      <w:rFonts w:hint="eastAsia"/>
                      <w:szCs w:val="21"/>
                      <w:vertAlign w:val="superscript"/>
                      <w:lang w:val="en-US" w:eastAsia="zh-CN"/>
                    </w:rPr>
                    <w:t>3</w:t>
                  </w:r>
                </w:p>
              </w:tc>
              <w:tc>
                <w:tcPr>
                  <w:tcW w:w="1259" w:type="dxa"/>
                  <w:noWrap w:val="0"/>
                  <w:tcMar>
                    <w:top w:w="0" w:type="dxa"/>
                    <w:left w:w="28" w:type="dxa"/>
                    <w:right w:w="28" w:type="dxa"/>
                  </w:tcMar>
                  <w:vAlign w:val="center"/>
                </w:tcPr>
                <w:p w14:paraId="107423D1">
                  <w:pPr>
                    <w:pStyle w:val="26"/>
                    <w:pageBreakBefore w:val="0"/>
                    <w:kinsoku/>
                    <w:wordWrap/>
                    <w:topLinePunct w:val="0"/>
                    <w:autoSpaceDE w:val="0"/>
                    <w:autoSpaceDN w:val="0"/>
                    <w:bidi w:val="0"/>
                    <w:contextualSpacing/>
                    <w:rPr>
                      <w:szCs w:val="21"/>
                    </w:rPr>
                  </w:pPr>
                </w:p>
              </w:tc>
            </w:tr>
            <w:tr w14:paraId="30D81D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41EA979C">
                  <w:pPr>
                    <w:pStyle w:val="26"/>
                    <w:pageBreakBefore w:val="0"/>
                    <w:kinsoku/>
                    <w:wordWrap/>
                    <w:topLinePunct w:val="0"/>
                    <w:autoSpaceDE w:val="0"/>
                    <w:autoSpaceDN w:val="0"/>
                    <w:bidi w:val="0"/>
                    <w:contextualSpacing/>
                    <w:rPr>
                      <w:rFonts w:hint="default"/>
                      <w:szCs w:val="21"/>
                    </w:rPr>
                  </w:pPr>
                </w:p>
              </w:tc>
              <w:tc>
                <w:tcPr>
                  <w:tcW w:w="2175" w:type="dxa"/>
                  <w:noWrap w:val="0"/>
                  <w:tcMar>
                    <w:top w:w="0" w:type="dxa"/>
                    <w:left w:w="28" w:type="dxa"/>
                    <w:right w:w="28" w:type="dxa"/>
                  </w:tcMar>
                  <w:vAlign w:val="center"/>
                </w:tcPr>
                <w:p w14:paraId="3EF5F500">
                  <w:pPr>
                    <w:pStyle w:val="26"/>
                    <w:pageBreakBefore w:val="0"/>
                    <w:kinsoku/>
                    <w:wordWrap/>
                    <w:topLinePunct w:val="0"/>
                    <w:autoSpaceDE w:val="0"/>
                    <w:autoSpaceDN w:val="0"/>
                    <w:bidi w:val="0"/>
                    <w:contextualSpacing/>
                    <w:rPr>
                      <w:rFonts w:hint="default"/>
                      <w:szCs w:val="21"/>
                    </w:rPr>
                  </w:pPr>
                  <w:r>
                    <w:rPr>
                      <w:szCs w:val="21"/>
                    </w:rPr>
                    <w:t>解吸气缓冲罐</w:t>
                  </w:r>
                </w:p>
              </w:tc>
              <w:tc>
                <w:tcPr>
                  <w:tcW w:w="3885" w:type="dxa"/>
                  <w:noWrap w:val="0"/>
                  <w:tcMar>
                    <w:top w:w="0" w:type="dxa"/>
                    <w:left w:w="28" w:type="dxa"/>
                    <w:right w:w="28" w:type="dxa"/>
                  </w:tcMar>
                  <w:vAlign w:val="center"/>
                </w:tcPr>
                <w:p w14:paraId="49F4D2BE">
                  <w:pPr>
                    <w:pStyle w:val="26"/>
                    <w:pageBreakBefore w:val="0"/>
                    <w:kinsoku/>
                    <w:wordWrap/>
                    <w:topLinePunct w:val="0"/>
                    <w:autoSpaceDE w:val="0"/>
                    <w:autoSpaceDN w:val="0"/>
                    <w:bidi w:val="0"/>
                    <w:contextualSpacing/>
                    <w:rPr>
                      <w:rFonts w:hint="default"/>
                      <w:szCs w:val="21"/>
                    </w:rPr>
                  </w:pPr>
                  <w:r>
                    <w:rPr>
                      <w:szCs w:val="21"/>
                    </w:rPr>
                    <w:t>1个Φ3600×19710</w:t>
                  </w:r>
                  <w:r>
                    <w:rPr>
                      <w:rFonts w:hint="eastAsia"/>
                      <w:szCs w:val="21"/>
                      <w:lang w:eastAsia="zh-CN"/>
                    </w:rPr>
                    <w:t>，</w:t>
                  </w:r>
                  <w:r>
                    <w:rPr>
                      <w:rFonts w:hint="eastAsia"/>
                      <w:szCs w:val="21"/>
                      <w:lang w:val="en-US" w:eastAsia="zh-CN"/>
                    </w:rPr>
                    <w:t>200.522m</w:t>
                  </w:r>
                  <w:r>
                    <w:rPr>
                      <w:rFonts w:hint="eastAsia"/>
                      <w:szCs w:val="21"/>
                      <w:vertAlign w:val="superscript"/>
                      <w:lang w:val="en-US" w:eastAsia="zh-CN"/>
                    </w:rPr>
                    <w:t>3</w:t>
                  </w:r>
                </w:p>
              </w:tc>
              <w:tc>
                <w:tcPr>
                  <w:tcW w:w="1259" w:type="dxa"/>
                  <w:noWrap w:val="0"/>
                  <w:tcMar>
                    <w:top w:w="0" w:type="dxa"/>
                    <w:left w:w="28" w:type="dxa"/>
                    <w:right w:w="28" w:type="dxa"/>
                  </w:tcMar>
                  <w:vAlign w:val="center"/>
                </w:tcPr>
                <w:p w14:paraId="224DF112">
                  <w:pPr>
                    <w:pStyle w:val="26"/>
                    <w:pageBreakBefore w:val="0"/>
                    <w:kinsoku/>
                    <w:wordWrap/>
                    <w:topLinePunct w:val="0"/>
                    <w:autoSpaceDE w:val="0"/>
                    <w:autoSpaceDN w:val="0"/>
                    <w:bidi w:val="0"/>
                    <w:contextualSpacing/>
                    <w:rPr>
                      <w:rFonts w:hint="default"/>
                      <w:szCs w:val="21"/>
                    </w:rPr>
                  </w:pPr>
                </w:p>
              </w:tc>
            </w:tr>
            <w:tr w14:paraId="759DA9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4EC10A25">
                  <w:pPr>
                    <w:pStyle w:val="26"/>
                    <w:pageBreakBefore w:val="0"/>
                    <w:kinsoku/>
                    <w:wordWrap/>
                    <w:topLinePunct w:val="0"/>
                    <w:autoSpaceDE w:val="0"/>
                    <w:autoSpaceDN w:val="0"/>
                    <w:bidi w:val="0"/>
                    <w:contextualSpacing/>
                    <w:rPr>
                      <w:rFonts w:hint="default"/>
                      <w:szCs w:val="21"/>
                    </w:rPr>
                  </w:pPr>
                </w:p>
              </w:tc>
              <w:tc>
                <w:tcPr>
                  <w:tcW w:w="2175" w:type="dxa"/>
                  <w:noWrap w:val="0"/>
                  <w:tcMar>
                    <w:top w:w="0" w:type="dxa"/>
                    <w:left w:w="28" w:type="dxa"/>
                    <w:right w:w="28" w:type="dxa"/>
                  </w:tcMar>
                  <w:vAlign w:val="center"/>
                </w:tcPr>
                <w:p w14:paraId="346191A3">
                  <w:pPr>
                    <w:pStyle w:val="26"/>
                    <w:pageBreakBefore w:val="0"/>
                    <w:kinsoku/>
                    <w:wordWrap/>
                    <w:topLinePunct w:val="0"/>
                    <w:autoSpaceDE w:val="0"/>
                    <w:autoSpaceDN w:val="0"/>
                    <w:bidi w:val="0"/>
                    <w:contextualSpacing/>
                    <w:rPr>
                      <w:szCs w:val="21"/>
                    </w:rPr>
                  </w:pPr>
                  <w:r>
                    <w:rPr>
                      <w:szCs w:val="21"/>
                    </w:rPr>
                    <w:t>解吸气混合罐</w:t>
                  </w:r>
                </w:p>
              </w:tc>
              <w:tc>
                <w:tcPr>
                  <w:tcW w:w="3885" w:type="dxa"/>
                  <w:noWrap w:val="0"/>
                  <w:tcMar>
                    <w:top w:w="0" w:type="dxa"/>
                    <w:left w:w="28" w:type="dxa"/>
                    <w:right w:w="28" w:type="dxa"/>
                  </w:tcMar>
                  <w:vAlign w:val="center"/>
                </w:tcPr>
                <w:p w14:paraId="68F7BC50">
                  <w:pPr>
                    <w:pStyle w:val="26"/>
                    <w:pageBreakBefore w:val="0"/>
                    <w:kinsoku/>
                    <w:wordWrap/>
                    <w:topLinePunct w:val="0"/>
                    <w:autoSpaceDE w:val="0"/>
                    <w:autoSpaceDN w:val="0"/>
                    <w:bidi w:val="0"/>
                    <w:contextualSpacing/>
                    <w:rPr>
                      <w:szCs w:val="21"/>
                    </w:rPr>
                  </w:pPr>
                  <w:r>
                    <w:rPr>
                      <w:szCs w:val="21"/>
                    </w:rPr>
                    <w:t>1个Φ3600×19710</w:t>
                  </w:r>
                  <w:r>
                    <w:rPr>
                      <w:rFonts w:hint="eastAsia"/>
                      <w:szCs w:val="21"/>
                      <w:lang w:eastAsia="zh-CN"/>
                    </w:rPr>
                    <w:t>，</w:t>
                  </w:r>
                  <w:r>
                    <w:rPr>
                      <w:rFonts w:hint="eastAsia"/>
                      <w:szCs w:val="21"/>
                      <w:lang w:val="en-US" w:eastAsia="zh-CN"/>
                    </w:rPr>
                    <w:t>200.522m</w:t>
                  </w:r>
                  <w:r>
                    <w:rPr>
                      <w:rFonts w:hint="eastAsia"/>
                      <w:szCs w:val="21"/>
                      <w:vertAlign w:val="superscript"/>
                      <w:lang w:val="en-US" w:eastAsia="zh-CN"/>
                    </w:rPr>
                    <w:t>3</w:t>
                  </w:r>
                </w:p>
              </w:tc>
              <w:tc>
                <w:tcPr>
                  <w:tcW w:w="1259" w:type="dxa"/>
                  <w:noWrap w:val="0"/>
                  <w:tcMar>
                    <w:top w:w="0" w:type="dxa"/>
                    <w:left w:w="28" w:type="dxa"/>
                    <w:right w:w="28" w:type="dxa"/>
                  </w:tcMar>
                  <w:vAlign w:val="center"/>
                </w:tcPr>
                <w:p w14:paraId="1ADD712A">
                  <w:pPr>
                    <w:pStyle w:val="26"/>
                    <w:pageBreakBefore w:val="0"/>
                    <w:kinsoku/>
                    <w:wordWrap/>
                    <w:topLinePunct w:val="0"/>
                    <w:autoSpaceDE w:val="0"/>
                    <w:autoSpaceDN w:val="0"/>
                    <w:bidi w:val="0"/>
                    <w:contextualSpacing/>
                    <w:rPr>
                      <w:rFonts w:hint="default"/>
                      <w:szCs w:val="21"/>
                    </w:rPr>
                  </w:pPr>
                </w:p>
              </w:tc>
            </w:tr>
            <w:tr w14:paraId="451CAC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restart"/>
                  <w:noWrap w:val="0"/>
                  <w:tcMar>
                    <w:top w:w="0" w:type="dxa"/>
                    <w:left w:w="28" w:type="dxa"/>
                    <w:right w:w="28" w:type="dxa"/>
                  </w:tcMar>
                  <w:vAlign w:val="center"/>
                </w:tcPr>
                <w:p w14:paraId="61813946">
                  <w:pPr>
                    <w:pStyle w:val="26"/>
                    <w:pageBreakBefore w:val="0"/>
                    <w:kinsoku/>
                    <w:wordWrap/>
                    <w:topLinePunct w:val="0"/>
                    <w:autoSpaceDE w:val="0"/>
                    <w:autoSpaceDN w:val="0"/>
                    <w:bidi w:val="0"/>
                    <w:contextualSpacing/>
                    <w:rPr>
                      <w:rFonts w:hint="default"/>
                      <w:szCs w:val="21"/>
                    </w:rPr>
                  </w:pPr>
                  <w:r>
                    <w:rPr>
                      <w:szCs w:val="21"/>
                    </w:rPr>
                    <w:t>公用工程</w:t>
                  </w:r>
                </w:p>
              </w:tc>
              <w:tc>
                <w:tcPr>
                  <w:tcW w:w="2175" w:type="dxa"/>
                  <w:noWrap w:val="0"/>
                  <w:tcMar>
                    <w:top w:w="0" w:type="dxa"/>
                    <w:left w:w="28" w:type="dxa"/>
                    <w:right w:w="28" w:type="dxa"/>
                  </w:tcMar>
                  <w:vAlign w:val="center"/>
                </w:tcPr>
                <w:p w14:paraId="3C492157">
                  <w:pPr>
                    <w:pStyle w:val="26"/>
                    <w:pageBreakBefore w:val="0"/>
                    <w:kinsoku/>
                    <w:wordWrap/>
                    <w:topLinePunct w:val="0"/>
                    <w:autoSpaceDE w:val="0"/>
                    <w:autoSpaceDN w:val="0"/>
                    <w:bidi w:val="0"/>
                    <w:contextualSpacing/>
                    <w:rPr>
                      <w:rFonts w:hint="default"/>
                      <w:szCs w:val="21"/>
                    </w:rPr>
                  </w:pPr>
                  <w:r>
                    <w:rPr>
                      <w:szCs w:val="21"/>
                    </w:rPr>
                    <w:t>供水管线</w:t>
                  </w:r>
                </w:p>
              </w:tc>
              <w:tc>
                <w:tcPr>
                  <w:tcW w:w="3885" w:type="dxa"/>
                  <w:noWrap w:val="0"/>
                  <w:tcMar>
                    <w:top w:w="0" w:type="dxa"/>
                    <w:left w:w="28" w:type="dxa"/>
                    <w:right w:w="28" w:type="dxa"/>
                  </w:tcMar>
                  <w:vAlign w:val="center"/>
                </w:tcPr>
                <w:p w14:paraId="3F8549A1">
                  <w:pPr>
                    <w:pStyle w:val="26"/>
                    <w:pageBreakBefore w:val="0"/>
                    <w:kinsoku/>
                    <w:wordWrap/>
                    <w:topLinePunct w:val="0"/>
                    <w:autoSpaceDE w:val="0"/>
                    <w:autoSpaceDN w:val="0"/>
                    <w:bidi w:val="0"/>
                    <w:contextualSpacing/>
                    <w:rPr>
                      <w:rFonts w:hint="eastAsia" w:eastAsia="宋体"/>
                      <w:szCs w:val="21"/>
                      <w:lang w:eastAsia="zh-CN"/>
                    </w:rPr>
                  </w:pPr>
                  <w:r>
                    <w:rPr>
                      <w:rFonts w:hint="eastAsia"/>
                      <w:lang w:val="en-US" w:eastAsia="zh-CN"/>
                    </w:rPr>
                    <w:t>依托</w:t>
                  </w:r>
                  <w:r>
                    <w:rPr>
                      <w:rFonts w:hint="eastAsia"/>
                    </w:rPr>
                    <w:t>新疆圣雄电石有限公司</w:t>
                  </w:r>
                  <w:r>
                    <w:rPr>
                      <w:rFonts w:hint="eastAsia"/>
                      <w:lang w:val="en-US" w:eastAsia="zh-CN"/>
                    </w:rPr>
                    <w:t>现有供水系统，</w:t>
                  </w:r>
                  <w:r>
                    <w:rPr>
                      <w:rFonts w:hint="eastAsia"/>
                      <w:szCs w:val="21"/>
                      <w:lang w:val="en-US" w:eastAsia="zh-CN"/>
                    </w:rPr>
                    <w:t>配套建设管线</w:t>
                  </w:r>
                </w:p>
              </w:tc>
              <w:tc>
                <w:tcPr>
                  <w:tcW w:w="1259" w:type="dxa"/>
                  <w:noWrap w:val="0"/>
                  <w:tcMar>
                    <w:top w:w="0" w:type="dxa"/>
                    <w:left w:w="28" w:type="dxa"/>
                    <w:right w:w="28" w:type="dxa"/>
                  </w:tcMar>
                  <w:vAlign w:val="center"/>
                </w:tcPr>
                <w:p w14:paraId="7F8B7176">
                  <w:pPr>
                    <w:pStyle w:val="26"/>
                    <w:pageBreakBefore w:val="0"/>
                    <w:kinsoku/>
                    <w:wordWrap/>
                    <w:topLinePunct w:val="0"/>
                    <w:autoSpaceDE w:val="0"/>
                    <w:autoSpaceDN w:val="0"/>
                    <w:bidi w:val="0"/>
                    <w:contextualSpacing/>
                    <w:rPr>
                      <w:rFonts w:hint="default"/>
                      <w:szCs w:val="21"/>
                    </w:rPr>
                  </w:pPr>
                  <w:r>
                    <w:rPr>
                      <w:szCs w:val="21"/>
                    </w:rPr>
                    <w:t>/</w:t>
                  </w:r>
                </w:p>
              </w:tc>
            </w:tr>
            <w:tr w14:paraId="228AD4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3BCB3E8C">
                  <w:pPr>
                    <w:pStyle w:val="26"/>
                    <w:pageBreakBefore w:val="0"/>
                    <w:kinsoku/>
                    <w:wordWrap/>
                    <w:topLinePunct w:val="0"/>
                    <w:autoSpaceDE w:val="0"/>
                    <w:autoSpaceDN w:val="0"/>
                    <w:bidi w:val="0"/>
                    <w:contextualSpacing/>
                    <w:rPr>
                      <w:szCs w:val="21"/>
                    </w:rPr>
                  </w:pPr>
                </w:p>
              </w:tc>
              <w:tc>
                <w:tcPr>
                  <w:tcW w:w="2175" w:type="dxa"/>
                  <w:noWrap w:val="0"/>
                  <w:tcMar>
                    <w:top w:w="0" w:type="dxa"/>
                    <w:left w:w="28" w:type="dxa"/>
                    <w:right w:w="28" w:type="dxa"/>
                  </w:tcMar>
                  <w:vAlign w:val="center"/>
                </w:tcPr>
                <w:p w14:paraId="200A3DD0">
                  <w:pPr>
                    <w:pStyle w:val="26"/>
                    <w:pageBreakBefore w:val="0"/>
                    <w:kinsoku/>
                    <w:wordWrap/>
                    <w:topLinePunct w:val="0"/>
                    <w:autoSpaceDE w:val="0"/>
                    <w:autoSpaceDN w:val="0"/>
                    <w:bidi w:val="0"/>
                    <w:contextualSpacing/>
                    <w:rPr>
                      <w:rFonts w:hint="default"/>
                      <w:szCs w:val="21"/>
                    </w:rPr>
                  </w:pPr>
                  <w:r>
                    <w:rPr>
                      <w:szCs w:val="21"/>
                    </w:rPr>
                    <w:t>排水管线</w:t>
                  </w:r>
                </w:p>
              </w:tc>
              <w:tc>
                <w:tcPr>
                  <w:tcW w:w="3885" w:type="dxa"/>
                  <w:noWrap w:val="0"/>
                  <w:tcMar>
                    <w:top w:w="0" w:type="dxa"/>
                    <w:left w:w="28" w:type="dxa"/>
                    <w:right w:w="28" w:type="dxa"/>
                  </w:tcMar>
                  <w:vAlign w:val="center"/>
                </w:tcPr>
                <w:p w14:paraId="4AAB55D9">
                  <w:pPr>
                    <w:pStyle w:val="26"/>
                    <w:pageBreakBefore w:val="0"/>
                    <w:kinsoku/>
                    <w:wordWrap/>
                    <w:topLinePunct w:val="0"/>
                    <w:autoSpaceDE w:val="0"/>
                    <w:autoSpaceDN w:val="0"/>
                    <w:bidi w:val="0"/>
                    <w:contextualSpacing/>
                    <w:rPr>
                      <w:rFonts w:hint="eastAsia" w:eastAsia="宋体"/>
                      <w:szCs w:val="21"/>
                      <w:lang w:eastAsia="zh-CN"/>
                    </w:rPr>
                  </w:pPr>
                  <w:r>
                    <w:rPr>
                      <w:rFonts w:hint="eastAsia"/>
                      <w:lang w:val="en-US" w:eastAsia="zh-CN"/>
                    </w:rPr>
                    <w:t>依托</w:t>
                  </w:r>
                  <w:r>
                    <w:rPr>
                      <w:rFonts w:hint="eastAsia"/>
                    </w:rPr>
                    <w:t>新疆圣雄电石有限公司</w:t>
                  </w:r>
                  <w:r>
                    <w:rPr>
                      <w:rFonts w:hint="eastAsia"/>
                      <w:lang w:val="en-US" w:eastAsia="zh-CN"/>
                    </w:rPr>
                    <w:t>现有排水设施，</w:t>
                  </w:r>
                  <w:r>
                    <w:rPr>
                      <w:rFonts w:hint="eastAsia"/>
                      <w:szCs w:val="21"/>
                      <w:lang w:val="en-US" w:eastAsia="zh-CN"/>
                    </w:rPr>
                    <w:t>配套建设管线</w:t>
                  </w:r>
                </w:p>
              </w:tc>
              <w:tc>
                <w:tcPr>
                  <w:tcW w:w="1259" w:type="dxa"/>
                  <w:noWrap w:val="0"/>
                  <w:tcMar>
                    <w:top w:w="0" w:type="dxa"/>
                    <w:left w:w="28" w:type="dxa"/>
                    <w:right w:w="28" w:type="dxa"/>
                  </w:tcMar>
                  <w:vAlign w:val="center"/>
                </w:tcPr>
                <w:p w14:paraId="4CD32207">
                  <w:pPr>
                    <w:pStyle w:val="26"/>
                    <w:pageBreakBefore w:val="0"/>
                    <w:kinsoku/>
                    <w:wordWrap/>
                    <w:topLinePunct w:val="0"/>
                    <w:autoSpaceDE w:val="0"/>
                    <w:autoSpaceDN w:val="0"/>
                    <w:bidi w:val="0"/>
                    <w:contextualSpacing/>
                    <w:rPr>
                      <w:rFonts w:hint="default"/>
                      <w:szCs w:val="21"/>
                    </w:rPr>
                  </w:pPr>
                  <w:r>
                    <w:rPr>
                      <w:szCs w:val="21"/>
                    </w:rPr>
                    <w:t>/</w:t>
                  </w:r>
                </w:p>
              </w:tc>
            </w:tr>
            <w:tr w14:paraId="5EC05D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0A11C8D2">
                  <w:pPr>
                    <w:pStyle w:val="26"/>
                    <w:pageBreakBefore w:val="0"/>
                    <w:kinsoku/>
                    <w:wordWrap/>
                    <w:topLinePunct w:val="0"/>
                    <w:autoSpaceDE w:val="0"/>
                    <w:autoSpaceDN w:val="0"/>
                    <w:bidi w:val="0"/>
                    <w:contextualSpacing/>
                    <w:rPr>
                      <w:szCs w:val="21"/>
                    </w:rPr>
                  </w:pPr>
                </w:p>
              </w:tc>
              <w:tc>
                <w:tcPr>
                  <w:tcW w:w="2175" w:type="dxa"/>
                  <w:noWrap w:val="0"/>
                  <w:tcMar>
                    <w:top w:w="0" w:type="dxa"/>
                    <w:left w:w="28" w:type="dxa"/>
                    <w:right w:w="28" w:type="dxa"/>
                  </w:tcMar>
                  <w:vAlign w:val="center"/>
                </w:tcPr>
                <w:p w14:paraId="6CFBC16D">
                  <w:pPr>
                    <w:pStyle w:val="26"/>
                    <w:pageBreakBefore w:val="0"/>
                    <w:kinsoku/>
                    <w:wordWrap/>
                    <w:topLinePunct w:val="0"/>
                    <w:autoSpaceDE w:val="0"/>
                    <w:autoSpaceDN w:val="0"/>
                    <w:bidi w:val="0"/>
                    <w:contextualSpacing/>
                    <w:rPr>
                      <w:rFonts w:hint="default"/>
                      <w:szCs w:val="21"/>
                    </w:rPr>
                  </w:pPr>
                  <w:r>
                    <w:rPr>
                      <w:szCs w:val="21"/>
                    </w:rPr>
                    <w:t>供电线路</w:t>
                  </w:r>
                </w:p>
              </w:tc>
              <w:tc>
                <w:tcPr>
                  <w:tcW w:w="3885" w:type="dxa"/>
                  <w:noWrap w:val="0"/>
                  <w:tcMar>
                    <w:top w:w="0" w:type="dxa"/>
                    <w:left w:w="28" w:type="dxa"/>
                    <w:right w:w="28" w:type="dxa"/>
                  </w:tcMar>
                  <w:vAlign w:val="center"/>
                </w:tcPr>
                <w:p w14:paraId="6F682396">
                  <w:pPr>
                    <w:pStyle w:val="26"/>
                    <w:pageBreakBefore w:val="0"/>
                    <w:kinsoku/>
                    <w:wordWrap/>
                    <w:topLinePunct w:val="0"/>
                    <w:autoSpaceDE w:val="0"/>
                    <w:autoSpaceDN w:val="0"/>
                    <w:bidi w:val="0"/>
                    <w:contextualSpacing/>
                    <w:rPr>
                      <w:rFonts w:hint="default"/>
                      <w:szCs w:val="21"/>
                    </w:rPr>
                  </w:pPr>
                  <w:r>
                    <w:rPr>
                      <w:rFonts w:hint="eastAsia"/>
                      <w:lang w:val="en-US" w:eastAsia="zh-CN"/>
                    </w:rPr>
                    <w:t>依托</w:t>
                  </w:r>
                  <w:r>
                    <w:rPr>
                      <w:rFonts w:hint="eastAsia"/>
                    </w:rPr>
                    <w:t>新疆圣雄电石有限公司</w:t>
                  </w:r>
                  <w:r>
                    <w:rPr>
                      <w:rFonts w:hint="eastAsia"/>
                      <w:lang w:val="en-US" w:eastAsia="zh-CN"/>
                    </w:rPr>
                    <w:t>现有供电系统，配套建设变电设施</w:t>
                  </w:r>
                </w:p>
              </w:tc>
              <w:tc>
                <w:tcPr>
                  <w:tcW w:w="1259" w:type="dxa"/>
                  <w:noWrap w:val="0"/>
                  <w:tcMar>
                    <w:top w:w="0" w:type="dxa"/>
                    <w:left w:w="28" w:type="dxa"/>
                    <w:right w:w="28" w:type="dxa"/>
                  </w:tcMar>
                  <w:vAlign w:val="center"/>
                </w:tcPr>
                <w:p w14:paraId="1D695599">
                  <w:pPr>
                    <w:pStyle w:val="26"/>
                    <w:pageBreakBefore w:val="0"/>
                    <w:kinsoku/>
                    <w:wordWrap/>
                    <w:topLinePunct w:val="0"/>
                    <w:autoSpaceDE w:val="0"/>
                    <w:autoSpaceDN w:val="0"/>
                    <w:bidi w:val="0"/>
                    <w:contextualSpacing/>
                    <w:rPr>
                      <w:rFonts w:hint="default"/>
                      <w:szCs w:val="21"/>
                    </w:rPr>
                  </w:pPr>
                  <w:r>
                    <w:rPr>
                      <w:szCs w:val="21"/>
                    </w:rPr>
                    <w:t>/</w:t>
                  </w:r>
                </w:p>
              </w:tc>
            </w:tr>
            <w:tr w14:paraId="5C6079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restart"/>
                  <w:noWrap w:val="0"/>
                  <w:tcMar>
                    <w:top w:w="0" w:type="dxa"/>
                    <w:left w:w="28" w:type="dxa"/>
                    <w:right w:w="28" w:type="dxa"/>
                  </w:tcMar>
                  <w:vAlign w:val="center"/>
                </w:tcPr>
                <w:p w14:paraId="056B1126">
                  <w:pPr>
                    <w:pStyle w:val="26"/>
                    <w:pageBreakBefore w:val="0"/>
                    <w:kinsoku/>
                    <w:wordWrap/>
                    <w:topLinePunct w:val="0"/>
                    <w:autoSpaceDE w:val="0"/>
                    <w:autoSpaceDN w:val="0"/>
                    <w:bidi w:val="0"/>
                    <w:contextualSpacing/>
                    <w:rPr>
                      <w:rFonts w:hint="default"/>
                      <w:szCs w:val="21"/>
                    </w:rPr>
                  </w:pPr>
                  <w:r>
                    <w:rPr>
                      <w:szCs w:val="21"/>
                    </w:rPr>
                    <w:t>辅助工程</w:t>
                  </w:r>
                </w:p>
              </w:tc>
              <w:tc>
                <w:tcPr>
                  <w:tcW w:w="2175" w:type="dxa"/>
                  <w:noWrap w:val="0"/>
                  <w:tcMar>
                    <w:top w:w="0" w:type="dxa"/>
                    <w:left w:w="28" w:type="dxa"/>
                    <w:right w:w="28" w:type="dxa"/>
                  </w:tcMar>
                  <w:vAlign w:val="center"/>
                </w:tcPr>
                <w:p w14:paraId="2FDA59D6">
                  <w:pPr>
                    <w:pStyle w:val="26"/>
                    <w:pageBreakBefore w:val="0"/>
                    <w:kinsoku/>
                    <w:wordWrap/>
                    <w:topLinePunct w:val="0"/>
                    <w:autoSpaceDE w:val="0"/>
                    <w:autoSpaceDN w:val="0"/>
                    <w:bidi w:val="0"/>
                    <w:contextualSpacing/>
                    <w:rPr>
                      <w:rFonts w:hint="default"/>
                      <w:szCs w:val="21"/>
                    </w:rPr>
                  </w:pPr>
                  <w:r>
                    <w:rPr>
                      <w:szCs w:val="21"/>
                    </w:rPr>
                    <w:t>循环水系统</w:t>
                  </w:r>
                </w:p>
              </w:tc>
              <w:tc>
                <w:tcPr>
                  <w:tcW w:w="3885" w:type="dxa"/>
                  <w:noWrap w:val="0"/>
                  <w:tcMar>
                    <w:top w:w="0" w:type="dxa"/>
                    <w:left w:w="28" w:type="dxa"/>
                    <w:right w:w="28" w:type="dxa"/>
                  </w:tcMar>
                  <w:vAlign w:val="center"/>
                </w:tcPr>
                <w:p w14:paraId="2575208F">
                  <w:pPr>
                    <w:pStyle w:val="26"/>
                    <w:pageBreakBefore w:val="0"/>
                    <w:kinsoku/>
                    <w:wordWrap/>
                    <w:topLinePunct w:val="0"/>
                    <w:autoSpaceDE w:val="0"/>
                    <w:autoSpaceDN w:val="0"/>
                    <w:bidi w:val="0"/>
                    <w:contextualSpacing/>
                    <w:rPr>
                      <w:rFonts w:hint="default"/>
                      <w:szCs w:val="21"/>
                    </w:rPr>
                  </w:pPr>
                  <w:r>
                    <w:rPr>
                      <w:szCs w:val="21"/>
                    </w:rPr>
                    <w:t>1套</w:t>
                  </w:r>
                </w:p>
              </w:tc>
              <w:tc>
                <w:tcPr>
                  <w:tcW w:w="1259" w:type="dxa"/>
                  <w:noWrap w:val="0"/>
                  <w:tcMar>
                    <w:top w:w="0" w:type="dxa"/>
                    <w:left w:w="28" w:type="dxa"/>
                    <w:right w:w="28" w:type="dxa"/>
                  </w:tcMar>
                  <w:vAlign w:val="center"/>
                </w:tcPr>
                <w:p w14:paraId="4ECC3E0B">
                  <w:pPr>
                    <w:pStyle w:val="26"/>
                    <w:pageBreakBefore w:val="0"/>
                    <w:kinsoku/>
                    <w:wordWrap/>
                    <w:topLinePunct w:val="0"/>
                    <w:autoSpaceDE w:val="0"/>
                    <w:autoSpaceDN w:val="0"/>
                    <w:bidi w:val="0"/>
                    <w:contextualSpacing/>
                    <w:rPr>
                      <w:rFonts w:hint="default"/>
                      <w:szCs w:val="21"/>
                    </w:rPr>
                  </w:pPr>
                  <w:r>
                    <w:rPr>
                      <w:szCs w:val="21"/>
                    </w:rPr>
                    <w:t>/</w:t>
                  </w:r>
                </w:p>
              </w:tc>
            </w:tr>
            <w:tr w14:paraId="0183C1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vMerge w:val="continue"/>
                  <w:noWrap w:val="0"/>
                  <w:tcMar>
                    <w:top w:w="0" w:type="dxa"/>
                    <w:left w:w="28" w:type="dxa"/>
                    <w:right w:w="28" w:type="dxa"/>
                  </w:tcMar>
                  <w:vAlign w:val="center"/>
                </w:tcPr>
                <w:p w14:paraId="71D291E8">
                  <w:pPr>
                    <w:pStyle w:val="26"/>
                    <w:pageBreakBefore w:val="0"/>
                    <w:kinsoku/>
                    <w:wordWrap/>
                    <w:topLinePunct w:val="0"/>
                    <w:autoSpaceDE w:val="0"/>
                    <w:autoSpaceDN w:val="0"/>
                    <w:bidi w:val="0"/>
                    <w:contextualSpacing/>
                    <w:rPr>
                      <w:szCs w:val="21"/>
                    </w:rPr>
                  </w:pPr>
                </w:p>
              </w:tc>
              <w:tc>
                <w:tcPr>
                  <w:tcW w:w="2175" w:type="dxa"/>
                  <w:noWrap w:val="0"/>
                  <w:tcMar>
                    <w:top w:w="0" w:type="dxa"/>
                    <w:left w:w="28" w:type="dxa"/>
                    <w:right w:w="28" w:type="dxa"/>
                  </w:tcMar>
                  <w:vAlign w:val="center"/>
                </w:tcPr>
                <w:p w14:paraId="615B05F9">
                  <w:pPr>
                    <w:pStyle w:val="26"/>
                    <w:pageBreakBefore w:val="0"/>
                    <w:kinsoku/>
                    <w:wordWrap/>
                    <w:topLinePunct w:val="0"/>
                    <w:autoSpaceDE w:val="0"/>
                    <w:autoSpaceDN w:val="0"/>
                    <w:bidi w:val="0"/>
                    <w:contextualSpacing/>
                    <w:rPr>
                      <w:rFonts w:hint="default"/>
                      <w:szCs w:val="21"/>
                    </w:rPr>
                  </w:pPr>
                  <w:r>
                    <w:rPr>
                      <w:szCs w:val="21"/>
                    </w:rPr>
                    <w:t>消防系统</w:t>
                  </w:r>
                </w:p>
              </w:tc>
              <w:tc>
                <w:tcPr>
                  <w:tcW w:w="3885" w:type="dxa"/>
                  <w:noWrap w:val="0"/>
                  <w:tcMar>
                    <w:top w:w="0" w:type="dxa"/>
                    <w:left w:w="28" w:type="dxa"/>
                    <w:right w:w="28" w:type="dxa"/>
                  </w:tcMar>
                  <w:vAlign w:val="center"/>
                </w:tcPr>
                <w:p w14:paraId="6E007775">
                  <w:pPr>
                    <w:pStyle w:val="26"/>
                    <w:pageBreakBefore w:val="0"/>
                    <w:kinsoku/>
                    <w:wordWrap/>
                    <w:topLinePunct w:val="0"/>
                    <w:autoSpaceDE w:val="0"/>
                    <w:autoSpaceDN w:val="0"/>
                    <w:bidi w:val="0"/>
                    <w:contextualSpacing/>
                    <w:rPr>
                      <w:rFonts w:hint="default"/>
                      <w:szCs w:val="21"/>
                    </w:rPr>
                  </w:pPr>
                  <w:r>
                    <w:rPr>
                      <w:szCs w:val="21"/>
                    </w:rPr>
                    <w:t>1套</w:t>
                  </w:r>
                </w:p>
              </w:tc>
              <w:tc>
                <w:tcPr>
                  <w:tcW w:w="1259" w:type="dxa"/>
                  <w:noWrap w:val="0"/>
                  <w:tcMar>
                    <w:top w:w="0" w:type="dxa"/>
                    <w:left w:w="28" w:type="dxa"/>
                    <w:right w:w="28" w:type="dxa"/>
                  </w:tcMar>
                  <w:vAlign w:val="center"/>
                </w:tcPr>
                <w:p w14:paraId="20A8AC2D">
                  <w:pPr>
                    <w:pStyle w:val="26"/>
                    <w:pageBreakBefore w:val="0"/>
                    <w:kinsoku/>
                    <w:wordWrap/>
                    <w:topLinePunct w:val="0"/>
                    <w:autoSpaceDE w:val="0"/>
                    <w:autoSpaceDN w:val="0"/>
                    <w:bidi w:val="0"/>
                    <w:contextualSpacing/>
                    <w:rPr>
                      <w:rFonts w:hint="default"/>
                      <w:szCs w:val="21"/>
                    </w:rPr>
                  </w:pPr>
                  <w:r>
                    <w:rPr>
                      <w:szCs w:val="21"/>
                    </w:rPr>
                    <w:t>/</w:t>
                  </w:r>
                </w:p>
              </w:tc>
            </w:tr>
            <w:tr w14:paraId="4331E7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071" w:type="dxa"/>
                  <w:noWrap w:val="0"/>
                  <w:tcMar>
                    <w:top w:w="0" w:type="dxa"/>
                    <w:left w:w="28" w:type="dxa"/>
                    <w:right w:w="28" w:type="dxa"/>
                  </w:tcMar>
                  <w:vAlign w:val="center"/>
                </w:tcPr>
                <w:p w14:paraId="59C614F4">
                  <w:pPr>
                    <w:pStyle w:val="26"/>
                    <w:pageBreakBefore w:val="0"/>
                    <w:kinsoku/>
                    <w:wordWrap/>
                    <w:topLinePunct w:val="0"/>
                    <w:autoSpaceDE w:val="0"/>
                    <w:autoSpaceDN w:val="0"/>
                    <w:bidi w:val="0"/>
                    <w:contextualSpacing/>
                    <w:rPr>
                      <w:rFonts w:hint="eastAsia" w:eastAsia="宋体"/>
                      <w:szCs w:val="21"/>
                      <w:lang w:val="en-US" w:eastAsia="zh-CN"/>
                    </w:rPr>
                  </w:pPr>
                  <w:r>
                    <w:rPr>
                      <w:rFonts w:hint="eastAsia"/>
                      <w:szCs w:val="21"/>
                      <w:lang w:val="en-US" w:eastAsia="zh-CN"/>
                    </w:rPr>
                    <w:t>环保工程</w:t>
                  </w:r>
                </w:p>
              </w:tc>
              <w:tc>
                <w:tcPr>
                  <w:tcW w:w="2175" w:type="dxa"/>
                  <w:noWrap w:val="0"/>
                  <w:tcMar>
                    <w:top w:w="0" w:type="dxa"/>
                    <w:left w:w="28" w:type="dxa"/>
                    <w:right w:w="28" w:type="dxa"/>
                  </w:tcMar>
                  <w:vAlign w:val="center"/>
                </w:tcPr>
                <w:p w14:paraId="5070680E">
                  <w:pPr>
                    <w:pStyle w:val="26"/>
                    <w:pageBreakBefore w:val="0"/>
                    <w:kinsoku/>
                    <w:wordWrap/>
                    <w:topLinePunct w:val="0"/>
                    <w:autoSpaceDE w:val="0"/>
                    <w:autoSpaceDN w:val="0"/>
                    <w:bidi w:val="0"/>
                    <w:contextualSpacing/>
                    <w:rPr>
                      <w:rFonts w:hint="default" w:eastAsia="宋体"/>
                      <w:szCs w:val="21"/>
                      <w:lang w:val="en-US" w:eastAsia="zh-CN"/>
                    </w:rPr>
                  </w:pPr>
                  <w:r>
                    <w:rPr>
                      <w:rFonts w:hint="eastAsia"/>
                      <w:szCs w:val="21"/>
                      <w:lang w:val="en-US" w:eastAsia="zh-CN"/>
                    </w:rPr>
                    <w:t>危废暂存间</w:t>
                  </w:r>
                </w:p>
              </w:tc>
              <w:tc>
                <w:tcPr>
                  <w:tcW w:w="3885" w:type="dxa"/>
                  <w:noWrap w:val="0"/>
                  <w:tcMar>
                    <w:top w:w="0" w:type="dxa"/>
                    <w:left w:w="28" w:type="dxa"/>
                    <w:right w:w="28" w:type="dxa"/>
                  </w:tcMar>
                  <w:vAlign w:val="center"/>
                </w:tcPr>
                <w:p w14:paraId="54895172">
                  <w:pPr>
                    <w:pStyle w:val="26"/>
                    <w:pageBreakBefore w:val="0"/>
                    <w:kinsoku/>
                    <w:wordWrap/>
                    <w:topLinePunct w:val="0"/>
                    <w:autoSpaceDE w:val="0"/>
                    <w:autoSpaceDN w:val="0"/>
                    <w:bidi w:val="0"/>
                    <w:contextualSpacing/>
                    <w:rPr>
                      <w:rFonts w:hint="eastAsia" w:eastAsia="宋体"/>
                      <w:szCs w:val="21"/>
                      <w:lang w:val="en-US" w:eastAsia="zh-CN"/>
                    </w:rPr>
                  </w:pPr>
                  <w:r>
                    <w:rPr>
                      <w:rFonts w:hint="eastAsia"/>
                      <w:szCs w:val="21"/>
                      <w:lang w:val="en-US" w:eastAsia="zh-CN"/>
                    </w:rPr>
                    <w:t>依托新疆圣雄能源股份有限公司危险废物暂存间</w:t>
                  </w:r>
                </w:p>
              </w:tc>
              <w:tc>
                <w:tcPr>
                  <w:tcW w:w="1259" w:type="dxa"/>
                  <w:noWrap w:val="0"/>
                  <w:tcMar>
                    <w:top w:w="0" w:type="dxa"/>
                    <w:left w:w="28" w:type="dxa"/>
                    <w:right w:w="28" w:type="dxa"/>
                  </w:tcMar>
                  <w:vAlign w:val="center"/>
                </w:tcPr>
                <w:p w14:paraId="1520FD40">
                  <w:pPr>
                    <w:pStyle w:val="26"/>
                    <w:pageBreakBefore w:val="0"/>
                    <w:kinsoku/>
                    <w:wordWrap/>
                    <w:topLinePunct w:val="0"/>
                    <w:autoSpaceDE w:val="0"/>
                    <w:autoSpaceDN w:val="0"/>
                    <w:bidi w:val="0"/>
                    <w:contextualSpacing/>
                    <w:rPr>
                      <w:rFonts w:hint="eastAsia" w:eastAsia="宋体"/>
                      <w:szCs w:val="21"/>
                      <w:lang w:val="en-US" w:eastAsia="zh-CN"/>
                    </w:rPr>
                  </w:pPr>
                  <w:r>
                    <w:rPr>
                      <w:rFonts w:hint="eastAsia"/>
                      <w:szCs w:val="21"/>
                      <w:lang w:val="en-US" w:eastAsia="zh-CN"/>
                    </w:rPr>
                    <w:t>/</w:t>
                  </w:r>
                </w:p>
              </w:tc>
            </w:tr>
          </w:tbl>
          <w:p w14:paraId="2B92C350">
            <w:pPr>
              <w:pageBreakBefore w:val="0"/>
              <w:kinsoku/>
              <w:wordWrap/>
              <w:topLinePunct w:val="0"/>
              <w:autoSpaceDE w:val="0"/>
              <w:autoSpaceDN w:val="0"/>
              <w:bidi w:val="0"/>
              <w:spacing w:line="360" w:lineRule="auto"/>
              <w:ind w:firstLine="482" w:firstLineChars="200"/>
              <w:rPr>
                <w:bCs/>
                <w:sz w:val="24"/>
              </w:rPr>
            </w:pPr>
            <w:r>
              <w:rPr>
                <w:rFonts w:hint="eastAsia"/>
                <w:b/>
                <w:sz w:val="24"/>
                <w:lang w:val="en-US" w:eastAsia="zh-CN"/>
              </w:rPr>
              <w:t>3</w:t>
            </w:r>
            <w:r>
              <w:rPr>
                <w:b/>
                <w:sz w:val="24"/>
              </w:rPr>
              <w:t xml:space="preserve"> 生产设备</w:t>
            </w:r>
          </w:p>
          <w:p w14:paraId="357C3493">
            <w:pPr>
              <w:pageBreakBefore w:val="0"/>
              <w:kinsoku/>
              <w:wordWrap/>
              <w:topLinePunct w:val="0"/>
              <w:autoSpaceDE w:val="0"/>
              <w:autoSpaceDN w:val="0"/>
              <w:bidi w:val="0"/>
              <w:spacing w:line="360" w:lineRule="auto"/>
              <w:ind w:firstLine="480" w:firstLineChars="200"/>
            </w:pPr>
            <w:r>
              <w:rPr>
                <w:bCs/>
                <w:sz w:val="24"/>
              </w:rPr>
              <w:t>本项目主要生产设备见</w:t>
            </w:r>
            <w:r>
              <w:rPr>
                <w:rFonts w:hint="eastAsia"/>
                <w:bCs/>
                <w:sz w:val="24"/>
                <w:lang w:val="en-US" w:eastAsia="zh-CN"/>
              </w:rPr>
              <w:t>下</w:t>
            </w:r>
            <w:r>
              <w:rPr>
                <w:bCs/>
                <w:sz w:val="24"/>
              </w:rPr>
              <w:t>表。</w:t>
            </w:r>
          </w:p>
          <w:p w14:paraId="22584EB4">
            <w:pPr>
              <w:pageBreakBefore w:val="0"/>
              <w:kinsoku/>
              <w:wordWrap/>
              <w:topLinePunct w:val="0"/>
              <w:autoSpaceDE w:val="0"/>
              <w:autoSpaceDN w:val="0"/>
              <w:bidi w:val="0"/>
              <w:spacing w:line="360" w:lineRule="auto"/>
              <w:jc w:val="center"/>
              <w:rPr>
                <w:rFonts w:eastAsia="黑体"/>
                <w:bCs/>
                <w:szCs w:val="21"/>
              </w:rPr>
            </w:pPr>
            <w:r>
              <w:rPr>
                <w:rFonts w:eastAsia="黑体"/>
                <w:bCs/>
                <w:szCs w:val="21"/>
              </w:rPr>
              <w:t xml:space="preserve">表2-2  </w:t>
            </w:r>
            <w:r>
              <w:rPr>
                <w:rFonts w:hint="eastAsia" w:eastAsia="黑体"/>
                <w:bCs/>
                <w:szCs w:val="21"/>
                <w:lang w:val="en-US" w:eastAsia="zh-CN"/>
              </w:rPr>
              <w:t>静设备选型情况</w:t>
            </w:r>
            <w:r>
              <w:rPr>
                <w:rFonts w:eastAsia="黑体"/>
                <w:bCs/>
                <w:szCs w:val="21"/>
              </w:rPr>
              <w:t>一览表</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98"/>
              <w:gridCol w:w="1455"/>
              <w:gridCol w:w="1726"/>
              <w:gridCol w:w="3200"/>
              <w:gridCol w:w="506"/>
              <w:gridCol w:w="506"/>
              <w:gridCol w:w="499"/>
            </w:tblGrid>
            <w:tr w14:paraId="10A2DF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079B8614">
                  <w:pPr>
                    <w:pageBreakBefore w:val="0"/>
                    <w:kinsoku/>
                    <w:wordWrap/>
                    <w:topLinePunct w:val="0"/>
                    <w:bidi w:val="0"/>
                    <w:spacing w:line="280" w:lineRule="exact"/>
                    <w:jc w:val="center"/>
                    <w:rPr>
                      <w:b/>
                      <w:bCs/>
                      <w:sz w:val="21"/>
                      <w:szCs w:val="21"/>
                    </w:rPr>
                  </w:pPr>
                  <w:r>
                    <w:rPr>
                      <w:rFonts w:hint="eastAsia"/>
                      <w:b/>
                      <w:bCs/>
                      <w:sz w:val="21"/>
                      <w:szCs w:val="21"/>
                    </w:rPr>
                    <w:t>序号</w:t>
                  </w:r>
                </w:p>
              </w:tc>
              <w:tc>
                <w:tcPr>
                  <w:tcW w:w="1455" w:type="dxa"/>
                  <w:noWrap w:val="0"/>
                  <w:vAlign w:val="center"/>
                </w:tcPr>
                <w:p w14:paraId="569F7E6F">
                  <w:pPr>
                    <w:pageBreakBefore w:val="0"/>
                    <w:kinsoku/>
                    <w:wordWrap/>
                    <w:topLinePunct w:val="0"/>
                    <w:bidi w:val="0"/>
                    <w:spacing w:line="280" w:lineRule="exact"/>
                    <w:jc w:val="center"/>
                    <w:rPr>
                      <w:b/>
                      <w:bCs/>
                      <w:sz w:val="21"/>
                      <w:szCs w:val="21"/>
                    </w:rPr>
                  </w:pPr>
                  <w:r>
                    <w:rPr>
                      <w:rFonts w:hint="eastAsia"/>
                      <w:b/>
                      <w:bCs/>
                      <w:sz w:val="21"/>
                      <w:szCs w:val="21"/>
                    </w:rPr>
                    <w:t>设备位号</w:t>
                  </w:r>
                </w:p>
              </w:tc>
              <w:tc>
                <w:tcPr>
                  <w:tcW w:w="1726" w:type="dxa"/>
                  <w:noWrap w:val="0"/>
                  <w:vAlign w:val="center"/>
                </w:tcPr>
                <w:p w14:paraId="1F0649B5">
                  <w:pPr>
                    <w:pageBreakBefore w:val="0"/>
                    <w:kinsoku/>
                    <w:wordWrap/>
                    <w:topLinePunct w:val="0"/>
                    <w:bidi w:val="0"/>
                    <w:spacing w:line="280" w:lineRule="exact"/>
                    <w:jc w:val="center"/>
                    <w:rPr>
                      <w:b/>
                      <w:bCs/>
                      <w:sz w:val="21"/>
                      <w:szCs w:val="21"/>
                    </w:rPr>
                  </w:pPr>
                  <w:r>
                    <w:rPr>
                      <w:rFonts w:hint="eastAsia"/>
                      <w:b/>
                      <w:bCs/>
                      <w:sz w:val="21"/>
                      <w:szCs w:val="21"/>
                    </w:rPr>
                    <w:t>设备名称</w:t>
                  </w:r>
                </w:p>
              </w:tc>
              <w:tc>
                <w:tcPr>
                  <w:tcW w:w="3200" w:type="dxa"/>
                  <w:noWrap w:val="0"/>
                  <w:vAlign w:val="center"/>
                </w:tcPr>
                <w:p w14:paraId="221BB36C">
                  <w:pPr>
                    <w:pageBreakBefore w:val="0"/>
                    <w:kinsoku/>
                    <w:wordWrap/>
                    <w:topLinePunct w:val="0"/>
                    <w:bidi w:val="0"/>
                    <w:spacing w:line="280" w:lineRule="exact"/>
                    <w:jc w:val="center"/>
                    <w:rPr>
                      <w:b/>
                      <w:bCs/>
                      <w:sz w:val="21"/>
                      <w:szCs w:val="21"/>
                    </w:rPr>
                  </w:pPr>
                  <w:r>
                    <w:rPr>
                      <w:rFonts w:hint="eastAsia"/>
                      <w:b/>
                      <w:bCs/>
                      <w:sz w:val="21"/>
                      <w:szCs w:val="21"/>
                    </w:rPr>
                    <w:t>技术规格</w:t>
                  </w:r>
                </w:p>
              </w:tc>
              <w:tc>
                <w:tcPr>
                  <w:tcW w:w="506" w:type="dxa"/>
                  <w:noWrap w:val="0"/>
                  <w:vAlign w:val="center"/>
                </w:tcPr>
                <w:p w14:paraId="1AB7C84F">
                  <w:pPr>
                    <w:pageBreakBefore w:val="0"/>
                    <w:kinsoku/>
                    <w:wordWrap/>
                    <w:topLinePunct w:val="0"/>
                    <w:bidi w:val="0"/>
                    <w:spacing w:line="280" w:lineRule="exact"/>
                    <w:jc w:val="center"/>
                    <w:rPr>
                      <w:b/>
                      <w:bCs/>
                      <w:sz w:val="21"/>
                      <w:szCs w:val="21"/>
                    </w:rPr>
                  </w:pPr>
                  <w:r>
                    <w:rPr>
                      <w:rFonts w:hint="eastAsia"/>
                      <w:b/>
                      <w:bCs/>
                      <w:sz w:val="21"/>
                      <w:szCs w:val="21"/>
                    </w:rPr>
                    <w:t>单位</w:t>
                  </w:r>
                </w:p>
              </w:tc>
              <w:tc>
                <w:tcPr>
                  <w:tcW w:w="506" w:type="dxa"/>
                  <w:noWrap w:val="0"/>
                  <w:vAlign w:val="center"/>
                </w:tcPr>
                <w:p w14:paraId="20AFFDE8">
                  <w:pPr>
                    <w:pageBreakBefore w:val="0"/>
                    <w:kinsoku/>
                    <w:wordWrap/>
                    <w:topLinePunct w:val="0"/>
                    <w:bidi w:val="0"/>
                    <w:spacing w:line="280" w:lineRule="exact"/>
                    <w:jc w:val="center"/>
                    <w:rPr>
                      <w:b/>
                      <w:bCs/>
                      <w:sz w:val="21"/>
                      <w:szCs w:val="21"/>
                    </w:rPr>
                  </w:pPr>
                  <w:r>
                    <w:rPr>
                      <w:rFonts w:hint="eastAsia"/>
                      <w:b/>
                      <w:bCs/>
                      <w:sz w:val="21"/>
                      <w:szCs w:val="21"/>
                    </w:rPr>
                    <w:t>数量</w:t>
                  </w:r>
                </w:p>
              </w:tc>
              <w:tc>
                <w:tcPr>
                  <w:tcW w:w="499" w:type="dxa"/>
                  <w:noWrap w:val="0"/>
                  <w:vAlign w:val="center"/>
                </w:tcPr>
                <w:p w14:paraId="1F65E636">
                  <w:pPr>
                    <w:pageBreakBefore w:val="0"/>
                    <w:kinsoku/>
                    <w:wordWrap/>
                    <w:topLinePunct w:val="0"/>
                    <w:bidi w:val="0"/>
                    <w:spacing w:line="280" w:lineRule="exact"/>
                    <w:jc w:val="center"/>
                    <w:rPr>
                      <w:rFonts w:hint="eastAsia"/>
                      <w:b/>
                      <w:bCs/>
                      <w:sz w:val="21"/>
                      <w:szCs w:val="21"/>
                    </w:rPr>
                  </w:pPr>
                  <w:r>
                    <w:rPr>
                      <w:rFonts w:hint="eastAsia"/>
                      <w:b/>
                      <w:bCs/>
                      <w:sz w:val="21"/>
                      <w:szCs w:val="21"/>
                    </w:rPr>
                    <w:t>备注</w:t>
                  </w:r>
                </w:p>
              </w:tc>
            </w:tr>
            <w:tr w14:paraId="451541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18A9DA65">
                  <w:pPr>
                    <w:pageBreakBefore w:val="0"/>
                    <w:kinsoku/>
                    <w:wordWrap/>
                    <w:topLinePunct w:val="0"/>
                    <w:bidi w:val="0"/>
                    <w:spacing w:line="280" w:lineRule="exact"/>
                    <w:jc w:val="center"/>
                    <w:rPr>
                      <w:sz w:val="21"/>
                      <w:szCs w:val="21"/>
                    </w:rPr>
                  </w:pPr>
                  <w:r>
                    <w:rPr>
                      <w:rFonts w:hint="eastAsia"/>
                      <w:sz w:val="21"/>
                      <w:szCs w:val="21"/>
                    </w:rPr>
                    <w:t>一</w:t>
                  </w:r>
                </w:p>
              </w:tc>
              <w:tc>
                <w:tcPr>
                  <w:tcW w:w="1455" w:type="dxa"/>
                  <w:noWrap w:val="0"/>
                  <w:vAlign w:val="center"/>
                </w:tcPr>
                <w:p w14:paraId="3E9FED9B">
                  <w:pPr>
                    <w:pageBreakBefore w:val="0"/>
                    <w:kinsoku/>
                    <w:wordWrap/>
                    <w:topLinePunct w:val="0"/>
                    <w:bidi w:val="0"/>
                    <w:spacing w:line="280" w:lineRule="exact"/>
                    <w:jc w:val="center"/>
                    <w:rPr>
                      <w:sz w:val="21"/>
                      <w:szCs w:val="21"/>
                    </w:rPr>
                  </w:pPr>
                  <w:r>
                    <w:rPr>
                      <w:rFonts w:hint="eastAsia"/>
                      <w:sz w:val="21"/>
                      <w:szCs w:val="21"/>
                    </w:rPr>
                    <w:t>预净化单元</w:t>
                  </w:r>
                </w:p>
              </w:tc>
              <w:tc>
                <w:tcPr>
                  <w:tcW w:w="1726" w:type="dxa"/>
                  <w:noWrap w:val="0"/>
                  <w:vAlign w:val="center"/>
                </w:tcPr>
                <w:p w14:paraId="0F40D210">
                  <w:pPr>
                    <w:pageBreakBefore w:val="0"/>
                    <w:kinsoku/>
                    <w:wordWrap/>
                    <w:topLinePunct w:val="0"/>
                    <w:bidi w:val="0"/>
                    <w:spacing w:line="280" w:lineRule="exact"/>
                    <w:jc w:val="center"/>
                    <w:rPr>
                      <w:sz w:val="21"/>
                      <w:szCs w:val="21"/>
                    </w:rPr>
                  </w:pPr>
                </w:p>
              </w:tc>
              <w:tc>
                <w:tcPr>
                  <w:tcW w:w="3200" w:type="dxa"/>
                  <w:noWrap w:val="0"/>
                  <w:vAlign w:val="center"/>
                </w:tcPr>
                <w:p w14:paraId="457A3363">
                  <w:pPr>
                    <w:pageBreakBefore w:val="0"/>
                    <w:kinsoku/>
                    <w:wordWrap/>
                    <w:topLinePunct w:val="0"/>
                    <w:bidi w:val="0"/>
                    <w:spacing w:line="280" w:lineRule="exact"/>
                    <w:jc w:val="center"/>
                    <w:rPr>
                      <w:sz w:val="21"/>
                      <w:szCs w:val="21"/>
                    </w:rPr>
                  </w:pPr>
                </w:p>
              </w:tc>
              <w:tc>
                <w:tcPr>
                  <w:tcW w:w="506" w:type="dxa"/>
                  <w:noWrap w:val="0"/>
                  <w:vAlign w:val="center"/>
                </w:tcPr>
                <w:p w14:paraId="2F12740E">
                  <w:pPr>
                    <w:pageBreakBefore w:val="0"/>
                    <w:kinsoku/>
                    <w:wordWrap/>
                    <w:topLinePunct w:val="0"/>
                    <w:bidi w:val="0"/>
                    <w:spacing w:line="280" w:lineRule="exact"/>
                    <w:jc w:val="center"/>
                    <w:rPr>
                      <w:sz w:val="21"/>
                      <w:szCs w:val="21"/>
                    </w:rPr>
                  </w:pPr>
                </w:p>
              </w:tc>
              <w:tc>
                <w:tcPr>
                  <w:tcW w:w="506" w:type="dxa"/>
                  <w:noWrap w:val="0"/>
                  <w:vAlign w:val="center"/>
                </w:tcPr>
                <w:p w14:paraId="2FAF3A1D">
                  <w:pPr>
                    <w:pageBreakBefore w:val="0"/>
                    <w:kinsoku/>
                    <w:wordWrap/>
                    <w:topLinePunct w:val="0"/>
                    <w:bidi w:val="0"/>
                    <w:spacing w:line="280" w:lineRule="exact"/>
                    <w:jc w:val="center"/>
                    <w:rPr>
                      <w:sz w:val="21"/>
                      <w:szCs w:val="21"/>
                    </w:rPr>
                  </w:pPr>
                </w:p>
              </w:tc>
              <w:tc>
                <w:tcPr>
                  <w:tcW w:w="499" w:type="dxa"/>
                  <w:noWrap w:val="0"/>
                  <w:vAlign w:val="center"/>
                </w:tcPr>
                <w:p w14:paraId="3D5ADB60">
                  <w:pPr>
                    <w:pageBreakBefore w:val="0"/>
                    <w:kinsoku/>
                    <w:wordWrap/>
                    <w:topLinePunct w:val="0"/>
                    <w:bidi w:val="0"/>
                    <w:spacing w:line="280" w:lineRule="exact"/>
                    <w:jc w:val="center"/>
                    <w:rPr>
                      <w:sz w:val="21"/>
                      <w:szCs w:val="21"/>
                    </w:rPr>
                  </w:pPr>
                </w:p>
              </w:tc>
            </w:tr>
            <w:tr w14:paraId="779658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2C892D82">
                  <w:pPr>
                    <w:pageBreakBefore w:val="0"/>
                    <w:kinsoku/>
                    <w:wordWrap/>
                    <w:topLinePunct w:val="0"/>
                    <w:bidi w:val="0"/>
                    <w:spacing w:line="280" w:lineRule="exact"/>
                    <w:jc w:val="center"/>
                    <w:rPr>
                      <w:sz w:val="21"/>
                      <w:szCs w:val="21"/>
                    </w:rPr>
                  </w:pPr>
                  <w:r>
                    <w:rPr>
                      <w:rFonts w:hint="eastAsia"/>
                      <w:sz w:val="21"/>
                      <w:szCs w:val="21"/>
                    </w:rPr>
                    <w:t>1</w:t>
                  </w:r>
                </w:p>
              </w:tc>
              <w:tc>
                <w:tcPr>
                  <w:tcW w:w="1455" w:type="dxa"/>
                  <w:noWrap w:val="0"/>
                  <w:vAlign w:val="center"/>
                </w:tcPr>
                <w:p w14:paraId="4DBCEAA5">
                  <w:pPr>
                    <w:pageBreakBefore w:val="0"/>
                    <w:kinsoku/>
                    <w:wordWrap/>
                    <w:topLinePunct w:val="0"/>
                    <w:bidi w:val="0"/>
                    <w:spacing w:line="280" w:lineRule="exact"/>
                    <w:jc w:val="center"/>
                    <w:rPr>
                      <w:sz w:val="21"/>
                      <w:szCs w:val="21"/>
                    </w:rPr>
                  </w:pPr>
                  <w:r>
                    <w:rPr>
                      <w:rFonts w:hint="eastAsia"/>
                      <w:sz w:val="21"/>
                      <w:szCs w:val="21"/>
                    </w:rPr>
                    <w:t>C-10101A～C</w:t>
                  </w:r>
                </w:p>
              </w:tc>
              <w:tc>
                <w:tcPr>
                  <w:tcW w:w="1726" w:type="dxa"/>
                  <w:noWrap w:val="0"/>
                  <w:vAlign w:val="center"/>
                </w:tcPr>
                <w:p w14:paraId="1B26E22A">
                  <w:pPr>
                    <w:pageBreakBefore w:val="0"/>
                    <w:kinsoku/>
                    <w:wordWrap/>
                    <w:topLinePunct w:val="0"/>
                    <w:bidi w:val="0"/>
                    <w:spacing w:line="280" w:lineRule="exact"/>
                    <w:jc w:val="center"/>
                    <w:rPr>
                      <w:sz w:val="21"/>
                      <w:szCs w:val="21"/>
                    </w:rPr>
                  </w:pPr>
                  <w:r>
                    <w:rPr>
                      <w:rFonts w:hint="eastAsia"/>
                      <w:sz w:val="21"/>
                      <w:szCs w:val="21"/>
                    </w:rPr>
                    <w:t>预处理塔</w:t>
                  </w:r>
                </w:p>
              </w:tc>
              <w:tc>
                <w:tcPr>
                  <w:tcW w:w="3200" w:type="dxa"/>
                  <w:noWrap w:val="0"/>
                  <w:vAlign w:val="center"/>
                </w:tcPr>
                <w:p w14:paraId="4814E26E">
                  <w:pPr>
                    <w:pageBreakBefore w:val="0"/>
                    <w:kinsoku/>
                    <w:wordWrap/>
                    <w:topLinePunct w:val="0"/>
                    <w:bidi w:val="0"/>
                    <w:spacing w:line="280" w:lineRule="exact"/>
                    <w:jc w:val="center"/>
                    <w:rPr>
                      <w:sz w:val="21"/>
                      <w:szCs w:val="21"/>
                    </w:rPr>
                  </w:pPr>
                  <w:r>
                    <w:rPr>
                      <w:sz w:val="21"/>
                      <w:szCs w:val="21"/>
                    </w:rPr>
                    <w:t>Ф4400</w:t>
                  </w:r>
                </w:p>
                <w:p w14:paraId="3DA64653">
                  <w:pPr>
                    <w:pageBreakBefore w:val="0"/>
                    <w:kinsoku/>
                    <w:wordWrap/>
                    <w:topLinePunct w:val="0"/>
                    <w:bidi w:val="0"/>
                    <w:spacing w:line="280" w:lineRule="exact"/>
                    <w:jc w:val="center"/>
                    <w:rPr>
                      <w:rFonts w:hint="eastAsia"/>
                      <w:sz w:val="21"/>
                      <w:szCs w:val="21"/>
                    </w:rPr>
                  </w:pPr>
                  <w:r>
                    <w:rPr>
                      <w:sz w:val="21"/>
                      <w:szCs w:val="21"/>
                    </w:rPr>
                    <w:t>操作压力：0.02MPa(G)</w:t>
                  </w:r>
                  <w:r>
                    <w:rPr>
                      <w:rFonts w:hint="eastAsia"/>
                      <w:sz w:val="21"/>
                      <w:szCs w:val="21"/>
                    </w:rPr>
                    <w:t>；</w:t>
                  </w:r>
                </w:p>
                <w:p w14:paraId="66AE2E26">
                  <w:pPr>
                    <w:pageBreakBefore w:val="0"/>
                    <w:kinsoku/>
                    <w:wordWrap/>
                    <w:topLinePunct w:val="0"/>
                    <w:bidi w:val="0"/>
                    <w:spacing w:line="280" w:lineRule="exact"/>
                    <w:jc w:val="center"/>
                    <w:rPr>
                      <w:sz w:val="21"/>
                      <w:szCs w:val="21"/>
                    </w:rPr>
                  </w:pPr>
                  <w:r>
                    <w:rPr>
                      <w:sz w:val="21"/>
                      <w:szCs w:val="21"/>
                    </w:rPr>
                    <w:t>操作温度：40/140℃；</w:t>
                  </w:r>
                </w:p>
                <w:p w14:paraId="0BA8064F">
                  <w:pPr>
                    <w:pageBreakBefore w:val="0"/>
                    <w:kinsoku/>
                    <w:wordWrap/>
                    <w:topLinePunct w:val="0"/>
                    <w:bidi w:val="0"/>
                    <w:spacing w:line="280" w:lineRule="exact"/>
                    <w:jc w:val="center"/>
                    <w:rPr>
                      <w:rFonts w:hint="eastAsia"/>
                      <w:sz w:val="21"/>
                      <w:szCs w:val="21"/>
                    </w:rPr>
                  </w:pPr>
                  <w:r>
                    <w:rPr>
                      <w:sz w:val="21"/>
                      <w:szCs w:val="21"/>
                    </w:rPr>
                    <w:t>设计压力：0.2MPa(G)</w:t>
                  </w:r>
                  <w:r>
                    <w:rPr>
                      <w:rFonts w:hint="eastAsia"/>
                      <w:sz w:val="21"/>
                      <w:szCs w:val="21"/>
                    </w:rPr>
                    <w:t>；</w:t>
                  </w:r>
                </w:p>
                <w:p w14:paraId="7E26FD6B">
                  <w:pPr>
                    <w:pageBreakBefore w:val="0"/>
                    <w:kinsoku/>
                    <w:wordWrap/>
                    <w:topLinePunct w:val="0"/>
                    <w:bidi w:val="0"/>
                    <w:spacing w:line="280" w:lineRule="exact"/>
                    <w:jc w:val="center"/>
                    <w:rPr>
                      <w:sz w:val="21"/>
                      <w:szCs w:val="21"/>
                    </w:rPr>
                  </w:pPr>
                  <w:r>
                    <w:rPr>
                      <w:sz w:val="21"/>
                      <w:szCs w:val="21"/>
                    </w:rPr>
                    <w:t>设计温度：210℃。</w:t>
                  </w:r>
                </w:p>
              </w:tc>
              <w:tc>
                <w:tcPr>
                  <w:tcW w:w="506" w:type="dxa"/>
                  <w:noWrap w:val="0"/>
                  <w:vAlign w:val="center"/>
                </w:tcPr>
                <w:p w14:paraId="1E145BE3">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3AF2A047">
                  <w:pPr>
                    <w:pageBreakBefore w:val="0"/>
                    <w:kinsoku/>
                    <w:wordWrap/>
                    <w:topLinePunct w:val="0"/>
                    <w:bidi w:val="0"/>
                    <w:spacing w:line="280" w:lineRule="exact"/>
                    <w:jc w:val="center"/>
                    <w:rPr>
                      <w:sz w:val="21"/>
                      <w:szCs w:val="21"/>
                    </w:rPr>
                  </w:pPr>
                  <w:r>
                    <w:rPr>
                      <w:rFonts w:hint="eastAsia"/>
                      <w:sz w:val="21"/>
                      <w:szCs w:val="21"/>
                    </w:rPr>
                    <w:t>3</w:t>
                  </w:r>
                </w:p>
              </w:tc>
              <w:tc>
                <w:tcPr>
                  <w:tcW w:w="499" w:type="dxa"/>
                  <w:noWrap w:val="0"/>
                  <w:vAlign w:val="center"/>
                </w:tcPr>
                <w:p w14:paraId="59F78A73">
                  <w:pPr>
                    <w:pageBreakBefore w:val="0"/>
                    <w:kinsoku/>
                    <w:wordWrap/>
                    <w:topLinePunct w:val="0"/>
                    <w:bidi w:val="0"/>
                    <w:spacing w:line="280" w:lineRule="exact"/>
                    <w:jc w:val="center"/>
                    <w:rPr>
                      <w:sz w:val="21"/>
                      <w:szCs w:val="21"/>
                    </w:rPr>
                  </w:pPr>
                </w:p>
              </w:tc>
            </w:tr>
            <w:tr w14:paraId="7D9CE3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62751AA5">
                  <w:pPr>
                    <w:pageBreakBefore w:val="0"/>
                    <w:kinsoku/>
                    <w:wordWrap/>
                    <w:topLinePunct w:val="0"/>
                    <w:bidi w:val="0"/>
                    <w:spacing w:line="280" w:lineRule="exact"/>
                    <w:jc w:val="center"/>
                    <w:rPr>
                      <w:sz w:val="21"/>
                      <w:szCs w:val="21"/>
                    </w:rPr>
                  </w:pPr>
                  <w:r>
                    <w:rPr>
                      <w:rFonts w:hint="eastAsia"/>
                      <w:sz w:val="21"/>
                      <w:szCs w:val="21"/>
                    </w:rPr>
                    <w:t>2</w:t>
                  </w:r>
                </w:p>
              </w:tc>
              <w:tc>
                <w:tcPr>
                  <w:tcW w:w="1455" w:type="dxa"/>
                  <w:noWrap w:val="0"/>
                  <w:vAlign w:val="center"/>
                </w:tcPr>
                <w:p w14:paraId="0C0F3DA9">
                  <w:pPr>
                    <w:pageBreakBefore w:val="0"/>
                    <w:kinsoku/>
                    <w:wordWrap/>
                    <w:topLinePunct w:val="0"/>
                    <w:bidi w:val="0"/>
                    <w:spacing w:line="280" w:lineRule="exact"/>
                    <w:jc w:val="center"/>
                    <w:rPr>
                      <w:sz w:val="21"/>
                      <w:szCs w:val="21"/>
                    </w:rPr>
                  </w:pPr>
                  <w:r>
                    <w:rPr>
                      <w:rFonts w:hint="eastAsia"/>
                      <w:sz w:val="21"/>
                      <w:szCs w:val="21"/>
                    </w:rPr>
                    <w:t>T-10101</w:t>
                  </w:r>
                </w:p>
              </w:tc>
              <w:tc>
                <w:tcPr>
                  <w:tcW w:w="1726" w:type="dxa"/>
                  <w:noWrap w:val="0"/>
                  <w:vAlign w:val="center"/>
                </w:tcPr>
                <w:p w14:paraId="07468D43">
                  <w:pPr>
                    <w:pageBreakBefore w:val="0"/>
                    <w:kinsoku/>
                    <w:wordWrap/>
                    <w:topLinePunct w:val="0"/>
                    <w:bidi w:val="0"/>
                    <w:spacing w:line="280" w:lineRule="exact"/>
                    <w:jc w:val="center"/>
                    <w:rPr>
                      <w:sz w:val="21"/>
                      <w:szCs w:val="21"/>
                    </w:rPr>
                  </w:pPr>
                  <w:r>
                    <w:rPr>
                      <w:sz w:val="21"/>
                      <w:szCs w:val="21"/>
                    </w:rPr>
                    <w:t>原料气缓冲罐</w:t>
                  </w:r>
                </w:p>
              </w:tc>
              <w:tc>
                <w:tcPr>
                  <w:tcW w:w="3200" w:type="dxa"/>
                  <w:noWrap w:val="0"/>
                  <w:vAlign w:val="center"/>
                </w:tcPr>
                <w:p w14:paraId="0DFC4BA0">
                  <w:pPr>
                    <w:pageBreakBefore w:val="0"/>
                    <w:kinsoku/>
                    <w:wordWrap/>
                    <w:topLinePunct w:val="0"/>
                    <w:bidi w:val="0"/>
                    <w:spacing w:line="280" w:lineRule="exact"/>
                    <w:jc w:val="center"/>
                    <w:rPr>
                      <w:rFonts w:hint="eastAsia"/>
                      <w:sz w:val="21"/>
                      <w:szCs w:val="21"/>
                    </w:rPr>
                  </w:pPr>
                  <w:r>
                    <w:rPr>
                      <w:rFonts w:hint="eastAsia"/>
                      <w:sz w:val="21"/>
                      <w:szCs w:val="21"/>
                    </w:rPr>
                    <w:t>Ф4400×10000</w:t>
                  </w:r>
                </w:p>
                <w:p w14:paraId="6B89C9EC">
                  <w:pPr>
                    <w:pageBreakBefore w:val="0"/>
                    <w:kinsoku/>
                    <w:wordWrap/>
                    <w:topLinePunct w:val="0"/>
                    <w:bidi w:val="0"/>
                    <w:spacing w:line="280" w:lineRule="exact"/>
                    <w:jc w:val="center"/>
                    <w:rPr>
                      <w:rFonts w:hint="eastAsia"/>
                      <w:sz w:val="21"/>
                      <w:szCs w:val="21"/>
                    </w:rPr>
                  </w:pPr>
                  <w:r>
                    <w:rPr>
                      <w:rFonts w:hint="eastAsia"/>
                      <w:sz w:val="21"/>
                      <w:szCs w:val="21"/>
                    </w:rPr>
                    <w:t>操作压力：0.02MPa(G)；</w:t>
                  </w:r>
                </w:p>
                <w:p w14:paraId="10B4911B">
                  <w:pPr>
                    <w:pageBreakBefore w:val="0"/>
                    <w:kinsoku/>
                    <w:wordWrap/>
                    <w:topLinePunct w:val="0"/>
                    <w:bidi w:val="0"/>
                    <w:spacing w:line="280" w:lineRule="exact"/>
                    <w:jc w:val="center"/>
                    <w:rPr>
                      <w:rFonts w:hint="eastAsia"/>
                      <w:sz w:val="21"/>
                      <w:szCs w:val="21"/>
                    </w:rPr>
                  </w:pPr>
                  <w:r>
                    <w:rPr>
                      <w:rFonts w:hint="eastAsia"/>
                      <w:sz w:val="21"/>
                      <w:szCs w:val="21"/>
                    </w:rPr>
                    <w:t>操作温度：40℃；</w:t>
                  </w:r>
                </w:p>
                <w:p w14:paraId="00D7DBA6">
                  <w:pPr>
                    <w:pageBreakBefore w:val="0"/>
                    <w:kinsoku/>
                    <w:wordWrap/>
                    <w:topLinePunct w:val="0"/>
                    <w:bidi w:val="0"/>
                    <w:spacing w:line="280" w:lineRule="exact"/>
                    <w:jc w:val="center"/>
                    <w:rPr>
                      <w:rFonts w:hint="eastAsia"/>
                      <w:sz w:val="21"/>
                      <w:szCs w:val="21"/>
                    </w:rPr>
                  </w:pPr>
                  <w:r>
                    <w:rPr>
                      <w:rFonts w:hint="eastAsia"/>
                      <w:sz w:val="21"/>
                      <w:szCs w:val="21"/>
                    </w:rPr>
                    <w:t>设计压力：0.2MPa(G)；</w:t>
                  </w:r>
                </w:p>
                <w:p w14:paraId="29A0F62B">
                  <w:pPr>
                    <w:pageBreakBefore w:val="0"/>
                    <w:kinsoku/>
                    <w:wordWrap/>
                    <w:topLinePunct w:val="0"/>
                    <w:bidi w:val="0"/>
                    <w:spacing w:line="280" w:lineRule="exact"/>
                    <w:jc w:val="center"/>
                    <w:rPr>
                      <w:rFonts w:hint="eastAsia"/>
                      <w:sz w:val="21"/>
                      <w:szCs w:val="21"/>
                    </w:rPr>
                  </w:pPr>
                  <w:r>
                    <w:rPr>
                      <w:rFonts w:hint="eastAsia"/>
                      <w:sz w:val="21"/>
                      <w:szCs w:val="21"/>
                    </w:rPr>
                    <w:t>设计温度：80℃。</w:t>
                  </w:r>
                </w:p>
              </w:tc>
              <w:tc>
                <w:tcPr>
                  <w:tcW w:w="506" w:type="dxa"/>
                  <w:noWrap w:val="0"/>
                  <w:vAlign w:val="center"/>
                </w:tcPr>
                <w:p w14:paraId="5F2FA78E">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01C1D937">
                  <w:pPr>
                    <w:pageBreakBefore w:val="0"/>
                    <w:kinsoku/>
                    <w:wordWrap/>
                    <w:topLinePunct w:val="0"/>
                    <w:bidi w:val="0"/>
                    <w:spacing w:line="280" w:lineRule="exact"/>
                    <w:jc w:val="center"/>
                    <w:rPr>
                      <w:sz w:val="21"/>
                      <w:szCs w:val="21"/>
                    </w:rPr>
                  </w:pPr>
                  <w:r>
                    <w:rPr>
                      <w:rFonts w:hint="eastAsia"/>
                      <w:sz w:val="21"/>
                      <w:szCs w:val="21"/>
                    </w:rPr>
                    <w:t>1</w:t>
                  </w:r>
                </w:p>
              </w:tc>
              <w:tc>
                <w:tcPr>
                  <w:tcW w:w="499" w:type="dxa"/>
                  <w:noWrap w:val="0"/>
                  <w:vAlign w:val="center"/>
                </w:tcPr>
                <w:p w14:paraId="2A7B9596">
                  <w:pPr>
                    <w:pageBreakBefore w:val="0"/>
                    <w:kinsoku/>
                    <w:wordWrap/>
                    <w:topLinePunct w:val="0"/>
                    <w:bidi w:val="0"/>
                    <w:spacing w:line="280" w:lineRule="exact"/>
                    <w:jc w:val="center"/>
                    <w:rPr>
                      <w:sz w:val="21"/>
                      <w:szCs w:val="21"/>
                    </w:rPr>
                  </w:pPr>
                </w:p>
              </w:tc>
            </w:tr>
            <w:tr w14:paraId="774C2E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732FDD54">
                  <w:pPr>
                    <w:pageBreakBefore w:val="0"/>
                    <w:kinsoku/>
                    <w:wordWrap/>
                    <w:topLinePunct w:val="0"/>
                    <w:bidi w:val="0"/>
                    <w:spacing w:line="280" w:lineRule="exact"/>
                    <w:jc w:val="center"/>
                    <w:rPr>
                      <w:sz w:val="21"/>
                      <w:szCs w:val="21"/>
                    </w:rPr>
                  </w:pPr>
                  <w:r>
                    <w:rPr>
                      <w:rFonts w:hint="eastAsia"/>
                      <w:sz w:val="21"/>
                      <w:szCs w:val="21"/>
                    </w:rPr>
                    <w:t>3</w:t>
                  </w:r>
                </w:p>
              </w:tc>
              <w:tc>
                <w:tcPr>
                  <w:tcW w:w="1455" w:type="dxa"/>
                  <w:noWrap w:val="0"/>
                  <w:vAlign w:val="center"/>
                </w:tcPr>
                <w:p w14:paraId="5828B1F3">
                  <w:pPr>
                    <w:pageBreakBefore w:val="0"/>
                    <w:kinsoku/>
                    <w:wordWrap/>
                    <w:topLinePunct w:val="0"/>
                    <w:bidi w:val="0"/>
                    <w:spacing w:line="280" w:lineRule="exact"/>
                    <w:jc w:val="center"/>
                    <w:rPr>
                      <w:sz w:val="21"/>
                      <w:szCs w:val="21"/>
                    </w:rPr>
                  </w:pPr>
                  <w:r>
                    <w:rPr>
                      <w:rFonts w:hint="eastAsia"/>
                      <w:sz w:val="21"/>
                      <w:szCs w:val="21"/>
                    </w:rPr>
                    <w:t>E-10101</w:t>
                  </w:r>
                </w:p>
              </w:tc>
              <w:tc>
                <w:tcPr>
                  <w:tcW w:w="1726" w:type="dxa"/>
                  <w:noWrap w:val="0"/>
                  <w:vAlign w:val="center"/>
                </w:tcPr>
                <w:p w14:paraId="0A6AF27B">
                  <w:pPr>
                    <w:pageBreakBefore w:val="0"/>
                    <w:kinsoku/>
                    <w:wordWrap/>
                    <w:topLinePunct w:val="0"/>
                    <w:bidi w:val="0"/>
                    <w:spacing w:line="280" w:lineRule="exact"/>
                    <w:jc w:val="center"/>
                    <w:rPr>
                      <w:sz w:val="21"/>
                      <w:szCs w:val="21"/>
                    </w:rPr>
                  </w:pPr>
                  <w:r>
                    <w:rPr>
                      <w:sz w:val="21"/>
                      <w:szCs w:val="21"/>
                    </w:rPr>
                    <w:t>预处理加热器</w:t>
                  </w:r>
                </w:p>
              </w:tc>
              <w:tc>
                <w:tcPr>
                  <w:tcW w:w="3200" w:type="dxa"/>
                  <w:noWrap w:val="0"/>
                  <w:vAlign w:val="center"/>
                </w:tcPr>
                <w:p w14:paraId="1AB8AA63">
                  <w:pPr>
                    <w:pageBreakBefore w:val="0"/>
                    <w:widowControl/>
                    <w:kinsoku/>
                    <w:wordWrap/>
                    <w:topLinePunct w:val="0"/>
                    <w:autoSpaceDE w:val="0"/>
                    <w:autoSpaceDN w:val="0"/>
                    <w:bidi w:val="0"/>
                    <w:spacing w:line="280" w:lineRule="exact"/>
                    <w:jc w:val="center"/>
                    <w:rPr>
                      <w:bCs/>
                      <w:kern w:val="0"/>
                      <w:sz w:val="21"/>
                      <w:szCs w:val="21"/>
                    </w:rPr>
                  </w:pPr>
                  <w:r>
                    <w:rPr>
                      <w:bCs/>
                      <w:kern w:val="0"/>
                      <w:sz w:val="21"/>
                      <w:szCs w:val="21"/>
                    </w:rPr>
                    <w:t>DN600×4500</w:t>
                  </w:r>
                </w:p>
                <w:p w14:paraId="0F7A9E57">
                  <w:pPr>
                    <w:pageBreakBefore w:val="0"/>
                    <w:widowControl/>
                    <w:kinsoku/>
                    <w:wordWrap/>
                    <w:topLinePunct w:val="0"/>
                    <w:autoSpaceDE w:val="0"/>
                    <w:autoSpaceDN w:val="0"/>
                    <w:bidi w:val="0"/>
                    <w:spacing w:line="280" w:lineRule="exact"/>
                    <w:jc w:val="center"/>
                    <w:rPr>
                      <w:rFonts w:hint="eastAsia"/>
                      <w:bCs/>
                      <w:kern w:val="0"/>
                      <w:sz w:val="21"/>
                      <w:szCs w:val="21"/>
                    </w:rPr>
                  </w:pPr>
                  <w:r>
                    <w:rPr>
                      <w:bCs/>
                      <w:kern w:val="0"/>
                      <w:sz w:val="21"/>
                      <w:szCs w:val="21"/>
                    </w:rPr>
                    <w:t>壳程操作压力：1.0MPa(G)</w:t>
                  </w:r>
                  <w:r>
                    <w:rPr>
                      <w:rFonts w:hint="eastAsia"/>
                      <w:bCs/>
                      <w:kern w:val="0"/>
                      <w:sz w:val="21"/>
                      <w:szCs w:val="21"/>
                    </w:rPr>
                    <w:t>；</w:t>
                  </w:r>
                </w:p>
                <w:p w14:paraId="156B3C4F">
                  <w:pPr>
                    <w:pageBreakBefore w:val="0"/>
                    <w:widowControl/>
                    <w:kinsoku/>
                    <w:wordWrap/>
                    <w:topLinePunct w:val="0"/>
                    <w:autoSpaceDE w:val="0"/>
                    <w:autoSpaceDN w:val="0"/>
                    <w:bidi w:val="0"/>
                    <w:spacing w:line="280" w:lineRule="exact"/>
                    <w:jc w:val="center"/>
                    <w:rPr>
                      <w:bCs/>
                      <w:kern w:val="0"/>
                      <w:sz w:val="21"/>
                      <w:szCs w:val="21"/>
                    </w:rPr>
                  </w:pPr>
                  <w:r>
                    <w:rPr>
                      <w:bCs/>
                      <w:kern w:val="0"/>
                      <w:sz w:val="21"/>
                      <w:szCs w:val="21"/>
                    </w:rPr>
                    <w:t>操作温度：320℃；</w:t>
                  </w:r>
                </w:p>
                <w:p w14:paraId="6E6A5BBC">
                  <w:pPr>
                    <w:pageBreakBefore w:val="0"/>
                    <w:widowControl/>
                    <w:kinsoku/>
                    <w:wordWrap/>
                    <w:topLinePunct w:val="0"/>
                    <w:autoSpaceDE w:val="0"/>
                    <w:autoSpaceDN w:val="0"/>
                    <w:bidi w:val="0"/>
                    <w:spacing w:line="280" w:lineRule="exact"/>
                    <w:jc w:val="center"/>
                    <w:rPr>
                      <w:rFonts w:hint="eastAsia"/>
                      <w:bCs/>
                      <w:kern w:val="0"/>
                      <w:sz w:val="21"/>
                      <w:szCs w:val="21"/>
                    </w:rPr>
                  </w:pPr>
                  <w:r>
                    <w:rPr>
                      <w:bCs/>
                      <w:kern w:val="0"/>
                      <w:sz w:val="21"/>
                      <w:szCs w:val="21"/>
                    </w:rPr>
                    <w:t>壳程设计压力：1.2MPa(G)</w:t>
                  </w:r>
                  <w:r>
                    <w:rPr>
                      <w:rFonts w:hint="eastAsia"/>
                      <w:bCs/>
                      <w:kern w:val="0"/>
                      <w:sz w:val="21"/>
                      <w:szCs w:val="21"/>
                    </w:rPr>
                    <w:t>；</w:t>
                  </w:r>
                </w:p>
                <w:p w14:paraId="40AA9E34">
                  <w:pPr>
                    <w:pageBreakBefore w:val="0"/>
                    <w:widowControl/>
                    <w:kinsoku/>
                    <w:wordWrap/>
                    <w:topLinePunct w:val="0"/>
                    <w:autoSpaceDE w:val="0"/>
                    <w:autoSpaceDN w:val="0"/>
                    <w:bidi w:val="0"/>
                    <w:spacing w:line="280" w:lineRule="exact"/>
                    <w:jc w:val="center"/>
                    <w:rPr>
                      <w:bCs/>
                      <w:kern w:val="0"/>
                      <w:sz w:val="21"/>
                      <w:szCs w:val="21"/>
                    </w:rPr>
                  </w:pPr>
                  <w:r>
                    <w:rPr>
                      <w:bCs/>
                      <w:kern w:val="0"/>
                      <w:sz w:val="21"/>
                      <w:szCs w:val="21"/>
                    </w:rPr>
                    <w:t>设计温度：350℃。</w:t>
                  </w:r>
                </w:p>
                <w:p w14:paraId="53E7B805">
                  <w:pPr>
                    <w:pageBreakBefore w:val="0"/>
                    <w:widowControl/>
                    <w:kinsoku/>
                    <w:wordWrap/>
                    <w:topLinePunct w:val="0"/>
                    <w:autoSpaceDE w:val="0"/>
                    <w:autoSpaceDN w:val="0"/>
                    <w:bidi w:val="0"/>
                    <w:spacing w:line="280" w:lineRule="exact"/>
                    <w:jc w:val="center"/>
                    <w:rPr>
                      <w:rFonts w:hint="eastAsia"/>
                      <w:bCs/>
                      <w:kern w:val="0"/>
                      <w:sz w:val="21"/>
                      <w:szCs w:val="21"/>
                    </w:rPr>
                  </w:pPr>
                  <w:r>
                    <w:rPr>
                      <w:bCs/>
                      <w:kern w:val="0"/>
                      <w:sz w:val="21"/>
                      <w:szCs w:val="21"/>
                    </w:rPr>
                    <w:t>管程操作压力：0.03MPa(G)</w:t>
                  </w:r>
                  <w:r>
                    <w:rPr>
                      <w:rFonts w:hint="eastAsia"/>
                      <w:bCs/>
                      <w:kern w:val="0"/>
                      <w:sz w:val="21"/>
                      <w:szCs w:val="21"/>
                    </w:rPr>
                    <w:t>；</w:t>
                  </w:r>
                </w:p>
                <w:p w14:paraId="24CA1776">
                  <w:pPr>
                    <w:pageBreakBefore w:val="0"/>
                    <w:widowControl/>
                    <w:kinsoku/>
                    <w:wordWrap/>
                    <w:topLinePunct w:val="0"/>
                    <w:autoSpaceDE w:val="0"/>
                    <w:autoSpaceDN w:val="0"/>
                    <w:bidi w:val="0"/>
                    <w:spacing w:line="280" w:lineRule="exact"/>
                    <w:jc w:val="center"/>
                    <w:rPr>
                      <w:bCs/>
                      <w:kern w:val="0"/>
                      <w:sz w:val="21"/>
                      <w:szCs w:val="21"/>
                    </w:rPr>
                  </w:pPr>
                  <w:r>
                    <w:rPr>
                      <w:bCs/>
                      <w:kern w:val="0"/>
                      <w:sz w:val="21"/>
                      <w:szCs w:val="21"/>
                    </w:rPr>
                    <w:t>操作温度：40/130℃；</w:t>
                  </w:r>
                </w:p>
                <w:p w14:paraId="365F11A0">
                  <w:pPr>
                    <w:pageBreakBefore w:val="0"/>
                    <w:widowControl/>
                    <w:kinsoku/>
                    <w:wordWrap/>
                    <w:topLinePunct w:val="0"/>
                    <w:autoSpaceDE w:val="0"/>
                    <w:autoSpaceDN w:val="0"/>
                    <w:bidi w:val="0"/>
                    <w:spacing w:line="280" w:lineRule="exact"/>
                    <w:jc w:val="center"/>
                    <w:rPr>
                      <w:rFonts w:hint="eastAsia"/>
                      <w:bCs/>
                      <w:kern w:val="0"/>
                      <w:sz w:val="21"/>
                      <w:szCs w:val="21"/>
                    </w:rPr>
                  </w:pPr>
                  <w:r>
                    <w:rPr>
                      <w:bCs/>
                      <w:kern w:val="0"/>
                      <w:sz w:val="21"/>
                      <w:szCs w:val="21"/>
                    </w:rPr>
                    <w:t>管程设计压力：0.2MPa(G)</w:t>
                  </w:r>
                  <w:r>
                    <w:rPr>
                      <w:rFonts w:hint="eastAsia"/>
                      <w:bCs/>
                      <w:kern w:val="0"/>
                      <w:sz w:val="21"/>
                      <w:szCs w:val="21"/>
                    </w:rPr>
                    <w:t>；</w:t>
                  </w:r>
                </w:p>
                <w:p w14:paraId="4CC7ECD2">
                  <w:pPr>
                    <w:pageBreakBefore w:val="0"/>
                    <w:widowControl/>
                    <w:kinsoku/>
                    <w:wordWrap/>
                    <w:topLinePunct w:val="0"/>
                    <w:autoSpaceDE w:val="0"/>
                    <w:autoSpaceDN w:val="0"/>
                    <w:bidi w:val="0"/>
                    <w:spacing w:line="280" w:lineRule="exact"/>
                    <w:jc w:val="center"/>
                    <w:rPr>
                      <w:bCs/>
                      <w:kern w:val="0"/>
                      <w:sz w:val="21"/>
                      <w:szCs w:val="21"/>
                    </w:rPr>
                  </w:pPr>
                  <w:r>
                    <w:rPr>
                      <w:bCs/>
                      <w:kern w:val="0"/>
                      <w:sz w:val="21"/>
                      <w:szCs w:val="21"/>
                    </w:rPr>
                    <w:t>设计温度：350℃。</w:t>
                  </w:r>
                </w:p>
              </w:tc>
              <w:tc>
                <w:tcPr>
                  <w:tcW w:w="506" w:type="dxa"/>
                  <w:noWrap w:val="0"/>
                  <w:vAlign w:val="center"/>
                </w:tcPr>
                <w:p w14:paraId="506FE98A">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7E7A6965">
                  <w:pPr>
                    <w:pageBreakBefore w:val="0"/>
                    <w:kinsoku/>
                    <w:wordWrap/>
                    <w:topLinePunct w:val="0"/>
                    <w:bidi w:val="0"/>
                    <w:spacing w:line="280" w:lineRule="exact"/>
                    <w:jc w:val="center"/>
                    <w:rPr>
                      <w:sz w:val="21"/>
                      <w:szCs w:val="21"/>
                    </w:rPr>
                  </w:pPr>
                  <w:r>
                    <w:rPr>
                      <w:rFonts w:hint="eastAsia"/>
                      <w:sz w:val="21"/>
                      <w:szCs w:val="21"/>
                    </w:rPr>
                    <w:t>1</w:t>
                  </w:r>
                </w:p>
              </w:tc>
              <w:tc>
                <w:tcPr>
                  <w:tcW w:w="499" w:type="dxa"/>
                  <w:noWrap w:val="0"/>
                  <w:vAlign w:val="center"/>
                </w:tcPr>
                <w:p w14:paraId="46503D14">
                  <w:pPr>
                    <w:pageBreakBefore w:val="0"/>
                    <w:kinsoku/>
                    <w:wordWrap/>
                    <w:topLinePunct w:val="0"/>
                    <w:bidi w:val="0"/>
                    <w:spacing w:line="280" w:lineRule="exact"/>
                    <w:jc w:val="center"/>
                    <w:rPr>
                      <w:sz w:val="21"/>
                      <w:szCs w:val="21"/>
                    </w:rPr>
                  </w:pPr>
                  <w:r>
                    <w:rPr>
                      <w:rFonts w:hint="eastAsia"/>
                      <w:sz w:val="21"/>
                      <w:szCs w:val="21"/>
                    </w:rPr>
                    <w:t>卧式</w:t>
                  </w:r>
                </w:p>
              </w:tc>
            </w:tr>
            <w:tr w14:paraId="31B282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5A47D204">
                  <w:pPr>
                    <w:pageBreakBefore w:val="0"/>
                    <w:kinsoku/>
                    <w:wordWrap/>
                    <w:topLinePunct w:val="0"/>
                    <w:bidi w:val="0"/>
                    <w:spacing w:line="280" w:lineRule="exact"/>
                    <w:jc w:val="center"/>
                    <w:rPr>
                      <w:sz w:val="21"/>
                      <w:szCs w:val="21"/>
                    </w:rPr>
                  </w:pPr>
                  <w:r>
                    <w:rPr>
                      <w:rFonts w:hint="eastAsia"/>
                      <w:sz w:val="21"/>
                      <w:szCs w:val="21"/>
                    </w:rPr>
                    <w:t>4</w:t>
                  </w:r>
                </w:p>
              </w:tc>
              <w:tc>
                <w:tcPr>
                  <w:tcW w:w="1455" w:type="dxa"/>
                  <w:noWrap w:val="0"/>
                  <w:vAlign w:val="center"/>
                </w:tcPr>
                <w:p w14:paraId="48810577">
                  <w:pPr>
                    <w:pageBreakBefore w:val="0"/>
                    <w:kinsoku/>
                    <w:wordWrap/>
                    <w:topLinePunct w:val="0"/>
                    <w:bidi w:val="0"/>
                    <w:spacing w:line="280" w:lineRule="exact"/>
                    <w:jc w:val="center"/>
                    <w:rPr>
                      <w:sz w:val="21"/>
                      <w:szCs w:val="21"/>
                    </w:rPr>
                  </w:pPr>
                  <w:r>
                    <w:rPr>
                      <w:sz w:val="21"/>
                      <w:szCs w:val="21"/>
                    </w:rPr>
                    <w:t>E-10102A/B</w:t>
                  </w:r>
                </w:p>
              </w:tc>
              <w:tc>
                <w:tcPr>
                  <w:tcW w:w="1726" w:type="dxa"/>
                  <w:noWrap w:val="0"/>
                  <w:vAlign w:val="center"/>
                </w:tcPr>
                <w:p w14:paraId="576FAFA6">
                  <w:pPr>
                    <w:pageBreakBefore w:val="0"/>
                    <w:kinsoku/>
                    <w:wordWrap/>
                    <w:topLinePunct w:val="0"/>
                    <w:bidi w:val="0"/>
                    <w:spacing w:line="280" w:lineRule="exact"/>
                    <w:jc w:val="center"/>
                    <w:rPr>
                      <w:sz w:val="21"/>
                      <w:szCs w:val="21"/>
                    </w:rPr>
                  </w:pPr>
                  <w:r>
                    <w:rPr>
                      <w:sz w:val="21"/>
                      <w:szCs w:val="21"/>
                    </w:rPr>
                    <w:t>预处理冷却器</w:t>
                  </w:r>
                </w:p>
              </w:tc>
              <w:tc>
                <w:tcPr>
                  <w:tcW w:w="3200" w:type="dxa"/>
                  <w:noWrap w:val="0"/>
                  <w:vAlign w:val="center"/>
                </w:tcPr>
                <w:p w14:paraId="5AE57CCE">
                  <w:pPr>
                    <w:pageBreakBefore w:val="0"/>
                    <w:kinsoku/>
                    <w:wordWrap/>
                    <w:topLinePunct w:val="0"/>
                    <w:bidi w:val="0"/>
                    <w:spacing w:line="280" w:lineRule="exact"/>
                    <w:jc w:val="center"/>
                    <w:rPr>
                      <w:sz w:val="21"/>
                      <w:szCs w:val="21"/>
                    </w:rPr>
                  </w:pPr>
                  <w:r>
                    <w:rPr>
                      <w:sz w:val="21"/>
                      <w:szCs w:val="21"/>
                    </w:rPr>
                    <w:t>DN600×4500</w:t>
                  </w:r>
                </w:p>
                <w:p w14:paraId="2F70053D">
                  <w:pPr>
                    <w:pageBreakBefore w:val="0"/>
                    <w:kinsoku/>
                    <w:wordWrap/>
                    <w:topLinePunct w:val="0"/>
                    <w:bidi w:val="0"/>
                    <w:spacing w:line="280" w:lineRule="exact"/>
                    <w:jc w:val="center"/>
                    <w:rPr>
                      <w:rFonts w:hint="eastAsia"/>
                      <w:sz w:val="21"/>
                      <w:szCs w:val="21"/>
                    </w:rPr>
                  </w:pPr>
                  <w:r>
                    <w:rPr>
                      <w:sz w:val="21"/>
                      <w:szCs w:val="21"/>
                    </w:rPr>
                    <w:t>壳程操作压力：0.4MPa(G)</w:t>
                  </w:r>
                  <w:r>
                    <w:rPr>
                      <w:rFonts w:hint="eastAsia"/>
                      <w:sz w:val="21"/>
                      <w:szCs w:val="21"/>
                    </w:rPr>
                    <w:t>；</w:t>
                  </w:r>
                </w:p>
                <w:p w14:paraId="7B4188A6">
                  <w:pPr>
                    <w:pageBreakBefore w:val="0"/>
                    <w:kinsoku/>
                    <w:wordWrap/>
                    <w:topLinePunct w:val="0"/>
                    <w:bidi w:val="0"/>
                    <w:spacing w:line="280" w:lineRule="exact"/>
                    <w:jc w:val="center"/>
                    <w:rPr>
                      <w:sz w:val="21"/>
                      <w:szCs w:val="21"/>
                    </w:rPr>
                  </w:pPr>
                  <w:r>
                    <w:rPr>
                      <w:sz w:val="21"/>
                      <w:szCs w:val="21"/>
                    </w:rPr>
                    <w:t>操作温度：42℃；</w:t>
                  </w:r>
                </w:p>
                <w:p w14:paraId="4105EB21">
                  <w:pPr>
                    <w:pageBreakBefore w:val="0"/>
                    <w:kinsoku/>
                    <w:wordWrap/>
                    <w:topLinePunct w:val="0"/>
                    <w:bidi w:val="0"/>
                    <w:spacing w:line="280" w:lineRule="exact"/>
                    <w:jc w:val="center"/>
                    <w:rPr>
                      <w:rFonts w:hint="eastAsia"/>
                      <w:sz w:val="21"/>
                      <w:szCs w:val="21"/>
                    </w:rPr>
                  </w:pPr>
                  <w:r>
                    <w:rPr>
                      <w:sz w:val="21"/>
                      <w:szCs w:val="21"/>
                    </w:rPr>
                    <w:t>壳程设计压力：0.6MPa(G)</w:t>
                  </w:r>
                  <w:r>
                    <w:rPr>
                      <w:rFonts w:hint="eastAsia"/>
                      <w:sz w:val="21"/>
                      <w:szCs w:val="21"/>
                    </w:rPr>
                    <w:t>；</w:t>
                  </w:r>
                </w:p>
                <w:p w14:paraId="45FC2DC0">
                  <w:pPr>
                    <w:pageBreakBefore w:val="0"/>
                    <w:kinsoku/>
                    <w:wordWrap/>
                    <w:topLinePunct w:val="0"/>
                    <w:bidi w:val="0"/>
                    <w:spacing w:line="280" w:lineRule="exact"/>
                    <w:jc w:val="center"/>
                    <w:rPr>
                      <w:sz w:val="21"/>
                      <w:szCs w:val="21"/>
                    </w:rPr>
                  </w:pPr>
                  <w:r>
                    <w:rPr>
                      <w:sz w:val="21"/>
                      <w:szCs w:val="21"/>
                    </w:rPr>
                    <w:t>设计温度：60℃。</w:t>
                  </w:r>
                </w:p>
                <w:p w14:paraId="615AA4BE">
                  <w:pPr>
                    <w:pageBreakBefore w:val="0"/>
                    <w:kinsoku/>
                    <w:wordWrap/>
                    <w:topLinePunct w:val="0"/>
                    <w:bidi w:val="0"/>
                    <w:spacing w:line="280" w:lineRule="exact"/>
                    <w:jc w:val="center"/>
                    <w:rPr>
                      <w:rFonts w:hint="eastAsia"/>
                      <w:sz w:val="21"/>
                      <w:szCs w:val="21"/>
                    </w:rPr>
                  </w:pPr>
                  <w:r>
                    <w:rPr>
                      <w:sz w:val="21"/>
                      <w:szCs w:val="21"/>
                    </w:rPr>
                    <w:t>管程操作压力：0.68MPa(G)</w:t>
                  </w:r>
                  <w:r>
                    <w:rPr>
                      <w:rFonts w:hint="eastAsia"/>
                      <w:sz w:val="21"/>
                      <w:szCs w:val="21"/>
                    </w:rPr>
                    <w:t>；</w:t>
                  </w:r>
                </w:p>
                <w:p w14:paraId="02463544">
                  <w:pPr>
                    <w:pageBreakBefore w:val="0"/>
                    <w:kinsoku/>
                    <w:wordWrap/>
                    <w:topLinePunct w:val="0"/>
                    <w:bidi w:val="0"/>
                    <w:spacing w:line="280" w:lineRule="exact"/>
                    <w:jc w:val="center"/>
                    <w:rPr>
                      <w:sz w:val="21"/>
                      <w:szCs w:val="21"/>
                    </w:rPr>
                  </w:pPr>
                  <w:r>
                    <w:rPr>
                      <w:sz w:val="21"/>
                      <w:szCs w:val="21"/>
                    </w:rPr>
                    <w:t>操作温度：40/130℃；</w:t>
                  </w:r>
                </w:p>
                <w:p w14:paraId="0A43FDE8">
                  <w:pPr>
                    <w:pageBreakBefore w:val="0"/>
                    <w:kinsoku/>
                    <w:wordWrap/>
                    <w:topLinePunct w:val="0"/>
                    <w:bidi w:val="0"/>
                    <w:spacing w:line="280" w:lineRule="exact"/>
                    <w:jc w:val="center"/>
                    <w:rPr>
                      <w:rFonts w:hint="eastAsia"/>
                      <w:sz w:val="21"/>
                      <w:szCs w:val="21"/>
                    </w:rPr>
                  </w:pPr>
                  <w:r>
                    <w:rPr>
                      <w:sz w:val="21"/>
                      <w:szCs w:val="21"/>
                    </w:rPr>
                    <w:t>管程设计压力：1.0MPa(G)</w:t>
                  </w:r>
                  <w:r>
                    <w:rPr>
                      <w:rFonts w:hint="eastAsia"/>
                      <w:sz w:val="21"/>
                      <w:szCs w:val="21"/>
                    </w:rPr>
                    <w:t>；</w:t>
                  </w:r>
                </w:p>
                <w:p w14:paraId="69574096">
                  <w:pPr>
                    <w:pageBreakBefore w:val="0"/>
                    <w:kinsoku/>
                    <w:wordWrap/>
                    <w:topLinePunct w:val="0"/>
                    <w:bidi w:val="0"/>
                    <w:spacing w:line="280" w:lineRule="exact"/>
                    <w:jc w:val="center"/>
                    <w:rPr>
                      <w:sz w:val="21"/>
                      <w:szCs w:val="21"/>
                    </w:rPr>
                  </w:pPr>
                  <w:r>
                    <w:rPr>
                      <w:sz w:val="21"/>
                      <w:szCs w:val="21"/>
                    </w:rPr>
                    <w:t>设计温度：200℃。</w:t>
                  </w:r>
                </w:p>
              </w:tc>
              <w:tc>
                <w:tcPr>
                  <w:tcW w:w="506" w:type="dxa"/>
                  <w:noWrap w:val="0"/>
                  <w:vAlign w:val="center"/>
                </w:tcPr>
                <w:p w14:paraId="3079A07B">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11907253">
                  <w:pPr>
                    <w:pageBreakBefore w:val="0"/>
                    <w:kinsoku/>
                    <w:wordWrap/>
                    <w:topLinePunct w:val="0"/>
                    <w:bidi w:val="0"/>
                    <w:spacing w:line="280" w:lineRule="exact"/>
                    <w:jc w:val="center"/>
                    <w:rPr>
                      <w:sz w:val="21"/>
                      <w:szCs w:val="21"/>
                    </w:rPr>
                  </w:pPr>
                  <w:r>
                    <w:rPr>
                      <w:rFonts w:hint="eastAsia"/>
                      <w:sz w:val="21"/>
                      <w:szCs w:val="21"/>
                    </w:rPr>
                    <w:t>2</w:t>
                  </w:r>
                </w:p>
              </w:tc>
              <w:tc>
                <w:tcPr>
                  <w:tcW w:w="499" w:type="dxa"/>
                  <w:noWrap w:val="0"/>
                  <w:vAlign w:val="center"/>
                </w:tcPr>
                <w:p w14:paraId="5DAE09F4">
                  <w:pPr>
                    <w:pageBreakBefore w:val="0"/>
                    <w:kinsoku/>
                    <w:wordWrap/>
                    <w:topLinePunct w:val="0"/>
                    <w:bidi w:val="0"/>
                    <w:spacing w:line="280" w:lineRule="exact"/>
                    <w:jc w:val="center"/>
                    <w:rPr>
                      <w:sz w:val="21"/>
                      <w:szCs w:val="21"/>
                    </w:rPr>
                  </w:pPr>
                  <w:r>
                    <w:rPr>
                      <w:rFonts w:hint="eastAsia"/>
                      <w:sz w:val="21"/>
                      <w:szCs w:val="21"/>
                    </w:rPr>
                    <w:t>立式</w:t>
                  </w:r>
                </w:p>
              </w:tc>
            </w:tr>
            <w:tr w14:paraId="59E444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3AB4C4E3">
                  <w:pPr>
                    <w:pageBreakBefore w:val="0"/>
                    <w:kinsoku/>
                    <w:wordWrap/>
                    <w:topLinePunct w:val="0"/>
                    <w:bidi w:val="0"/>
                    <w:spacing w:line="280" w:lineRule="exact"/>
                    <w:jc w:val="center"/>
                    <w:rPr>
                      <w:rFonts w:hint="eastAsia" w:eastAsia="宋体"/>
                      <w:sz w:val="21"/>
                      <w:szCs w:val="21"/>
                      <w:lang w:eastAsia="zh-CN"/>
                    </w:rPr>
                  </w:pPr>
                  <w:r>
                    <w:rPr>
                      <w:rFonts w:hint="eastAsia"/>
                      <w:sz w:val="21"/>
                      <w:szCs w:val="21"/>
                      <w:lang w:val="en-US" w:eastAsia="zh-CN"/>
                    </w:rPr>
                    <w:t>二</w:t>
                  </w:r>
                </w:p>
              </w:tc>
              <w:tc>
                <w:tcPr>
                  <w:tcW w:w="1455" w:type="dxa"/>
                  <w:noWrap w:val="0"/>
                  <w:vAlign w:val="center"/>
                </w:tcPr>
                <w:p w14:paraId="54CF53D0">
                  <w:pPr>
                    <w:pageBreakBefore w:val="0"/>
                    <w:kinsoku/>
                    <w:wordWrap/>
                    <w:topLinePunct w:val="0"/>
                    <w:bidi w:val="0"/>
                    <w:spacing w:line="280" w:lineRule="exact"/>
                    <w:jc w:val="center"/>
                    <w:rPr>
                      <w:sz w:val="21"/>
                      <w:szCs w:val="21"/>
                    </w:rPr>
                  </w:pPr>
                  <w:r>
                    <w:rPr>
                      <w:rFonts w:hint="eastAsia"/>
                      <w:sz w:val="21"/>
                      <w:szCs w:val="21"/>
                    </w:rPr>
                    <w:t>预处理单元</w:t>
                  </w:r>
                </w:p>
              </w:tc>
              <w:tc>
                <w:tcPr>
                  <w:tcW w:w="1726" w:type="dxa"/>
                  <w:noWrap w:val="0"/>
                  <w:vAlign w:val="center"/>
                </w:tcPr>
                <w:p w14:paraId="4361A8A1">
                  <w:pPr>
                    <w:pageBreakBefore w:val="0"/>
                    <w:kinsoku/>
                    <w:wordWrap/>
                    <w:topLinePunct w:val="0"/>
                    <w:bidi w:val="0"/>
                    <w:spacing w:line="280" w:lineRule="exact"/>
                    <w:jc w:val="center"/>
                    <w:rPr>
                      <w:sz w:val="21"/>
                      <w:szCs w:val="21"/>
                    </w:rPr>
                  </w:pPr>
                </w:p>
              </w:tc>
              <w:tc>
                <w:tcPr>
                  <w:tcW w:w="3200" w:type="dxa"/>
                  <w:noWrap w:val="0"/>
                  <w:vAlign w:val="center"/>
                </w:tcPr>
                <w:p w14:paraId="0CD80827">
                  <w:pPr>
                    <w:pageBreakBefore w:val="0"/>
                    <w:widowControl/>
                    <w:kinsoku/>
                    <w:wordWrap/>
                    <w:topLinePunct w:val="0"/>
                    <w:autoSpaceDE w:val="0"/>
                    <w:autoSpaceDN w:val="0"/>
                    <w:bidi w:val="0"/>
                    <w:spacing w:line="280" w:lineRule="exact"/>
                    <w:jc w:val="center"/>
                    <w:rPr>
                      <w:sz w:val="21"/>
                      <w:szCs w:val="21"/>
                    </w:rPr>
                  </w:pPr>
                </w:p>
              </w:tc>
              <w:tc>
                <w:tcPr>
                  <w:tcW w:w="506" w:type="dxa"/>
                  <w:noWrap w:val="0"/>
                  <w:vAlign w:val="center"/>
                </w:tcPr>
                <w:p w14:paraId="60A6FACA">
                  <w:pPr>
                    <w:pageBreakBefore w:val="0"/>
                    <w:kinsoku/>
                    <w:wordWrap/>
                    <w:topLinePunct w:val="0"/>
                    <w:bidi w:val="0"/>
                    <w:spacing w:line="280" w:lineRule="exact"/>
                    <w:jc w:val="center"/>
                    <w:rPr>
                      <w:sz w:val="21"/>
                      <w:szCs w:val="21"/>
                    </w:rPr>
                  </w:pPr>
                </w:p>
              </w:tc>
              <w:tc>
                <w:tcPr>
                  <w:tcW w:w="506" w:type="dxa"/>
                  <w:noWrap w:val="0"/>
                  <w:vAlign w:val="center"/>
                </w:tcPr>
                <w:p w14:paraId="7E80CA0E">
                  <w:pPr>
                    <w:pageBreakBefore w:val="0"/>
                    <w:kinsoku/>
                    <w:wordWrap/>
                    <w:topLinePunct w:val="0"/>
                    <w:bidi w:val="0"/>
                    <w:spacing w:line="280" w:lineRule="exact"/>
                    <w:jc w:val="center"/>
                    <w:rPr>
                      <w:sz w:val="21"/>
                      <w:szCs w:val="21"/>
                    </w:rPr>
                  </w:pPr>
                </w:p>
              </w:tc>
              <w:tc>
                <w:tcPr>
                  <w:tcW w:w="499" w:type="dxa"/>
                  <w:noWrap w:val="0"/>
                  <w:vAlign w:val="center"/>
                </w:tcPr>
                <w:p w14:paraId="0441D1A5">
                  <w:pPr>
                    <w:pageBreakBefore w:val="0"/>
                    <w:kinsoku/>
                    <w:wordWrap/>
                    <w:topLinePunct w:val="0"/>
                    <w:bidi w:val="0"/>
                    <w:spacing w:line="280" w:lineRule="exact"/>
                    <w:jc w:val="center"/>
                    <w:rPr>
                      <w:sz w:val="21"/>
                      <w:szCs w:val="21"/>
                    </w:rPr>
                  </w:pPr>
                </w:p>
              </w:tc>
            </w:tr>
            <w:tr w14:paraId="0EA0D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1A7DE1D1">
                  <w:pPr>
                    <w:pageBreakBefore w:val="0"/>
                    <w:kinsoku/>
                    <w:wordWrap/>
                    <w:topLinePunct w:val="0"/>
                    <w:bidi w:val="0"/>
                    <w:spacing w:line="280" w:lineRule="exact"/>
                    <w:jc w:val="center"/>
                    <w:rPr>
                      <w:sz w:val="21"/>
                      <w:szCs w:val="21"/>
                    </w:rPr>
                  </w:pPr>
                  <w:r>
                    <w:rPr>
                      <w:rFonts w:hint="eastAsia"/>
                      <w:sz w:val="21"/>
                      <w:szCs w:val="21"/>
                    </w:rPr>
                    <w:t>1</w:t>
                  </w:r>
                </w:p>
              </w:tc>
              <w:tc>
                <w:tcPr>
                  <w:tcW w:w="1455" w:type="dxa"/>
                  <w:noWrap w:val="0"/>
                  <w:vAlign w:val="center"/>
                </w:tcPr>
                <w:p w14:paraId="67A93182">
                  <w:pPr>
                    <w:pageBreakBefore w:val="0"/>
                    <w:kinsoku/>
                    <w:wordWrap/>
                    <w:topLinePunct w:val="0"/>
                    <w:bidi w:val="0"/>
                    <w:spacing w:line="280" w:lineRule="exact"/>
                    <w:jc w:val="center"/>
                    <w:rPr>
                      <w:sz w:val="21"/>
                      <w:szCs w:val="21"/>
                    </w:rPr>
                  </w:pPr>
                  <w:r>
                    <w:rPr>
                      <w:sz w:val="21"/>
                      <w:szCs w:val="21"/>
                    </w:rPr>
                    <w:t>T-30101A~C</w:t>
                  </w:r>
                </w:p>
              </w:tc>
              <w:tc>
                <w:tcPr>
                  <w:tcW w:w="1726" w:type="dxa"/>
                  <w:noWrap w:val="0"/>
                  <w:vAlign w:val="center"/>
                </w:tcPr>
                <w:p w14:paraId="4896FF93">
                  <w:pPr>
                    <w:pageBreakBefore w:val="0"/>
                    <w:kinsoku/>
                    <w:wordWrap/>
                    <w:topLinePunct w:val="0"/>
                    <w:bidi w:val="0"/>
                    <w:spacing w:line="280" w:lineRule="exact"/>
                    <w:jc w:val="center"/>
                    <w:rPr>
                      <w:sz w:val="21"/>
                      <w:szCs w:val="21"/>
                    </w:rPr>
                  </w:pPr>
                  <w:r>
                    <w:rPr>
                      <w:sz w:val="21"/>
                      <w:szCs w:val="21"/>
                    </w:rPr>
                    <w:t>预净化塔</w:t>
                  </w:r>
                </w:p>
              </w:tc>
              <w:tc>
                <w:tcPr>
                  <w:tcW w:w="3200" w:type="dxa"/>
                  <w:noWrap w:val="0"/>
                  <w:vAlign w:val="center"/>
                </w:tcPr>
                <w:p w14:paraId="51360650">
                  <w:pPr>
                    <w:pageBreakBefore w:val="0"/>
                    <w:widowControl/>
                    <w:kinsoku/>
                    <w:wordWrap/>
                    <w:topLinePunct w:val="0"/>
                    <w:autoSpaceDE w:val="0"/>
                    <w:autoSpaceDN w:val="0"/>
                    <w:bidi w:val="0"/>
                    <w:spacing w:line="280" w:lineRule="exact"/>
                    <w:jc w:val="center"/>
                    <w:rPr>
                      <w:sz w:val="21"/>
                      <w:szCs w:val="21"/>
                    </w:rPr>
                  </w:pPr>
                  <w:r>
                    <w:rPr>
                      <w:sz w:val="21"/>
                      <w:szCs w:val="21"/>
                    </w:rPr>
                    <w:t>Ф2800</w:t>
                  </w:r>
                </w:p>
                <w:p w14:paraId="0EC06405">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操作压力：07.MPa(G)</w:t>
                  </w:r>
                  <w:r>
                    <w:rPr>
                      <w:rFonts w:hint="eastAsia"/>
                      <w:sz w:val="21"/>
                      <w:szCs w:val="21"/>
                    </w:rPr>
                    <w:t>；</w:t>
                  </w:r>
                </w:p>
                <w:p w14:paraId="698D0B64">
                  <w:pPr>
                    <w:pageBreakBefore w:val="0"/>
                    <w:widowControl/>
                    <w:kinsoku/>
                    <w:wordWrap/>
                    <w:topLinePunct w:val="0"/>
                    <w:autoSpaceDE w:val="0"/>
                    <w:autoSpaceDN w:val="0"/>
                    <w:bidi w:val="0"/>
                    <w:spacing w:line="280" w:lineRule="exact"/>
                    <w:jc w:val="center"/>
                    <w:rPr>
                      <w:sz w:val="21"/>
                      <w:szCs w:val="21"/>
                    </w:rPr>
                  </w:pPr>
                  <w:r>
                    <w:rPr>
                      <w:sz w:val="21"/>
                      <w:szCs w:val="21"/>
                    </w:rPr>
                    <w:t>操作温度：40/140℃；</w:t>
                  </w:r>
                </w:p>
                <w:p w14:paraId="547CAFBE">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设计压力：1.2MPa(G)</w:t>
                  </w:r>
                  <w:r>
                    <w:rPr>
                      <w:rFonts w:hint="eastAsia"/>
                      <w:sz w:val="21"/>
                      <w:szCs w:val="21"/>
                    </w:rPr>
                    <w:t>；</w:t>
                  </w:r>
                </w:p>
                <w:p w14:paraId="3D71CFCF">
                  <w:pPr>
                    <w:pageBreakBefore w:val="0"/>
                    <w:widowControl/>
                    <w:kinsoku/>
                    <w:wordWrap/>
                    <w:topLinePunct w:val="0"/>
                    <w:autoSpaceDE w:val="0"/>
                    <w:autoSpaceDN w:val="0"/>
                    <w:bidi w:val="0"/>
                    <w:spacing w:line="280" w:lineRule="exact"/>
                    <w:jc w:val="center"/>
                    <w:rPr>
                      <w:sz w:val="21"/>
                      <w:szCs w:val="21"/>
                    </w:rPr>
                  </w:pPr>
                  <w:r>
                    <w:rPr>
                      <w:sz w:val="21"/>
                      <w:szCs w:val="21"/>
                    </w:rPr>
                    <w:t>设计温度：210℃。</w:t>
                  </w:r>
                </w:p>
              </w:tc>
              <w:tc>
                <w:tcPr>
                  <w:tcW w:w="506" w:type="dxa"/>
                  <w:noWrap w:val="0"/>
                  <w:vAlign w:val="center"/>
                </w:tcPr>
                <w:p w14:paraId="41EEE536">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0CC29D45">
                  <w:pPr>
                    <w:pageBreakBefore w:val="0"/>
                    <w:kinsoku/>
                    <w:wordWrap/>
                    <w:topLinePunct w:val="0"/>
                    <w:bidi w:val="0"/>
                    <w:spacing w:line="280" w:lineRule="exact"/>
                    <w:jc w:val="center"/>
                    <w:rPr>
                      <w:sz w:val="21"/>
                      <w:szCs w:val="21"/>
                    </w:rPr>
                  </w:pPr>
                  <w:r>
                    <w:rPr>
                      <w:rFonts w:hint="eastAsia"/>
                      <w:sz w:val="21"/>
                      <w:szCs w:val="21"/>
                    </w:rPr>
                    <w:t>3</w:t>
                  </w:r>
                </w:p>
              </w:tc>
              <w:tc>
                <w:tcPr>
                  <w:tcW w:w="499" w:type="dxa"/>
                  <w:noWrap w:val="0"/>
                  <w:vAlign w:val="center"/>
                </w:tcPr>
                <w:p w14:paraId="0FBB2A20">
                  <w:pPr>
                    <w:pageBreakBefore w:val="0"/>
                    <w:kinsoku/>
                    <w:wordWrap/>
                    <w:topLinePunct w:val="0"/>
                    <w:bidi w:val="0"/>
                    <w:spacing w:line="280" w:lineRule="exact"/>
                    <w:jc w:val="center"/>
                    <w:rPr>
                      <w:sz w:val="21"/>
                      <w:szCs w:val="21"/>
                    </w:rPr>
                  </w:pPr>
                </w:p>
              </w:tc>
            </w:tr>
            <w:tr w14:paraId="681012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4CEBCC9B">
                  <w:pPr>
                    <w:pageBreakBefore w:val="0"/>
                    <w:kinsoku/>
                    <w:wordWrap/>
                    <w:topLinePunct w:val="0"/>
                    <w:bidi w:val="0"/>
                    <w:spacing w:line="280" w:lineRule="exact"/>
                    <w:jc w:val="center"/>
                    <w:rPr>
                      <w:sz w:val="21"/>
                      <w:szCs w:val="21"/>
                    </w:rPr>
                  </w:pPr>
                  <w:r>
                    <w:rPr>
                      <w:rFonts w:hint="eastAsia"/>
                      <w:sz w:val="21"/>
                      <w:szCs w:val="21"/>
                    </w:rPr>
                    <w:t>2</w:t>
                  </w:r>
                </w:p>
              </w:tc>
              <w:tc>
                <w:tcPr>
                  <w:tcW w:w="1455" w:type="dxa"/>
                  <w:noWrap w:val="0"/>
                  <w:vAlign w:val="center"/>
                </w:tcPr>
                <w:p w14:paraId="645A9385">
                  <w:pPr>
                    <w:pageBreakBefore w:val="0"/>
                    <w:kinsoku/>
                    <w:wordWrap/>
                    <w:topLinePunct w:val="0"/>
                    <w:bidi w:val="0"/>
                    <w:spacing w:line="280" w:lineRule="exact"/>
                    <w:jc w:val="center"/>
                    <w:rPr>
                      <w:sz w:val="21"/>
                      <w:szCs w:val="21"/>
                    </w:rPr>
                  </w:pPr>
                  <w:r>
                    <w:rPr>
                      <w:sz w:val="21"/>
                      <w:szCs w:val="21"/>
                    </w:rPr>
                    <w:t>T-30101</w:t>
                  </w:r>
                </w:p>
              </w:tc>
              <w:tc>
                <w:tcPr>
                  <w:tcW w:w="1726" w:type="dxa"/>
                  <w:noWrap w:val="0"/>
                  <w:vAlign w:val="center"/>
                </w:tcPr>
                <w:p w14:paraId="61330148">
                  <w:pPr>
                    <w:pageBreakBefore w:val="0"/>
                    <w:kinsoku/>
                    <w:wordWrap/>
                    <w:topLinePunct w:val="0"/>
                    <w:bidi w:val="0"/>
                    <w:spacing w:line="280" w:lineRule="exact"/>
                    <w:jc w:val="center"/>
                    <w:rPr>
                      <w:sz w:val="21"/>
                      <w:szCs w:val="21"/>
                    </w:rPr>
                  </w:pPr>
                  <w:r>
                    <w:rPr>
                      <w:sz w:val="21"/>
                      <w:szCs w:val="21"/>
                    </w:rPr>
                    <w:t>预净化分液罐</w:t>
                  </w:r>
                </w:p>
              </w:tc>
              <w:tc>
                <w:tcPr>
                  <w:tcW w:w="3200" w:type="dxa"/>
                  <w:noWrap w:val="0"/>
                  <w:vAlign w:val="center"/>
                </w:tcPr>
                <w:p w14:paraId="07CC9DD6">
                  <w:pPr>
                    <w:pageBreakBefore w:val="0"/>
                    <w:widowControl/>
                    <w:kinsoku/>
                    <w:wordWrap/>
                    <w:topLinePunct w:val="0"/>
                    <w:autoSpaceDE w:val="0"/>
                    <w:autoSpaceDN w:val="0"/>
                    <w:bidi w:val="0"/>
                    <w:spacing w:line="280" w:lineRule="exact"/>
                    <w:jc w:val="center"/>
                    <w:rPr>
                      <w:sz w:val="21"/>
                      <w:szCs w:val="21"/>
                    </w:rPr>
                  </w:pPr>
                  <w:r>
                    <w:rPr>
                      <w:sz w:val="21"/>
                      <w:szCs w:val="21"/>
                    </w:rPr>
                    <w:t>Ф1800×6000</w:t>
                  </w:r>
                </w:p>
                <w:p w14:paraId="286DAAB2">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操作压力：0.7MPa(G)</w:t>
                  </w:r>
                  <w:r>
                    <w:rPr>
                      <w:rFonts w:hint="eastAsia"/>
                      <w:sz w:val="21"/>
                      <w:szCs w:val="21"/>
                    </w:rPr>
                    <w:t>；</w:t>
                  </w:r>
                </w:p>
                <w:p w14:paraId="7CBA3A9A">
                  <w:pPr>
                    <w:pageBreakBefore w:val="0"/>
                    <w:widowControl/>
                    <w:kinsoku/>
                    <w:wordWrap/>
                    <w:topLinePunct w:val="0"/>
                    <w:autoSpaceDE w:val="0"/>
                    <w:autoSpaceDN w:val="0"/>
                    <w:bidi w:val="0"/>
                    <w:spacing w:line="280" w:lineRule="exact"/>
                    <w:jc w:val="center"/>
                    <w:rPr>
                      <w:sz w:val="21"/>
                      <w:szCs w:val="21"/>
                    </w:rPr>
                  </w:pPr>
                  <w:r>
                    <w:rPr>
                      <w:sz w:val="21"/>
                      <w:szCs w:val="21"/>
                    </w:rPr>
                    <w:t>操作温度：40℃；</w:t>
                  </w:r>
                </w:p>
                <w:p w14:paraId="70DE889C">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设计压力：1.2MPa(G)</w:t>
                  </w:r>
                  <w:r>
                    <w:rPr>
                      <w:rFonts w:hint="eastAsia"/>
                      <w:sz w:val="21"/>
                      <w:szCs w:val="21"/>
                    </w:rPr>
                    <w:t>；</w:t>
                  </w:r>
                </w:p>
                <w:p w14:paraId="41A99EC1">
                  <w:pPr>
                    <w:pageBreakBefore w:val="0"/>
                    <w:widowControl/>
                    <w:kinsoku/>
                    <w:wordWrap/>
                    <w:topLinePunct w:val="0"/>
                    <w:autoSpaceDE w:val="0"/>
                    <w:autoSpaceDN w:val="0"/>
                    <w:bidi w:val="0"/>
                    <w:spacing w:line="280" w:lineRule="exact"/>
                    <w:jc w:val="center"/>
                    <w:rPr>
                      <w:sz w:val="21"/>
                      <w:szCs w:val="21"/>
                    </w:rPr>
                  </w:pPr>
                  <w:r>
                    <w:rPr>
                      <w:sz w:val="21"/>
                      <w:szCs w:val="21"/>
                    </w:rPr>
                    <w:t>设计温度：80℃。</w:t>
                  </w:r>
                </w:p>
              </w:tc>
              <w:tc>
                <w:tcPr>
                  <w:tcW w:w="506" w:type="dxa"/>
                  <w:noWrap w:val="0"/>
                  <w:vAlign w:val="center"/>
                </w:tcPr>
                <w:p w14:paraId="0C359740">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11B83B7B">
                  <w:pPr>
                    <w:pageBreakBefore w:val="0"/>
                    <w:kinsoku/>
                    <w:wordWrap/>
                    <w:topLinePunct w:val="0"/>
                    <w:bidi w:val="0"/>
                    <w:spacing w:line="280" w:lineRule="exact"/>
                    <w:jc w:val="center"/>
                    <w:rPr>
                      <w:sz w:val="21"/>
                      <w:szCs w:val="21"/>
                    </w:rPr>
                  </w:pPr>
                  <w:r>
                    <w:rPr>
                      <w:rFonts w:hint="eastAsia"/>
                      <w:sz w:val="21"/>
                      <w:szCs w:val="21"/>
                    </w:rPr>
                    <w:t>1</w:t>
                  </w:r>
                </w:p>
              </w:tc>
              <w:tc>
                <w:tcPr>
                  <w:tcW w:w="499" w:type="dxa"/>
                  <w:noWrap w:val="0"/>
                  <w:vAlign w:val="center"/>
                </w:tcPr>
                <w:p w14:paraId="36F38460">
                  <w:pPr>
                    <w:pageBreakBefore w:val="0"/>
                    <w:kinsoku/>
                    <w:wordWrap/>
                    <w:topLinePunct w:val="0"/>
                    <w:bidi w:val="0"/>
                    <w:spacing w:line="280" w:lineRule="exact"/>
                    <w:jc w:val="center"/>
                    <w:rPr>
                      <w:sz w:val="21"/>
                      <w:szCs w:val="21"/>
                    </w:rPr>
                  </w:pPr>
                </w:p>
              </w:tc>
            </w:tr>
            <w:tr w14:paraId="4152FC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2DFC7897">
                  <w:pPr>
                    <w:pageBreakBefore w:val="0"/>
                    <w:kinsoku/>
                    <w:wordWrap/>
                    <w:topLinePunct w:val="0"/>
                    <w:bidi w:val="0"/>
                    <w:spacing w:line="280" w:lineRule="exact"/>
                    <w:jc w:val="center"/>
                    <w:rPr>
                      <w:sz w:val="21"/>
                      <w:szCs w:val="21"/>
                    </w:rPr>
                  </w:pPr>
                  <w:r>
                    <w:rPr>
                      <w:rFonts w:hint="eastAsia"/>
                      <w:sz w:val="21"/>
                      <w:szCs w:val="21"/>
                    </w:rPr>
                    <w:t>3</w:t>
                  </w:r>
                </w:p>
              </w:tc>
              <w:tc>
                <w:tcPr>
                  <w:tcW w:w="1455" w:type="dxa"/>
                  <w:noWrap w:val="0"/>
                  <w:vAlign w:val="center"/>
                </w:tcPr>
                <w:p w14:paraId="6AC0B08D">
                  <w:pPr>
                    <w:pageBreakBefore w:val="0"/>
                    <w:kinsoku/>
                    <w:wordWrap/>
                    <w:topLinePunct w:val="0"/>
                    <w:bidi w:val="0"/>
                    <w:spacing w:line="280" w:lineRule="exact"/>
                    <w:jc w:val="center"/>
                    <w:rPr>
                      <w:sz w:val="21"/>
                      <w:szCs w:val="21"/>
                    </w:rPr>
                  </w:pPr>
                  <w:r>
                    <w:rPr>
                      <w:sz w:val="21"/>
                      <w:szCs w:val="21"/>
                    </w:rPr>
                    <w:t>E-30101</w:t>
                  </w:r>
                </w:p>
              </w:tc>
              <w:tc>
                <w:tcPr>
                  <w:tcW w:w="1726" w:type="dxa"/>
                  <w:noWrap w:val="0"/>
                  <w:vAlign w:val="center"/>
                </w:tcPr>
                <w:p w14:paraId="1F50B4B6">
                  <w:pPr>
                    <w:pageBreakBefore w:val="0"/>
                    <w:kinsoku/>
                    <w:wordWrap/>
                    <w:topLinePunct w:val="0"/>
                    <w:bidi w:val="0"/>
                    <w:spacing w:line="280" w:lineRule="exact"/>
                    <w:jc w:val="center"/>
                    <w:rPr>
                      <w:sz w:val="21"/>
                      <w:szCs w:val="21"/>
                    </w:rPr>
                  </w:pPr>
                  <w:r>
                    <w:rPr>
                      <w:sz w:val="21"/>
                      <w:szCs w:val="21"/>
                    </w:rPr>
                    <w:t>预净化加热器</w:t>
                  </w:r>
                </w:p>
              </w:tc>
              <w:tc>
                <w:tcPr>
                  <w:tcW w:w="3200" w:type="dxa"/>
                  <w:noWrap w:val="0"/>
                  <w:vAlign w:val="center"/>
                </w:tcPr>
                <w:p w14:paraId="0051D27A">
                  <w:pPr>
                    <w:pageBreakBefore w:val="0"/>
                    <w:widowControl/>
                    <w:kinsoku/>
                    <w:wordWrap/>
                    <w:topLinePunct w:val="0"/>
                    <w:autoSpaceDE w:val="0"/>
                    <w:autoSpaceDN w:val="0"/>
                    <w:bidi w:val="0"/>
                    <w:spacing w:line="280" w:lineRule="exact"/>
                    <w:jc w:val="center"/>
                    <w:rPr>
                      <w:sz w:val="21"/>
                      <w:szCs w:val="21"/>
                    </w:rPr>
                  </w:pPr>
                  <w:r>
                    <w:rPr>
                      <w:sz w:val="21"/>
                      <w:szCs w:val="21"/>
                    </w:rPr>
                    <w:t>DN600×4500</w:t>
                  </w:r>
                </w:p>
                <w:p w14:paraId="1A4365E4">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壳程操作压力：1.0MPa(G)</w:t>
                  </w:r>
                  <w:r>
                    <w:rPr>
                      <w:rFonts w:hint="eastAsia"/>
                      <w:sz w:val="21"/>
                      <w:szCs w:val="21"/>
                    </w:rPr>
                    <w:t>；</w:t>
                  </w:r>
                </w:p>
                <w:p w14:paraId="1C1A33EE">
                  <w:pPr>
                    <w:pageBreakBefore w:val="0"/>
                    <w:widowControl/>
                    <w:kinsoku/>
                    <w:wordWrap/>
                    <w:topLinePunct w:val="0"/>
                    <w:autoSpaceDE w:val="0"/>
                    <w:autoSpaceDN w:val="0"/>
                    <w:bidi w:val="0"/>
                    <w:spacing w:line="280" w:lineRule="exact"/>
                    <w:jc w:val="center"/>
                    <w:rPr>
                      <w:sz w:val="21"/>
                      <w:szCs w:val="21"/>
                    </w:rPr>
                  </w:pPr>
                  <w:r>
                    <w:rPr>
                      <w:sz w:val="21"/>
                      <w:szCs w:val="21"/>
                    </w:rPr>
                    <w:t>操作温度：320℃；</w:t>
                  </w:r>
                </w:p>
                <w:p w14:paraId="1517FC64">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壳程设计压力：1.2MPa(G)</w:t>
                  </w:r>
                  <w:r>
                    <w:rPr>
                      <w:rFonts w:hint="eastAsia"/>
                      <w:sz w:val="21"/>
                      <w:szCs w:val="21"/>
                    </w:rPr>
                    <w:t>；</w:t>
                  </w:r>
                </w:p>
                <w:p w14:paraId="7EBCA7F1">
                  <w:pPr>
                    <w:pageBreakBefore w:val="0"/>
                    <w:widowControl/>
                    <w:kinsoku/>
                    <w:wordWrap/>
                    <w:topLinePunct w:val="0"/>
                    <w:autoSpaceDE w:val="0"/>
                    <w:autoSpaceDN w:val="0"/>
                    <w:bidi w:val="0"/>
                    <w:spacing w:line="280" w:lineRule="exact"/>
                    <w:jc w:val="center"/>
                    <w:rPr>
                      <w:sz w:val="21"/>
                      <w:szCs w:val="21"/>
                    </w:rPr>
                  </w:pPr>
                  <w:r>
                    <w:rPr>
                      <w:sz w:val="21"/>
                      <w:szCs w:val="21"/>
                    </w:rPr>
                    <w:t>设计温度：350℃。</w:t>
                  </w:r>
                </w:p>
                <w:p w14:paraId="549A92CC">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管程操作压力：0.68MPa(G)</w:t>
                  </w:r>
                  <w:r>
                    <w:rPr>
                      <w:rFonts w:hint="eastAsia"/>
                      <w:sz w:val="21"/>
                      <w:szCs w:val="21"/>
                    </w:rPr>
                    <w:t>；</w:t>
                  </w:r>
                </w:p>
                <w:p w14:paraId="1C02A51C">
                  <w:pPr>
                    <w:pageBreakBefore w:val="0"/>
                    <w:widowControl/>
                    <w:kinsoku/>
                    <w:wordWrap/>
                    <w:topLinePunct w:val="0"/>
                    <w:autoSpaceDE w:val="0"/>
                    <w:autoSpaceDN w:val="0"/>
                    <w:bidi w:val="0"/>
                    <w:spacing w:line="280" w:lineRule="exact"/>
                    <w:jc w:val="center"/>
                    <w:rPr>
                      <w:sz w:val="21"/>
                      <w:szCs w:val="21"/>
                    </w:rPr>
                  </w:pPr>
                  <w:r>
                    <w:rPr>
                      <w:sz w:val="21"/>
                      <w:szCs w:val="21"/>
                    </w:rPr>
                    <w:t>操作温度：40/130℃；</w:t>
                  </w:r>
                </w:p>
                <w:p w14:paraId="6AA32062">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管程设计压力：1.0MPa(G)</w:t>
                  </w:r>
                  <w:r>
                    <w:rPr>
                      <w:rFonts w:hint="eastAsia"/>
                      <w:sz w:val="21"/>
                      <w:szCs w:val="21"/>
                    </w:rPr>
                    <w:t>；</w:t>
                  </w:r>
                </w:p>
                <w:p w14:paraId="0ECCBF29">
                  <w:pPr>
                    <w:pageBreakBefore w:val="0"/>
                    <w:widowControl/>
                    <w:kinsoku/>
                    <w:wordWrap/>
                    <w:topLinePunct w:val="0"/>
                    <w:autoSpaceDE w:val="0"/>
                    <w:autoSpaceDN w:val="0"/>
                    <w:bidi w:val="0"/>
                    <w:spacing w:line="280" w:lineRule="exact"/>
                    <w:jc w:val="center"/>
                    <w:rPr>
                      <w:sz w:val="21"/>
                      <w:szCs w:val="21"/>
                    </w:rPr>
                  </w:pPr>
                  <w:r>
                    <w:rPr>
                      <w:sz w:val="21"/>
                      <w:szCs w:val="21"/>
                    </w:rPr>
                    <w:t>设计温度：350℃。</w:t>
                  </w:r>
                </w:p>
              </w:tc>
              <w:tc>
                <w:tcPr>
                  <w:tcW w:w="506" w:type="dxa"/>
                  <w:noWrap w:val="0"/>
                  <w:vAlign w:val="center"/>
                </w:tcPr>
                <w:p w14:paraId="2901FA37">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49F7B4DC">
                  <w:pPr>
                    <w:pageBreakBefore w:val="0"/>
                    <w:kinsoku/>
                    <w:wordWrap/>
                    <w:topLinePunct w:val="0"/>
                    <w:bidi w:val="0"/>
                    <w:spacing w:line="280" w:lineRule="exact"/>
                    <w:jc w:val="center"/>
                    <w:rPr>
                      <w:sz w:val="21"/>
                      <w:szCs w:val="21"/>
                    </w:rPr>
                  </w:pPr>
                  <w:r>
                    <w:rPr>
                      <w:rFonts w:hint="eastAsia"/>
                      <w:sz w:val="21"/>
                      <w:szCs w:val="21"/>
                    </w:rPr>
                    <w:t>1</w:t>
                  </w:r>
                </w:p>
              </w:tc>
              <w:tc>
                <w:tcPr>
                  <w:tcW w:w="499" w:type="dxa"/>
                  <w:noWrap w:val="0"/>
                  <w:vAlign w:val="center"/>
                </w:tcPr>
                <w:p w14:paraId="3CCDC9E3">
                  <w:pPr>
                    <w:pageBreakBefore w:val="0"/>
                    <w:kinsoku/>
                    <w:wordWrap/>
                    <w:topLinePunct w:val="0"/>
                    <w:bidi w:val="0"/>
                    <w:spacing w:line="280" w:lineRule="exact"/>
                    <w:jc w:val="center"/>
                    <w:rPr>
                      <w:sz w:val="21"/>
                      <w:szCs w:val="21"/>
                    </w:rPr>
                  </w:pPr>
                  <w:r>
                    <w:rPr>
                      <w:rFonts w:hint="eastAsia"/>
                      <w:sz w:val="21"/>
                      <w:szCs w:val="21"/>
                    </w:rPr>
                    <w:t>卧式</w:t>
                  </w:r>
                </w:p>
              </w:tc>
            </w:tr>
            <w:tr w14:paraId="76D218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0CE0A8AF">
                  <w:pPr>
                    <w:pageBreakBefore w:val="0"/>
                    <w:kinsoku/>
                    <w:wordWrap/>
                    <w:topLinePunct w:val="0"/>
                    <w:bidi w:val="0"/>
                    <w:spacing w:line="280" w:lineRule="exact"/>
                    <w:jc w:val="center"/>
                    <w:rPr>
                      <w:sz w:val="21"/>
                      <w:szCs w:val="21"/>
                    </w:rPr>
                  </w:pPr>
                  <w:r>
                    <w:rPr>
                      <w:rFonts w:hint="eastAsia"/>
                      <w:sz w:val="21"/>
                      <w:szCs w:val="21"/>
                    </w:rPr>
                    <w:t>4</w:t>
                  </w:r>
                </w:p>
              </w:tc>
              <w:tc>
                <w:tcPr>
                  <w:tcW w:w="1455" w:type="dxa"/>
                  <w:noWrap w:val="0"/>
                  <w:vAlign w:val="center"/>
                </w:tcPr>
                <w:p w14:paraId="5C44E84A">
                  <w:pPr>
                    <w:pageBreakBefore w:val="0"/>
                    <w:kinsoku/>
                    <w:wordWrap/>
                    <w:topLinePunct w:val="0"/>
                    <w:bidi w:val="0"/>
                    <w:spacing w:line="280" w:lineRule="exact"/>
                    <w:jc w:val="center"/>
                    <w:rPr>
                      <w:sz w:val="21"/>
                      <w:szCs w:val="21"/>
                    </w:rPr>
                  </w:pPr>
                  <w:r>
                    <w:rPr>
                      <w:sz w:val="21"/>
                      <w:szCs w:val="21"/>
                    </w:rPr>
                    <w:t>E-30102</w:t>
                  </w:r>
                </w:p>
              </w:tc>
              <w:tc>
                <w:tcPr>
                  <w:tcW w:w="1726" w:type="dxa"/>
                  <w:noWrap w:val="0"/>
                  <w:vAlign w:val="center"/>
                </w:tcPr>
                <w:p w14:paraId="6EC6187F">
                  <w:pPr>
                    <w:pageBreakBefore w:val="0"/>
                    <w:kinsoku/>
                    <w:wordWrap/>
                    <w:topLinePunct w:val="0"/>
                    <w:bidi w:val="0"/>
                    <w:spacing w:line="280" w:lineRule="exact"/>
                    <w:jc w:val="center"/>
                    <w:rPr>
                      <w:sz w:val="21"/>
                      <w:szCs w:val="21"/>
                    </w:rPr>
                  </w:pPr>
                  <w:r>
                    <w:rPr>
                      <w:sz w:val="21"/>
                      <w:szCs w:val="21"/>
                    </w:rPr>
                    <w:t>预净化冷却器</w:t>
                  </w:r>
                </w:p>
              </w:tc>
              <w:tc>
                <w:tcPr>
                  <w:tcW w:w="3200" w:type="dxa"/>
                  <w:noWrap w:val="0"/>
                  <w:vAlign w:val="center"/>
                </w:tcPr>
                <w:p w14:paraId="50338388">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DN600×4500</w:t>
                  </w:r>
                </w:p>
                <w:p w14:paraId="72B78023">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壳程操作压力：1.0MPa(G)</w:t>
                  </w:r>
                  <w:r>
                    <w:rPr>
                      <w:rFonts w:hint="eastAsia"/>
                      <w:sz w:val="21"/>
                      <w:szCs w:val="21"/>
                    </w:rPr>
                    <w:t>；</w:t>
                  </w:r>
                </w:p>
                <w:p w14:paraId="5ABCE060">
                  <w:pPr>
                    <w:pageBreakBefore w:val="0"/>
                    <w:widowControl/>
                    <w:kinsoku/>
                    <w:wordWrap/>
                    <w:topLinePunct w:val="0"/>
                    <w:autoSpaceDE w:val="0"/>
                    <w:autoSpaceDN w:val="0"/>
                    <w:bidi w:val="0"/>
                    <w:spacing w:line="280" w:lineRule="exact"/>
                    <w:jc w:val="center"/>
                    <w:rPr>
                      <w:sz w:val="21"/>
                      <w:szCs w:val="21"/>
                    </w:rPr>
                  </w:pPr>
                  <w:r>
                    <w:rPr>
                      <w:sz w:val="21"/>
                      <w:szCs w:val="21"/>
                    </w:rPr>
                    <w:t>操作温度：320℃；</w:t>
                  </w:r>
                </w:p>
                <w:p w14:paraId="14EDC3E7">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壳程设计压力：1.2MPa(G)</w:t>
                  </w:r>
                  <w:r>
                    <w:rPr>
                      <w:rFonts w:hint="eastAsia"/>
                      <w:sz w:val="21"/>
                      <w:szCs w:val="21"/>
                    </w:rPr>
                    <w:t>；</w:t>
                  </w:r>
                </w:p>
                <w:p w14:paraId="1D493F1D">
                  <w:pPr>
                    <w:pageBreakBefore w:val="0"/>
                    <w:widowControl/>
                    <w:kinsoku/>
                    <w:wordWrap/>
                    <w:topLinePunct w:val="0"/>
                    <w:autoSpaceDE w:val="0"/>
                    <w:autoSpaceDN w:val="0"/>
                    <w:bidi w:val="0"/>
                    <w:spacing w:line="280" w:lineRule="exact"/>
                    <w:jc w:val="center"/>
                    <w:rPr>
                      <w:sz w:val="21"/>
                      <w:szCs w:val="21"/>
                    </w:rPr>
                  </w:pPr>
                  <w:r>
                    <w:rPr>
                      <w:sz w:val="21"/>
                      <w:szCs w:val="21"/>
                    </w:rPr>
                    <w:t>设计温度：350℃。</w:t>
                  </w:r>
                </w:p>
                <w:p w14:paraId="0B7C8A01">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管程操作压力：0.68MPa(G)</w:t>
                  </w:r>
                  <w:r>
                    <w:rPr>
                      <w:rFonts w:hint="eastAsia"/>
                      <w:sz w:val="21"/>
                      <w:szCs w:val="21"/>
                    </w:rPr>
                    <w:t>；</w:t>
                  </w:r>
                </w:p>
                <w:p w14:paraId="30067CBA">
                  <w:pPr>
                    <w:pageBreakBefore w:val="0"/>
                    <w:widowControl/>
                    <w:kinsoku/>
                    <w:wordWrap/>
                    <w:topLinePunct w:val="0"/>
                    <w:autoSpaceDE w:val="0"/>
                    <w:autoSpaceDN w:val="0"/>
                    <w:bidi w:val="0"/>
                    <w:spacing w:line="280" w:lineRule="exact"/>
                    <w:jc w:val="center"/>
                    <w:rPr>
                      <w:sz w:val="21"/>
                      <w:szCs w:val="21"/>
                    </w:rPr>
                  </w:pPr>
                  <w:r>
                    <w:rPr>
                      <w:sz w:val="21"/>
                      <w:szCs w:val="21"/>
                    </w:rPr>
                    <w:t>操作温度：40/130℃；</w:t>
                  </w:r>
                </w:p>
                <w:p w14:paraId="5DCE1FF7">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管程设计压力：1.0MPa(G)</w:t>
                  </w:r>
                  <w:r>
                    <w:rPr>
                      <w:rFonts w:hint="eastAsia"/>
                      <w:sz w:val="21"/>
                      <w:szCs w:val="21"/>
                    </w:rPr>
                    <w:t>；</w:t>
                  </w:r>
                </w:p>
                <w:p w14:paraId="1FCFFEFC">
                  <w:pPr>
                    <w:pageBreakBefore w:val="0"/>
                    <w:widowControl/>
                    <w:kinsoku/>
                    <w:wordWrap/>
                    <w:topLinePunct w:val="0"/>
                    <w:autoSpaceDE w:val="0"/>
                    <w:autoSpaceDN w:val="0"/>
                    <w:bidi w:val="0"/>
                    <w:spacing w:line="280" w:lineRule="exact"/>
                    <w:jc w:val="center"/>
                    <w:rPr>
                      <w:sz w:val="21"/>
                      <w:szCs w:val="21"/>
                    </w:rPr>
                  </w:pPr>
                  <w:r>
                    <w:rPr>
                      <w:sz w:val="21"/>
                      <w:szCs w:val="21"/>
                    </w:rPr>
                    <w:t>设计温度：350℃。</w:t>
                  </w:r>
                </w:p>
              </w:tc>
              <w:tc>
                <w:tcPr>
                  <w:tcW w:w="506" w:type="dxa"/>
                  <w:noWrap w:val="0"/>
                  <w:vAlign w:val="center"/>
                </w:tcPr>
                <w:p w14:paraId="0CE20174">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7451F344">
                  <w:pPr>
                    <w:pageBreakBefore w:val="0"/>
                    <w:kinsoku/>
                    <w:wordWrap/>
                    <w:topLinePunct w:val="0"/>
                    <w:bidi w:val="0"/>
                    <w:spacing w:line="280" w:lineRule="exact"/>
                    <w:jc w:val="center"/>
                    <w:rPr>
                      <w:sz w:val="21"/>
                      <w:szCs w:val="21"/>
                    </w:rPr>
                  </w:pPr>
                  <w:r>
                    <w:rPr>
                      <w:rFonts w:hint="eastAsia"/>
                      <w:sz w:val="21"/>
                      <w:szCs w:val="21"/>
                    </w:rPr>
                    <w:t>1</w:t>
                  </w:r>
                </w:p>
              </w:tc>
              <w:tc>
                <w:tcPr>
                  <w:tcW w:w="499" w:type="dxa"/>
                  <w:noWrap w:val="0"/>
                  <w:vAlign w:val="center"/>
                </w:tcPr>
                <w:p w14:paraId="717249DC">
                  <w:pPr>
                    <w:pageBreakBefore w:val="0"/>
                    <w:kinsoku/>
                    <w:wordWrap/>
                    <w:topLinePunct w:val="0"/>
                    <w:bidi w:val="0"/>
                    <w:spacing w:line="280" w:lineRule="exact"/>
                    <w:jc w:val="center"/>
                    <w:rPr>
                      <w:sz w:val="21"/>
                      <w:szCs w:val="21"/>
                    </w:rPr>
                  </w:pPr>
                  <w:r>
                    <w:rPr>
                      <w:rFonts w:hint="eastAsia"/>
                      <w:sz w:val="21"/>
                      <w:szCs w:val="21"/>
                    </w:rPr>
                    <w:t>卧式</w:t>
                  </w:r>
                </w:p>
              </w:tc>
            </w:tr>
            <w:tr w14:paraId="5A076F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7FB0DD56">
                  <w:pPr>
                    <w:pageBreakBefore w:val="0"/>
                    <w:kinsoku/>
                    <w:wordWrap/>
                    <w:topLinePunct w:val="0"/>
                    <w:bidi w:val="0"/>
                    <w:spacing w:line="280" w:lineRule="exact"/>
                    <w:jc w:val="center"/>
                    <w:rPr>
                      <w:rFonts w:hint="eastAsia" w:eastAsia="宋体"/>
                      <w:sz w:val="21"/>
                      <w:szCs w:val="21"/>
                      <w:lang w:eastAsia="zh-CN"/>
                    </w:rPr>
                  </w:pPr>
                  <w:r>
                    <w:rPr>
                      <w:rFonts w:hint="eastAsia"/>
                      <w:sz w:val="21"/>
                      <w:szCs w:val="21"/>
                      <w:lang w:val="en-US" w:eastAsia="zh-CN"/>
                    </w:rPr>
                    <w:t>三</w:t>
                  </w:r>
                </w:p>
              </w:tc>
              <w:tc>
                <w:tcPr>
                  <w:tcW w:w="1455" w:type="dxa"/>
                  <w:noWrap w:val="0"/>
                  <w:vAlign w:val="center"/>
                </w:tcPr>
                <w:p w14:paraId="3C04DDD9">
                  <w:pPr>
                    <w:pageBreakBefore w:val="0"/>
                    <w:kinsoku/>
                    <w:wordWrap/>
                    <w:topLinePunct w:val="0"/>
                    <w:bidi w:val="0"/>
                    <w:spacing w:line="280" w:lineRule="exact"/>
                    <w:jc w:val="center"/>
                    <w:rPr>
                      <w:sz w:val="21"/>
                      <w:szCs w:val="21"/>
                    </w:rPr>
                  </w:pPr>
                  <w:r>
                    <w:rPr>
                      <w:rFonts w:hint="eastAsia"/>
                      <w:sz w:val="21"/>
                      <w:szCs w:val="21"/>
                    </w:rPr>
                    <w:t>VPSA单元</w:t>
                  </w:r>
                </w:p>
              </w:tc>
              <w:tc>
                <w:tcPr>
                  <w:tcW w:w="1726" w:type="dxa"/>
                  <w:noWrap w:val="0"/>
                  <w:vAlign w:val="center"/>
                </w:tcPr>
                <w:p w14:paraId="3234BB63">
                  <w:pPr>
                    <w:pageBreakBefore w:val="0"/>
                    <w:kinsoku/>
                    <w:wordWrap/>
                    <w:topLinePunct w:val="0"/>
                    <w:bidi w:val="0"/>
                    <w:spacing w:line="280" w:lineRule="exact"/>
                    <w:jc w:val="center"/>
                    <w:rPr>
                      <w:sz w:val="21"/>
                      <w:szCs w:val="21"/>
                    </w:rPr>
                  </w:pPr>
                </w:p>
              </w:tc>
              <w:tc>
                <w:tcPr>
                  <w:tcW w:w="3200" w:type="dxa"/>
                  <w:noWrap w:val="0"/>
                  <w:vAlign w:val="center"/>
                </w:tcPr>
                <w:p w14:paraId="7630742C">
                  <w:pPr>
                    <w:pageBreakBefore w:val="0"/>
                    <w:widowControl/>
                    <w:kinsoku/>
                    <w:wordWrap/>
                    <w:topLinePunct w:val="0"/>
                    <w:autoSpaceDE w:val="0"/>
                    <w:autoSpaceDN w:val="0"/>
                    <w:bidi w:val="0"/>
                    <w:spacing w:line="280" w:lineRule="exact"/>
                    <w:jc w:val="center"/>
                    <w:rPr>
                      <w:sz w:val="21"/>
                      <w:szCs w:val="21"/>
                    </w:rPr>
                  </w:pPr>
                </w:p>
              </w:tc>
              <w:tc>
                <w:tcPr>
                  <w:tcW w:w="506" w:type="dxa"/>
                  <w:noWrap w:val="0"/>
                  <w:vAlign w:val="center"/>
                </w:tcPr>
                <w:p w14:paraId="7EF784D8">
                  <w:pPr>
                    <w:pageBreakBefore w:val="0"/>
                    <w:kinsoku/>
                    <w:wordWrap/>
                    <w:topLinePunct w:val="0"/>
                    <w:bidi w:val="0"/>
                    <w:spacing w:line="280" w:lineRule="exact"/>
                    <w:jc w:val="center"/>
                    <w:rPr>
                      <w:sz w:val="21"/>
                      <w:szCs w:val="21"/>
                    </w:rPr>
                  </w:pPr>
                </w:p>
              </w:tc>
              <w:tc>
                <w:tcPr>
                  <w:tcW w:w="506" w:type="dxa"/>
                  <w:noWrap w:val="0"/>
                  <w:vAlign w:val="center"/>
                </w:tcPr>
                <w:p w14:paraId="57FF9914">
                  <w:pPr>
                    <w:pageBreakBefore w:val="0"/>
                    <w:kinsoku/>
                    <w:wordWrap/>
                    <w:topLinePunct w:val="0"/>
                    <w:bidi w:val="0"/>
                    <w:spacing w:line="280" w:lineRule="exact"/>
                    <w:jc w:val="center"/>
                    <w:rPr>
                      <w:sz w:val="21"/>
                      <w:szCs w:val="21"/>
                    </w:rPr>
                  </w:pPr>
                </w:p>
              </w:tc>
              <w:tc>
                <w:tcPr>
                  <w:tcW w:w="499" w:type="dxa"/>
                  <w:noWrap w:val="0"/>
                  <w:vAlign w:val="center"/>
                </w:tcPr>
                <w:p w14:paraId="17D10AF1">
                  <w:pPr>
                    <w:pageBreakBefore w:val="0"/>
                    <w:kinsoku/>
                    <w:wordWrap/>
                    <w:topLinePunct w:val="0"/>
                    <w:bidi w:val="0"/>
                    <w:spacing w:line="280" w:lineRule="exact"/>
                    <w:jc w:val="center"/>
                    <w:rPr>
                      <w:sz w:val="21"/>
                      <w:szCs w:val="21"/>
                    </w:rPr>
                  </w:pPr>
                </w:p>
              </w:tc>
            </w:tr>
            <w:tr w14:paraId="3D1AE5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766C71B8">
                  <w:pPr>
                    <w:pageBreakBefore w:val="0"/>
                    <w:kinsoku/>
                    <w:wordWrap/>
                    <w:topLinePunct w:val="0"/>
                    <w:bidi w:val="0"/>
                    <w:spacing w:line="280" w:lineRule="exact"/>
                    <w:jc w:val="center"/>
                    <w:rPr>
                      <w:sz w:val="21"/>
                      <w:szCs w:val="21"/>
                    </w:rPr>
                  </w:pPr>
                  <w:r>
                    <w:rPr>
                      <w:rFonts w:hint="eastAsia"/>
                      <w:sz w:val="21"/>
                      <w:szCs w:val="21"/>
                    </w:rPr>
                    <w:t>1</w:t>
                  </w:r>
                </w:p>
              </w:tc>
              <w:tc>
                <w:tcPr>
                  <w:tcW w:w="1455" w:type="dxa"/>
                  <w:noWrap w:val="0"/>
                  <w:vAlign w:val="center"/>
                </w:tcPr>
                <w:p w14:paraId="06EA1BC1">
                  <w:pPr>
                    <w:pageBreakBefore w:val="0"/>
                    <w:kinsoku/>
                    <w:wordWrap/>
                    <w:topLinePunct w:val="0"/>
                    <w:bidi w:val="0"/>
                    <w:spacing w:line="280" w:lineRule="exact"/>
                    <w:jc w:val="center"/>
                    <w:rPr>
                      <w:sz w:val="21"/>
                      <w:szCs w:val="21"/>
                    </w:rPr>
                  </w:pPr>
                  <w:r>
                    <w:rPr>
                      <w:sz w:val="21"/>
                      <w:szCs w:val="21"/>
                    </w:rPr>
                    <w:t>C-40101A~G</w:t>
                  </w:r>
                </w:p>
              </w:tc>
              <w:tc>
                <w:tcPr>
                  <w:tcW w:w="1726" w:type="dxa"/>
                  <w:noWrap w:val="0"/>
                  <w:vAlign w:val="center"/>
                </w:tcPr>
                <w:p w14:paraId="43E82A5B">
                  <w:pPr>
                    <w:pageBreakBefore w:val="0"/>
                    <w:kinsoku/>
                    <w:wordWrap/>
                    <w:topLinePunct w:val="0"/>
                    <w:bidi w:val="0"/>
                    <w:spacing w:line="280" w:lineRule="exact"/>
                    <w:jc w:val="center"/>
                    <w:rPr>
                      <w:sz w:val="21"/>
                      <w:szCs w:val="21"/>
                    </w:rPr>
                  </w:pPr>
                  <w:r>
                    <w:rPr>
                      <w:rFonts w:hint="eastAsia"/>
                      <w:sz w:val="21"/>
                      <w:szCs w:val="21"/>
                    </w:rPr>
                    <w:t>吸附塔</w:t>
                  </w:r>
                </w:p>
              </w:tc>
              <w:tc>
                <w:tcPr>
                  <w:tcW w:w="3200" w:type="dxa"/>
                  <w:noWrap w:val="0"/>
                  <w:vAlign w:val="center"/>
                </w:tcPr>
                <w:p w14:paraId="3F6C946B">
                  <w:pPr>
                    <w:pageBreakBefore w:val="0"/>
                    <w:widowControl/>
                    <w:kinsoku/>
                    <w:wordWrap/>
                    <w:topLinePunct w:val="0"/>
                    <w:autoSpaceDE w:val="0"/>
                    <w:autoSpaceDN w:val="0"/>
                    <w:bidi w:val="0"/>
                    <w:spacing w:line="280" w:lineRule="exact"/>
                    <w:jc w:val="center"/>
                    <w:rPr>
                      <w:sz w:val="21"/>
                      <w:szCs w:val="21"/>
                    </w:rPr>
                  </w:pPr>
                  <w:r>
                    <w:rPr>
                      <w:sz w:val="21"/>
                      <w:szCs w:val="21"/>
                    </w:rPr>
                    <w:t>Φ3200×11140</w:t>
                  </w:r>
                </w:p>
                <w:p w14:paraId="28BD6BBA">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操作压力：0.7MPa(G)</w:t>
                  </w:r>
                  <w:r>
                    <w:rPr>
                      <w:rFonts w:hint="eastAsia"/>
                      <w:sz w:val="21"/>
                      <w:szCs w:val="21"/>
                    </w:rPr>
                    <w:t>；</w:t>
                  </w:r>
                </w:p>
                <w:p w14:paraId="01F07243">
                  <w:pPr>
                    <w:pageBreakBefore w:val="0"/>
                    <w:widowControl/>
                    <w:kinsoku/>
                    <w:wordWrap/>
                    <w:topLinePunct w:val="0"/>
                    <w:autoSpaceDE w:val="0"/>
                    <w:autoSpaceDN w:val="0"/>
                    <w:bidi w:val="0"/>
                    <w:spacing w:line="280" w:lineRule="exact"/>
                    <w:jc w:val="center"/>
                    <w:rPr>
                      <w:sz w:val="21"/>
                      <w:szCs w:val="21"/>
                    </w:rPr>
                  </w:pPr>
                  <w:r>
                    <w:rPr>
                      <w:sz w:val="21"/>
                      <w:szCs w:val="21"/>
                    </w:rPr>
                    <w:t>操作温度：40℃；</w:t>
                  </w:r>
                </w:p>
                <w:p w14:paraId="036BC34C">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设计压力：1.2MPa(G)</w:t>
                  </w:r>
                  <w:r>
                    <w:rPr>
                      <w:rFonts w:hint="eastAsia"/>
                      <w:sz w:val="21"/>
                      <w:szCs w:val="21"/>
                    </w:rPr>
                    <w:t>；</w:t>
                  </w:r>
                </w:p>
                <w:p w14:paraId="7884C4AF">
                  <w:pPr>
                    <w:pageBreakBefore w:val="0"/>
                    <w:widowControl/>
                    <w:kinsoku/>
                    <w:wordWrap/>
                    <w:topLinePunct w:val="0"/>
                    <w:autoSpaceDE w:val="0"/>
                    <w:autoSpaceDN w:val="0"/>
                    <w:bidi w:val="0"/>
                    <w:spacing w:line="280" w:lineRule="exact"/>
                    <w:jc w:val="center"/>
                    <w:rPr>
                      <w:sz w:val="21"/>
                      <w:szCs w:val="21"/>
                    </w:rPr>
                  </w:pPr>
                  <w:r>
                    <w:rPr>
                      <w:sz w:val="21"/>
                      <w:szCs w:val="21"/>
                    </w:rPr>
                    <w:t>设计温度：80℃。</w:t>
                  </w:r>
                </w:p>
              </w:tc>
              <w:tc>
                <w:tcPr>
                  <w:tcW w:w="506" w:type="dxa"/>
                  <w:noWrap w:val="0"/>
                  <w:vAlign w:val="center"/>
                </w:tcPr>
                <w:p w14:paraId="3968A597">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3AE9D3CE">
                  <w:pPr>
                    <w:pageBreakBefore w:val="0"/>
                    <w:kinsoku/>
                    <w:wordWrap/>
                    <w:topLinePunct w:val="0"/>
                    <w:bidi w:val="0"/>
                    <w:spacing w:line="280" w:lineRule="exact"/>
                    <w:jc w:val="center"/>
                    <w:rPr>
                      <w:sz w:val="21"/>
                      <w:szCs w:val="21"/>
                    </w:rPr>
                  </w:pPr>
                  <w:r>
                    <w:rPr>
                      <w:rFonts w:hint="eastAsia"/>
                      <w:sz w:val="21"/>
                      <w:szCs w:val="21"/>
                    </w:rPr>
                    <w:t>7</w:t>
                  </w:r>
                </w:p>
              </w:tc>
              <w:tc>
                <w:tcPr>
                  <w:tcW w:w="499" w:type="dxa"/>
                  <w:noWrap w:val="0"/>
                  <w:vAlign w:val="center"/>
                </w:tcPr>
                <w:p w14:paraId="2A77BA30">
                  <w:pPr>
                    <w:pageBreakBefore w:val="0"/>
                    <w:kinsoku/>
                    <w:wordWrap/>
                    <w:topLinePunct w:val="0"/>
                    <w:bidi w:val="0"/>
                    <w:spacing w:line="280" w:lineRule="exact"/>
                    <w:jc w:val="center"/>
                    <w:rPr>
                      <w:sz w:val="21"/>
                      <w:szCs w:val="21"/>
                    </w:rPr>
                  </w:pPr>
                </w:p>
              </w:tc>
            </w:tr>
            <w:tr w14:paraId="5B1167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28EB35BC">
                  <w:pPr>
                    <w:pageBreakBefore w:val="0"/>
                    <w:kinsoku/>
                    <w:wordWrap/>
                    <w:topLinePunct w:val="0"/>
                    <w:bidi w:val="0"/>
                    <w:spacing w:line="280" w:lineRule="exact"/>
                    <w:jc w:val="center"/>
                    <w:rPr>
                      <w:sz w:val="21"/>
                      <w:szCs w:val="21"/>
                    </w:rPr>
                  </w:pPr>
                  <w:r>
                    <w:rPr>
                      <w:rFonts w:hint="eastAsia"/>
                      <w:sz w:val="21"/>
                      <w:szCs w:val="21"/>
                    </w:rPr>
                    <w:t>2</w:t>
                  </w:r>
                </w:p>
              </w:tc>
              <w:tc>
                <w:tcPr>
                  <w:tcW w:w="1455" w:type="dxa"/>
                  <w:noWrap w:val="0"/>
                  <w:vAlign w:val="center"/>
                </w:tcPr>
                <w:p w14:paraId="44765903">
                  <w:pPr>
                    <w:pageBreakBefore w:val="0"/>
                    <w:kinsoku/>
                    <w:wordWrap/>
                    <w:topLinePunct w:val="0"/>
                    <w:bidi w:val="0"/>
                    <w:spacing w:line="280" w:lineRule="exact"/>
                    <w:jc w:val="center"/>
                    <w:rPr>
                      <w:sz w:val="21"/>
                      <w:szCs w:val="21"/>
                    </w:rPr>
                  </w:pPr>
                  <w:r>
                    <w:rPr>
                      <w:sz w:val="21"/>
                      <w:szCs w:val="21"/>
                    </w:rPr>
                    <w:t>T-40101</w:t>
                  </w:r>
                </w:p>
              </w:tc>
              <w:tc>
                <w:tcPr>
                  <w:tcW w:w="1726" w:type="dxa"/>
                  <w:noWrap w:val="0"/>
                  <w:vAlign w:val="center"/>
                </w:tcPr>
                <w:p w14:paraId="313F7BAC">
                  <w:pPr>
                    <w:pageBreakBefore w:val="0"/>
                    <w:kinsoku/>
                    <w:wordWrap/>
                    <w:topLinePunct w:val="0"/>
                    <w:bidi w:val="0"/>
                    <w:spacing w:line="280" w:lineRule="exact"/>
                    <w:jc w:val="center"/>
                    <w:rPr>
                      <w:sz w:val="21"/>
                      <w:szCs w:val="21"/>
                    </w:rPr>
                  </w:pPr>
                  <w:r>
                    <w:rPr>
                      <w:sz w:val="21"/>
                      <w:szCs w:val="21"/>
                    </w:rPr>
                    <w:t>原料气缓冲罐</w:t>
                  </w:r>
                </w:p>
              </w:tc>
              <w:tc>
                <w:tcPr>
                  <w:tcW w:w="3200" w:type="dxa"/>
                  <w:noWrap w:val="0"/>
                  <w:vAlign w:val="center"/>
                </w:tcPr>
                <w:p w14:paraId="321B5036">
                  <w:pPr>
                    <w:pageBreakBefore w:val="0"/>
                    <w:widowControl/>
                    <w:kinsoku/>
                    <w:wordWrap/>
                    <w:topLinePunct w:val="0"/>
                    <w:autoSpaceDE w:val="0"/>
                    <w:autoSpaceDN w:val="0"/>
                    <w:bidi w:val="0"/>
                    <w:spacing w:line="280" w:lineRule="exact"/>
                    <w:jc w:val="center"/>
                    <w:rPr>
                      <w:sz w:val="21"/>
                      <w:szCs w:val="21"/>
                    </w:rPr>
                  </w:pPr>
                  <w:r>
                    <w:rPr>
                      <w:sz w:val="21"/>
                      <w:szCs w:val="21"/>
                    </w:rPr>
                    <w:t>Φ3200×9600</w:t>
                  </w:r>
                </w:p>
                <w:p w14:paraId="522AA45E">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操作压力：0.65MPa(G)</w:t>
                  </w:r>
                  <w:r>
                    <w:rPr>
                      <w:rFonts w:hint="eastAsia"/>
                      <w:sz w:val="21"/>
                      <w:szCs w:val="21"/>
                    </w:rPr>
                    <w:t>；</w:t>
                  </w:r>
                </w:p>
                <w:p w14:paraId="76824611">
                  <w:pPr>
                    <w:pageBreakBefore w:val="0"/>
                    <w:widowControl/>
                    <w:kinsoku/>
                    <w:wordWrap/>
                    <w:topLinePunct w:val="0"/>
                    <w:autoSpaceDE w:val="0"/>
                    <w:autoSpaceDN w:val="0"/>
                    <w:bidi w:val="0"/>
                    <w:spacing w:line="280" w:lineRule="exact"/>
                    <w:jc w:val="center"/>
                    <w:rPr>
                      <w:sz w:val="21"/>
                      <w:szCs w:val="21"/>
                    </w:rPr>
                  </w:pPr>
                  <w:r>
                    <w:rPr>
                      <w:sz w:val="21"/>
                      <w:szCs w:val="21"/>
                    </w:rPr>
                    <w:t>操作温度：40℃；</w:t>
                  </w:r>
                </w:p>
                <w:p w14:paraId="63689FD6">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设计压力：1.0MPa(G)</w:t>
                  </w:r>
                  <w:r>
                    <w:rPr>
                      <w:rFonts w:hint="eastAsia"/>
                      <w:sz w:val="21"/>
                      <w:szCs w:val="21"/>
                    </w:rPr>
                    <w:t>；</w:t>
                  </w:r>
                </w:p>
                <w:p w14:paraId="6323F727">
                  <w:pPr>
                    <w:pageBreakBefore w:val="0"/>
                    <w:widowControl/>
                    <w:kinsoku/>
                    <w:wordWrap/>
                    <w:topLinePunct w:val="0"/>
                    <w:autoSpaceDE w:val="0"/>
                    <w:autoSpaceDN w:val="0"/>
                    <w:bidi w:val="0"/>
                    <w:spacing w:line="280" w:lineRule="exact"/>
                    <w:jc w:val="center"/>
                    <w:rPr>
                      <w:sz w:val="21"/>
                      <w:szCs w:val="21"/>
                    </w:rPr>
                  </w:pPr>
                  <w:r>
                    <w:rPr>
                      <w:sz w:val="21"/>
                      <w:szCs w:val="21"/>
                    </w:rPr>
                    <w:t>设计温度：80℃。</w:t>
                  </w:r>
                </w:p>
              </w:tc>
              <w:tc>
                <w:tcPr>
                  <w:tcW w:w="506" w:type="dxa"/>
                  <w:noWrap w:val="0"/>
                  <w:vAlign w:val="center"/>
                </w:tcPr>
                <w:p w14:paraId="22B23DBF">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2678BC44">
                  <w:pPr>
                    <w:pageBreakBefore w:val="0"/>
                    <w:kinsoku/>
                    <w:wordWrap/>
                    <w:topLinePunct w:val="0"/>
                    <w:bidi w:val="0"/>
                    <w:spacing w:line="280" w:lineRule="exact"/>
                    <w:jc w:val="center"/>
                    <w:rPr>
                      <w:sz w:val="21"/>
                      <w:szCs w:val="21"/>
                    </w:rPr>
                  </w:pPr>
                  <w:r>
                    <w:rPr>
                      <w:rFonts w:hint="eastAsia"/>
                      <w:sz w:val="21"/>
                      <w:szCs w:val="21"/>
                    </w:rPr>
                    <w:t>1</w:t>
                  </w:r>
                </w:p>
              </w:tc>
              <w:tc>
                <w:tcPr>
                  <w:tcW w:w="499" w:type="dxa"/>
                  <w:noWrap w:val="0"/>
                  <w:vAlign w:val="center"/>
                </w:tcPr>
                <w:p w14:paraId="5ACA52DF">
                  <w:pPr>
                    <w:pageBreakBefore w:val="0"/>
                    <w:kinsoku/>
                    <w:wordWrap/>
                    <w:topLinePunct w:val="0"/>
                    <w:bidi w:val="0"/>
                    <w:spacing w:line="280" w:lineRule="exact"/>
                    <w:jc w:val="center"/>
                    <w:rPr>
                      <w:sz w:val="21"/>
                      <w:szCs w:val="21"/>
                    </w:rPr>
                  </w:pPr>
                </w:p>
              </w:tc>
            </w:tr>
            <w:tr w14:paraId="169A2F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1EC741EE">
                  <w:pPr>
                    <w:pageBreakBefore w:val="0"/>
                    <w:kinsoku/>
                    <w:wordWrap/>
                    <w:topLinePunct w:val="0"/>
                    <w:bidi w:val="0"/>
                    <w:spacing w:line="280" w:lineRule="exact"/>
                    <w:jc w:val="center"/>
                    <w:rPr>
                      <w:sz w:val="21"/>
                      <w:szCs w:val="21"/>
                    </w:rPr>
                  </w:pPr>
                  <w:r>
                    <w:rPr>
                      <w:rFonts w:hint="eastAsia"/>
                      <w:sz w:val="21"/>
                      <w:szCs w:val="21"/>
                    </w:rPr>
                    <w:t>3</w:t>
                  </w:r>
                </w:p>
              </w:tc>
              <w:tc>
                <w:tcPr>
                  <w:tcW w:w="1455" w:type="dxa"/>
                  <w:noWrap w:val="0"/>
                  <w:vAlign w:val="center"/>
                </w:tcPr>
                <w:p w14:paraId="3911DE4E">
                  <w:pPr>
                    <w:pageBreakBefore w:val="0"/>
                    <w:kinsoku/>
                    <w:wordWrap/>
                    <w:topLinePunct w:val="0"/>
                    <w:bidi w:val="0"/>
                    <w:spacing w:line="280" w:lineRule="exact"/>
                    <w:jc w:val="center"/>
                    <w:rPr>
                      <w:sz w:val="21"/>
                      <w:szCs w:val="21"/>
                    </w:rPr>
                  </w:pPr>
                  <w:r>
                    <w:rPr>
                      <w:sz w:val="21"/>
                      <w:szCs w:val="21"/>
                    </w:rPr>
                    <w:t>T-40102</w:t>
                  </w:r>
                </w:p>
              </w:tc>
              <w:tc>
                <w:tcPr>
                  <w:tcW w:w="1726" w:type="dxa"/>
                  <w:noWrap w:val="0"/>
                  <w:vAlign w:val="center"/>
                </w:tcPr>
                <w:p w14:paraId="28DBBD4F">
                  <w:pPr>
                    <w:pageBreakBefore w:val="0"/>
                    <w:kinsoku/>
                    <w:wordWrap/>
                    <w:topLinePunct w:val="0"/>
                    <w:bidi w:val="0"/>
                    <w:spacing w:line="280" w:lineRule="exact"/>
                    <w:jc w:val="center"/>
                    <w:rPr>
                      <w:sz w:val="21"/>
                      <w:szCs w:val="21"/>
                    </w:rPr>
                  </w:pPr>
                  <w:r>
                    <w:rPr>
                      <w:sz w:val="21"/>
                      <w:szCs w:val="21"/>
                    </w:rPr>
                    <w:t>产品氢气缓冲罐</w:t>
                  </w:r>
                </w:p>
              </w:tc>
              <w:tc>
                <w:tcPr>
                  <w:tcW w:w="3200" w:type="dxa"/>
                  <w:noWrap w:val="0"/>
                  <w:vAlign w:val="center"/>
                </w:tcPr>
                <w:p w14:paraId="5824CAB2">
                  <w:pPr>
                    <w:pageBreakBefore w:val="0"/>
                    <w:widowControl/>
                    <w:kinsoku/>
                    <w:wordWrap/>
                    <w:topLinePunct w:val="0"/>
                    <w:autoSpaceDE w:val="0"/>
                    <w:autoSpaceDN w:val="0"/>
                    <w:bidi w:val="0"/>
                    <w:spacing w:line="280" w:lineRule="exact"/>
                    <w:jc w:val="center"/>
                    <w:rPr>
                      <w:sz w:val="21"/>
                      <w:szCs w:val="21"/>
                    </w:rPr>
                  </w:pPr>
                  <w:r>
                    <w:rPr>
                      <w:sz w:val="21"/>
                      <w:szCs w:val="21"/>
                    </w:rPr>
                    <w:t>Φ2200×10000</w:t>
                  </w:r>
                </w:p>
                <w:p w14:paraId="5DE02802">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操作压力：0.6MPa(G)</w:t>
                  </w:r>
                  <w:r>
                    <w:rPr>
                      <w:rFonts w:hint="eastAsia"/>
                      <w:sz w:val="21"/>
                      <w:szCs w:val="21"/>
                    </w:rPr>
                    <w:t>；</w:t>
                  </w:r>
                </w:p>
                <w:p w14:paraId="212708DF">
                  <w:pPr>
                    <w:pageBreakBefore w:val="0"/>
                    <w:widowControl/>
                    <w:kinsoku/>
                    <w:wordWrap/>
                    <w:topLinePunct w:val="0"/>
                    <w:autoSpaceDE w:val="0"/>
                    <w:autoSpaceDN w:val="0"/>
                    <w:bidi w:val="0"/>
                    <w:spacing w:line="280" w:lineRule="exact"/>
                    <w:jc w:val="center"/>
                    <w:rPr>
                      <w:sz w:val="21"/>
                      <w:szCs w:val="21"/>
                    </w:rPr>
                  </w:pPr>
                  <w:r>
                    <w:rPr>
                      <w:sz w:val="21"/>
                      <w:szCs w:val="21"/>
                    </w:rPr>
                    <w:t>操作温度：40℃；</w:t>
                  </w:r>
                </w:p>
                <w:p w14:paraId="3F037BD3">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设计压力：1.0MPa(G)</w:t>
                  </w:r>
                  <w:r>
                    <w:rPr>
                      <w:rFonts w:hint="eastAsia"/>
                      <w:sz w:val="21"/>
                      <w:szCs w:val="21"/>
                    </w:rPr>
                    <w:t>；</w:t>
                  </w:r>
                </w:p>
                <w:p w14:paraId="36419AC1">
                  <w:pPr>
                    <w:pageBreakBefore w:val="0"/>
                    <w:widowControl/>
                    <w:kinsoku/>
                    <w:wordWrap/>
                    <w:topLinePunct w:val="0"/>
                    <w:autoSpaceDE w:val="0"/>
                    <w:autoSpaceDN w:val="0"/>
                    <w:bidi w:val="0"/>
                    <w:spacing w:line="280" w:lineRule="exact"/>
                    <w:jc w:val="center"/>
                    <w:rPr>
                      <w:sz w:val="21"/>
                      <w:szCs w:val="21"/>
                    </w:rPr>
                  </w:pPr>
                  <w:r>
                    <w:rPr>
                      <w:sz w:val="21"/>
                      <w:szCs w:val="21"/>
                    </w:rPr>
                    <w:t>设计温度：80℃。</w:t>
                  </w:r>
                </w:p>
              </w:tc>
              <w:tc>
                <w:tcPr>
                  <w:tcW w:w="506" w:type="dxa"/>
                  <w:noWrap w:val="0"/>
                  <w:vAlign w:val="center"/>
                </w:tcPr>
                <w:p w14:paraId="3FDFB0B9">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4B194C68">
                  <w:pPr>
                    <w:pageBreakBefore w:val="0"/>
                    <w:kinsoku/>
                    <w:wordWrap/>
                    <w:topLinePunct w:val="0"/>
                    <w:bidi w:val="0"/>
                    <w:spacing w:line="280" w:lineRule="exact"/>
                    <w:jc w:val="center"/>
                    <w:rPr>
                      <w:sz w:val="21"/>
                      <w:szCs w:val="21"/>
                    </w:rPr>
                  </w:pPr>
                  <w:r>
                    <w:rPr>
                      <w:rFonts w:hint="eastAsia"/>
                      <w:sz w:val="21"/>
                      <w:szCs w:val="21"/>
                    </w:rPr>
                    <w:t>1</w:t>
                  </w:r>
                </w:p>
              </w:tc>
              <w:tc>
                <w:tcPr>
                  <w:tcW w:w="499" w:type="dxa"/>
                  <w:noWrap w:val="0"/>
                  <w:vAlign w:val="center"/>
                </w:tcPr>
                <w:p w14:paraId="11BD1789">
                  <w:pPr>
                    <w:pageBreakBefore w:val="0"/>
                    <w:kinsoku/>
                    <w:wordWrap/>
                    <w:topLinePunct w:val="0"/>
                    <w:bidi w:val="0"/>
                    <w:spacing w:line="280" w:lineRule="exact"/>
                    <w:jc w:val="center"/>
                    <w:rPr>
                      <w:sz w:val="21"/>
                      <w:szCs w:val="21"/>
                    </w:rPr>
                  </w:pPr>
                </w:p>
              </w:tc>
            </w:tr>
            <w:tr w14:paraId="586315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331D8497">
                  <w:pPr>
                    <w:pageBreakBefore w:val="0"/>
                    <w:kinsoku/>
                    <w:wordWrap/>
                    <w:topLinePunct w:val="0"/>
                    <w:bidi w:val="0"/>
                    <w:spacing w:line="280" w:lineRule="exact"/>
                    <w:jc w:val="center"/>
                    <w:rPr>
                      <w:sz w:val="21"/>
                      <w:szCs w:val="21"/>
                    </w:rPr>
                  </w:pPr>
                  <w:r>
                    <w:rPr>
                      <w:rFonts w:hint="eastAsia"/>
                      <w:sz w:val="21"/>
                      <w:szCs w:val="21"/>
                    </w:rPr>
                    <w:t>4</w:t>
                  </w:r>
                </w:p>
              </w:tc>
              <w:tc>
                <w:tcPr>
                  <w:tcW w:w="1455" w:type="dxa"/>
                  <w:noWrap w:val="0"/>
                  <w:vAlign w:val="center"/>
                </w:tcPr>
                <w:p w14:paraId="35922801">
                  <w:pPr>
                    <w:pageBreakBefore w:val="0"/>
                    <w:kinsoku/>
                    <w:wordWrap/>
                    <w:topLinePunct w:val="0"/>
                    <w:bidi w:val="0"/>
                    <w:spacing w:line="280" w:lineRule="exact"/>
                    <w:jc w:val="center"/>
                    <w:rPr>
                      <w:sz w:val="21"/>
                      <w:szCs w:val="21"/>
                    </w:rPr>
                  </w:pPr>
                  <w:r>
                    <w:rPr>
                      <w:sz w:val="21"/>
                      <w:szCs w:val="21"/>
                    </w:rPr>
                    <w:t>T-40103</w:t>
                  </w:r>
                </w:p>
              </w:tc>
              <w:tc>
                <w:tcPr>
                  <w:tcW w:w="1726" w:type="dxa"/>
                  <w:noWrap w:val="0"/>
                  <w:vAlign w:val="center"/>
                </w:tcPr>
                <w:p w14:paraId="51CFD7CD">
                  <w:pPr>
                    <w:pageBreakBefore w:val="0"/>
                    <w:kinsoku/>
                    <w:wordWrap/>
                    <w:topLinePunct w:val="0"/>
                    <w:bidi w:val="0"/>
                    <w:spacing w:line="280" w:lineRule="exact"/>
                    <w:jc w:val="center"/>
                    <w:rPr>
                      <w:sz w:val="21"/>
                      <w:szCs w:val="21"/>
                    </w:rPr>
                  </w:pPr>
                  <w:r>
                    <w:rPr>
                      <w:sz w:val="21"/>
                      <w:szCs w:val="21"/>
                    </w:rPr>
                    <w:t>顺放气缓冲罐</w:t>
                  </w:r>
                </w:p>
              </w:tc>
              <w:tc>
                <w:tcPr>
                  <w:tcW w:w="3200" w:type="dxa"/>
                  <w:noWrap w:val="0"/>
                  <w:vAlign w:val="center"/>
                </w:tcPr>
                <w:p w14:paraId="3C697CEA">
                  <w:pPr>
                    <w:pageBreakBefore w:val="0"/>
                    <w:widowControl/>
                    <w:kinsoku/>
                    <w:wordWrap/>
                    <w:topLinePunct w:val="0"/>
                    <w:autoSpaceDE w:val="0"/>
                    <w:autoSpaceDN w:val="0"/>
                    <w:bidi w:val="0"/>
                    <w:spacing w:line="280" w:lineRule="exact"/>
                    <w:jc w:val="center"/>
                    <w:rPr>
                      <w:sz w:val="21"/>
                      <w:szCs w:val="21"/>
                    </w:rPr>
                  </w:pPr>
                  <w:r>
                    <w:rPr>
                      <w:sz w:val="21"/>
                      <w:szCs w:val="21"/>
                    </w:rPr>
                    <w:t>Φ3600×15570</w:t>
                  </w:r>
                </w:p>
                <w:p w14:paraId="773829F0">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操作压力：0.34MPa(G)</w:t>
                  </w:r>
                  <w:r>
                    <w:rPr>
                      <w:rFonts w:hint="eastAsia"/>
                      <w:sz w:val="21"/>
                      <w:szCs w:val="21"/>
                    </w:rPr>
                    <w:t>；</w:t>
                  </w:r>
                </w:p>
                <w:p w14:paraId="57CFF3E7">
                  <w:pPr>
                    <w:pageBreakBefore w:val="0"/>
                    <w:widowControl/>
                    <w:kinsoku/>
                    <w:wordWrap/>
                    <w:topLinePunct w:val="0"/>
                    <w:autoSpaceDE w:val="0"/>
                    <w:autoSpaceDN w:val="0"/>
                    <w:bidi w:val="0"/>
                    <w:spacing w:line="280" w:lineRule="exact"/>
                    <w:jc w:val="center"/>
                    <w:rPr>
                      <w:sz w:val="21"/>
                      <w:szCs w:val="21"/>
                    </w:rPr>
                  </w:pPr>
                  <w:r>
                    <w:rPr>
                      <w:sz w:val="21"/>
                      <w:szCs w:val="21"/>
                    </w:rPr>
                    <w:t>操作温度：40℃；</w:t>
                  </w:r>
                </w:p>
                <w:p w14:paraId="20BC0131">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设计压力：1.0MPa(G)</w:t>
                  </w:r>
                  <w:r>
                    <w:rPr>
                      <w:rFonts w:hint="eastAsia"/>
                      <w:sz w:val="21"/>
                      <w:szCs w:val="21"/>
                    </w:rPr>
                    <w:t>；</w:t>
                  </w:r>
                </w:p>
                <w:p w14:paraId="0CFF7A74">
                  <w:pPr>
                    <w:pageBreakBefore w:val="0"/>
                    <w:widowControl/>
                    <w:kinsoku/>
                    <w:wordWrap/>
                    <w:topLinePunct w:val="0"/>
                    <w:autoSpaceDE w:val="0"/>
                    <w:autoSpaceDN w:val="0"/>
                    <w:bidi w:val="0"/>
                    <w:spacing w:line="280" w:lineRule="exact"/>
                    <w:jc w:val="center"/>
                    <w:rPr>
                      <w:sz w:val="21"/>
                      <w:szCs w:val="21"/>
                    </w:rPr>
                  </w:pPr>
                  <w:r>
                    <w:rPr>
                      <w:sz w:val="21"/>
                      <w:szCs w:val="21"/>
                    </w:rPr>
                    <w:t>设计温度：80℃。</w:t>
                  </w:r>
                </w:p>
              </w:tc>
              <w:tc>
                <w:tcPr>
                  <w:tcW w:w="506" w:type="dxa"/>
                  <w:noWrap w:val="0"/>
                  <w:vAlign w:val="center"/>
                </w:tcPr>
                <w:p w14:paraId="7AE26225">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780999A9">
                  <w:pPr>
                    <w:pageBreakBefore w:val="0"/>
                    <w:kinsoku/>
                    <w:wordWrap/>
                    <w:topLinePunct w:val="0"/>
                    <w:bidi w:val="0"/>
                    <w:spacing w:line="280" w:lineRule="exact"/>
                    <w:jc w:val="center"/>
                    <w:rPr>
                      <w:sz w:val="21"/>
                      <w:szCs w:val="21"/>
                    </w:rPr>
                  </w:pPr>
                  <w:r>
                    <w:rPr>
                      <w:rFonts w:hint="eastAsia"/>
                      <w:sz w:val="21"/>
                      <w:szCs w:val="21"/>
                    </w:rPr>
                    <w:t>1</w:t>
                  </w:r>
                </w:p>
              </w:tc>
              <w:tc>
                <w:tcPr>
                  <w:tcW w:w="499" w:type="dxa"/>
                  <w:noWrap w:val="0"/>
                  <w:vAlign w:val="center"/>
                </w:tcPr>
                <w:p w14:paraId="1744EC3D">
                  <w:pPr>
                    <w:pageBreakBefore w:val="0"/>
                    <w:kinsoku/>
                    <w:wordWrap/>
                    <w:topLinePunct w:val="0"/>
                    <w:bidi w:val="0"/>
                    <w:spacing w:line="280" w:lineRule="exact"/>
                    <w:jc w:val="center"/>
                    <w:rPr>
                      <w:sz w:val="21"/>
                      <w:szCs w:val="21"/>
                    </w:rPr>
                  </w:pPr>
                </w:p>
              </w:tc>
            </w:tr>
            <w:tr w14:paraId="517668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1E3437F9">
                  <w:pPr>
                    <w:pageBreakBefore w:val="0"/>
                    <w:kinsoku/>
                    <w:wordWrap/>
                    <w:topLinePunct w:val="0"/>
                    <w:bidi w:val="0"/>
                    <w:spacing w:line="280" w:lineRule="exact"/>
                    <w:jc w:val="center"/>
                    <w:rPr>
                      <w:sz w:val="21"/>
                      <w:szCs w:val="21"/>
                    </w:rPr>
                  </w:pPr>
                  <w:r>
                    <w:rPr>
                      <w:rFonts w:hint="eastAsia"/>
                      <w:sz w:val="21"/>
                      <w:szCs w:val="21"/>
                    </w:rPr>
                    <w:t>5</w:t>
                  </w:r>
                </w:p>
              </w:tc>
              <w:tc>
                <w:tcPr>
                  <w:tcW w:w="1455" w:type="dxa"/>
                  <w:noWrap w:val="0"/>
                  <w:vAlign w:val="center"/>
                </w:tcPr>
                <w:p w14:paraId="2F6DCD51">
                  <w:pPr>
                    <w:pageBreakBefore w:val="0"/>
                    <w:kinsoku/>
                    <w:wordWrap/>
                    <w:topLinePunct w:val="0"/>
                    <w:bidi w:val="0"/>
                    <w:spacing w:line="280" w:lineRule="exact"/>
                    <w:jc w:val="center"/>
                    <w:rPr>
                      <w:sz w:val="21"/>
                      <w:szCs w:val="21"/>
                    </w:rPr>
                  </w:pPr>
                  <w:r>
                    <w:rPr>
                      <w:sz w:val="21"/>
                      <w:szCs w:val="21"/>
                    </w:rPr>
                    <w:t>T-40104</w:t>
                  </w:r>
                </w:p>
              </w:tc>
              <w:tc>
                <w:tcPr>
                  <w:tcW w:w="1726" w:type="dxa"/>
                  <w:noWrap w:val="0"/>
                  <w:vAlign w:val="center"/>
                </w:tcPr>
                <w:p w14:paraId="5E618CA9">
                  <w:pPr>
                    <w:pageBreakBefore w:val="0"/>
                    <w:kinsoku/>
                    <w:wordWrap/>
                    <w:topLinePunct w:val="0"/>
                    <w:bidi w:val="0"/>
                    <w:spacing w:line="280" w:lineRule="exact"/>
                    <w:jc w:val="center"/>
                    <w:rPr>
                      <w:sz w:val="21"/>
                      <w:szCs w:val="21"/>
                    </w:rPr>
                  </w:pPr>
                  <w:r>
                    <w:rPr>
                      <w:sz w:val="21"/>
                      <w:szCs w:val="21"/>
                    </w:rPr>
                    <w:t>解吸气缓冲罐</w:t>
                  </w:r>
                </w:p>
              </w:tc>
              <w:tc>
                <w:tcPr>
                  <w:tcW w:w="3200" w:type="dxa"/>
                  <w:noWrap w:val="0"/>
                  <w:vAlign w:val="center"/>
                </w:tcPr>
                <w:p w14:paraId="7DAE75DF">
                  <w:pPr>
                    <w:pageBreakBefore w:val="0"/>
                    <w:widowControl/>
                    <w:kinsoku/>
                    <w:wordWrap/>
                    <w:topLinePunct w:val="0"/>
                    <w:autoSpaceDE w:val="0"/>
                    <w:autoSpaceDN w:val="0"/>
                    <w:bidi w:val="0"/>
                    <w:spacing w:line="280" w:lineRule="exact"/>
                    <w:jc w:val="center"/>
                    <w:rPr>
                      <w:sz w:val="21"/>
                      <w:szCs w:val="21"/>
                    </w:rPr>
                  </w:pPr>
                  <w:r>
                    <w:rPr>
                      <w:sz w:val="21"/>
                      <w:szCs w:val="21"/>
                    </w:rPr>
                    <w:t>Φ3600×19710</w:t>
                  </w:r>
                </w:p>
                <w:p w14:paraId="5A43866F">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操作压力：0.03MPa(G)</w:t>
                  </w:r>
                  <w:r>
                    <w:rPr>
                      <w:rFonts w:hint="eastAsia"/>
                      <w:sz w:val="21"/>
                      <w:szCs w:val="21"/>
                    </w:rPr>
                    <w:t>；</w:t>
                  </w:r>
                </w:p>
                <w:p w14:paraId="7B1BE8BF">
                  <w:pPr>
                    <w:pageBreakBefore w:val="0"/>
                    <w:widowControl/>
                    <w:kinsoku/>
                    <w:wordWrap/>
                    <w:topLinePunct w:val="0"/>
                    <w:autoSpaceDE w:val="0"/>
                    <w:autoSpaceDN w:val="0"/>
                    <w:bidi w:val="0"/>
                    <w:spacing w:line="280" w:lineRule="exact"/>
                    <w:jc w:val="center"/>
                    <w:rPr>
                      <w:sz w:val="21"/>
                      <w:szCs w:val="21"/>
                    </w:rPr>
                  </w:pPr>
                  <w:r>
                    <w:rPr>
                      <w:sz w:val="21"/>
                      <w:szCs w:val="21"/>
                    </w:rPr>
                    <w:t>操作温度：40℃；</w:t>
                  </w:r>
                </w:p>
                <w:p w14:paraId="07306E4A">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设计压力：0.3MPa(G)</w:t>
                  </w:r>
                  <w:r>
                    <w:rPr>
                      <w:rFonts w:hint="eastAsia"/>
                      <w:sz w:val="21"/>
                      <w:szCs w:val="21"/>
                    </w:rPr>
                    <w:t>；</w:t>
                  </w:r>
                </w:p>
                <w:p w14:paraId="0615D770">
                  <w:pPr>
                    <w:pageBreakBefore w:val="0"/>
                    <w:widowControl/>
                    <w:kinsoku/>
                    <w:wordWrap/>
                    <w:topLinePunct w:val="0"/>
                    <w:autoSpaceDE w:val="0"/>
                    <w:autoSpaceDN w:val="0"/>
                    <w:bidi w:val="0"/>
                    <w:spacing w:line="280" w:lineRule="exact"/>
                    <w:jc w:val="center"/>
                    <w:rPr>
                      <w:sz w:val="21"/>
                      <w:szCs w:val="21"/>
                    </w:rPr>
                  </w:pPr>
                  <w:r>
                    <w:rPr>
                      <w:sz w:val="21"/>
                      <w:szCs w:val="21"/>
                    </w:rPr>
                    <w:t>设计温度：80℃。</w:t>
                  </w:r>
                </w:p>
              </w:tc>
              <w:tc>
                <w:tcPr>
                  <w:tcW w:w="506" w:type="dxa"/>
                  <w:noWrap w:val="0"/>
                  <w:vAlign w:val="center"/>
                </w:tcPr>
                <w:p w14:paraId="2AF2CAA0">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5E16768E">
                  <w:pPr>
                    <w:pageBreakBefore w:val="0"/>
                    <w:kinsoku/>
                    <w:wordWrap/>
                    <w:topLinePunct w:val="0"/>
                    <w:bidi w:val="0"/>
                    <w:spacing w:line="280" w:lineRule="exact"/>
                    <w:jc w:val="center"/>
                    <w:rPr>
                      <w:sz w:val="21"/>
                      <w:szCs w:val="21"/>
                    </w:rPr>
                  </w:pPr>
                  <w:r>
                    <w:rPr>
                      <w:rFonts w:hint="eastAsia"/>
                      <w:sz w:val="21"/>
                      <w:szCs w:val="21"/>
                    </w:rPr>
                    <w:t>1</w:t>
                  </w:r>
                </w:p>
              </w:tc>
              <w:tc>
                <w:tcPr>
                  <w:tcW w:w="499" w:type="dxa"/>
                  <w:noWrap w:val="0"/>
                  <w:vAlign w:val="center"/>
                </w:tcPr>
                <w:p w14:paraId="109E89AD">
                  <w:pPr>
                    <w:pageBreakBefore w:val="0"/>
                    <w:kinsoku/>
                    <w:wordWrap/>
                    <w:topLinePunct w:val="0"/>
                    <w:bidi w:val="0"/>
                    <w:spacing w:line="280" w:lineRule="exact"/>
                    <w:jc w:val="center"/>
                    <w:rPr>
                      <w:sz w:val="21"/>
                      <w:szCs w:val="21"/>
                    </w:rPr>
                  </w:pPr>
                </w:p>
              </w:tc>
            </w:tr>
            <w:tr w14:paraId="202B7A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8" w:type="dxa"/>
                  <w:noWrap w:val="0"/>
                  <w:vAlign w:val="center"/>
                </w:tcPr>
                <w:p w14:paraId="540559BE">
                  <w:pPr>
                    <w:pageBreakBefore w:val="0"/>
                    <w:kinsoku/>
                    <w:wordWrap/>
                    <w:topLinePunct w:val="0"/>
                    <w:bidi w:val="0"/>
                    <w:spacing w:line="280" w:lineRule="exact"/>
                    <w:jc w:val="center"/>
                    <w:rPr>
                      <w:sz w:val="21"/>
                      <w:szCs w:val="21"/>
                    </w:rPr>
                  </w:pPr>
                  <w:r>
                    <w:rPr>
                      <w:rFonts w:hint="eastAsia"/>
                      <w:sz w:val="21"/>
                      <w:szCs w:val="21"/>
                    </w:rPr>
                    <w:t>6</w:t>
                  </w:r>
                </w:p>
              </w:tc>
              <w:tc>
                <w:tcPr>
                  <w:tcW w:w="1455" w:type="dxa"/>
                  <w:noWrap w:val="0"/>
                  <w:vAlign w:val="center"/>
                </w:tcPr>
                <w:p w14:paraId="08E0DF9D">
                  <w:pPr>
                    <w:pageBreakBefore w:val="0"/>
                    <w:kinsoku/>
                    <w:wordWrap/>
                    <w:topLinePunct w:val="0"/>
                    <w:bidi w:val="0"/>
                    <w:spacing w:line="280" w:lineRule="exact"/>
                    <w:jc w:val="center"/>
                    <w:rPr>
                      <w:sz w:val="21"/>
                      <w:szCs w:val="21"/>
                    </w:rPr>
                  </w:pPr>
                  <w:r>
                    <w:rPr>
                      <w:sz w:val="21"/>
                      <w:szCs w:val="21"/>
                    </w:rPr>
                    <w:t>T-40105</w:t>
                  </w:r>
                </w:p>
              </w:tc>
              <w:tc>
                <w:tcPr>
                  <w:tcW w:w="1726" w:type="dxa"/>
                  <w:noWrap w:val="0"/>
                  <w:vAlign w:val="center"/>
                </w:tcPr>
                <w:p w14:paraId="2C2A5357">
                  <w:pPr>
                    <w:pageBreakBefore w:val="0"/>
                    <w:kinsoku/>
                    <w:wordWrap/>
                    <w:topLinePunct w:val="0"/>
                    <w:bidi w:val="0"/>
                    <w:spacing w:line="280" w:lineRule="exact"/>
                    <w:jc w:val="center"/>
                    <w:rPr>
                      <w:sz w:val="21"/>
                      <w:szCs w:val="21"/>
                    </w:rPr>
                  </w:pPr>
                  <w:r>
                    <w:rPr>
                      <w:sz w:val="21"/>
                      <w:szCs w:val="21"/>
                    </w:rPr>
                    <w:t>解吸气混合罐</w:t>
                  </w:r>
                </w:p>
              </w:tc>
              <w:tc>
                <w:tcPr>
                  <w:tcW w:w="3200" w:type="dxa"/>
                  <w:noWrap w:val="0"/>
                  <w:vAlign w:val="center"/>
                </w:tcPr>
                <w:p w14:paraId="7EAB8B54">
                  <w:pPr>
                    <w:pageBreakBefore w:val="0"/>
                    <w:widowControl/>
                    <w:kinsoku/>
                    <w:wordWrap/>
                    <w:topLinePunct w:val="0"/>
                    <w:autoSpaceDE w:val="0"/>
                    <w:autoSpaceDN w:val="0"/>
                    <w:bidi w:val="0"/>
                    <w:spacing w:line="280" w:lineRule="exact"/>
                    <w:jc w:val="center"/>
                    <w:rPr>
                      <w:sz w:val="21"/>
                      <w:szCs w:val="21"/>
                    </w:rPr>
                  </w:pPr>
                  <w:r>
                    <w:rPr>
                      <w:sz w:val="21"/>
                      <w:szCs w:val="21"/>
                    </w:rPr>
                    <w:t>Φ3600×19710</w:t>
                  </w:r>
                </w:p>
                <w:p w14:paraId="26F60DC9">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操作压力：0.03MPa(G)</w:t>
                  </w:r>
                  <w:r>
                    <w:rPr>
                      <w:rFonts w:hint="eastAsia"/>
                      <w:sz w:val="21"/>
                      <w:szCs w:val="21"/>
                    </w:rPr>
                    <w:t>；</w:t>
                  </w:r>
                </w:p>
                <w:p w14:paraId="2A9E6551">
                  <w:pPr>
                    <w:pageBreakBefore w:val="0"/>
                    <w:widowControl/>
                    <w:kinsoku/>
                    <w:wordWrap/>
                    <w:topLinePunct w:val="0"/>
                    <w:autoSpaceDE w:val="0"/>
                    <w:autoSpaceDN w:val="0"/>
                    <w:bidi w:val="0"/>
                    <w:spacing w:line="280" w:lineRule="exact"/>
                    <w:jc w:val="center"/>
                    <w:rPr>
                      <w:sz w:val="21"/>
                      <w:szCs w:val="21"/>
                    </w:rPr>
                  </w:pPr>
                  <w:r>
                    <w:rPr>
                      <w:sz w:val="21"/>
                      <w:szCs w:val="21"/>
                    </w:rPr>
                    <w:t>操作温度：40℃；</w:t>
                  </w:r>
                </w:p>
                <w:p w14:paraId="52CCC55D">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设计压力：0.3MPa(G)</w:t>
                  </w:r>
                  <w:r>
                    <w:rPr>
                      <w:rFonts w:hint="eastAsia"/>
                      <w:sz w:val="21"/>
                      <w:szCs w:val="21"/>
                    </w:rPr>
                    <w:t>；</w:t>
                  </w:r>
                </w:p>
                <w:p w14:paraId="00405346">
                  <w:pPr>
                    <w:pageBreakBefore w:val="0"/>
                    <w:widowControl/>
                    <w:kinsoku/>
                    <w:wordWrap/>
                    <w:topLinePunct w:val="0"/>
                    <w:autoSpaceDE w:val="0"/>
                    <w:autoSpaceDN w:val="0"/>
                    <w:bidi w:val="0"/>
                    <w:spacing w:line="280" w:lineRule="exact"/>
                    <w:jc w:val="center"/>
                    <w:rPr>
                      <w:sz w:val="21"/>
                      <w:szCs w:val="21"/>
                    </w:rPr>
                  </w:pPr>
                  <w:r>
                    <w:rPr>
                      <w:sz w:val="21"/>
                      <w:szCs w:val="21"/>
                    </w:rPr>
                    <w:t>设计温度：80℃。</w:t>
                  </w:r>
                </w:p>
              </w:tc>
              <w:tc>
                <w:tcPr>
                  <w:tcW w:w="506" w:type="dxa"/>
                  <w:noWrap w:val="0"/>
                  <w:vAlign w:val="center"/>
                </w:tcPr>
                <w:p w14:paraId="30095C3E">
                  <w:pPr>
                    <w:pageBreakBefore w:val="0"/>
                    <w:kinsoku/>
                    <w:wordWrap/>
                    <w:topLinePunct w:val="0"/>
                    <w:bidi w:val="0"/>
                    <w:spacing w:line="280" w:lineRule="exact"/>
                    <w:jc w:val="center"/>
                    <w:rPr>
                      <w:sz w:val="21"/>
                      <w:szCs w:val="21"/>
                    </w:rPr>
                  </w:pPr>
                  <w:r>
                    <w:rPr>
                      <w:rFonts w:hint="eastAsia"/>
                      <w:sz w:val="21"/>
                      <w:szCs w:val="21"/>
                    </w:rPr>
                    <w:t>台</w:t>
                  </w:r>
                </w:p>
              </w:tc>
              <w:tc>
                <w:tcPr>
                  <w:tcW w:w="506" w:type="dxa"/>
                  <w:noWrap w:val="0"/>
                  <w:vAlign w:val="center"/>
                </w:tcPr>
                <w:p w14:paraId="0E210972">
                  <w:pPr>
                    <w:pageBreakBefore w:val="0"/>
                    <w:kinsoku/>
                    <w:wordWrap/>
                    <w:topLinePunct w:val="0"/>
                    <w:bidi w:val="0"/>
                    <w:spacing w:line="280" w:lineRule="exact"/>
                    <w:jc w:val="center"/>
                    <w:rPr>
                      <w:sz w:val="21"/>
                      <w:szCs w:val="21"/>
                    </w:rPr>
                  </w:pPr>
                  <w:r>
                    <w:rPr>
                      <w:rFonts w:hint="eastAsia"/>
                      <w:sz w:val="21"/>
                      <w:szCs w:val="21"/>
                    </w:rPr>
                    <w:t>1</w:t>
                  </w:r>
                </w:p>
              </w:tc>
              <w:tc>
                <w:tcPr>
                  <w:tcW w:w="499" w:type="dxa"/>
                  <w:noWrap w:val="0"/>
                  <w:vAlign w:val="center"/>
                </w:tcPr>
                <w:p w14:paraId="54CB80D5">
                  <w:pPr>
                    <w:pageBreakBefore w:val="0"/>
                    <w:kinsoku/>
                    <w:wordWrap/>
                    <w:topLinePunct w:val="0"/>
                    <w:bidi w:val="0"/>
                    <w:spacing w:line="280" w:lineRule="exact"/>
                    <w:jc w:val="center"/>
                    <w:rPr>
                      <w:sz w:val="21"/>
                      <w:szCs w:val="21"/>
                    </w:rPr>
                  </w:pPr>
                </w:p>
              </w:tc>
            </w:tr>
          </w:tbl>
          <w:p w14:paraId="4D271631">
            <w:pPr>
              <w:pStyle w:val="25"/>
              <w:pageBreakBefore w:val="0"/>
              <w:kinsoku/>
              <w:wordWrap/>
              <w:topLinePunct w:val="0"/>
              <w:bidi w:val="0"/>
              <w:rPr>
                <w:rFonts w:hint="default" w:eastAsia="宋体"/>
                <w:b/>
                <w:lang w:val="en-US" w:eastAsia="zh-CN"/>
              </w:rPr>
            </w:pPr>
            <w:r>
              <w:rPr>
                <w:rFonts w:hint="eastAsia"/>
                <w:lang w:val="en-US" w:eastAsia="zh-CN"/>
              </w:rPr>
              <w:t>表2-3  动设备选型情况一览表</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47"/>
              <w:gridCol w:w="1329"/>
              <w:gridCol w:w="1328"/>
              <w:gridCol w:w="3496"/>
              <w:gridCol w:w="453"/>
              <w:gridCol w:w="453"/>
              <w:gridCol w:w="884"/>
            </w:tblGrid>
            <w:tr w14:paraId="49B649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32C1C7FF">
                  <w:pPr>
                    <w:pageBreakBefore w:val="0"/>
                    <w:kinsoku/>
                    <w:wordWrap/>
                    <w:topLinePunct w:val="0"/>
                    <w:bidi w:val="0"/>
                    <w:spacing w:line="280" w:lineRule="exact"/>
                    <w:jc w:val="center"/>
                    <w:rPr>
                      <w:b/>
                      <w:bCs/>
                      <w:sz w:val="21"/>
                      <w:szCs w:val="21"/>
                    </w:rPr>
                  </w:pPr>
                  <w:r>
                    <w:rPr>
                      <w:rFonts w:hint="eastAsia"/>
                      <w:b/>
                      <w:bCs/>
                      <w:sz w:val="21"/>
                      <w:szCs w:val="21"/>
                    </w:rPr>
                    <w:t>序号</w:t>
                  </w:r>
                </w:p>
              </w:tc>
              <w:tc>
                <w:tcPr>
                  <w:tcW w:w="1329" w:type="dxa"/>
                  <w:noWrap w:val="0"/>
                  <w:vAlign w:val="center"/>
                </w:tcPr>
                <w:p w14:paraId="251996AC">
                  <w:pPr>
                    <w:pageBreakBefore w:val="0"/>
                    <w:kinsoku/>
                    <w:wordWrap/>
                    <w:topLinePunct w:val="0"/>
                    <w:bidi w:val="0"/>
                    <w:spacing w:line="280" w:lineRule="exact"/>
                    <w:jc w:val="center"/>
                    <w:rPr>
                      <w:b/>
                      <w:bCs/>
                      <w:sz w:val="21"/>
                      <w:szCs w:val="21"/>
                    </w:rPr>
                  </w:pPr>
                  <w:r>
                    <w:rPr>
                      <w:rFonts w:hint="eastAsia"/>
                      <w:b/>
                      <w:bCs/>
                      <w:sz w:val="21"/>
                      <w:szCs w:val="21"/>
                    </w:rPr>
                    <w:t>设备位号</w:t>
                  </w:r>
                </w:p>
              </w:tc>
              <w:tc>
                <w:tcPr>
                  <w:tcW w:w="1328" w:type="dxa"/>
                  <w:noWrap w:val="0"/>
                  <w:vAlign w:val="center"/>
                </w:tcPr>
                <w:p w14:paraId="358D1CCE">
                  <w:pPr>
                    <w:pageBreakBefore w:val="0"/>
                    <w:kinsoku/>
                    <w:wordWrap/>
                    <w:topLinePunct w:val="0"/>
                    <w:bidi w:val="0"/>
                    <w:spacing w:line="280" w:lineRule="exact"/>
                    <w:jc w:val="center"/>
                    <w:rPr>
                      <w:b/>
                      <w:bCs/>
                      <w:sz w:val="21"/>
                      <w:szCs w:val="21"/>
                    </w:rPr>
                  </w:pPr>
                  <w:r>
                    <w:rPr>
                      <w:rFonts w:hint="eastAsia"/>
                      <w:b/>
                      <w:bCs/>
                      <w:sz w:val="21"/>
                      <w:szCs w:val="21"/>
                    </w:rPr>
                    <w:t>设备名称</w:t>
                  </w:r>
                </w:p>
              </w:tc>
              <w:tc>
                <w:tcPr>
                  <w:tcW w:w="3496" w:type="dxa"/>
                  <w:noWrap w:val="0"/>
                  <w:vAlign w:val="center"/>
                </w:tcPr>
                <w:p w14:paraId="13F58547">
                  <w:pPr>
                    <w:pageBreakBefore w:val="0"/>
                    <w:kinsoku/>
                    <w:wordWrap/>
                    <w:topLinePunct w:val="0"/>
                    <w:bidi w:val="0"/>
                    <w:spacing w:line="280" w:lineRule="exact"/>
                    <w:jc w:val="center"/>
                    <w:rPr>
                      <w:b/>
                      <w:bCs/>
                      <w:sz w:val="21"/>
                      <w:szCs w:val="21"/>
                    </w:rPr>
                  </w:pPr>
                  <w:r>
                    <w:rPr>
                      <w:rFonts w:hint="eastAsia"/>
                      <w:b/>
                      <w:bCs/>
                      <w:sz w:val="21"/>
                      <w:szCs w:val="21"/>
                    </w:rPr>
                    <w:t>技术规格</w:t>
                  </w:r>
                </w:p>
              </w:tc>
              <w:tc>
                <w:tcPr>
                  <w:tcW w:w="453" w:type="dxa"/>
                  <w:noWrap w:val="0"/>
                  <w:vAlign w:val="center"/>
                </w:tcPr>
                <w:p w14:paraId="45B4D264">
                  <w:pPr>
                    <w:pageBreakBefore w:val="0"/>
                    <w:kinsoku/>
                    <w:wordWrap/>
                    <w:topLinePunct w:val="0"/>
                    <w:bidi w:val="0"/>
                    <w:spacing w:line="280" w:lineRule="exact"/>
                    <w:jc w:val="center"/>
                    <w:rPr>
                      <w:b/>
                      <w:bCs/>
                      <w:sz w:val="21"/>
                      <w:szCs w:val="21"/>
                    </w:rPr>
                  </w:pPr>
                  <w:r>
                    <w:rPr>
                      <w:rFonts w:hint="eastAsia"/>
                      <w:b/>
                      <w:bCs/>
                      <w:sz w:val="21"/>
                      <w:szCs w:val="21"/>
                    </w:rPr>
                    <w:t>单位</w:t>
                  </w:r>
                </w:p>
              </w:tc>
              <w:tc>
                <w:tcPr>
                  <w:tcW w:w="453" w:type="dxa"/>
                  <w:noWrap w:val="0"/>
                  <w:vAlign w:val="center"/>
                </w:tcPr>
                <w:p w14:paraId="2ADBEB41">
                  <w:pPr>
                    <w:pageBreakBefore w:val="0"/>
                    <w:kinsoku/>
                    <w:wordWrap/>
                    <w:topLinePunct w:val="0"/>
                    <w:bidi w:val="0"/>
                    <w:spacing w:line="280" w:lineRule="exact"/>
                    <w:jc w:val="center"/>
                    <w:rPr>
                      <w:b/>
                      <w:bCs/>
                      <w:sz w:val="21"/>
                      <w:szCs w:val="21"/>
                    </w:rPr>
                  </w:pPr>
                  <w:r>
                    <w:rPr>
                      <w:rFonts w:hint="eastAsia"/>
                      <w:b/>
                      <w:bCs/>
                      <w:sz w:val="21"/>
                      <w:szCs w:val="21"/>
                    </w:rPr>
                    <w:t>数量</w:t>
                  </w:r>
                </w:p>
              </w:tc>
              <w:tc>
                <w:tcPr>
                  <w:tcW w:w="884" w:type="dxa"/>
                  <w:noWrap w:val="0"/>
                  <w:vAlign w:val="center"/>
                </w:tcPr>
                <w:p w14:paraId="1B4FB3B1">
                  <w:pPr>
                    <w:pageBreakBefore w:val="0"/>
                    <w:kinsoku/>
                    <w:wordWrap/>
                    <w:topLinePunct w:val="0"/>
                    <w:bidi w:val="0"/>
                    <w:spacing w:line="280" w:lineRule="exact"/>
                    <w:jc w:val="center"/>
                    <w:rPr>
                      <w:rFonts w:hint="eastAsia"/>
                      <w:b/>
                      <w:bCs/>
                      <w:sz w:val="21"/>
                      <w:szCs w:val="21"/>
                    </w:rPr>
                  </w:pPr>
                  <w:r>
                    <w:rPr>
                      <w:rFonts w:hint="eastAsia"/>
                      <w:b/>
                      <w:bCs/>
                      <w:sz w:val="21"/>
                      <w:szCs w:val="21"/>
                    </w:rPr>
                    <w:t>备注</w:t>
                  </w:r>
                </w:p>
              </w:tc>
            </w:tr>
            <w:tr w14:paraId="586C47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5B20C43B">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1</w:t>
                  </w:r>
                </w:p>
              </w:tc>
              <w:tc>
                <w:tcPr>
                  <w:tcW w:w="1329" w:type="dxa"/>
                  <w:noWrap w:val="0"/>
                  <w:vAlign w:val="center"/>
                </w:tcPr>
                <w:p w14:paraId="7C2EC35B">
                  <w:pPr>
                    <w:pageBreakBefore w:val="0"/>
                    <w:kinsoku/>
                    <w:wordWrap/>
                    <w:topLinePunct w:val="0"/>
                    <w:bidi w:val="0"/>
                    <w:spacing w:line="280" w:lineRule="exact"/>
                    <w:jc w:val="center"/>
                    <w:rPr>
                      <w:sz w:val="21"/>
                      <w:szCs w:val="21"/>
                    </w:rPr>
                  </w:pPr>
                  <w:r>
                    <w:rPr>
                      <w:sz w:val="21"/>
                      <w:szCs w:val="21"/>
                    </w:rPr>
                    <w:t>K-20101</w:t>
                  </w:r>
                </w:p>
              </w:tc>
              <w:tc>
                <w:tcPr>
                  <w:tcW w:w="1328" w:type="dxa"/>
                  <w:noWrap w:val="0"/>
                  <w:vAlign w:val="center"/>
                </w:tcPr>
                <w:p w14:paraId="0A064000">
                  <w:pPr>
                    <w:pageBreakBefore w:val="0"/>
                    <w:kinsoku/>
                    <w:wordWrap/>
                    <w:topLinePunct w:val="0"/>
                    <w:bidi w:val="0"/>
                    <w:spacing w:line="280" w:lineRule="exact"/>
                    <w:jc w:val="center"/>
                    <w:rPr>
                      <w:sz w:val="21"/>
                      <w:szCs w:val="21"/>
                    </w:rPr>
                  </w:pPr>
                  <w:r>
                    <w:rPr>
                      <w:sz w:val="21"/>
                      <w:szCs w:val="21"/>
                    </w:rPr>
                    <w:t>荒煤气压缩机</w:t>
                  </w:r>
                </w:p>
              </w:tc>
              <w:tc>
                <w:tcPr>
                  <w:tcW w:w="3496" w:type="dxa"/>
                  <w:noWrap w:val="0"/>
                  <w:vAlign w:val="center"/>
                </w:tcPr>
                <w:p w14:paraId="3713D9C5">
                  <w:pPr>
                    <w:pageBreakBefore w:val="0"/>
                    <w:widowControl/>
                    <w:kinsoku/>
                    <w:wordWrap/>
                    <w:topLinePunct w:val="0"/>
                    <w:autoSpaceDE w:val="0"/>
                    <w:autoSpaceDN w:val="0"/>
                    <w:bidi w:val="0"/>
                    <w:spacing w:line="280" w:lineRule="exact"/>
                    <w:jc w:val="center"/>
                    <w:rPr>
                      <w:rFonts w:hint="eastAsia"/>
                      <w:sz w:val="21"/>
                      <w:szCs w:val="21"/>
                      <w:lang w:val="en-US" w:eastAsia="zh-CN"/>
                    </w:rPr>
                  </w:pPr>
                  <w:r>
                    <w:rPr>
                      <w:rFonts w:hint="eastAsia"/>
                      <w:sz w:val="21"/>
                      <w:szCs w:val="21"/>
                      <w:lang w:val="en-US" w:eastAsia="zh-CN"/>
                    </w:rPr>
                    <w:t>处理气量：30000Nm</w:t>
                  </w:r>
                  <w:r>
                    <w:rPr>
                      <w:rFonts w:hint="eastAsia"/>
                      <w:sz w:val="21"/>
                      <w:szCs w:val="21"/>
                      <w:vertAlign w:val="superscript"/>
                      <w:lang w:val="en-US" w:eastAsia="zh-CN"/>
                    </w:rPr>
                    <w:t>3</w:t>
                  </w:r>
                  <w:r>
                    <w:rPr>
                      <w:rFonts w:hint="eastAsia"/>
                      <w:sz w:val="21"/>
                      <w:szCs w:val="21"/>
                      <w:lang w:val="en-US" w:eastAsia="zh-CN"/>
                    </w:rPr>
                    <w:t>/h；</w:t>
                  </w:r>
                </w:p>
                <w:p w14:paraId="502B820B">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进气压力：0.005MpaG</w:t>
                  </w:r>
                  <w:r>
                    <w:rPr>
                      <w:rFonts w:hint="eastAsia"/>
                      <w:sz w:val="21"/>
                      <w:szCs w:val="21"/>
                    </w:rPr>
                    <w:t>；</w:t>
                  </w:r>
                </w:p>
                <w:p w14:paraId="016053BD">
                  <w:pPr>
                    <w:pageBreakBefore w:val="0"/>
                    <w:widowControl/>
                    <w:kinsoku/>
                    <w:wordWrap/>
                    <w:topLinePunct w:val="0"/>
                    <w:autoSpaceDE w:val="0"/>
                    <w:autoSpaceDN w:val="0"/>
                    <w:bidi w:val="0"/>
                    <w:spacing w:line="280" w:lineRule="exact"/>
                    <w:jc w:val="center"/>
                    <w:rPr>
                      <w:sz w:val="21"/>
                      <w:szCs w:val="21"/>
                    </w:rPr>
                  </w:pPr>
                  <w:r>
                    <w:rPr>
                      <w:sz w:val="21"/>
                      <w:szCs w:val="21"/>
                    </w:rPr>
                    <w:t>出口压力0.7MpaG；</w:t>
                  </w:r>
                </w:p>
                <w:p w14:paraId="32DE871B">
                  <w:pPr>
                    <w:pageBreakBefore w:val="0"/>
                    <w:widowControl/>
                    <w:kinsoku/>
                    <w:wordWrap/>
                    <w:topLinePunct w:val="0"/>
                    <w:autoSpaceDE w:val="0"/>
                    <w:autoSpaceDN w:val="0"/>
                    <w:bidi w:val="0"/>
                    <w:spacing w:line="280" w:lineRule="exact"/>
                    <w:jc w:val="center"/>
                    <w:rPr>
                      <w:sz w:val="21"/>
                      <w:szCs w:val="21"/>
                    </w:rPr>
                  </w:pPr>
                  <w:r>
                    <w:rPr>
                      <w:sz w:val="21"/>
                      <w:szCs w:val="21"/>
                    </w:rPr>
                    <w:t>功率：3700kW</w:t>
                  </w:r>
                </w:p>
              </w:tc>
              <w:tc>
                <w:tcPr>
                  <w:tcW w:w="453" w:type="dxa"/>
                  <w:noWrap w:val="0"/>
                  <w:vAlign w:val="center"/>
                </w:tcPr>
                <w:p w14:paraId="2F305F38">
                  <w:pPr>
                    <w:pageBreakBefore w:val="0"/>
                    <w:kinsoku/>
                    <w:wordWrap/>
                    <w:topLinePunct w:val="0"/>
                    <w:bidi w:val="0"/>
                    <w:spacing w:line="280" w:lineRule="exact"/>
                    <w:jc w:val="center"/>
                    <w:rPr>
                      <w:sz w:val="21"/>
                      <w:szCs w:val="21"/>
                    </w:rPr>
                  </w:pPr>
                  <w:r>
                    <w:rPr>
                      <w:rFonts w:hint="eastAsia"/>
                      <w:sz w:val="21"/>
                      <w:szCs w:val="21"/>
                    </w:rPr>
                    <w:t>台</w:t>
                  </w:r>
                </w:p>
              </w:tc>
              <w:tc>
                <w:tcPr>
                  <w:tcW w:w="453" w:type="dxa"/>
                  <w:noWrap w:val="0"/>
                  <w:vAlign w:val="center"/>
                </w:tcPr>
                <w:p w14:paraId="34A3C100">
                  <w:pPr>
                    <w:pageBreakBefore w:val="0"/>
                    <w:kinsoku/>
                    <w:wordWrap/>
                    <w:topLinePunct w:val="0"/>
                    <w:bidi w:val="0"/>
                    <w:spacing w:line="280" w:lineRule="exact"/>
                    <w:jc w:val="center"/>
                    <w:rPr>
                      <w:sz w:val="21"/>
                      <w:szCs w:val="21"/>
                    </w:rPr>
                  </w:pPr>
                  <w:r>
                    <w:rPr>
                      <w:rFonts w:hint="eastAsia"/>
                      <w:sz w:val="21"/>
                      <w:szCs w:val="21"/>
                    </w:rPr>
                    <w:t>1</w:t>
                  </w:r>
                </w:p>
              </w:tc>
              <w:tc>
                <w:tcPr>
                  <w:tcW w:w="884" w:type="dxa"/>
                  <w:noWrap w:val="0"/>
                  <w:vAlign w:val="center"/>
                </w:tcPr>
                <w:p w14:paraId="11D3F617">
                  <w:pPr>
                    <w:pageBreakBefore w:val="0"/>
                    <w:kinsoku/>
                    <w:wordWrap/>
                    <w:topLinePunct w:val="0"/>
                    <w:bidi w:val="0"/>
                    <w:spacing w:line="280" w:lineRule="exact"/>
                    <w:jc w:val="center"/>
                    <w:rPr>
                      <w:sz w:val="21"/>
                      <w:szCs w:val="21"/>
                    </w:rPr>
                  </w:pPr>
                </w:p>
              </w:tc>
            </w:tr>
            <w:tr w14:paraId="5BB664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4266C719">
                  <w:pPr>
                    <w:pageBreakBefore w:val="0"/>
                    <w:kinsoku/>
                    <w:wordWrap/>
                    <w:topLinePunct w:val="0"/>
                    <w:bidi w:val="0"/>
                    <w:spacing w:line="280" w:lineRule="exact"/>
                    <w:jc w:val="center"/>
                    <w:rPr>
                      <w:rFonts w:hint="eastAsia" w:eastAsia="宋体"/>
                      <w:sz w:val="21"/>
                      <w:szCs w:val="21"/>
                      <w:lang w:eastAsia="zh-CN"/>
                    </w:rPr>
                  </w:pPr>
                  <w:r>
                    <w:rPr>
                      <w:rFonts w:hint="eastAsia"/>
                      <w:sz w:val="21"/>
                      <w:szCs w:val="21"/>
                      <w:lang w:val="en-US" w:eastAsia="zh-CN"/>
                    </w:rPr>
                    <w:t>2</w:t>
                  </w:r>
                </w:p>
              </w:tc>
              <w:tc>
                <w:tcPr>
                  <w:tcW w:w="1329" w:type="dxa"/>
                  <w:noWrap w:val="0"/>
                  <w:vAlign w:val="center"/>
                </w:tcPr>
                <w:p w14:paraId="5A3DCD33">
                  <w:pPr>
                    <w:pageBreakBefore w:val="0"/>
                    <w:kinsoku/>
                    <w:wordWrap/>
                    <w:topLinePunct w:val="0"/>
                    <w:bidi w:val="0"/>
                    <w:spacing w:line="280" w:lineRule="exact"/>
                    <w:jc w:val="center"/>
                    <w:rPr>
                      <w:rFonts w:hint="default" w:eastAsia="宋体"/>
                      <w:sz w:val="21"/>
                      <w:szCs w:val="21"/>
                      <w:lang w:val="en-US" w:eastAsia="zh-CN"/>
                    </w:rPr>
                  </w:pPr>
                  <w:r>
                    <w:rPr>
                      <w:sz w:val="21"/>
                      <w:szCs w:val="21"/>
                    </w:rPr>
                    <w:t>P-40101A/B</w:t>
                  </w:r>
                  <w:r>
                    <w:rPr>
                      <w:rFonts w:hint="eastAsia"/>
                      <w:sz w:val="21"/>
                      <w:szCs w:val="21"/>
                      <w:lang w:val="en-US" w:eastAsia="zh-CN"/>
                    </w:rPr>
                    <w:t>/C</w:t>
                  </w:r>
                </w:p>
              </w:tc>
              <w:tc>
                <w:tcPr>
                  <w:tcW w:w="1328" w:type="dxa"/>
                  <w:noWrap w:val="0"/>
                  <w:vAlign w:val="center"/>
                </w:tcPr>
                <w:p w14:paraId="0A5EF42D">
                  <w:pPr>
                    <w:pageBreakBefore w:val="0"/>
                    <w:kinsoku/>
                    <w:wordWrap/>
                    <w:topLinePunct w:val="0"/>
                    <w:bidi w:val="0"/>
                    <w:spacing w:line="280" w:lineRule="exact"/>
                    <w:jc w:val="center"/>
                    <w:rPr>
                      <w:sz w:val="21"/>
                      <w:szCs w:val="21"/>
                    </w:rPr>
                  </w:pPr>
                  <w:r>
                    <w:rPr>
                      <w:sz w:val="21"/>
                      <w:szCs w:val="21"/>
                    </w:rPr>
                    <w:t>真空泵</w:t>
                  </w:r>
                </w:p>
              </w:tc>
              <w:tc>
                <w:tcPr>
                  <w:tcW w:w="3496" w:type="dxa"/>
                  <w:noWrap w:val="0"/>
                  <w:vAlign w:val="center"/>
                </w:tcPr>
                <w:p w14:paraId="1978D4EE">
                  <w:pPr>
                    <w:pageBreakBefore w:val="0"/>
                    <w:widowControl/>
                    <w:kinsoku/>
                    <w:wordWrap/>
                    <w:topLinePunct w:val="0"/>
                    <w:autoSpaceDE w:val="0"/>
                    <w:autoSpaceDN w:val="0"/>
                    <w:bidi w:val="0"/>
                    <w:spacing w:line="280" w:lineRule="exact"/>
                    <w:jc w:val="center"/>
                    <w:rPr>
                      <w:rFonts w:hint="eastAsia" w:eastAsia="宋体"/>
                      <w:sz w:val="21"/>
                      <w:szCs w:val="21"/>
                      <w:lang w:eastAsia="zh-CN"/>
                    </w:rPr>
                  </w:pPr>
                  <w:r>
                    <w:rPr>
                      <w:sz w:val="21"/>
                      <w:szCs w:val="21"/>
                    </w:rPr>
                    <w:t>处理气量：19200Nm</w:t>
                  </w:r>
                  <w:r>
                    <w:rPr>
                      <w:sz w:val="21"/>
                      <w:szCs w:val="21"/>
                      <w:vertAlign w:val="superscript"/>
                    </w:rPr>
                    <w:t>3</w:t>
                  </w:r>
                  <w:r>
                    <w:rPr>
                      <w:sz w:val="21"/>
                      <w:szCs w:val="21"/>
                    </w:rPr>
                    <w:t>/h</w:t>
                  </w:r>
                  <w:r>
                    <w:rPr>
                      <w:rFonts w:hint="eastAsia"/>
                      <w:sz w:val="21"/>
                      <w:szCs w:val="21"/>
                      <w:lang w:eastAsia="zh-CN"/>
                    </w:rPr>
                    <w:t>；</w:t>
                  </w:r>
                </w:p>
                <w:p w14:paraId="6EBE228F">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进气压力：-0.05Mpa</w:t>
                  </w:r>
                  <w:r>
                    <w:rPr>
                      <w:rFonts w:hint="eastAsia"/>
                      <w:sz w:val="21"/>
                      <w:szCs w:val="21"/>
                    </w:rPr>
                    <w:t>；</w:t>
                  </w:r>
                </w:p>
                <w:p w14:paraId="02BCC7F6">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出口压力：0.03Mpa</w:t>
                  </w:r>
                  <w:r>
                    <w:rPr>
                      <w:rFonts w:hint="eastAsia"/>
                      <w:sz w:val="21"/>
                      <w:szCs w:val="21"/>
                    </w:rPr>
                    <w:t>；</w:t>
                  </w:r>
                </w:p>
                <w:p w14:paraId="0D3CE8DC">
                  <w:pPr>
                    <w:pageBreakBefore w:val="0"/>
                    <w:widowControl/>
                    <w:kinsoku/>
                    <w:wordWrap/>
                    <w:topLinePunct w:val="0"/>
                    <w:autoSpaceDE w:val="0"/>
                    <w:autoSpaceDN w:val="0"/>
                    <w:bidi w:val="0"/>
                    <w:spacing w:line="280" w:lineRule="exact"/>
                    <w:jc w:val="center"/>
                    <w:rPr>
                      <w:sz w:val="21"/>
                      <w:szCs w:val="21"/>
                    </w:rPr>
                  </w:pPr>
                  <w:r>
                    <w:rPr>
                      <w:sz w:val="21"/>
                      <w:szCs w:val="21"/>
                    </w:rPr>
                    <w:t>功率710kW</w:t>
                  </w:r>
                </w:p>
              </w:tc>
              <w:tc>
                <w:tcPr>
                  <w:tcW w:w="453" w:type="dxa"/>
                  <w:noWrap w:val="0"/>
                  <w:vAlign w:val="center"/>
                </w:tcPr>
                <w:p w14:paraId="09A2AEA5">
                  <w:pPr>
                    <w:pageBreakBefore w:val="0"/>
                    <w:kinsoku/>
                    <w:wordWrap/>
                    <w:topLinePunct w:val="0"/>
                    <w:bidi w:val="0"/>
                    <w:spacing w:line="280" w:lineRule="exact"/>
                    <w:jc w:val="center"/>
                    <w:rPr>
                      <w:sz w:val="21"/>
                      <w:szCs w:val="21"/>
                    </w:rPr>
                  </w:pPr>
                  <w:r>
                    <w:rPr>
                      <w:rFonts w:hint="eastAsia"/>
                      <w:sz w:val="21"/>
                      <w:szCs w:val="21"/>
                    </w:rPr>
                    <w:t>台</w:t>
                  </w:r>
                </w:p>
              </w:tc>
              <w:tc>
                <w:tcPr>
                  <w:tcW w:w="453" w:type="dxa"/>
                  <w:noWrap w:val="0"/>
                  <w:vAlign w:val="center"/>
                </w:tcPr>
                <w:p w14:paraId="047429FA">
                  <w:pPr>
                    <w:pageBreakBefore w:val="0"/>
                    <w:kinsoku/>
                    <w:wordWrap/>
                    <w:topLinePunct w:val="0"/>
                    <w:bidi w:val="0"/>
                    <w:spacing w:line="280" w:lineRule="exact"/>
                    <w:jc w:val="center"/>
                    <w:rPr>
                      <w:sz w:val="21"/>
                      <w:szCs w:val="21"/>
                    </w:rPr>
                  </w:pPr>
                  <w:r>
                    <w:rPr>
                      <w:rFonts w:hint="eastAsia"/>
                      <w:sz w:val="21"/>
                      <w:szCs w:val="21"/>
                    </w:rPr>
                    <w:t>3</w:t>
                  </w:r>
                </w:p>
              </w:tc>
              <w:tc>
                <w:tcPr>
                  <w:tcW w:w="884" w:type="dxa"/>
                  <w:noWrap w:val="0"/>
                  <w:vAlign w:val="center"/>
                </w:tcPr>
                <w:p w14:paraId="1DCE4B01">
                  <w:pPr>
                    <w:pageBreakBefore w:val="0"/>
                    <w:kinsoku/>
                    <w:wordWrap/>
                    <w:topLinePunct w:val="0"/>
                    <w:bidi w:val="0"/>
                    <w:spacing w:line="280" w:lineRule="exact"/>
                    <w:jc w:val="center"/>
                    <w:rPr>
                      <w:sz w:val="21"/>
                      <w:szCs w:val="21"/>
                    </w:rPr>
                  </w:pPr>
                  <w:r>
                    <w:rPr>
                      <w:rFonts w:hint="eastAsia"/>
                      <w:sz w:val="21"/>
                      <w:szCs w:val="21"/>
                    </w:rPr>
                    <w:t>二开一备</w:t>
                  </w:r>
                </w:p>
              </w:tc>
            </w:tr>
            <w:tr w14:paraId="300634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5B98FC37">
                  <w:pPr>
                    <w:pageBreakBefore w:val="0"/>
                    <w:kinsoku/>
                    <w:wordWrap/>
                    <w:topLinePunct w:val="0"/>
                    <w:bidi w:val="0"/>
                    <w:spacing w:line="280" w:lineRule="exact"/>
                    <w:jc w:val="center"/>
                    <w:rPr>
                      <w:rFonts w:hint="eastAsia" w:eastAsia="宋体"/>
                      <w:sz w:val="21"/>
                      <w:szCs w:val="21"/>
                      <w:lang w:eastAsia="zh-CN"/>
                    </w:rPr>
                  </w:pPr>
                  <w:r>
                    <w:rPr>
                      <w:rFonts w:hint="eastAsia"/>
                      <w:sz w:val="21"/>
                      <w:szCs w:val="21"/>
                      <w:lang w:val="en-US" w:eastAsia="zh-CN"/>
                    </w:rPr>
                    <w:t>3</w:t>
                  </w:r>
                </w:p>
              </w:tc>
              <w:tc>
                <w:tcPr>
                  <w:tcW w:w="1329" w:type="dxa"/>
                  <w:noWrap w:val="0"/>
                  <w:vAlign w:val="center"/>
                </w:tcPr>
                <w:p w14:paraId="2030C71C">
                  <w:pPr>
                    <w:pageBreakBefore w:val="0"/>
                    <w:kinsoku/>
                    <w:wordWrap/>
                    <w:topLinePunct w:val="0"/>
                    <w:bidi w:val="0"/>
                    <w:spacing w:line="280" w:lineRule="exact"/>
                    <w:jc w:val="center"/>
                    <w:rPr>
                      <w:rFonts w:hint="default" w:eastAsia="宋体"/>
                      <w:sz w:val="21"/>
                      <w:szCs w:val="21"/>
                      <w:lang w:val="en-US" w:eastAsia="zh-CN"/>
                    </w:rPr>
                  </w:pPr>
                  <w:r>
                    <w:rPr>
                      <w:sz w:val="21"/>
                      <w:szCs w:val="21"/>
                    </w:rPr>
                    <w:t>K-</w:t>
                  </w:r>
                  <w:r>
                    <w:rPr>
                      <w:rFonts w:hint="eastAsia"/>
                      <w:sz w:val="21"/>
                      <w:szCs w:val="21"/>
                      <w:lang w:val="en-US" w:eastAsia="zh-CN"/>
                    </w:rPr>
                    <w:t>50101</w:t>
                  </w:r>
                </w:p>
              </w:tc>
              <w:tc>
                <w:tcPr>
                  <w:tcW w:w="1328" w:type="dxa"/>
                  <w:noWrap w:val="0"/>
                  <w:vAlign w:val="center"/>
                </w:tcPr>
                <w:p w14:paraId="58477DD6">
                  <w:pPr>
                    <w:pageBreakBefore w:val="0"/>
                    <w:kinsoku/>
                    <w:wordWrap/>
                    <w:topLinePunct w:val="0"/>
                    <w:bidi w:val="0"/>
                    <w:spacing w:line="280" w:lineRule="exact"/>
                    <w:jc w:val="center"/>
                    <w:rPr>
                      <w:sz w:val="21"/>
                      <w:szCs w:val="21"/>
                    </w:rPr>
                  </w:pPr>
                  <w:r>
                    <w:rPr>
                      <w:sz w:val="21"/>
                      <w:szCs w:val="21"/>
                    </w:rPr>
                    <w:t>往复式压缩机</w:t>
                  </w:r>
                </w:p>
              </w:tc>
              <w:tc>
                <w:tcPr>
                  <w:tcW w:w="3496" w:type="dxa"/>
                  <w:noWrap w:val="0"/>
                  <w:vAlign w:val="center"/>
                </w:tcPr>
                <w:p w14:paraId="17231881">
                  <w:pPr>
                    <w:pageBreakBefore w:val="0"/>
                    <w:widowControl/>
                    <w:kinsoku/>
                    <w:wordWrap/>
                    <w:topLinePunct w:val="0"/>
                    <w:autoSpaceDE w:val="0"/>
                    <w:autoSpaceDN w:val="0"/>
                    <w:bidi w:val="0"/>
                    <w:spacing w:line="280" w:lineRule="exact"/>
                    <w:jc w:val="center"/>
                    <w:rPr>
                      <w:rFonts w:hint="eastAsia" w:eastAsia="宋体"/>
                      <w:sz w:val="21"/>
                      <w:szCs w:val="21"/>
                      <w:lang w:eastAsia="zh-CN"/>
                    </w:rPr>
                  </w:pPr>
                  <w:r>
                    <w:rPr>
                      <w:sz w:val="21"/>
                      <w:szCs w:val="21"/>
                    </w:rPr>
                    <w:t>处理气量：</w:t>
                  </w:r>
                  <w:r>
                    <w:rPr>
                      <w:rFonts w:hint="eastAsia"/>
                      <w:sz w:val="21"/>
                      <w:szCs w:val="21"/>
                      <w:lang w:val="en-US" w:eastAsia="zh-CN"/>
                    </w:rPr>
                    <w:t>50</w:t>
                  </w:r>
                  <w:r>
                    <w:rPr>
                      <w:sz w:val="21"/>
                      <w:szCs w:val="21"/>
                    </w:rPr>
                    <w:t>00Nm</w:t>
                  </w:r>
                  <w:r>
                    <w:rPr>
                      <w:sz w:val="21"/>
                      <w:szCs w:val="21"/>
                      <w:vertAlign w:val="superscript"/>
                    </w:rPr>
                    <w:t>3</w:t>
                  </w:r>
                  <w:r>
                    <w:rPr>
                      <w:sz w:val="21"/>
                      <w:szCs w:val="21"/>
                    </w:rPr>
                    <w:t>/h</w:t>
                  </w:r>
                  <w:r>
                    <w:rPr>
                      <w:rFonts w:hint="eastAsia"/>
                      <w:sz w:val="21"/>
                      <w:szCs w:val="21"/>
                      <w:lang w:eastAsia="zh-CN"/>
                    </w:rPr>
                    <w:t>；</w:t>
                  </w:r>
                </w:p>
                <w:p w14:paraId="44BCBB1A">
                  <w:pPr>
                    <w:pageBreakBefore w:val="0"/>
                    <w:widowControl/>
                    <w:kinsoku/>
                    <w:wordWrap/>
                    <w:topLinePunct w:val="0"/>
                    <w:autoSpaceDE w:val="0"/>
                    <w:autoSpaceDN w:val="0"/>
                    <w:bidi w:val="0"/>
                    <w:spacing w:line="280" w:lineRule="exact"/>
                    <w:jc w:val="center"/>
                    <w:rPr>
                      <w:rFonts w:hint="eastAsia"/>
                      <w:sz w:val="21"/>
                      <w:szCs w:val="21"/>
                    </w:rPr>
                  </w:pPr>
                  <w:r>
                    <w:rPr>
                      <w:sz w:val="21"/>
                      <w:szCs w:val="21"/>
                    </w:rPr>
                    <w:t>进气压力：0.65MpaG</w:t>
                  </w:r>
                  <w:r>
                    <w:rPr>
                      <w:rFonts w:hint="eastAsia"/>
                      <w:sz w:val="21"/>
                      <w:szCs w:val="21"/>
                    </w:rPr>
                    <w:t>；</w:t>
                  </w:r>
                </w:p>
                <w:p w14:paraId="6FDF3930">
                  <w:pPr>
                    <w:pageBreakBefore w:val="0"/>
                    <w:widowControl/>
                    <w:kinsoku/>
                    <w:wordWrap/>
                    <w:topLinePunct w:val="0"/>
                    <w:autoSpaceDE w:val="0"/>
                    <w:autoSpaceDN w:val="0"/>
                    <w:bidi w:val="0"/>
                    <w:spacing w:line="280" w:lineRule="exact"/>
                    <w:jc w:val="center"/>
                    <w:rPr>
                      <w:sz w:val="21"/>
                      <w:szCs w:val="21"/>
                    </w:rPr>
                  </w:pPr>
                  <w:r>
                    <w:rPr>
                      <w:sz w:val="21"/>
                      <w:szCs w:val="21"/>
                    </w:rPr>
                    <w:t>出口压力5.8MpaG；</w:t>
                  </w:r>
                </w:p>
                <w:p w14:paraId="36D1D99C">
                  <w:pPr>
                    <w:pageBreakBefore w:val="0"/>
                    <w:widowControl/>
                    <w:kinsoku/>
                    <w:wordWrap/>
                    <w:topLinePunct w:val="0"/>
                    <w:autoSpaceDE w:val="0"/>
                    <w:autoSpaceDN w:val="0"/>
                    <w:bidi w:val="0"/>
                    <w:spacing w:line="280" w:lineRule="exact"/>
                    <w:jc w:val="center"/>
                    <w:rPr>
                      <w:sz w:val="21"/>
                      <w:szCs w:val="21"/>
                    </w:rPr>
                  </w:pPr>
                  <w:r>
                    <w:rPr>
                      <w:sz w:val="21"/>
                      <w:szCs w:val="21"/>
                    </w:rPr>
                    <w:t>功率：355kW</w:t>
                  </w:r>
                </w:p>
              </w:tc>
              <w:tc>
                <w:tcPr>
                  <w:tcW w:w="453" w:type="dxa"/>
                  <w:noWrap w:val="0"/>
                  <w:vAlign w:val="center"/>
                </w:tcPr>
                <w:p w14:paraId="7C132813">
                  <w:pPr>
                    <w:pageBreakBefore w:val="0"/>
                    <w:kinsoku/>
                    <w:wordWrap/>
                    <w:topLinePunct w:val="0"/>
                    <w:bidi w:val="0"/>
                    <w:spacing w:line="280" w:lineRule="exact"/>
                    <w:jc w:val="center"/>
                    <w:rPr>
                      <w:sz w:val="21"/>
                      <w:szCs w:val="21"/>
                    </w:rPr>
                  </w:pPr>
                  <w:r>
                    <w:rPr>
                      <w:rFonts w:hint="eastAsia"/>
                      <w:sz w:val="21"/>
                      <w:szCs w:val="21"/>
                    </w:rPr>
                    <w:t>台</w:t>
                  </w:r>
                </w:p>
              </w:tc>
              <w:tc>
                <w:tcPr>
                  <w:tcW w:w="453" w:type="dxa"/>
                  <w:noWrap w:val="0"/>
                  <w:vAlign w:val="center"/>
                </w:tcPr>
                <w:p w14:paraId="12F8CF02">
                  <w:pPr>
                    <w:pageBreakBefore w:val="0"/>
                    <w:kinsoku/>
                    <w:wordWrap/>
                    <w:topLinePunct w:val="0"/>
                    <w:bidi w:val="0"/>
                    <w:spacing w:line="280" w:lineRule="exact"/>
                    <w:jc w:val="center"/>
                    <w:rPr>
                      <w:rFonts w:hint="eastAsia" w:eastAsia="宋体"/>
                      <w:sz w:val="21"/>
                      <w:szCs w:val="21"/>
                      <w:lang w:eastAsia="zh-CN"/>
                    </w:rPr>
                  </w:pPr>
                  <w:r>
                    <w:rPr>
                      <w:rFonts w:hint="eastAsia"/>
                      <w:sz w:val="21"/>
                      <w:szCs w:val="21"/>
                      <w:lang w:val="en-US" w:eastAsia="zh-CN"/>
                    </w:rPr>
                    <w:t>1</w:t>
                  </w:r>
                </w:p>
              </w:tc>
              <w:tc>
                <w:tcPr>
                  <w:tcW w:w="884" w:type="dxa"/>
                  <w:noWrap w:val="0"/>
                  <w:vAlign w:val="center"/>
                </w:tcPr>
                <w:p w14:paraId="70F45797">
                  <w:pPr>
                    <w:pageBreakBefore w:val="0"/>
                    <w:kinsoku/>
                    <w:wordWrap/>
                    <w:topLinePunct w:val="0"/>
                    <w:bidi w:val="0"/>
                    <w:spacing w:line="280" w:lineRule="exact"/>
                    <w:jc w:val="center"/>
                    <w:rPr>
                      <w:sz w:val="21"/>
                      <w:szCs w:val="21"/>
                    </w:rPr>
                  </w:pPr>
                </w:p>
              </w:tc>
            </w:tr>
            <w:tr w14:paraId="05097F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66EA400A">
                  <w:pPr>
                    <w:pageBreakBefore w:val="0"/>
                    <w:kinsoku/>
                    <w:wordWrap/>
                    <w:topLinePunct w:val="0"/>
                    <w:bidi w:val="0"/>
                    <w:spacing w:line="280" w:lineRule="exact"/>
                    <w:jc w:val="center"/>
                    <w:rPr>
                      <w:rFonts w:hint="eastAsia" w:eastAsia="宋体"/>
                      <w:sz w:val="21"/>
                      <w:szCs w:val="21"/>
                      <w:lang w:eastAsia="zh-CN"/>
                    </w:rPr>
                  </w:pPr>
                  <w:r>
                    <w:rPr>
                      <w:rFonts w:hint="eastAsia"/>
                      <w:sz w:val="21"/>
                      <w:szCs w:val="21"/>
                      <w:lang w:val="en-US" w:eastAsia="zh-CN"/>
                    </w:rPr>
                    <w:t>4</w:t>
                  </w:r>
                </w:p>
              </w:tc>
              <w:tc>
                <w:tcPr>
                  <w:tcW w:w="1329" w:type="dxa"/>
                  <w:noWrap w:val="0"/>
                  <w:vAlign w:val="center"/>
                </w:tcPr>
                <w:p w14:paraId="3D61DC45">
                  <w:pPr>
                    <w:pageBreakBefore w:val="0"/>
                    <w:kinsoku/>
                    <w:wordWrap/>
                    <w:topLinePunct w:val="0"/>
                    <w:bidi w:val="0"/>
                    <w:spacing w:line="280" w:lineRule="exact"/>
                    <w:jc w:val="center"/>
                    <w:rPr>
                      <w:sz w:val="21"/>
                      <w:szCs w:val="21"/>
                    </w:rPr>
                  </w:pPr>
                  <w:r>
                    <w:rPr>
                      <w:rFonts w:hint="eastAsia"/>
                      <w:sz w:val="21"/>
                      <w:szCs w:val="21"/>
                    </w:rPr>
                    <w:t>循环水系统</w:t>
                  </w:r>
                </w:p>
              </w:tc>
              <w:tc>
                <w:tcPr>
                  <w:tcW w:w="1328" w:type="dxa"/>
                  <w:noWrap w:val="0"/>
                  <w:vAlign w:val="center"/>
                </w:tcPr>
                <w:p w14:paraId="02A68715">
                  <w:pPr>
                    <w:pageBreakBefore w:val="0"/>
                    <w:kinsoku/>
                    <w:wordWrap/>
                    <w:topLinePunct w:val="0"/>
                    <w:bidi w:val="0"/>
                    <w:spacing w:line="280" w:lineRule="exact"/>
                    <w:jc w:val="center"/>
                    <w:rPr>
                      <w:sz w:val="21"/>
                      <w:szCs w:val="21"/>
                    </w:rPr>
                  </w:pPr>
                </w:p>
              </w:tc>
              <w:tc>
                <w:tcPr>
                  <w:tcW w:w="3496" w:type="dxa"/>
                  <w:noWrap w:val="0"/>
                  <w:vAlign w:val="center"/>
                </w:tcPr>
                <w:p w14:paraId="24656C88">
                  <w:pPr>
                    <w:pageBreakBefore w:val="0"/>
                    <w:widowControl/>
                    <w:kinsoku/>
                    <w:wordWrap/>
                    <w:topLinePunct w:val="0"/>
                    <w:autoSpaceDE w:val="0"/>
                    <w:autoSpaceDN w:val="0"/>
                    <w:bidi w:val="0"/>
                    <w:spacing w:line="280" w:lineRule="exact"/>
                    <w:jc w:val="center"/>
                    <w:rPr>
                      <w:sz w:val="21"/>
                      <w:szCs w:val="21"/>
                    </w:rPr>
                  </w:pPr>
                </w:p>
              </w:tc>
              <w:tc>
                <w:tcPr>
                  <w:tcW w:w="453" w:type="dxa"/>
                  <w:noWrap w:val="0"/>
                  <w:vAlign w:val="center"/>
                </w:tcPr>
                <w:p w14:paraId="4400668B">
                  <w:pPr>
                    <w:pageBreakBefore w:val="0"/>
                    <w:kinsoku/>
                    <w:wordWrap/>
                    <w:topLinePunct w:val="0"/>
                    <w:bidi w:val="0"/>
                    <w:spacing w:line="280" w:lineRule="exact"/>
                    <w:jc w:val="center"/>
                    <w:rPr>
                      <w:sz w:val="21"/>
                      <w:szCs w:val="21"/>
                    </w:rPr>
                  </w:pPr>
                </w:p>
              </w:tc>
              <w:tc>
                <w:tcPr>
                  <w:tcW w:w="453" w:type="dxa"/>
                  <w:noWrap w:val="0"/>
                  <w:vAlign w:val="center"/>
                </w:tcPr>
                <w:p w14:paraId="7A64605A">
                  <w:pPr>
                    <w:pageBreakBefore w:val="0"/>
                    <w:kinsoku/>
                    <w:wordWrap/>
                    <w:topLinePunct w:val="0"/>
                    <w:bidi w:val="0"/>
                    <w:spacing w:line="280" w:lineRule="exact"/>
                    <w:jc w:val="center"/>
                    <w:rPr>
                      <w:sz w:val="21"/>
                      <w:szCs w:val="21"/>
                    </w:rPr>
                  </w:pPr>
                </w:p>
              </w:tc>
              <w:tc>
                <w:tcPr>
                  <w:tcW w:w="884" w:type="dxa"/>
                  <w:noWrap w:val="0"/>
                  <w:vAlign w:val="center"/>
                </w:tcPr>
                <w:p w14:paraId="060BCA12">
                  <w:pPr>
                    <w:pageBreakBefore w:val="0"/>
                    <w:kinsoku/>
                    <w:wordWrap/>
                    <w:topLinePunct w:val="0"/>
                    <w:bidi w:val="0"/>
                    <w:spacing w:line="280" w:lineRule="exact"/>
                    <w:jc w:val="center"/>
                    <w:rPr>
                      <w:sz w:val="21"/>
                      <w:szCs w:val="21"/>
                    </w:rPr>
                  </w:pPr>
                </w:p>
              </w:tc>
            </w:tr>
            <w:tr w14:paraId="3BA568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1C4A58F4">
                  <w:pPr>
                    <w:pageBreakBefore w:val="0"/>
                    <w:kinsoku/>
                    <w:wordWrap/>
                    <w:topLinePunct w:val="0"/>
                    <w:bidi w:val="0"/>
                    <w:spacing w:line="280" w:lineRule="exact"/>
                    <w:jc w:val="center"/>
                    <w:rPr>
                      <w:rFonts w:hint="eastAsia"/>
                      <w:sz w:val="21"/>
                      <w:szCs w:val="21"/>
                    </w:rPr>
                  </w:pPr>
                </w:p>
              </w:tc>
              <w:tc>
                <w:tcPr>
                  <w:tcW w:w="1329" w:type="dxa"/>
                  <w:noWrap w:val="0"/>
                  <w:vAlign w:val="center"/>
                </w:tcPr>
                <w:p w14:paraId="79EC1698">
                  <w:pPr>
                    <w:pageBreakBefore w:val="0"/>
                    <w:kinsoku/>
                    <w:wordWrap/>
                    <w:topLinePunct w:val="0"/>
                    <w:bidi w:val="0"/>
                    <w:spacing w:line="280" w:lineRule="exact"/>
                    <w:jc w:val="center"/>
                    <w:rPr>
                      <w:rFonts w:hint="eastAsia"/>
                      <w:sz w:val="21"/>
                      <w:szCs w:val="21"/>
                    </w:rPr>
                  </w:pPr>
                </w:p>
              </w:tc>
              <w:tc>
                <w:tcPr>
                  <w:tcW w:w="1328" w:type="dxa"/>
                  <w:noWrap w:val="0"/>
                  <w:vAlign w:val="center"/>
                </w:tcPr>
                <w:p w14:paraId="37477AE4">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冷却塔</w:t>
                  </w:r>
                </w:p>
              </w:tc>
              <w:tc>
                <w:tcPr>
                  <w:tcW w:w="3496" w:type="dxa"/>
                  <w:noWrap w:val="0"/>
                  <w:vAlign w:val="center"/>
                </w:tcPr>
                <w:p w14:paraId="66BEE0BC">
                  <w:pPr>
                    <w:pageBreakBefore w:val="0"/>
                    <w:widowControl/>
                    <w:kinsoku/>
                    <w:wordWrap/>
                    <w:topLinePunct w:val="0"/>
                    <w:autoSpaceDE w:val="0"/>
                    <w:autoSpaceDN w:val="0"/>
                    <w:bidi w:val="0"/>
                    <w:spacing w:line="280" w:lineRule="exact"/>
                    <w:jc w:val="center"/>
                    <w:rPr>
                      <w:rFonts w:hint="default" w:eastAsia="宋体"/>
                      <w:sz w:val="21"/>
                      <w:szCs w:val="21"/>
                      <w:lang w:val="en-US" w:eastAsia="zh-CN"/>
                    </w:rPr>
                  </w:pPr>
                  <w:r>
                    <w:rPr>
                      <w:sz w:val="21"/>
                      <w:szCs w:val="21"/>
                    </w:rPr>
                    <w:t>循环水量</w:t>
                  </w:r>
                  <w:r>
                    <w:rPr>
                      <w:rFonts w:hint="eastAsia"/>
                      <w:sz w:val="21"/>
                      <w:szCs w:val="21"/>
                      <w:lang w:val="en-US" w:eastAsia="zh-CN"/>
                    </w:rPr>
                    <w:t>5</w:t>
                  </w:r>
                  <w:r>
                    <w:rPr>
                      <w:sz w:val="21"/>
                      <w:szCs w:val="21"/>
                    </w:rPr>
                    <w:t>000m</w:t>
                  </w:r>
                  <w:r>
                    <w:rPr>
                      <w:rFonts w:hint="eastAsia"/>
                      <w:sz w:val="21"/>
                      <w:szCs w:val="21"/>
                      <w:vertAlign w:val="superscript"/>
                    </w:rPr>
                    <w:t>3</w:t>
                  </w:r>
                  <w:r>
                    <w:rPr>
                      <w:sz w:val="21"/>
                      <w:szCs w:val="21"/>
                    </w:rPr>
                    <w:t>/h</w:t>
                  </w:r>
                  <w:r>
                    <w:rPr>
                      <w:rFonts w:hint="eastAsia"/>
                      <w:sz w:val="21"/>
                      <w:szCs w:val="21"/>
                      <w:lang w:eastAsia="zh-CN"/>
                    </w:rPr>
                    <w:t>，</w:t>
                  </w:r>
                  <w:r>
                    <w:rPr>
                      <w:rFonts w:hint="eastAsia"/>
                      <w:sz w:val="21"/>
                      <w:szCs w:val="21"/>
                      <w:lang w:val="en-US" w:eastAsia="zh-CN"/>
                    </w:rPr>
                    <w:t>9000*3550*5200</w:t>
                  </w:r>
                </w:p>
              </w:tc>
              <w:tc>
                <w:tcPr>
                  <w:tcW w:w="453" w:type="dxa"/>
                  <w:noWrap w:val="0"/>
                  <w:vAlign w:val="center"/>
                </w:tcPr>
                <w:p w14:paraId="5952B5F8">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套</w:t>
                  </w:r>
                </w:p>
              </w:tc>
              <w:tc>
                <w:tcPr>
                  <w:tcW w:w="453" w:type="dxa"/>
                  <w:noWrap w:val="0"/>
                  <w:vAlign w:val="center"/>
                </w:tcPr>
                <w:p w14:paraId="1BB18572">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2</w:t>
                  </w:r>
                </w:p>
              </w:tc>
              <w:tc>
                <w:tcPr>
                  <w:tcW w:w="884" w:type="dxa"/>
                  <w:noWrap w:val="0"/>
                  <w:vAlign w:val="center"/>
                </w:tcPr>
                <w:p w14:paraId="2BE422C7">
                  <w:pPr>
                    <w:pageBreakBefore w:val="0"/>
                    <w:kinsoku/>
                    <w:wordWrap/>
                    <w:topLinePunct w:val="0"/>
                    <w:bidi w:val="0"/>
                    <w:spacing w:line="280" w:lineRule="exact"/>
                    <w:jc w:val="center"/>
                    <w:rPr>
                      <w:sz w:val="21"/>
                      <w:szCs w:val="21"/>
                    </w:rPr>
                  </w:pPr>
                </w:p>
              </w:tc>
            </w:tr>
            <w:tr w14:paraId="00C11D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5CB0E22E">
                  <w:pPr>
                    <w:pageBreakBefore w:val="0"/>
                    <w:kinsoku/>
                    <w:wordWrap/>
                    <w:topLinePunct w:val="0"/>
                    <w:bidi w:val="0"/>
                    <w:spacing w:line="280" w:lineRule="exact"/>
                    <w:jc w:val="center"/>
                    <w:rPr>
                      <w:rFonts w:hint="eastAsia"/>
                      <w:sz w:val="21"/>
                      <w:szCs w:val="21"/>
                    </w:rPr>
                  </w:pPr>
                </w:p>
              </w:tc>
              <w:tc>
                <w:tcPr>
                  <w:tcW w:w="1329" w:type="dxa"/>
                  <w:noWrap w:val="0"/>
                  <w:vAlign w:val="center"/>
                </w:tcPr>
                <w:p w14:paraId="7BCFC6A1">
                  <w:pPr>
                    <w:pageBreakBefore w:val="0"/>
                    <w:kinsoku/>
                    <w:wordWrap/>
                    <w:topLinePunct w:val="0"/>
                    <w:bidi w:val="0"/>
                    <w:spacing w:line="280" w:lineRule="exact"/>
                    <w:jc w:val="center"/>
                    <w:rPr>
                      <w:rFonts w:hint="eastAsia"/>
                      <w:sz w:val="21"/>
                      <w:szCs w:val="21"/>
                    </w:rPr>
                  </w:pPr>
                </w:p>
              </w:tc>
              <w:tc>
                <w:tcPr>
                  <w:tcW w:w="1328" w:type="dxa"/>
                  <w:noWrap w:val="0"/>
                  <w:vAlign w:val="center"/>
                </w:tcPr>
                <w:p w14:paraId="5DAA485C">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喷淋泵</w:t>
                  </w:r>
                </w:p>
              </w:tc>
              <w:tc>
                <w:tcPr>
                  <w:tcW w:w="3496" w:type="dxa"/>
                  <w:noWrap w:val="0"/>
                  <w:vAlign w:val="center"/>
                </w:tcPr>
                <w:p w14:paraId="0DB20E39">
                  <w:pPr>
                    <w:pageBreakBefore w:val="0"/>
                    <w:widowControl/>
                    <w:kinsoku/>
                    <w:wordWrap/>
                    <w:topLinePunct w:val="0"/>
                    <w:autoSpaceDE w:val="0"/>
                    <w:autoSpaceDN w:val="0"/>
                    <w:bidi w:val="0"/>
                    <w:spacing w:line="280" w:lineRule="exact"/>
                    <w:jc w:val="center"/>
                    <w:rPr>
                      <w:rFonts w:hint="default" w:eastAsia="宋体"/>
                      <w:sz w:val="21"/>
                      <w:szCs w:val="21"/>
                      <w:lang w:val="en-US" w:eastAsia="zh-CN"/>
                    </w:rPr>
                  </w:pPr>
                  <w:r>
                    <w:rPr>
                      <w:rFonts w:hint="eastAsia"/>
                      <w:sz w:val="21"/>
                      <w:szCs w:val="21"/>
                      <w:lang w:val="en-US" w:eastAsia="zh-CN"/>
                    </w:rPr>
                    <w:t>130</w:t>
                  </w:r>
                  <w:r>
                    <w:rPr>
                      <w:sz w:val="21"/>
                      <w:szCs w:val="21"/>
                    </w:rPr>
                    <w:t>m</w:t>
                  </w:r>
                  <w:r>
                    <w:rPr>
                      <w:rFonts w:hint="eastAsia"/>
                      <w:sz w:val="21"/>
                      <w:szCs w:val="21"/>
                      <w:vertAlign w:val="superscript"/>
                    </w:rPr>
                    <w:t>3</w:t>
                  </w:r>
                  <w:r>
                    <w:rPr>
                      <w:sz w:val="21"/>
                      <w:szCs w:val="21"/>
                    </w:rPr>
                    <w:t>/h</w:t>
                  </w:r>
                  <w:r>
                    <w:rPr>
                      <w:rFonts w:hint="eastAsia"/>
                      <w:sz w:val="21"/>
                      <w:szCs w:val="21"/>
                      <w:lang w:eastAsia="zh-CN"/>
                    </w:rPr>
                    <w:t>，</w:t>
                  </w:r>
                  <w:r>
                    <w:rPr>
                      <w:rFonts w:hint="eastAsia"/>
                      <w:sz w:val="21"/>
                      <w:szCs w:val="21"/>
                      <w:lang w:val="en-US" w:eastAsia="zh-CN"/>
                    </w:rPr>
                    <w:t>功率3kW</w:t>
                  </w:r>
                </w:p>
              </w:tc>
              <w:tc>
                <w:tcPr>
                  <w:tcW w:w="453" w:type="dxa"/>
                  <w:noWrap w:val="0"/>
                  <w:vAlign w:val="center"/>
                </w:tcPr>
                <w:p w14:paraId="73D372B4">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台</w:t>
                  </w:r>
                </w:p>
              </w:tc>
              <w:tc>
                <w:tcPr>
                  <w:tcW w:w="453" w:type="dxa"/>
                  <w:noWrap w:val="0"/>
                  <w:vAlign w:val="center"/>
                </w:tcPr>
                <w:p w14:paraId="1AB4AE63">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4</w:t>
                  </w:r>
                </w:p>
              </w:tc>
              <w:tc>
                <w:tcPr>
                  <w:tcW w:w="884" w:type="dxa"/>
                  <w:noWrap w:val="0"/>
                  <w:vAlign w:val="center"/>
                </w:tcPr>
                <w:p w14:paraId="452F8E86">
                  <w:pPr>
                    <w:pageBreakBefore w:val="0"/>
                    <w:kinsoku/>
                    <w:wordWrap/>
                    <w:topLinePunct w:val="0"/>
                    <w:bidi w:val="0"/>
                    <w:spacing w:line="280" w:lineRule="exact"/>
                    <w:jc w:val="center"/>
                    <w:rPr>
                      <w:sz w:val="21"/>
                      <w:szCs w:val="21"/>
                    </w:rPr>
                  </w:pPr>
                </w:p>
              </w:tc>
            </w:tr>
            <w:tr w14:paraId="7E5DDB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173024E8">
                  <w:pPr>
                    <w:pageBreakBefore w:val="0"/>
                    <w:kinsoku/>
                    <w:wordWrap/>
                    <w:topLinePunct w:val="0"/>
                    <w:bidi w:val="0"/>
                    <w:spacing w:line="280" w:lineRule="exact"/>
                    <w:jc w:val="center"/>
                    <w:rPr>
                      <w:rFonts w:hint="eastAsia"/>
                      <w:sz w:val="21"/>
                      <w:szCs w:val="21"/>
                    </w:rPr>
                  </w:pPr>
                </w:p>
              </w:tc>
              <w:tc>
                <w:tcPr>
                  <w:tcW w:w="1329" w:type="dxa"/>
                  <w:noWrap w:val="0"/>
                  <w:vAlign w:val="center"/>
                </w:tcPr>
                <w:p w14:paraId="7F227B99">
                  <w:pPr>
                    <w:pageBreakBefore w:val="0"/>
                    <w:kinsoku/>
                    <w:wordWrap/>
                    <w:topLinePunct w:val="0"/>
                    <w:bidi w:val="0"/>
                    <w:spacing w:line="280" w:lineRule="exact"/>
                    <w:jc w:val="center"/>
                    <w:rPr>
                      <w:rFonts w:hint="eastAsia"/>
                      <w:sz w:val="21"/>
                      <w:szCs w:val="21"/>
                    </w:rPr>
                  </w:pPr>
                </w:p>
              </w:tc>
              <w:tc>
                <w:tcPr>
                  <w:tcW w:w="1328" w:type="dxa"/>
                  <w:noWrap w:val="0"/>
                  <w:vAlign w:val="center"/>
                </w:tcPr>
                <w:p w14:paraId="6B462B58">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风机</w:t>
                  </w:r>
                </w:p>
              </w:tc>
              <w:tc>
                <w:tcPr>
                  <w:tcW w:w="3496" w:type="dxa"/>
                  <w:noWrap w:val="0"/>
                  <w:vAlign w:val="center"/>
                </w:tcPr>
                <w:p w14:paraId="469AEE3E">
                  <w:pPr>
                    <w:pageBreakBefore w:val="0"/>
                    <w:widowControl/>
                    <w:kinsoku/>
                    <w:wordWrap/>
                    <w:topLinePunct w:val="0"/>
                    <w:autoSpaceDE w:val="0"/>
                    <w:autoSpaceDN w:val="0"/>
                    <w:bidi w:val="0"/>
                    <w:spacing w:line="280" w:lineRule="exact"/>
                    <w:jc w:val="center"/>
                    <w:rPr>
                      <w:sz w:val="21"/>
                      <w:szCs w:val="21"/>
                    </w:rPr>
                  </w:pPr>
                  <w:r>
                    <w:rPr>
                      <w:rFonts w:hint="eastAsia"/>
                      <w:sz w:val="21"/>
                      <w:szCs w:val="21"/>
                      <w:lang w:val="en-US" w:eastAsia="zh-CN"/>
                    </w:rPr>
                    <w:t>135000</w:t>
                  </w:r>
                  <w:r>
                    <w:rPr>
                      <w:sz w:val="21"/>
                      <w:szCs w:val="21"/>
                    </w:rPr>
                    <w:t>m</w:t>
                  </w:r>
                  <w:r>
                    <w:rPr>
                      <w:rFonts w:hint="eastAsia"/>
                      <w:sz w:val="21"/>
                      <w:szCs w:val="21"/>
                      <w:vertAlign w:val="superscript"/>
                    </w:rPr>
                    <w:t>3</w:t>
                  </w:r>
                  <w:r>
                    <w:rPr>
                      <w:sz w:val="21"/>
                      <w:szCs w:val="21"/>
                    </w:rPr>
                    <w:t>/h</w:t>
                  </w:r>
                  <w:r>
                    <w:rPr>
                      <w:rFonts w:hint="eastAsia"/>
                      <w:sz w:val="21"/>
                      <w:szCs w:val="21"/>
                      <w:lang w:eastAsia="zh-CN"/>
                    </w:rPr>
                    <w:t>，</w:t>
                  </w:r>
                  <w:r>
                    <w:rPr>
                      <w:rFonts w:hint="eastAsia"/>
                      <w:sz w:val="21"/>
                      <w:szCs w:val="21"/>
                      <w:lang w:val="en-US" w:eastAsia="zh-CN"/>
                    </w:rPr>
                    <w:t>功率11kW</w:t>
                  </w:r>
                </w:p>
              </w:tc>
              <w:tc>
                <w:tcPr>
                  <w:tcW w:w="453" w:type="dxa"/>
                  <w:noWrap w:val="0"/>
                  <w:vAlign w:val="center"/>
                </w:tcPr>
                <w:p w14:paraId="7F440460">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台</w:t>
                  </w:r>
                </w:p>
              </w:tc>
              <w:tc>
                <w:tcPr>
                  <w:tcW w:w="453" w:type="dxa"/>
                  <w:noWrap w:val="0"/>
                  <w:vAlign w:val="center"/>
                </w:tcPr>
                <w:p w14:paraId="7A4DABF1">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4</w:t>
                  </w:r>
                </w:p>
              </w:tc>
              <w:tc>
                <w:tcPr>
                  <w:tcW w:w="884" w:type="dxa"/>
                  <w:noWrap w:val="0"/>
                  <w:vAlign w:val="center"/>
                </w:tcPr>
                <w:p w14:paraId="1D4841AB">
                  <w:pPr>
                    <w:pageBreakBefore w:val="0"/>
                    <w:kinsoku/>
                    <w:wordWrap/>
                    <w:topLinePunct w:val="0"/>
                    <w:bidi w:val="0"/>
                    <w:spacing w:line="280" w:lineRule="exact"/>
                    <w:jc w:val="center"/>
                    <w:rPr>
                      <w:sz w:val="21"/>
                      <w:szCs w:val="21"/>
                    </w:rPr>
                  </w:pPr>
                </w:p>
              </w:tc>
            </w:tr>
            <w:tr w14:paraId="12BB2F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4EA7E845">
                  <w:pPr>
                    <w:pageBreakBefore w:val="0"/>
                    <w:kinsoku/>
                    <w:wordWrap/>
                    <w:topLinePunct w:val="0"/>
                    <w:bidi w:val="0"/>
                    <w:spacing w:line="280" w:lineRule="exact"/>
                    <w:jc w:val="center"/>
                    <w:rPr>
                      <w:rFonts w:hint="eastAsia"/>
                      <w:sz w:val="21"/>
                      <w:szCs w:val="21"/>
                    </w:rPr>
                  </w:pPr>
                </w:p>
              </w:tc>
              <w:tc>
                <w:tcPr>
                  <w:tcW w:w="1329" w:type="dxa"/>
                  <w:noWrap w:val="0"/>
                  <w:vAlign w:val="center"/>
                </w:tcPr>
                <w:p w14:paraId="7855F216">
                  <w:pPr>
                    <w:pageBreakBefore w:val="0"/>
                    <w:kinsoku/>
                    <w:wordWrap/>
                    <w:topLinePunct w:val="0"/>
                    <w:bidi w:val="0"/>
                    <w:spacing w:line="280" w:lineRule="exact"/>
                    <w:jc w:val="center"/>
                    <w:rPr>
                      <w:rFonts w:hint="eastAsia"/>
                      <w:sz w:val="21"/>
                      <w:szCs w:val="21"/>
                    </w:rPr>
                  </w:pPr>
                </w:p>
              </w:tc>
              <w:tc>
                <w:tcPr>
                  <w:tcW w:w="1328" w:type="dxa"/>
                  <w:noWrap w:val="0"/>
                  <w:vAlign w:val="center"/>
                </w:tcPr>
                <w:p w14:paraId="65BE0BB9">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循环水泵</w:t>
                  </w:r>
                </w:p>
              </w:tc>
              <w:tc>
                <w:tcPr>
                  <w:tcW w:w="3496" w:type="dxa"/>
                  <w:noWrap w:val="0"/>
                  <w:vAlign w:val="center"/>
                </w:tcPr>
                <w:p w14:paraId="6749AFD6">
                  <w:pPr>
                    <w:pageBreakBefore w:val="0"/>
                    <w:widowControl/>
                    <w:kinsoku/>
                    <w:wordWrap/>
                    <w:topLinePunct w:val="0"/>
                    <w:autoSpaceDE w:val="0"/>
                    <w:autoSpaceDN w:val="0"/>
                    <w:bidi w:val="0"/>
                    <w:spacing w:line="280" w:lineRule="exact"/>
                    <w:jc w:val="center"/>
                    <w:rPr>
                      <w:rFonts w:hint="default"/>
                      <w:sz w:val="21"/>
                      <w:szCs w:val="21"/>
                      <w:lang w:val="en-US"/>
                    </w:rPr>
                  </w:pPr>
                  <w:r>
                    <w:rPr>
                      <w:rFonts w:hint="eastAsia"/>
                      <w:sz w:val="21"/>
                      <w:szCs w:val="21"/>
                      <w:lang w:val="en-US" w:eastAsia="zh-CN"/>
                    </w:rPr>
                    <w:t>500</w:t>
                  </w:r>
                  <w:r>
                    <w:rPr>
                      <w:sz w:val="21"/>
                      <w:szCs w:val="21"/>
                    </w:rPr>
                    <w:t>m</w:t>
                  </w:r>
                  <w:r>
                    <w:rPr>
                      <w:rFonts w:hint="eastAsia"/>
                      <w:sz w:val="21"/>
                      <w:szCs w:val="21"/>
                      <w:vertAlign w:val="superscript"/>
                    </w:rPr>
                    <w:t>3</w:t>
                  </w:r>
                  <w:r>
                    <w:rPr>
                      <w:sz w:val="21"/>
                      <w:szCs w:val="21"/>
                    </w:rPr>
                    <w:t>/h</w:t>
                  </w:r>
                  <w:r>
                    <w:rPr>
                      <w:rFonts w:hint="eastAsia"/>
                      <w:sz w:val="21"/>
                      <w:szCs w:val="21"/>
                      <w:lang w:eastAsia="zh-CN"/>
                    </w:rPr>
                    <w:t>，</w:t>
                  </w:r>
                  <w:r>
                    <w:rPr>
                      <w:rFonts w:hint="eastAsia"/>
                      <w:sz w:val="21"/>
                      <w:szCs w:val="21"/>
                      <w:lang w:val="en-US" w:eastAsia="zh-CN"/>
                    </w:rPr>
                    <w:t>功率75kW，扬程50m</w:t>
                  </w:r>
                </w:p>
              </w:tc>
              <w:tc>
                <w:tcPr>
                  <w:tcW w:w="453" w:type="dxa"/>
                  <w:noWrap w:val="0"/>
                  <w:vAlign w:val="center"/>
                </w:tcPr>
                <w:p w14:paraId="3029763E">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台</w:t>
                  </w:r>
                </w:p>
              </w:tc>
              <w:tc>
                <w:tcPr>
                  <w:tcW w:w="453" w:type="dxa"/>
                  <w:noWrap w:val="0"/>
                  <w:vAlign w:val="center"/>
                </w:tcPr>
                <w:p w14:paraId="5CCD763E">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3</w:t>
                  </w:r>
                </w:p>
              </w:tc>
              <w:tc>
                <w:tcPr>
                  <w:tcW w:w="884" w:type="dxa"/>
                  <w:noWrap w:val="0"/>
                  <w:vAlign w:val="center"/>
                </w:tcPr>
                <w:p w14:paraId="1A1CEEAC">
                  <w:pPr>
                    <w:pageBreakBefore w:val="0"/>
                    <w:kinsoku/>
                    <w:wordWrap/>
                    <w:topLinePunct w:val="0"/>
                    <w:bidi w:val="0"/>
                    <w:spacing w:line="280" w:lineRule="exact"/>
                    <w:jc w:val="center"/>
                    <w:rPr>
                      <w:rFonts w:hint="default" w:eastAsia="宋体"/>
                      <w:sz w:val="21"/>
                      <w:szCs w:val="21"/>
                      <w:lang w:val="en-US" w:eastAsia="zh-CN"/>
                    </w:rPr>
                  </w:pPr>
                  <w:r>
                    <w:rPr>
                      <w:rFonts w:hint="eastAsia"/>
                      <w:sz w:val="21"/>
                      <w:szCs w:val="21"/>
                      <w:lang w:val="en-US" w:eastAsia="zh-CN"/>
                    </w:rPr>
                    <w:t>二开一备</w:t>
                  </w:r>
                </w:p>
              </w:tc>
            </w:tr>
            <w:tr w14:paraId="116F8C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3261276C">
                  <w:pPr>
                    <w:pageBreakBefore w:val="0"/>
                    <w:kinsoku/>
                    <w:wordWrap/>
                    <w:topLinePunct w:val="0"/>
                    <w:bidi w:val="0"/>
                    <w:spacing w:line="280" w:lineRule="exact"/>
                    <w:jc w:val="center"/>
                    <w:rPr>
                      <w:rFonts w:hint="eastAsia" w:eastAsia="宋体"/>
                      <w:sz w:val="21"/>
                      <w:szCs w:val="21"/>
                      <w:lang w:eastAsia="zh-CN"/>
                    </w:rPr>
                  </w:pPr>
                  <w:r>
                    <w:rPr>
                      <w:rFonts w:hint="eastAsia"/>
                      <w:sz w:val="21"/>
                      <w:szCs w:val="21"/>
                      <w:lang w:val="en-US" w:eastAsia="zh-CN"/>
                    </w:rPr>
                    <w:t>5</w:t>
                  </w:r>
                </w:p>
              </w:tc>
              <w:tc>
                <w:tcPr>
                  <w:tcW w:w="1329" w:type="dxa"/>
                  <w:noWrap w:val="0"/>
                  <w:vAlign w:val="center"/>
                </w:tcPr>
                <w:p w14:paraId="3A834510">
                  <w:pPr>
                    <w:pageBreakBefore w:val="0"/>
                    <w:kinsoku/>
                    <w:wordWrap/>
                    <w:topLinePunct w:val="0"/>
                    <w:bidi w:val="0"/>
                    <w:spacing w:line="280" w:lineRule="exact"/>
                    <w:jc w:val="center"/>
                    <w:rPr>
                      <w:sz w:val="21"/>
                      <w:szCs w:val="21"/>
                    </w:rPr>
                  </w:pPr>
                  <w:r>
                    <w:rPr>
                      <w:rFonts w:hint="eastAsia"/>
                      <w:sz w:val="21"/>
                      <w:szCs w:val="21"/>
                    </w:rPr>
                    <w:t>消防水系统</w:t>
                  </w:r>
                </w:p>
              </w:tc>
              <w:tc>
                <w:tcPr>
                  <w:tcW w:w="1328" w:type="dxa"/>
                  <w:noWrap w:val="0"/>
                  <w:vAlign w:val="center"/>
                </w:tcPr>
                <w:p w14:paraId="32787048">
                  <w:pPr>
                    <w:pageBreakBefore w:val="0"/>
                    <w:kinsoku/>
                    <w:wordWrap/>
                    <w:topLinePunct w:val="0"/>
                    <w:bidi w:val="0"/>
                    <w:spacing w:line="280" w:lineRule="exact"/>
                    <w:jc w:val="center"/>
                    <w:rPr>
                      <w:sz w:val="21"/>
                      <w:szCs w:val="21"/>
                    </w:rPr>
                  </w:pPr>
                </w:p>
              </w:tc>
              <w:tc>
                <w:tcPr>
                  <w:tcW w:w="3496" w:type="dxa"/>
                  <w:noWrap w:val="0"/>
                  <w:vAlign w:val="center"/>
                </w:tcPr>
                <w:p w14:paraId="60A881DB">
                  <w:pPr>
                    <w:pageBreakBefore w:val="0"/>
                    <w:widowControl/>
                    <w:kinsoku/>
                    <w:wordWrap/>
                    <w:topLinePunct w:val="0"/>
                    <w:autoSpaceDE w:val="0"/>
                    <w:autoSpaceDN w:val="0"/>
                    <w:bidi w:val="0"/>
                    <w:spacing w:line="280" w:lineRule="exact"/>
                    <w:jc w:val="center"/>
                    <w:rPr>
                      <w:sz w:val="21"/>
                      <w:szCs w:val="21"/>
                    </w:rPr>
                  </w:pPr>
                </w:p>
              </w:tc>
              <w:tc>
                <w:tcPr>
                  <w:tcW w:w="453" w:type="dxa"/>
                  <w:noWrap w:val="0"/>
                  <w:vAlign w:val="center"/>
                </w:tcPr>
                <w:p w14:paraId="21A9A9D3">
                  <w:pPr>
                    <w:pageBreakBefore w:val="0"/>
                    <w:kinsoku/>
                    <w:wordWrap/>
                    <w:topLinePunct w:val="0"/>
                    <w:bidi w:val="0"/>
                    <w:spacing w:line="280" w:lineRule="exact"/>
                    <w:jc w:val="center"/>
                    <w:rPr>
                      <w:sz w:val="21"/>
                      <w:szCs w:val="21"/>
                    </w:rPr>
                  </w:pPr>
                </w:p>
              </w:tc>
              <w:tc>
                <w:tcPr>
                  <w:tcW w:w="453" w:type="dxa"/>
                  <w:noWrap w:val="0"/>
                  <w:vAlign w:val="center"/>
                </w:tcPr>
                <w:p w14:paraId="78981A21">
                  <w:pPr>
                    <w:pageBreakBefore w:val="0"/>
                    <w:kinsoku/>
                    <w:wordWrap/>
                    <w:topLinePunct w:val="0"/>
                    <w:bidi w:val="0"/>
                    <w:spacing w:line="280" w:lineRule="exact"/>
                    <w:jc w:val="center"/>
                    <w:rPr>
                      <w:sz w:val="21"/>
                      <w:szCs w:val="21"/>
                    </w:rPr>
                  </w:pPr>
                </w:p>
              </w:tc>
              <w:tc>
                <w:tcPr>
                  <w:tcW w:w="884" w:type="dxa"/>
                  <w:noWrap w:val="0"/>
                  <w:vAlign w:val="center"/>
                </w:tcPr>
                <w:p w14:paraId="340577FA">
                  <w:pPr>
                    <w:pageBreakBefore w:val="0"/>
                    <w:kinsoku/>
                    <w:wordWrap/>
                    <w:topLinePunct w:val="0"/>
                    <w:bidi w:val="0"/>
                    <w:spacing w:line="280" w:lineRule="exact"/>
                    <w:jc w:val="center"/>
                    <w:rPr>
                      <w:sz w:val="21"/>
                      <w:szCs w:val="21"/>
                    </w:rPr>
                  </w:pPr>
                </w:p>
              </w:tc>
            </w:tr>
            <w:tr w14:paraId="66CC08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387B311A">
                  <w:pPr>
                    <w:pageBreakBefore w:val="0"/>
                    <w:kinsoku/>
                    <w:wordWrap/>
                    <w:topLinePunct w:val="0"/>
                    <w:bidi w:val="0"/>
                    <w:spacing w:line="280" w:lineRule="exact"/>
                    <w:jc w:val="center"/>
                    <w:rPr>
                      <w:rFonts w:hint="eastAsia"/>
                      <w:sz w:val="21"/>
                      <w:szCs w:val="21"/>
                    </w:rPr>
                  </w:pPr>
                </w:p>
              </w:tc>
              <w:tc>
                <w:tcPr>
                  <w:tcW w:w="1329" w:type="dxa"/>
                  <w:noWrap w:val="0"/>
                  <w:vAlign w:val="center"/>
                </w:tcPr>
                <w:p w14:paraId="062BDCB2">
                  <w:pPr>
                    <w:pageBreakBefore w:val="0"/>
                    <w:kinsoku/>
                    <w:wordWrap/>
                    <w:topLinePunct w:val="0"/>
                    <w:bidi w:val="0"/>
                    <w:spacing w:line="280" w:lineRule="exact"/>
                    <w:jc w:val="center"/>
                    <w:rPr>
                      <w:rFonts w:hint="eastAsia"/>
                      <w:sz w:val="21"/>
                      <w:szCs w:val="21"/>
                    </w:rPr>
                  </w:pPr>
                </w:p>
              </w:tc>
              <w:tc>
                <w:tcPr>
                  <w:tcW w:w="1328" w:type="dxa"/>
                  <w:noWrap w:val="0"/>
                  <w:vAlign w:val="center"/>
                </w:tcPr>
                <w:p w14:paraId="77A34C39">
                  <w:pPr>
                    <w:pageBreakBefore w:val="0"/>
                    <w:kinsoku/>
                    <w:wordWrap/>
                    <w:topLinePunct w:val="0"/>
                    <w:bidi w:val="0"/>
                    <w:spacing w:line="280" w:lineRule="exact"/>
                    <w:jc w:val="center"/>
                    <w:rPr>
                      <w:rFonts w:hint="default" w:eastAsia="宋体"/>
                      <w:sz w:val="21"/>
                      <w:szCs w:val="21"/>
                      <w:lang w:val="en-US" w:eastAsia="zh-CN"/>
                    </w:rPr>
                  </w:pPr>
                  <w:r>
                    <w:rPr>
                      <w:rFonts w:hint="eastAsia"/>
                      <w:sz w:val="21"/>
                      <w:szCs w:val="21"/>
                      <w:lang w:val="en-US" w:eastAsia="zh-CN"/>
                    </w:rPr>
                    <w:t>电动机消防泵</w:t>
                  </w:r>
                </w:p>
              </w:tc>
              <w:tc>
                <w:tcPr>
                  <w:tcW w:w="3496" w:type="dxa"/>
                  <w:noWrap w:val="0"/>
                  <w:vAlign w:val="center"/>
                </w:tcPr>
                <w:p w14:paraId="7FE2C1F0">
                  <w:pPr>
                    <w:pageBreakBefore w:val="0"/>
                    <w:widowControl/>
                    <w:kinsoku/>
                    <w:wordWrap/>
                    <w:topLinePunct w:val="0"/>
                    <w:autoSpaceDE w:val="0"/>
                    <w:autoSpaceDN w:val="0"/>
                    <w:bidi w:val="0"/>
                    <w:spacing w:line="280" w:lineRule="exact"/>
                    <w:jc w:val="center"/>
                    <w:rPr>
                      <w:rFonts w:hint="default" w:eastAsia="宋体"/>
                      <w:sz w:val="21"/>
                      <w:szCs w:val="21"/>
                      <w:lang w:val="en-US" w:eastAsia="zh-CN"/>
                    </w:rPr>
                  </w:pPr>
                  <w:r>
                    <w:rPr>
                      <w:rFonts w:hint="eastAsia"/>
                      <w:sz w:val="21"/>
                      <w:szCs w:val="21"/>
                      <w:lang w:val="en-US" w:eastAsia="zh-CN"/>
                    </w:rPr>
                    <w:t>Q=216</w:t>
                  </w:r>
                  <w:r>
                    <w:rPr>
                      <w:sz w:val="21"/>
                      <w:szCs w:val="21"/>
                    </w:rPr>
                    <w:t>m</w:t>
                  </w:r>
                  <w:r>
                    <w:rPr>
                      <w:rFonts w:hint="eastAsia"/>
                      <w:sz w:val="21"/>
                      <w:szCs w:val="21"/>
                      <w:vertAlign w:val="superscript"/>
                    </w:rPr>
                    <w:t>3</w:t>
                  </w:r>
                  <w:r>
                    <w:rPr>
                      <w:sz w:val="21"/>
                      <w:szCs w:val="21"/>
                    </w:rPr>
                    <w:t>/h</w:t>
                  </w:r>
                  <w:r>
                    <w:rPr>
                      <w:rFonts w:hint="eastAsia"/>
                      <w:sz w:val="21"/>
                      <w:szCs w:val="21"/>
                      <w:lang w:eastAsia="zh-CN"/>
                    </w:rPr>
                    <w:t>，</w:t>
                  </w:r>
                  <w:r>
                    <w:rPr>
                      <w:rFonts w:hint="eastAsia"/>
                      <w:sz w:val="21"/>
                      <w:szCs w:val="21"/>
                      <w:lang w:val="en-US" w:eastAsia="zh-CN"/>
                    </w:rPr>
                    <w:t>H=0.65MPa，N=75kW</w:t>
                  </w:r>
                </w:p>
              </w:tc>
              <w:tc>
                <w:tcPr>
                  <w:tcW w:w="453" w:type="dxa"/>
                  <w:noWrap w:val="0"/>
                  <w:vAlign w:val="center"/>
                </w:tcPr>
                <w:p w14:paraId="6AAE3C05">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台</w:t>
                  </w:r>
                </w:p>
              </w:tc>
              <w:tc>
                <w:tcPr>
                  <w:tcW w:w="453" w:type="dxa"/>
                  <w:noWrap w:val="0"/>
                  <w:vAlign w:val="center"/>
                </w:tcPr>
                <w:p w14:paraId="3A894961">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1</w:t>
                  </w:r>
                </w:p>
              </w:tc>
              <w:tc>
                <w:tcPr>
                  <w:tcW w:w="884" w:type="dxa"/>
                  <w:noWrap w:val="0"/>
                  <w:vAlign w:val="center"/>
                </w:tcPr>
                <w:p w14:paraId="55DC2B59">
                  <w:pPr>
                    <w:pageBreakBefore w:val="0"/>
                    <w:kinsoku/>
                    <w:wordWrap/>
                    <w:topLinePunct w:val="0"/>
                    <w:bidi w:val="0"/>
                    <w:spacing w:line="280" w:lineRule="exact"/>
                    <w:jc w:val="center"/>
                    <w:rPr>
                      <w:sz w:val="21"/>
                      <w:szCs w:val="21"/>
                    </w:rPr>
                  </w:pPr>
                </w:p>
              </w:tc>
            </w:tr>
            <w:tr w14:paraId="547FA0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3C022BC7">
                  <w:pPr>
                    <w:pageBreakBefore w:val="0"/>
                    <w:kinsoku/>
                    <w:wordWrap/>
                    <w:topLinePunct w:val="0"/>
                    <w:bidi w:val="0"/>
                    <w:spacing w:line="280" w:lineRule="exact"/>
                    <w:jc w:val="center"/>
                    <w:rPr>
                      <w:rFonts w:hint="eastAsia"/>
                      <w:sz w:val="21"/>
                      <w:szCs w:val="21"/>
                    </w:rPr>
                  </w:pPr>
                </w:p>
              </w:tc>
              <w:tc>
                <w:tcPr>
                  <w:tcW w:w="1329" w:type="dxa"/>
                  <w:noWrap w:val="0"/>
                  <w:vAlign w:val="center"/>
                </w:tcPr>
                <w:p w14:paraId="6EE00F2B">
                  <w:pPr>
                    <w:pageBreakBefore w:val="0"/>
                    <w:kinsoku/>
                    <w:wordWrap/>
                    <w:topLinePunct w:val="0"/>
                    <w:bidi w:val="0"/>
                    <w:spacing w:line="280" w:lineRule="exact"/>
                    <w:jc w:val="center"/>
                    <w:rPr>
                      <w:rFonts w:hint="eastAsia"/>
                      <w:sz w:val="21"/>
                      <w:szCs w:val="21"/>
                    </w:rPr>
                  </w:pPr>
                </w:p>
              </w:tc>
              <w:tc>
                <w:tcPr>
                  <w:tcW w:w="1328" w:type="dxa"/>
                  <w:noWrap w:val="0"/>
                  <w:vAlign w:val="center"/>
                </w:tcPr>
                <w:p w14:paraId="1B907D23">
                  <w:pPr>
                    <w:pageBreakBefore w:val="0"/>
                    <w:kinsoku/>
                    <w:wordWrap/>
                    <w:topLinePunct w:val="0"/>
                    <w:bidi w:val="0"/>
                    <w:spacing w:line="280" w:lineRule="exact"/>
                    <w:jc w:val="center"/>
                    <w:rPr>
                      <w:rFonts w:hint="default" w:eastAsia="宋体"/>
                      <w:sz w:val="21"/>
                      <w:szCs w:val="21"/>
                      <w:lang w:val="en-US" w:eastAsia="zh-CN"/>
                    </w:rPr>
                  </w:pPr>
                  <w:r>
                    <w:rPr>
                      <w:rFonts w:hint="eastAsia"/>
                      <w:sz w:val="21"/>
                      <w:szCs w:val="21"/>
                      <w:lang w:val="en-US" w:eastAsia="zh-CN"/>
                    </w:rPr>
                    <w:t>柴油机消防泵</w:t>
                  </w:r>
                </w:p>
              </w:tc>
              <w:tc>
                <w:tcPr>
                  <w:tcW w:w="3496" w:type="dxa"/>
                  <w:noWrap w:val="0"/>
                  <w:vAlign w:val="center"/>
                </w:tcPr>
                <w:p w14:paraId="5CC048DA">
                  <w:pPr>
                    <w:pageBreakBefore w:val="0"/>
                    <w:widowControl/>
                    <w:kinsoku/>
                    <w:wordWrap/>
                    <w:topLinePunct w:val="0"/>
                    <w:autoSpaceDE w:val="0"/>
                    <w:autoSpaceDN w:val="0"/>
                    <w:bidi w:val="0"/>
                    <w:spacing w:line="280" w:lineRule="exact"/>
                    <w:jc w:val="center"/>
                    <w:rPr>
                      <w:sz w:val="21"/>
                      <w:szCs w:val="21"/>
                    </w:rPr>
                  </w:pPr>
                  <w:r>
                    <w:rPr>
                      <w:rFonts w:hint="eastAsia"/>
                      <w:sz w:val="21"/>
                      <w:szCs w:val="21"/>
                      <w:lang w:val="en-US" w:eastAsia="zh-CN"/>
                    </w:rPr>
                    <w:t>Q=216</w:t>
                  </w:r>
                  <w:r>
                    <w:rPr>
                      <w:sz w:val="21"/>
                      <w:szCs w:val="21"/>
                    </w:rPr>
                    <w:t>m</w:t>
                  </w:r>
                  <w:r>
                    <w:rPr>
                      <w:rFonts w:hint="eastAsia"/>
                      <w:sz w:val="21"/>
                      <w:szCs w:val="21"/>
                      <w:vertAlign w:val="superscript"/>
                    </w:rPr>
                    <w:t>3</w:t>
                  </w:r>
                  <w:r>
                    <w:rPr>
                      <w:sz w:val="21"/>
                      <w:szCs w:val="21"/>
                    </w:rPr>
                    <w:t>/h</w:t>
                  </w:r>
                  <w:r>
                    <w:rPr>
                      <w:rFonts w:hint="eastAsia"/>
                      <w:sz w:val="21"/>
                      <w:szCs w:val="21"/>
                      <w:lang w:eastAsia="zh-CN"/>
                    </w:rPr>
                    <w:t>，</w:t>
                  </w:r>
                  <w:r>
                    <w:rPr>
                      <w:rFonts w:hint="eastAsia"/>
                      <w:sz w:val="21"/>
                      <w:szCs w:val="21"/>
                      <w:lang w:val="en-US" w:eastAsia="zh-CN"/>
                    </w:rPr>
                    <w:t>H=0.65MPa</w:t>
                  </w:r>
                </w:p>
              </w:tc>
              <w:tc>
                <w:tcPr>
                  <w:tcW w:w="453" w:type="dxa"/>
                  <w:noWrap w:val="0"/>
                  <w:vAlign w:val="center"/>
                </w:tcPr>
                <w:p w14:paraId="7A61743C">
                  <w:pPr>
                    <w:pageBreakBefore w:val="0"/>
                    <w:kinsoku/>
                    <w:wordWrap/>
                    <w:topLinePunct w:val="0"/>
                    <w:bidi w:val="0"/>
                    <w:spacing w:line="280" w:lineRule="exact"/>
                    <w:jc w:val="center"/>
                    <w:rPr>
                      <w:rFonts w:hint="default" w:eastAsia="宋体"/>
                      <w:sz w:val="21"/>
                      <w:szCs w:val="21"/>
                      <w:lang w:val="en-US" w:eastAsia="zh-CN"/>
                    </w:rPr>
                  </w:pPr>
                  <w:r>
                    <w:rPr>
                      <w:rFonts w:hint="eastAsia"/>
                      <w:sz w:val="21"/>
                      <w:szCs w:val="21"/>
                      <w:lang w:val="en-US" w:eastAsia="zh-CN"/>
                    </w:rPr>
                    <w:t>台</w:t>
                  </w:r>
                </w:p>
              </w:tc>
              <w:tc>
                <w:tcPr>
                  <w:tcW w:w="453" w:type="dxa"/>
                  <w:noWrap w:val="0"/>
                  <w:vAlign w:val="center"/>
                </w:tcPr>
                <w:p w14:paraId="7B000966">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1</w:t>
                  </w:r>
                </w:p>
              </w:tc>
              <w:tc>
                <w:tcPr>
                  <w:tcW w:w="884" w:type="dxa"/>
                  <w:noWrap w:val="0"/>
                  <w:vAlign w:val="center"/>
                </w:tcPr>
                <w:p w14:paraId="0B8A91AD">
                  <w:pPr>
                    <w:pageBreakBefore w:val="0"/>
                    <w:kinsoku/>
                    <w:wordWrap/>
                    <w:topLinePunct w:val="0"/>
                    <w:bidi w:val="0"/>
                    <w:spacing w:line="280" w:lineRule="exact"/>
                    <w:jc w:val="center"/>
                    <w:rPr>
                      <w:sz w:val="21"/>
                      <w:szCs w:val="21"/>
                    </w:rPr>
                  </w:pPr>
                </w:p>
              </w:tc>
            </w:tr>
            <w:tr w14:paraId="63A37C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 w:type="dxa"/>
                  <w:noWrap w:val="0"/>
                  <w:vAlign w:val="center"/>
                </w:tcPr>
                <w:p w14:paraId="1188EF7B">
                  <w:pPr>
                    <w:pageBreakBefore w:val="0"/>
                    <w:kinsoku/>
                    <w:wordWrap/>
                    <w:topLinePunct w:val="0"/>
                    <w:bidi w:val="0"/>
                    <w:spacing w:line="280" w:lineRule="exact"/>
                    <w:jc w:val="center"/>
                    <w:rPr>
                      <w:rFonts w:hint="eastAsia"/>
                      <w:sz w:val="21"/>
                      <w:szCs w:val="21"/>
                    </w:rPr>
                  </w:pPr>
                </w:p>
              </w:tc>
              <w:tc>
                <w:tcPr>
                  <w:tcW w:w="1329" w:type="dxa"/>
                  <w:noWrap w:val="0"/>
                  <w:vAlign w:val="center"/>
                </w:tcPr>
                <w:p w14:paraId="5102B911">
                  <w:pPr>
                    <w:pageBreakBefore w:val="0"/>
                    <w:kinsoku/>
                    <w:wordWrap/>
                    <w:topLinePunct w:val="0"/>
                    <w:bidi w:val="0"/>
                    <w:spacing w:line="280" w:lineRule="exact"/>
                    <w:jc w:val="center"/>
                    <w:rPr>
                      <w:rFonts w:hint="eastAsia"/>
                      <w:sz w:val="21"/>
                      <w:szCs w:val="21"/>
                    </w:rPr>
                  </w:pPr>
                </w:p>
              </w:tc>
              <w:tc>
                <w:tcPr>
                  <w:tcW w:w="1328" w:type="dxa"/>
                  <w:noWrap w:val="0"/>
                  <w:vAlign w:val="center"/>
                </w:tcPr>
                <w:p w14:paraId="01A2595E">
                  <w:pPr>
                    <w:pageBreakBefore w:val="0"/>
                    <w:kinsoku/>
                    <w:wordWrap/>
                    <w:topLinePunct w:val="0"/>
                    <w:bidi w:val="0"/>
                    <w:spacing w:line="280" w:lineRule="exact"/>
                    <w:jc w:val="center"/>
                    <w:rPr>
                      <w:rFonts w:hint="default" w:eastAsia="宋体"/>
                      <w:sz w:val="21"/>
                      <w:szCs w:val="21"/>
                      <w:lang w:val="en-US" w:eastAsia="zh-CN"/>
                    </w:rPr>
                  </w:pPr>
                  <w:r>
                    <w:rPr>
                      <w:rFonts w:hint="eastAsia"/>
                      <w:sz w:val="21"/>
                      <w:szCs w:val="21"/>
                      <w:lang w:val="en-US" w:eastAsia="zh-CN"/>
                    </w:rPr>
                    <w:t>消防稳压泵</w:t>
                  </w:r>
                </w:p>
              </w:tc>
              <w:tc>
                <w:tcPr>
                  <w:tcW w:w="3496" w:type="dxa"/>
                  <w:noWrap w:val="0"/>
                  <w:vAlign w:val="center"/>
                </w:tcPr>
                <w:p w14:paraId="1FABAFFD">
                  <w:pPr>
                    <w:pageBreakBefore w:val="0"/>
                    <w:widowControl/>
                    <w:kinsoku/>
                    <w:wordWrap/>
                    <w:topLinePunct w:val="0"/>
                    <w:autoSpaceDE w:val="0"/>
                    <w:autoSpaceDN w:val="0"/>
                    <w:bidi w:val="0"/>
                    <w:spacing w:line="280" w:lineRule="exact"/>
                    <w:jc w:val="center"/>
                    <w:rPr>
                      <w:sz w:val="21"/>
                      <w:szCs w:val="21"/>
                    </w:rPr>
                  </w:pPr>
                  <w:r>
                    <w:rPr>
                      <w:rFonts w:hint="eastAsia"/>
                      <w:sz w:val="21"/>
                      <w:szCs w:val="21"/>
                      <w:lang w:val="en-US" w:eastAsia="zh-CN"/>
                    </w:rPr>
                    <w:t>Q=18</w:t>
                  </w:r>
                  <w:r>
                    <w:rPr>
                      <w:sz w:val="21"/>
                      <w:szCs w:val="21"/>
                    </w:rPr>
                    <w:t>m</w:t>
                  </w:r>
                  <w:r>
                    <w:rPr>
                      <w:rFonts w:hint="eastAsia"/>
                      <w:sz w:val="21"/>
                      <w:szCs w:val="21"/>
                      <w:vertAlign w:val="superscript"/>
                    </w:rPr>
                    <w:t>3</w:t>
                  </w:r>
                  <w:r>
                    <w:rPr>
                      <w:sz w:val="21"/>
                      <w:szCs w:val="21"/>
                    </w:rPr>
                    <w:t>/h</w:t>
                  </w:r>
                  <w:r>
                    <w:rPr>
                      <w:rFonts w:hint="eastAsia"/>
                      <w:sz w:val="21"/>
                      <w:szCs w:val="21"/>
                      <w:lang w:eastAsia="zh-CN"/>
                    </w:rPr>
                    <w:t>，</w:t>
                  </w:r>
                  <w:r>
                    <w:rPr>
                      <w:rFonts w:hint="eastAsia"/>
                      <w:sz w:val="21"/>
                      <w:szCs w:val="21"/>
                      <w:lang w:val="en-US" w:eastAsia="zh-CN"/>
                    </w:rPr>
                    <w:t>H=0.70MPa，N=11kW</w:t>
                  </w:r>
                </w:p>
              </w:tc>
              <w:tc>
                <w:tcPr>
                  <w:tcW w:w="453" w:type="dxa"/>
                  <w:noWrap w:val="0"/>
                  <w:vAlign w:val="center"/>
                </w:tcPr>
                <w:p w14:paraId="1B754C6E">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台</w:t>
                  </w:r>
                </w:p>
              </w:tc>
              <w:tc>
                <w:tcPr>
                  <w:tcW w:w="453" w:type="dxa"/>
                  <w:noWrap w:val="0"/>
                  <w:vAlign w:val="center"/>
                </w:tcPr>
                <w:p w14:paraId="4E8F6B0D">
                  <w:pPr>
                    <w:pageBreakBefore w:val="0"/>
                    <w:kinsoku/>
                    <w:wordWrap/>
                    <w:topLinePunct w:val="0"/>
                    <w:bidi w:val="0"/>
                    <w:spacing w:line="280" w:lineRule="exact"/>
                    <w:jc w:val="center"/>
                    <w:rPr>
                      <w:rFonts w:hint="eastAsia" w:eastAsia="宋体"/>
                      <w:sz w:val="21"/>
                      <w:szCs w:val="21"/>
                      <w:lang w:val="en-US" w:eastAsia="zh-CN"/>
                    </w:rPr>
                  </w:pPr>
                  <w:r>
                    <w:rPr>
                      <w:rFonts w:hint="eastAsia"/>
                      <w:sz w:val="21"/>
                      <w:szCs w:val="21"/>
                      <w:lang w:val="en-US" w:eastAsia="zh-CN"/>
                    </w:rPr>
                    <w:t>2</w:t>
                  </w:r>
                </w:p>
              </w:tc>
              <w:tc>
                <w:tcPr>
                  <w:tcW w:w="884" w:type="dxa"/>
                  <w:noWrap w:val="0"/>
                  <w:vAlign w:val="center"/>
                </w:tcPr>
                <w:p w14:paraId="7B9F1E8A">
                  <w:pPr>
                    <w:pageBreakBefore w:val="0"/>
                    <w:kinsoku/>
                    <w:wordWrap/>
                    <w:topLinePunct w:val="0"/>
                    <w:bidi w:val="0"/>
                    <w:spacing w:line="280" w:lineRule="exact"/>
                    <w:jc w:val="center"/>
                    <w:rPr>
                      <w:sz w:val="21"/>
                      <w:szCs w:val="21"/>
                    </w:rPr>
                  </w:pPr>
                </w:p>
              </w:tc>
            </w:tr>
          </w:tbl>
          <w:p w14:paraId="0F0E1B61">
            <w:pPr>
              <w:pageBreakBefore w:val="0"/>
              <w:kinsoku/>
              <w:wordWrap/>
              <w:topLinePunct w:val="0"/>
              <w:autoSpaceDE w:val="0"/>
              <w:autoSpaceDN w:val="0"/>
              <w:bidi w:val="0"/>
              <w:spacing w:line="360" w:lineRule="auto"/>
              <w:ind w:firstLine="482" w:firstLineChars="200"/>
              <w:rPr>
                <w:rFonts w:hint="eastAsia"/>
                <w:b/>
                <w:sz w:val="24"/>
              </w:rPr>
            </w:pPr>
            <w:r>
              <w:rPr>
                <w:rFonts w:hint="eastAsia"/>
                <w:b/>
                <w:sz w:val="24"/>
                <w:lang w:val="en-US" w:eastAsia="zh-CN"/>
              </w:rPr>
              <w:t>4</w:t>
            </w:r>
            <w:r>
              <w:rPr>
                <w:rFonts w:hint="eastAsia"/>
                <w:b/>
                <w:sz w:val="24"/>
              </w:rPr>
              <w:t xml:space="preserve"> 原辅材消耗</w:t>
            </w:r>
          </w:p>
          <w:p w14:paraId="066A079F">
            <w:pPr>
              <w:pageBreakBefore w:val="0"/>
              <w:kinsoku/>
              <w:wordWrap/>
              <w:topLinePunct w:val="0"/>
              <w:autoSpaceDE w:val="0"/>
              <w:autoSpaceDN w:val="0"/>
              <w:bidi w:val="0"/>
              <w:spacing w:line="360" w:lineRule="auto"/>
              <w:ind w:firstLine="480" w:firstLineChars="200"/>
              <w:rPr>
                <w:b/>
                <w:sz w:val="24"/>
              </w:rPr>
            </w:pPr>
            <w:r>
              <w:rPr>
                <w:rFonts w:hint="eastAsia"/>
                <w:bCs/>
                <w:sz w:val="24"/>
              </w:rPr>
              <w:t>本项目主要原料为新疆圣雄电石有限公司兰炭装置产生的荒煤气</w:t>
            </w:r>
            <w:r>
              <w:rPr>
                <w:rFonts w:hint="eastAsia"/>
                <w:bCs/>
                <w:sz w:val="24"/>
                <w:lang w:eastAsia="zh-CN"/>
              </w:rPr>
              <w:t>。</w:t>
            </w:r>
            <w:r>
              <w:rPr>
                <w:rFonts w:hint="eastAsia"/>
                <w:bCs/>
                <w:sz w:val="24"/>
                <w:lang w:val="en-US" w:eastAsia="zh-CN"/>
              </w:rPr>
              <w:t>该项目包括年产75万吨兰炭装置，共有兰炭炉10台，其生产工艺流程主要包括备煤工段、炭化工段、煤气净化工段等。荒煤气经吸附除杂后进入本项目</w:t>
            </w:r>
            <w:r>
              <w:rPr>
                <w:rFonts w:hint="eastAsia"/>
                <w:bCs/>
                <w:sz w:val="24"/>
              </w:rPr>
              <w:t>，成分组成见下表。</w:t>
            </w:r>
          </w:p>
          <w:p w14:paraId="3E46A286">
            <w:pPr>
              <w:pageBreakBefore w:val="0"/>
              <w:kinsoku/>
              <w:wordWrap/>
              <w:topLinePunct w:val="0"/>
              <w:autoSpaceDE w:val="0"/>
              <w:autoSpaceDN w:val="0"/>
              <w:bidi w:val="0"/>
              <w:spacing w:line="360" w:lineRule="auto"/>
              <w:jc w:val="center"/>
              <w:rPr>
                <w:b/>
                <w:sz w:val="24"/>
              </w:rPr>
            </w:pPr>
            <w:r>
              <w:rPr>
                <w:rFonts w:hint="eastAsia" w:ascii="黑体" w:hAnsi="黑体" w:eastAsia="黑体" w:cs="黑体"/>
                <w:bCs/>
                <w:szCs w:val="21"/>
              </w:rPr>
              <w:t>表2-</w:t>
            </w:r>
            <w:r>
              <w:rPr>
                <w:rFonts w:hint="eastAsia" w:ascii="黑体" w:hAnsi="黑体" w:eastAsia="黑体" w:cs="黑体"/>
                <w:bCs/>
                <w:szCs w:val="21"/>
                <w:lang w:val="en-US" w:eastAsia="zh-CN"/>
              </w:rPr>
              <w:t>4</w:t>
            </w:r>
            <w:r>
              <w:rPr>
                <w:rFonts w:hint="eastAsia" w:ascii="黑体" w:hAnsi="黑体" w:eastAsia="黑体" w:cs="黑体"/>
                <w:bCs/>
                <w:szCs w:val="21"/>
              </w:rPr>
              <w:t xml:space="preserve">  荒煤气</w:t>
            </w:r>
            <w:r>
              <w:rPr>
                <w:rFonts w:hint="eastAsia" w:ascii="黑体" w:hAnsi="黑体" w:eastAsia="黑体" w:cs="黑体"/>
                <w:bCs/>
                <w:szCs w:val="21"/>
                <w:lang w:val="en-US" w:eastAsia="zh-CN"/>
              </w:rPr>
              <w:t>主要</w:t>
            </w:r>
            <w:r>
              <w:rPr>
                <w:rFonts w:hint="eastAsia" w:ascii="黑体" w:hAnsi="黑体" w:eastAsia="黑体" w:cs="黑体"/>
                <w:bCs/>
                <w:szCs w:val="21"/>
              </w:rPr>
              <w:t>成分组成一览表</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1421"/>
              <w:gridCol w:w="2664"/>
              <w:gridCol w:w="4305"/>
            </w:tblGrid>
            <w:tr w14:paraId="3EFDB7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52309ADE">
                  <w:pPr>
                    <w:pageBreakBefore w:val="0"/>
                    <w:kinsoku/>
                    <w:wordWrap/>
                    <w:topLinePunct w:val="0"/>
                    <w:bidi w:val="0"/>
                    <w:spacing w:line="280" w:lineRule="exact"/>
                    <w:jc w:val="center"/>
                    <w:rPr>
                      <w:b/>
                      <w:bCs/>
                      <w:szCs w:val="21"/>
                    </w:rPr>
                  </w:pPr>
                  <w:r>
                    <w:rPr>
                      <w:b/>
                      <w:bCs/>
                      <w:szCs w:val="21"/>
                    </w:rPr>
                    <w:t>序号</w:t>
                  </w:r>
                </w:p>
              </w:tc>
              <w:tc>
                <w:tcPr>
                  <w:tcW w:w="2664" w:type="dxa"/>
                  <w:noWrap w:val="0"/>
                  <w:vAlign w:val="center"/>
                </w:tcPr>
                <w:p w14:paraId="590CFE8A">
                  <w:pPr>
                    <w:pageBreakBefore w:val="0"/>
                    <w:kinsoku/>
                    <w:wordWrap/>
                    <w:topLinePunct w:val="0"/>
                    <w:bidi w:val="0"/>
                    <w:spacing w:line="280" w:lineRule="exact"/>
                    <w:jc w:val="center"/>
                    <w:rPr>
                      <w:b/>
                      <w:bCs/>
                      <w:szCs w:val="21"/>
                    </w:rPr>
                  </w:pPr>
                  <w:r>
                    <w:rPr>
                      <w:b/>
                      <w:bCs/>
                      <w:szCs w:val="21"/>
                    </w:rPr>
                    <w:t>名称</w:t>
                  </w:r>
                </w:p>
              </w:tc>
              <w:tc>
                <w:tcPr>
                  <w:tcW w:w="4305" w:type="dxa"/>
                  <w:noWrap w:val="0"/>
                  <w:vAlign w:val="center"/>
                </w:tcPr>
                <w:p w14:paraId="2D6B9076">
                  <w:pPr>
                    <w:pageBreakBefore w:val="0"/>
                    <w:kinsoku/>
                    <w:wordWrap/>
                    <w:topLinePunct w:val="0"/>
                    <w:bidi w:val="0"/>
                    <w:spacing w:line="280" w:lineRule="exact"/>
                    <w:jc w:val="center"/>
                    <w:rPr>
                      <w:b/>
                      <w:bCs/>
                      <w:szCs w:val="21"/>
                    </w:rPr>
                  </w:pPr>
                  <w:r>
                    <w:rPr>
                      <w:rFonts w:hint="eastAsia"/>
                      <w:b/>
                      <w:bCs/>
                      <w:szCs w:val="21"/>
                    </w:rPr>
                    <w:t>组成（mol%）</w:t>
                  </w:r>
                </w:p>
              </w:tc>
            </w:tr>
            <w:tr w14:paraId="47AE39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21D653E5">
                  <w:pPr>
                    <w:pageBreakBefore w:val="0"/>
                    <w:kinsoku/>
                    <w:wordWrap/>
                    <w:topLinePunct w:val="0"/>
                    <w:bidi w:val="0"/>
                    <w:spacing w:line="280" w:lineRule="exact"/>
                    <w:jc w:val="center"/>
                    <w:rPr>
                      <w:szCs w:val="21"/>
                    </w:rPr>
                  </w:pPr>
                  <w:r>
                    <w:rPr>
                      <w:rFonts w:hint="eastAsia"/>
                      <w:szCs w:val="21"/>
                    </w:rPr>
                    <w:t>1</w:t>
                  </w:r>
                </w:p>
              </w:tc>
              <w:tc>
                <w:tcPr>
                  <w:tcW w:w="2664" w:type="dxa"/>
                  <w:noWrap w:val="0"/>
                  <w:vAlign w:val="center"/>
                </w:tcPr>
                <w:p w14:paraId="5D1F0A7E">
                  <w:pPr>
                    <w:pageBreakBefore w:val="0"/>
                    <w:kinsoku/>
                    <w:wordWrap/>
                    <w:topLinePunct w:val="0"/>
                    <w:bidi w:val="0"/>
                    <w:spacing w:line="280" w:lineRule="exact"/>
                    <w:jc w:val="center"/>
                    <w:rPr>
                      <w:szCs w:val="21"/>
                    </w:rPr>
                  </w:pPr>
                  <w:r>
                    <w:rPr>
                      <w:rFonts w:hint="eastAsia"/>
                      <w:szCs w:val="21"/>
                    </w:rPr>
                    <w:t>H</w:t>
                  </w:r>
                  <w:r>
                    <w:rPr>
                      <w:rFonts w:hint="eastAsia"/>
                      <w:szCs w:val="21"/>
                      <w:vertAlign w:val="subscript"/>
                    </w:rPr>
                    <w:t>2</w:t>
                  </w:r>
                </w:p>
              </w:tc>
              <w:tc>
                <w:tcPr>
                  <w:tcW w:w="4305" w:type="dxa"/>
                  <w:noWrap w:val="0"/>
                  <w:vAlign w:val="center"/>
                </w:tcPr>
                <w:p w14:paraId="209F925B">
                  <w:pPr>
                    <w:pageBreakBefore w:val="0"/>
                    <w:kinsoku/>
                    <w:wordWrap/>
                    <w:topLinePunct w:val="0"/>
                    <w:bidi w:val="0"/>
                    <w:spacing w:line="280" w:lineRule="exact"/>
                    <w:jc w:val="center"/>
                    <w:rPr>
                      <w:szCs w:val="21"/>
                      <w:vertAlign w:val="superscript"/>
                    </w:rPr>
                  </w:pPr>
                  <w:r>
                    <w:rPr>
                      <w:rFonts w:hint="eastAsia"/>
                      <w:szCs w:val="21"/>
                    </w:rPr>
                    <w:t>2</w:t>
                  </w:r>
                  <w:r>
                    <w:rPr>
                      <w:rFonts w:hint="eastAsia"/>
                      <w:szCs w:val="21"/>
                      <w:lang w:val="en-US" w:eastAsia="zh-CN"/>
                    </w:rPr>
                    <w:t>4.06</w:t>
                  </w:r>
                  <w:r>
                    <w:rPr>
                      <w:rFonts w:hint="eastAsia"/>
                      <w:szCs w:val="21"/>
                    </w:rPr>
                    <w:t>%</w:t>
                  </w:r>
                </w:p>
              </w:tc>
            </w:tr>
            <w:tr w14:paraId="08EACD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1CA02095">
                  <w:pPr>
                    <w:pageBreakBefore w:val="0"/>
                    <w:kinsoku/>
                    <w:wordWrap/>
                    <w:topLinePunct w:val="0"/>
                    <w:bidi w:val="0"/>
                    <w:spacing w:line="280" w:lineRule="exact"/>
                    <w:jc w:val="center"/>
                    <w:rPr>
                      <w:szCs w:val="21"/>
                    </w:rPr>
                  </w:pPr>
                  <w:r>
                    <w:rPr>
                      <w:rFonts w:hint="eastAsia"/>
                      <w:szCs w:val="21"/>
                    </w:rPr>
                    <w:t>2</w:t>
                  </w:r>
                </w:p>
              </w:tc>
              <w:tc>
                <w:tcPr>
                  <w:tcW w:w="2664" w:type="dxa"/>
                  <w:noWrap w:val="0"/>
                  <w:vAlign w:val="center"/>
                </w:tcPr>
                <w:p w14:paraId="2935DB7F">
                  <w:pPr>
                    <w:pageBreakBefore w:val="0"/>
                    <w:kinsoku/>
                    <w:wordWrap/>
                    <w:topLinePunct w:val="0"/>
                    <w:bidi w:val="0"/>
                    <w:spacing w:line="280" w:lineRule="exact"/>
                    <w:jc w:val="center"/>
                    <w:rPr>
                      <w:szCs w:val="21"/>
                    </w:rPr>
                  </w:pPr>
                  <w:r>
                    <w:rPr>
                      <w:rFonts w:hint="eastAsia"/>
                      <w:szCs w:val="21"/>
                    </w:rPr>
                    <w:t>O</w:t>
                  </w:r>
                  <w:r>
                    <w:rPr>
                      <w:rFonts w:hint="eastAsia"/>
                      <w:szCs w:val="21"/>
                      <w:vertAlign w:val="subscript"/>
                    </w:rPr>
                    <w:t>2</w:t>
                  </w:r>
                </w:p>
              </w:tc>
              <w:tc>
                <w:tcPr>
                  <w:tcW w:w="4305" w:type="dxa"/>
                  <w:noWrap w:val="0"/>
                  <w:vAlign w:val="center"/>
                </w:tcPr>
                <w:p w14:paraId="52ECC191">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59</w:t>
                  </w:r>
                  <w:r>
                    <w:rPr>
                      <w:rFonts w:hint="eastAsia"/>
                      <w:szCs w:val="21"/>
                    </w:rPr>
                    <w:t>%</w:t>
                  </w:r>
                </w:p>
              </w:tc>
            </w:tr>
            <w:tr w14:paraId="196EBD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523C5BD1">
                  <w:pPr>
                    <w:pageBreakBefore w:val="0"/>
                    <w:kinsoku/>
                    <w:wordWrap/>
                    <w:topLinePunct w:val="0"/>
                    <w:bidi w:val="0"/>
                    <w:spacing w:line="280" w:lineRule="exact"/>
                    <w:jc w:val="center"/>
                    <w:rPr>
                      <w:szCs w:val="21"/>
                    </w:rPr>
                  </w:pPr>
                  <w:r>
                    <w:rPr>
                      <w:rFonts w:hint="eastAsia"/>
                      <w:szCs w:val="21"/>
                    </w:rPr>
                    <w:t>3</w:t>
                  </w:r>
                </w:p>
              </w:tc>
              <w:tc>
                <w:tcPr>
                  <w:tcW w:w="2664" w:type="dxa"/>
                  <w:noWrap w:val="0"/>
                  <w:vAlign w:val="center"/>
                </w:tcPr>
                <w:p w14:paraId="7374A7C8">
                  <w:pPr>
                    <w:pageBreakBefore w:val="0"/>
                    <w:kinsoku/>
                    <w:wordWrap/>
                    <w:topLinePunct w:val="0"/>
                    <w:bidi w:val="0"/>
                    <w:spacing w:line="280" w:lineRule="exact"/>
                    <w:jc w:val="center"/>
                    <w:rPr>
                      <w:szCs w:val="21"/>
                    </w:rPr>
                  </w:pPr>
                  <w:r>
                    <w:rPr>
                      <w:rFonts w:hint="eastAsia"/>
                      <w:szCs w:val="21"/>
                    </w:rPr>
                    <w:t>N</w:t>
                  </w:r>
                  <w:r>
                    <w:rPr>
                      <w:rFonts w:hint="eastAsia"/>
                      <w:szCs w:val="21"/>
                      <w:vertAlign w:val="subscript"/>
                    </w:rPr>
                    <w:t>2</w:t>
                  </w:r>
                </w:p>
              </w:tc>
              <w:tc>
                <w:tcPr>
                  <w:tcW w:w="4305" w:type="dxa"/>
                  <w:noWrap w:val="0"/>
                  <w:vAlign w:val="center"/>
                </w:tcPr>
                <w:p w14:paraId="25AAB7FC">
                  <w:pPr>
                    <w:pageBreakBefore w:val="0"/>
                    <w:kinsoku/>
                    <w:wordWrap/>
                    <w:topLinePunct w:val="0"/>
                    <w:bidi w:val="0"/>
                    <w:spacing w:line="280" w:lineRule="exact"/>
                    <w:jc w:val="center"/>
                    <w:rPr>
                      <w:szCs w:val="21"/>
                    </w:rPr>
                  </w:pPr>
                  <w:r>
                    <w:rPr>
                      <w:rFonts w:hint="eastAsia"/>
                      <w:szCs w:val="21"/>
                      <w:lang w:val="en-US" w:eastAsia="zh-CN"/>
                    </w:rPr>
                    <w:t>36.38</w:t>
                  </w:r>
                  <w:r>
                    <w:rPr>
                      <w:rFonts w:hint="eastAsia"/>
                      <w:szCs w:val="21"/>
                    </w:rPr>
                    <w:t>%</w:t>
                  </w:r>
                </w:p>
              </w:tc>
            </w:tr>
            <w:tr w14:paraId="1A0B25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43BB3386">
                  <w:pPr>
                    <w:pageBreakBefore w:val="0"/>
                    <w:kinsoku/>
                    <w:wordWrap/>
                    <w:topLinePunct w:val="0"/>
                    <w:bidi w:val="0"/>
                    <w:spacing w:line="280" w:lineRule="exact"/>
                    <w:jc w:val="center"/>
                    <w:rPr>
                      <w:szCs w:val="21"/>
                    </w:rPr>
                  </w:pPr>
                  <w:r>
                    <w:rPr>
                      <w:rFonts w:hint="eastAsia"/>
                      <w:szCs w:val="21"/>
                    </w:rPr>
                    <w:t>4</w:t>
                  </w:r>
                </w:p>
              </w:tc>
              <w:tc>
                <w:tcPr>
                  <w:tcW w:w="2664" w:type="dxa"/>
                  <w:noWrap w:val="0"/>
                  <w:vAlign w:val="center"/>
                </w:tcPr>
                <w:p w14:paraId="5027D6E8">
                  <w:pPr>
                    <w:pageBreakBefore w:val="0"/>
                    <w:kinsoku/>
                    <w:wordWrap/>
                    <w:topLinePunct w:val="0"/>
                    <w:bidi w:val="0"/>
                    <w:spacing w:line="280" w:lineRule="exact"/>
                    <w:jc w:val="center"/>
                    <w:rPr>
                      <w:szCs w:val="21"/>
                    </w:rPr>
                  </w:pPr>
                  <w:r>
                    <w:rPr>
                      <w:rFonts w:hint="eastAsia"/>
                      <w:szCs w:val="21"/>
                    </w:rPr>
                    <w:t>CO</w:t>
                  </w:r>
                </w:p>
              </w:tc>
              <w:tc>
                <w:tcPr>
                  <w:tcW w:w="4305" w:type="dxa"/>
                  <w:noWrap w:val="0"/>
                  <w:vAlign w:val="center"/>
                </w:tcPr>
                <w:p w14:paraId="6D36B091">
                  <w:pPr>
                    <w:pageBreakBefore w:val="0"/>
                    <w:kinsoku/>
                    <w:wordWrap/>
                    <w:topLinePunct w:val="0"/>
                    <w:bidi w:val="0"/>
                    <w:spacing w:line="280" w:lineRule="exact"/>
                    <w:jc w:val="center"/>
                    <w:rPr>
                      <w:szCs w:val="21"/>
                    </w:rPr>
                  </w:pPr>
                  <w:r>
                    <w:rPr>
                      <w:rFonts w:hint="eastAsia"/>
                      <w:szCs w:val="21"/>
                    </w:rPr>
                    <w:t>10.</w:t>
                  </w:r>
                  <w:r>
                    <w:rPr>
                      <w:rFonts w:hint="eastAsia"/>
                      <w:szCs w:val="21"/>
                      <w:lang w:val="en-US" w:eastAsia="zh-CN"/>
                    </w:rPr>
                    <w:t>80</w:t>
                  </w:r>
                  <w:r>
                    <w:rPr>
                      <w:rFonts w:hint="eastAsia"/>
                      <w:szCs w:val="21"/>
                    </w:rPr>
                    <w:t>%</w:t>
                  </w:r>
                </w:p>
              </w:tc>
            </w:tr>
            <w:tr w14:paraId="7E856C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1C6987B1">
                  <w:pPr>
                    <w:pageBreakBefore w:val="0"/>
                    <w:kinsoku/>
                    <w:wordWrap/>
                    <w:topLinePunct w:val="0"/>
                    <w:bidi w:val="0"/>
                    <w:spacing w:line="280" w:lineRule="exact"/>
                    <w:jc w:val="center"/>
                    <w:rPr>
                      <w:szCs w:val="21"/>
                    </w:rPr>
                  </w:pPr>
                  <w:r>
                    <w:rPr>
                      <w:rFonts w:hint="eastAsia"/>
                      <w:szCs w:val="21"/>
                    </w:rPr>
                    <w:t>5</w:t>
                  </w:r>
                </w:p>
              </w:tc>
              <w:tc>
                <w:tcPr>
                  <w:tcW w:w="2664" w:type="dxa"/>
                  <w:noWrap w:val="0"/>
                  <w:vAlign w:val="center"/>
                </w:tcPr>
                <w:p w14:paraId="58ECF3E9">
                  <w:pPr>
                    <w:pageBreakBefore w:val="0"/>
                    <w:kinsoku/>
                    <w:wordWrap/>
                    <w:topLinePunct w:val="0"/>
                    <w:bidi w:val="0"/>
                    <w:spacing w:line="280" w:lineRule="exact"/>
                    <w:jc w:val="center"/>
                    <w:rPr>
                      <w:szCs w:val="21"/>
                    </w:rPr>
                  </w:pPr>
                  <w:r>
                    <w:rPr>
                      <w:rFonts w:hint="eastAsia"/>
                      <w:szCs w:val="21"/>
                    </w:rPr>
                    <w:t>CH</w:t>
                  </w:r>
                  <w:r>
                    <w:rPr>
                      <w:rFonts w:hint="eastAsia"/>
                      <w:szCs w:val="21"/>
                      <w:vertAlign w:val="subscript"/>
                    </w:rPr>
                    <w:t>4</w:t>
                  </w:r>
                </w:p>
              </w:tc>
              <w:tc>
                <w:tcPr>
                  <w:tcW w:w="4305" w:type="dxa"/>
                  <w:noWrap w:val="0"/>
                  <w:vAlign w:val="center"/>
                </w:tcPr>
                <w:p w14:paraId="2063D448">
                  <w:pPr>
                    <w:pageBreakBefore w:val="0"/>
                    <w:kinsoku/>
                    <w:wordWrap/>
                    <w:topLinePunct w:val="0"/>
                    <w:bidi w:val="0"/>
                    <w:spacing w:line="280" w:lineRule="exact"/>
                    <w:jc w:val="center"/>
                    <w:rPr>
                      <w:szCs w:val="21"/>
                    </w:rPr>
                  </w:pPr>
                  <w:r>
                    <w:rPr>
                      <w:rFonts w:hint="eastAsia"/>
                      <w:szCs w:val="21"/>
                    </w:rPr>
                    <w:t>8.</w:t>
                  </w:r>
                  <w:r>
                    <w:rPr>
                      <w:rFonts w:hint="eastAsia"/>
                      <w:szCs w:val="21"/>
                      <w:lang w:val="en-US" w:eastAsia="zh-CN"/>
                    </w:rPr>
                    <w:t>38</w:t>
                  </w:r>
                  <w:r>
                    <w:rPr>
                      <w:rFonts w:hint="eastAsia"/>
                      <w:szCs w:val="21"/>
                    </w:rPr>
                    <w:t>%</w:t>
                  </w:r>
                </w:p>
              </w:tc>
            </w:tr>
            <w:tr w14:paraId="078C0B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1F832B6A">
                  <w:pPr>
                    <w:pageBreakBefore w:val="0"/>
                    <w:kinsoku/>
                    <w:wordWrap/>
                    <w:topLinePunct w:val="0"/>
                    <w:bidi w:val="0"/>
                    <w:spacing w:line="280" w:lineRule="exact"/>
                    <w:jc w:val="center"/>
                    <w:rPr>
                      <w:szCs w:val="21"/>
                    </w:rPr>
                  </w:pPr>
                  <w:r>
                    <w:rPr>
                      <w:rFonts w:hint="eastAsia"/>
                      <w:szCs w:val="21"/>
                    </w:rPr>
                    <w:t>6</w:t>
                  </w:r>
                </w:p>
              </w:tc>
              <w:tc>
                <w:tcPr>
                  <w:tcW w:w="2664" w:type="dxa"/>
                  <w:noWrap w:val="0"/>
                  <w:vAlign w:val="center"/>
                </w:tcPr>
                <w:p w14:paraId="2D3F6BEE">
                  <w:pPr>
                    <w:pageBreakBefore w:val="0"/>
                    <w:kinsoku/>
                    <w:wordWrap/>
                    <w:topLinePunct w:val="0"/>
                    <w:bidi w:val="0"/>
                    <w:spacing w:line="280" w:lineRule="exact"/>
                    <w:jc w:val="center"/>
                    <w:rPr>
                      <w:szCs w:val="21"/>
                    </w:rPr>
                  </w:pPr>
                  <w:r>
                    <w:rPr>
                      <w:rFonts w:hint="eastAsia"/>
                      <w:szCs w:val="21"/>
                    </w:rPr>
                    <w:t>CO</w:t>
                  </w:r>
                  <w:r>
                    <w:rPr>
                      <w:rFonts w:hint="eastAsia"/>
                      <w:szCs w:val="21"/>
                      <w:vertAlign w:val="subscript"/>
                    </w:rPr>
                    <w:t>2</w:t>
                  </w:r>
                </w:p>
              </w:tc>
              <w:tc>
                <w:tcPr>
                  <w:tcW w:w="4305" w:type="dxa"/>
                  <w:noWrap w:val="0"/>
                  <w:vAlign w:val="center"/>
                </w:tcPr>
                <w:p w14:paraId="275840A6">
                  <w:pPr>
                    <w:pageBreakBefore w:val="0"/>
                    <w:kinsoku/>
                    <w:wordWrap/>
                    <w:topLinePunct w:val="0"/>
                    <w:bidi w:val="0"/>
                    <w:spacing w:line="280" w:lineRule="exact"/>
                    <w:jc w:val="center"/>
                    <w:rPr>
                      <w:szCs w:val="21"/>
                    </w:rPr>
                  </w:pPr>
                  <w:r>
                    <w:rPr>
                      <w:rFonts w:hint="eastAsia"/>
                      <w:szCs w:val="21"/>
                      <w:lang w:val="en-US" w:eastAsia="zh-CN"/>
                    </w:rPr>
                    <w:t>9.59</w:t>
                  </w:r>
                  <w:r>
                    <w:rPr>
                      <w:rFonts w:hint="eastAsia"/>
                      <w:szCs w:val="21"/>
                    </w:rPr>
                    <w:t>%</w:t>
                  </w:r>
                </w:p>
              </w:tc>
            </w:tr>
            <w:tr w14:paraId="736CC7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65968A4A">
                  <w:pPr>
                    <w:pageBreakBefore w:val="0"/>
                    <w:kinsoku/>
                    <w:wordWrap/>
                    <w:topLinePunct w:val="0"/>
                    <w:bidi w:val="0"/>
                    <w:spacing w:line="280" w:lineRule="exact"/>
                    <w:jc w:val="center"/>
                    <w:rPr>
                      <w:szCs w:val="21"/>
                    </w:rPr>
                  </w:pPr>
                  <w:r>
                    <w:rPr>
                      <w:rFonts w:hint="eastAsia"/>
                      <w:szCs w:val="21"/>
                    </w:rPr>
                    <w:t>7</w:t>
                  </w:r>
                </w:p>
              </w:tc>
              <w:tc>
                <w:tcPr>
                  <w:tcW w:w="2664" w:type="dxa"/>
                  <w:noWrap w:val="0"/>
                  <w:vAlign w:val="center"/>
                </w:tcPr>
                <w:p w14:paraId="6D3550D7">
                  <w:pPr>
                    <w:pageBreakBefore w:val="0"/>
                    <w:kinsoku/>
                    <w:wordWrap/>
                    <w:topLinePunct w:val="0"/>
                    <w:bidi w:val="0"/>
                    <w:spacing w:line="280" w:lineRule="exact"/>
                    <w:jc w:val="center"/>
                    <w:rPr>
                      <w:szCs w:val="21"/>
                    </w:rPr>
                  </w:pPr>
                  <w:r>
                    <w:rPr>
                      <w:rFonts w:hint="eastAsia"/>
                      <w:szCs w:val="21"/>
                    </w:rPr>
                    <w:t>C</w:t>
                  </w:r>
                  <w:r>
                    <w:rPr>
                      <w:rFonts w:hint="eastAsia"/>
                      <w:szCs w:val="21"/>
                      <w:vertAlign w:val="subscript"/>
                    </w:rPr>
                    <w:t>2</w:t>
                  </w:r>
                  <w:r>
                    <w:rPr>
                      <w:rFonts w:hint="eastAsia"/>
                      <w:szCs w:val="21"/>
                    </w:rPr>
                    <w:t>H</w:t>
                  </w:r>
                  <w:r>
                    <w:rPr>
                      <w:rFonts w:hint="eastAsia"/>
                      <w:szCs w:val="21"/>
                      <w:vertAlign w:val="subscript"/>
                    </w:rPr>
                    <w:t>4</w:t>
                  </w:r>
                </w:p>
              </w:tc>
              <w:tc>
                <w:tcPr>
                  <w:tcW w:w="4305" w:type="dxa"/>
                  <w:noWrap w:val="0"/>
                  <w:vAlign w:val="center"/>
                </w:tcPr>
                <w:p w14:paraId="50452C98">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09</w:t>
                  </w:r>
                  <w:r>
                    <w:rPr>
                      <w:rFonts w:hint="eastAsia"/>
                      <w:szCs w:val="21"/>
                    </w:rPr>
                    <w:t>%</w:t>
                  </w:r>
                </w:p>
              </w:tc>
            </w:tr>
            <w:tr w14:paraId="2777E1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5893FE2C">
                  <w:pPr>
                    <w:pageBreakBefore w:val="0"/>
                    <w:kinsoku/>
                    <w:wordWrap/>
                    <w:topLinePunct w:val="0"/>
                    <w:bidi w:val="0"/>
                    <w:spacing w:line="280" w:lineRule="exact"/>
                    <w:jc w:val="center"/>
                    <w:rPr>
                      <w:szCs w:val="21"/>
                    </w:rPr>
                  </w:pPr>
                  <w:r>
                    <w:rPr>
                      <w:rFonts w:hint="eastAsia"/>
                      <w:szCs w:val="21"/>
                    </w:rPr>
                    <w:t>8</w:t>
                  </w:r>
                </w:p>
              </w:tc>
              <w:tc>
                <w:tcPr>
                  <w:tcW w:w="2664" w:type="dxa"/>
                  <w:noWrap w:val="0"/>
                  <w:vAlign w:val="center"/>
                </w:tcPr>
                <w:p w14:paraId="5874E300">
                  <w:pPr>
                    <w:pageBreakBefore w:val="0"/>
                    <w:kinsoku/>
                    <w:wordWrap/>
                    <w:topLinePunct w:val="0"/>
                    <w:bidi w:val="0"/>
                    <w:spacing w:line="280" w:lineRule="exact"/>
                    <w:jc w:val="center"/>
                    <w:rPr>
                      <w:szCs w:val="21"/>
                    </w:rPr>
                  </w:pPr>
                  <w:r>
                    <w:rPr>
                      <w:rFonts w:hint="eastAsia"/>
                      <w:szCs w:val="21"/>
                    </w:rPr>
                    <w:t>C</w:t>
                  </w:r>
                  <w:r>
                    <w:rPr>
                      <w:rFonts w:hint="eastAsia"/>
                      <w:szCs w:val="21"/>
                      <w:vertAlign w:val="subscript"/>
                    </w:rPr>
                    <w:t>2</w:t>
                  </w:r>
                  <w:r>
                    <w:rPr>
                      <w:rFonts w:hint="eastAsia"/>
                      <w:szCs w:val="21"/>
                    </w:rPr>
                    <w:t>H</w:t>
                  </w:r>
                  <w:r>
                    <w:rPr>
                      <w:rFonts w:hint="eastAsia"/>
                      <w:szCs w:val="21"/>
                      <w:vertAlign w:val="subscript"/>
                    </w:rPr>
                    <w:t>6</w:t>
                  </w:r>
                </w:p>
              </w:tc>
              <w:tc>
                <w:tcPr>
                  <w:tcW w:w="4305" w:type="dxa"/>
                  <w:noWrap w:val="0"/>
                  <w:vAlign w:val="center"/>
                </w:tcPr>
                <w:p w14:paraId="7B29A917">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48</w:t>
                  </w:r>
                  <w:r>
                    <w:rPr>
                      <w:rFonts w:hint="eastAsia"/>
                      <w:szCs w:val="21"/>
                    </w:rPr>
                    <w:t>%</w:t>
                  </w:r>
                </w:p>
              </w:tc>
            </w:tr>
            <w:tr w14:paraId="37E92E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75886521">
                  <w:pPr>
                    <w:pageBreakBefore w:val="0"/>
                    <w:kinsoku/>
                    <w:wordWrap/>
                    <w:topLinePunct w:val="0"/>
                    <w:bidi w:val="0"/>
                    <w:spacing w:line="280" w:lineRule="exact"/>
                    <w:jc w:val="center"/>
                    <w:rPr>
                      <w:szCs w:val="21"/>
                    </w:rPr>
                  </w:pPr>
                  <w:r>
                    <w:rPr>
                      <w:rFonts w:hint="eastAsia"/>
                      <w:szCs w:val="21"/>
                    </w:rPr>
                    <w:t>9</w:t>
                  </w:r>
                </w:p>
              </w:tc>
              <w:tc>
                <w:tcPr>
                  <w:tcW w:w="2664" w:type="dxa"/>
                  <w:noWrap w:val="0"/>
                  <w:vAlign w:val="center"/>
                </w:tcPr>
                <w:p w14:paraId="50CF7270">
                  <w:pPr>
                    <w:pageBreakBefore w:val="0"/>
                    <w:kinsoku/>
                    <w:wordWrap/>
                    <w:topLinePunct w:val="0"/>
                    <w:bidi w:val="0"/>
                    <w:spacing w:line="280" w:lineRule="exact"/>
                    <w:jc w:val="center"/>
                    <w:rPr>
                      <w:szCs w:val="21"/>
                    </w:rPr>
                  </w:pPr>
                  <w:r>
                    <w:rPr>
                      <w:rFonts w:hint="eastAsia"/>
                      <w:szCs w:val="21"/>
                    </w:rPr>
                    <w:t>NH</w:t>
                  </w:r>
                  <w:r>
                    <w:rPr>
                      <w:rFonts w:hint="eastAsia"/>
                      <w:szCs w:val="21"/>
                      <w:vertAlign w:val="subscript"/>
                    </w:rPr>
                    <w:t>3</w:t>
                  </w:r>
                </w:p>
              </w:tc>
              <w:tc>
                <w:tcPr>
                  <w:tcW w:w="4305" w:type="dxa"/>
                  <w:noWrap w:val="0"/>
                  <w:vAlign w:val="center"/>
                </w:tcPr>
                <w:p w14:paraId="635CFFAF">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18</w:t>
                  </w:r>
                  <w:r>
                    <w:rPr>
                      <w:rFonts w:hint="eastAsia"/>
                      <w:szCs w:val="21"/>
                    </w:rPr>
                    <w:t>%</w:t>
                  </w:r>
                </w:p>
              </w:tc>
            </w:tr>
            <w:tr w14:paraId="1FEED8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34F233C6">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10</w:t>
                  </w:r>
                </w:p>
              </w:tc>
              <w:tc>
                <w:tcPr>
                  <w:tcW w:w="2664" w:type="dxa"/>
                  <w:noWrap w:val="0"/>
                  <w:vAlign w:val="center"/>
                </w:tcPr>
                <w:p w14:paraId="020BF893">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C</w:t>
                  </w:r>
                  <w:r>
                    <w:rPr>
                      <w:rFonts w:hint="eastAsia"/>
                      <w:szCs w:val="21"/>
                      <w:vertAlign w:val="subscript"/>
                      <w:lang w:val="en-US" w:eastAsia="zh-CN"/>
                    </w:rPr>
                    <w:t>3</w:t>
                  </w:r>
                  <w:r>
                    <w:rPr>
                      <w:rFonts w:hint="eastAsia"/>
                      <w:szCs w:val="21"/>
                      <w:lang w:val="en-US" w:eastAsia="zh-CN"/>
                    </w:rPr>
                    <w:t>H</w:t>
                  </w:r>
                  <w:r>
                    <w:rPr>
                      <w:rFonts w:hint="eastAsia"/>
                      <w:szCs w:val="21"/>
                      <w:vertAlign w:val="subscript"/>
                      <w:lang w:val="en-US" w:eastAsia="zh-CN"/>
                    </w:rPr>
                    <w:t>8</w:t>
                  </w:r>
                </w:p>
              </w:tc>
              <w:tc>
                <w:tcPr>
                  <w:tcW w:w="4305" w:type="dxa"/>
                  <w:noWrap w:val="0"/>
                  <w:vAlign w:val="center"/>
                </w:tcPr>
                <w:p w14:paraId="60E58F4A">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0.94%</w:t>
                  </w:r>
                </w:p>
              </w:tc>
            </w:tr>
            <w:tr w14:paraId="353DB3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16C9E651">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11</w:t>
                  </w:r>
                </w:p>
              </w:tc>
              <w:tc>
                <w:tcPr>
                  <w:tcW w:w="2664" w:type="dxa"/>
                  <w:noWrap w:val="0"/>
                  <w:vAlign w:val="center"/>
                </w:tcPr>
                <w:p w14:paraId="24079C5C">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C</w:t>
                  </w:r>
                  <w:r>
                    <w:rPr>
                      <w:rFonts w:hint="eastAsia"/>
                      <w:szCs w:val="21"/>
                      <w:vertAlign w:val="subscript"/>
                      <w:lang w:val="en-US" w:eastAsia="zh-CN"/>
                    </w:rPr>
                    <w:t>4</w:t>
                  </w:r>
                  <w:r>
                    <w:rPr>
                      <w:rFonts w:hint="eastAsia"/>
                      <w:szCs w:val="21"/>
                      <w:lang w:val="en-US" w:eastAsia="zh-CN"/>
                    </w:rPr>
                    <w:t>H</w:t>
                  </w:r>
                  <w:r>
                    <w:rPr>
                      <w:rFonts w:hint="eastAsia"/>
                      <w:szCs w:val="21"/>
                      <w:vertAlign w:val="subscript"/>
                      <w:lang w:val="en-US" w:eastAsia="zh-CN"/>
                    </w:rPr>
                    <w:t>10</w:t>
                  </w:r>
                </w:p>
              </w:tc>
              <w:tc>
                <w:tcPr>
                  <w:tcW w:w="4305" w:type="dxa"/>
                  <w:noWrap w:val="0"/>
                  <w:vAlign w:val="center"/>
                </w:tcPr>
                <w:p w14:paraId="15FD9B59">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1.47%</w:t>
                  </w:r>
                </w:p>
              </w:tc>
            </w:tr>
            <w:tr w14:paraId="56F311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3B442F72">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12</w:t>
                  </w:r>
                </w:p>
              </w:tc>
              <w:tc>
                <w:tcPr>
                  <w:tcW w:w="2664" w:type="dxa"/>
                  <w:noWrap w:val="0"/>
                  <w:vAlign w:val="center"/>
                </w:tcPr>
                <w:p w14:paraId="35D7F6D1">
                  <w:pPr>
                    <w:pageBreakBefore w:val="0"/>
                    <w:kinsoku/>
                    <w:wordWrap/>
                    <w:topLinePunct w:val="0"/>
                    <w:bidi w:val="0"/>
                    <w:spacing w:line="280" w:lineRule="exact"/>
                    <w:jc w:val="center"/>
                    <w:rPr>
                      <w:rFonts w:hint="default"/>
                      <w:szCs w:val="21"/>
                      <w:lang w:val="en-US" w:eastAsia="zh-CN"/>
                    </w:rPr>
                  </w:pPr>
                  <w:r>
                    <w:rPr>
                      <w:rFonts w:hint="eastAsia"/>
                      <w:szCs w:val="21"/>
                      <w:lang w:val="en-US" w:eastAsia="zh-CN"/>
                    </w:rPr>
                    <w:t>H</w:t>
                  </w:r>
                  <w:r>
                    <w:rPr>
                      <w:rFonts w:hint="eastAsia"/>
                      <w:szCs w:val="21"/>
                      <w:vertAlign w:val="subscript"/>
                      <w:lang w:val="en-US" w:eastAsia="zh-CN"/>
                    </w:rPr>
                    <w:t>2</w:t>
                  </w:r>
                  <w:r>
                    <w:rPr>
                      <w:rFonts w:hint="eastAsia"/>
                      <w:szCs w:val="21"/>
                      <w:lang w:val="en-US" w:eastAsia="zh-CN"/>
                    </w:rPr>
                    <w:t>0</w:t>
                  </w:r>
                </w:p>
              </w:tc>
              <w:tc>
                <w:tcPr>
                  <w:tcW w:w="4305" w:type="dxa"/>
                  <w:noWrap w:val="0"/>
                  <w:vAlign w:val="center"/>
                </w:tcPr>
                <w:p w14:paraId="6435640F">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6.97%</w:t>
                  </w:r>
                </w:p>
              </w:tc>
            </w:tr>
            <w:tr w14:paraId="798D2D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1261A9E8">
                  <w:pPr>
                    <w:pageBreakBefore w:val="0"/>
                    <w:kinsoku/>
                    <w:wordWrap/>
                    <w:topLinePunct w:val="0"/>
                    <w:bidi w:val="0"/>
                    <w:spacing w:line="280" w:lineRule="exact"/>
                    <w:jc w:val="center"/>
                    <w:rPr>
                      <w:szCs w:val="21"/>
                    </w:rPr>
                  </w:pPr>
                  <w:r>
                    <w:rPr>
                      <w:rFonts w:hint="eastAsia"/>
                      <w:szCs w:val="21"/>
                    </w:rPr>
                    <w:t>1</w:t>
                  </w:r>
                  <w:r>
                    <w:rPr>
                      <w:rFonts w:hint="eastAsia"/>
                      <w:szCs w:val="21"/>
                      <w:lang w:val="en-US" w:eastAsia="zh-CN"/>
                    </w:rPr>
                    <w:t>3</w:t>
                  </w:r>
                </w:p>
              </w:tc>
              <w:tc>
                <w:tcPr>
                  <w:tcW w:w="2664" w:type="dxa"/>
                  <w:noWrap w:val="0"/>
                  <w:vAlign w:val="center"/>
                </w:tcPr>
                <w:p w14:paraId="7DF6766D">
                  <w:pPr>
                    <w:pageBreakBefore w:val="0"/>
                    <w:kinsoku/>
                    <w:wordWrap/>
                    <w:topLinePunct w:val="0"/>
                    <w:bidi w:val="0"/>
                    <w:spacing w:line="280" w:lineRule="exact"/>
                    <w:jc w:val="center"/>
                    <w:rPr>
                      <w:szCs w:val="21"/>
                    </w:rPr>
                  </w:pPr>
                  <w:r>
                    <w:rPr>
                      <w:rFonts w:hint="eastAsia"/>
                      <w:szCs w:val="21"/>
                    </w:rPr>
                    <w:t>其他组分</w:t>
                  </w:r>
                </w:p>
              </w:tc>
              <w:tc>
                <w:tcPr>
                  <w:tcW w:w="4305" w:type="dxa"/>
                  <w:noWrap w:val="0"/>
                  <w:vAlign w:val="center"/>
                </w:tcPr>
                <w:p w14:paraId="665444EA">
                  <w:pPr>
                    <w:pageBreakBefore w:val="0"/>
                    <w:kinsoku/>
                    <w:wordWrap/>
                    <w:topLinePunct w:val="0"/>
                    <w:bidi w:val="0"/>
                    <w:spacing w:line="280" w:lineRule="exact"/>
                    <w:jc w:val="center"/>
                    <w:rPr>
                      <w:szCs w:val="21"/>
                    </w:rPr>
                  </w:pPr>
                  <w:r>
                    <w:rPr>
                      <w:rFonts w:hint="eastAsia"/>
                      <w:szCs w:val="21"/>
                      <w:lang w:val="en-US" w:eastAsia="zh-CN"/>
                    </w:rPr>
                    <w:t>0.0</w:t>
                  </w:r>
                  <w:r>
                    <w:rPr>
                      <w:rFonts w:hint="eastAsia"/>
                      <w:szCs w:val="21"/>
                    </w:rPr>
                    <w:t>7%</w:t>
                  </w:r>
                </w:p>
              </w:tc>
            </w:tr>
          </w:tbl>
          <w:p w14:paraId="68EC10FF">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本项目</w:t>
            </w:r>
            <w:r>
              <w:rPr>
                <w:rFonts w:hint="eastAsia"/>
                <w:bCs/>
                <w:sz w:val="24"/>
              </w:rPr>
              <w:t>主要能源消耗情况见下表。</w:t>
            </w:r>
          </w:p>
          <w:p w14:paraId="1F4B049B">
            <w:pPr>
              <w:pageBreakBefore w:val="0"/>
              <w:kinsoku/>
              <w:wordWrap/>
              <w:topLinePunct w:val="0"/>
              <w:autoSpaceDE w:val="0"/>
              <w:autoSpaceDN w:val="0"/>
              <w:bidi w:val="0"/>
              <w:spacing w:line="360" w:lineRule="auto"/>
              <w:ind w:firstLine="480" w:firstLineChars="200"/>
              <w:rPr>
                <w:rFonts w:hint="eastAsia"/>
                <w:bCs/>
                <w:sz w:val="24"/>
              </w:rPr>
            </w:pPr>
          </w:p>
          <w:p w14:paraId="2AD36D58">
            <w:pPr>
              <w:pageBreakBefore w:val="0"/>
              <w:kinsoku/>
              <w:wordWrap/>
              <w:topLinePunct w:val="0"/>
              <w:autoSpaceDE w:val="0"/>
              <w:autoSpaceDN w:val="0"/>
              <w:bidi w:val="0"/>
              <w:spacing w:line="360" w:lineRule="auto"/>
              <w:ind w:firstLine="480" w:firstLineChars="200"/>
              <w:rPr>
                <w:rFonts w:hint="eastAsia"/>
                <w:bCs/>
                <w:sz w:val="24"/>
              </w:rPr>
            </w:pPr>
          </w:p>
          <w:p w14:paraId="17F51C74">
            <w:pPr>
              <w:pStyle w:val="25"/>
              <w:pageBreakBefore w:val="0"/>
              <w:kinsoku/>
              <w:wordWrap/>
              <w:topLinePunct w:val="0"/>
              <w:bidi w:val="0"/>
              <w:rPr>
                <w:rFonts w:hint="default"/>
              </w:rPr>
            </w:pPr>
            <w:r>
              <w:t>表2-</w:t>
            </w:r>
            <w:r>
              <w:rPr>
                <w:rFonts w:hint="eastAsia"/>
                <w:lang w:val="en-US" w:eastAsia="zh-CN"/>
              </w:rPr>
              <w:t>5</w:t>
            </w:r>
            <w:r>
              <w:t xml:space="preserve">  主要能源消耗情况一览表</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3" w:type="dxa"/>
                <w:bottom w:w="0" w:type="dxa"/>
                <w:right w:w="23" w:type="dxa"/>
              </w:tblCellMar>
            </w:tblPr>
            <w:tblGrid>
              <w:gridCol w:w="493"/>
              <w:gridCol w:w="750"/>
              <w:gridCol w:w="915"/>
              <w:gridCol w:w="1080"/>
              <w:gridCol w:w="1488"/>
              <w:gridCol w:w="3664"/>
            </w:tblGrid>
            <w:tr w14:paraId="6E875C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93" w:type="dxa"/>
                  <w:noWrap w:val="0"/>
                  <w:vAlign w:val="center"/>
                </w:tcPr>
                <w:p w14:paraId="2D5B5260">
                  <w:pPr>
                    <w:pStyle w:val="26"/>
                    <w:pageBreakBefore w:val="0"/>
                    <w:kinsoku/>
                    <w:wordWrap/>
                    <w:topLinePunct w:val="0"/>
                    <w:bidi w:val="0"/>
                    <w:rPr>
                      <w:rFonts w:hint="default"/>
                      <w:b/>
                      <w:bCs/>
                    </w:rPr>
                  </w:pPr>
                  <w:r>
                    <w:rPr>
                      <w:b/>
                      <w:bCs/>
                    </w:rPr>
                    <w:t>序号</w:t>
                  </w:r>
                </w:p>
              </w:tc>
              <w:tc>
                <w:tcPr>
                  <w:tcW w:w="750" w:type="dxa"/>
                  <w:noWrap w:val="0"/>
                  <w:vAlign w:val="center"/>
                </w:tcPr>
                <w:p w14:paraId="668CCB20">
                  <w:pPr>
                    <w:pStyle w:val="26"/>
                    <w:pageBreakBefore w:val="0"/>
                    <w:kinsoku/>
                    <w:wordWrap/>
                    <w:topLinePunct w:val="0"/>
                    <w:bidi w:val="0"/>
                    <w:rPr>
                      <w:rFonts w:hint="default"/>
                      <w:b/>
                      <w:bCs/>
                    </w:rPr>
                  </w:pPr>
                  <w:r>
                    <w:rPr>
                      <w:b/>
                      <w:bCs/>
                    </w:rPr>
                    <w:t>项目</w:t>
                  </w:r>
                </w:p>
              </w:tc>
              <w:tc>
                <w:tcPr>
                  <w:tcW w:w="915" w:type="dxa"/>
                  <w:noWrap w:val="0"/>
                  <w:vAlign w:val="center"/>
                </w:tcPr>
                <w:p w14:paraId="33AAD23A">
                  <w:pPr>
                    <w:pStyle w:val="26"/>
                    <w:pageBreakBefore w:val="0"/>
                    <w:kinsoku/>
                    <w:wordWrap/>
                    <w:topLinePunct w:val="0"/>
                    <w:bidi w:val="0"/>
                    <w:rPr>
                      <w:rFonts w:hint="default"/>
                      <w:b/>
                      <w:bCs/>
                    </w:rPr>
                  </w:pPr>
                  <w:r>
                    <w:rPr>
                      <w:b/>
                      <w:bCs/>
                    </w:rPr>
                    <w:t>单位</w:t>
                  </w:r>
                </w:p>
              </w:tc>
              <w:tc>
                <w:tcPr>
                  <w:tcW w:w="1080" w:type="dxa"/>
                  <w:noWrap w:val="0"/>
                  <w:vAlign w:val="center"/>
                </w:tcPr>
                <w:p w14:paraId="39B1E894">
                  <w:pPr>
                    <w:pStyle w:val="26"/>
                    <w:pageBreakBefore w:val="0"/>
                    <w:kinsoku/>
                    <w:wordWrap/>
                    <w:topLinePunct w:val="0"/>
                    <w:bidi w:val="0"/>
                    <w:rPr>
                      <w:rFonts w:hint="eastAsia"/>
                      <w:b/>
                      <w:bCs/>
                      <w:lang w:val="en-US" w:eastAsia="zh-CN"/>
                    </w:rPr>
                  </w:pPr>
                  <w:r>
                    <w:rPr>
                      <w:b/>
                      <w:bCs/>
                    </w:rPr>
                    <w:t>消耗</w:t>
                  </w:r>
                  <w:r>
                    <w:rPr>
                      <w:rFonts w:hint="eastAsia"/>
                      <w:b/>
                      <w:bCs/>
                      <w:lang w:val="en-US" w:eastAsia="zh-CN"/>
                    </w:rPr>
                    <w:t>/</w:t>
                  </w:r>
                </w:p>
                <w:p w14:paraId="583D3742">
                  <w:pPr>
                    <w:pStyle w:val="26"/>
                    <w:pageBreakBefore w:val="0"/>
                    <w:kinsoku/>
                    <w:wordWrap/>
                    <w:topLinePunct w:val="0"/>
                    <w:bidi w:val="0"/>
                    <w:rPr>
                      <w:rFonts w:hint="default"/>
                      <w:b/>
                      <w:bCs/>
                    </w:rPr>
                  </w:pPr>
                  <w:r>
                    <w:rPr>
                      <w:rFonts w:hint="eastAsia"/>
                      <w:b/>
                      <w:bCs/>
                      <w:lang w:val="en-US" w:eastAsia="zh-CN"/>
                    </w:rPr>
                    <w:t>（使用）</w:t>
                  </w:r>
                  <w:r>
                    <w:rPr>
                      <w:b/>
                      <w:bCs/>
                    </w:rPr>
                    <w:t>量</w:t>
                  </w:r>
                </w:p>
              </w:tc>
              <w:tc>
                <w:tcPr>
                  <w:tcW w:w="1488" w:type="dxa"/>
                  <w:noWrap w:val="0"/>
                  <w:vAlign w:val="center"/>
                </w:tcPr>
                <w:p w14:paraId="4A9511D1">
                  <w:pPr>
                    <w:pStyle w:val="26"/>
                    <w:pageBreakBefore w:val="0"/>
                    <w:kinsoku/>
                    <w:wordWrap/>
                    <w:topLinePunct w:val="0"/>
                    <w:bidi w:val="0"/>
                    <w:rPr>
                      <w:rFonts w:hint="eastAsia" w:eastAsia="宋体"/>
                      <w:b/>
                      <w:bCs/>
                      <w:lang w:val="en-US" w:eastAsia="zh-CN"/>
                    </w:rPr>
                  </w:pPr>
                  <w:r>
                    <w:rPr>
                      <w:rFonts w:hint="eastAsia"/>
                      <w:b/>
                      <w:bCs/>
                      <w:lang w:val="en-US" w:eastAsia="zh-CN"/>
                    </w:rPr>
                    <w:t>备注</w:t>
                  </w:r>
                </w:p>
              </w:tc>
              <w:tc>
                <w:tcPr>
                  <w:tcW w:w="3664" w:type="dxa"/>
                  <w:noWrap w:val="0"/>
                  <w:vAlign w:val="center"/>
                </w:tcPr>
                <w:p w14:paraId="2F22304A">
                  <w:pPr>
                    <w:pStyle w:val="26"/>
                    <w:pageBreakBefore w:val="0"/>
                    <w:kinsoku/>
                    <w:wordWrap/>
                    <w:topLinePunct w:val="0"/>
                    <w:bidi w:val="0"/>
                    <w:rPr>
                      <w:rFonts w:hint="default" w:eastAsia="宋体"/>
                      <w:b/>
                      <w:bCs/>
                      <w:lang w:val="en-US" w:eastAsia="zh-CN"/>
                    </w:rPr>
                  </w:pPr>
                  <w:r>
                    <w:rPr>
                      <w:rFonts w:hint="eastAsia"/>
                      <w:b/>
                      <w:bCs/>
                      <w:lang w:val="en-US" w:eastAsia="zh-CN"/>
                    </w:rPr>
                    <w:t>依托情况</w:t>
                  </w:r>
                </w:p>
              </w:tc>
            </w:tr>
            <w:tr w14:paraId="0DDEEB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93" w:type="dxa"/>
                  <w:noWrap w:val="0"/>
                  <w:vAlign w:val="center"/>
                </w:tcPr>
                <w:p w14:paraId="03254124">
                  <w:pPr>
                    <w:pStyle w:val="26"/>
                    <w:pageBreakBefore w:val="0"/>
                    <w:kinsoku/>
                    <w:wordWrap/>
                    <w:topLinePunct w:val="0"/>
                    <w:bidi w:val="0"/>
                    <w:rPr>
                      <w:rFonts w:hint="default"/>
                    </w:rPr>
                  </w:pPr>
                  <w:r>
                    <w:t>1</w:t>
                  </w:r>
                </w:p>
              </w:tc>
              <w:tc>
                <w:tcPr>
                  <w:tcW w:w="750" w:type="dxa"/>
                  <w:noWrap w:val="0"/>
                  <w:vAlign w:val="center"/>
                </w:tcPr>
                <w:p w14:paraId="2586AD50">
                  <w:pPr>
                    <w:pStyle w:val="26"/>
                    <w:pageBreakBefore w:val="0"/>
                    <w:kinsoku/>
                    <w:wordWrap/>
                    <w:topLinePunct w:val="0"/>
                    <w:bidi w:val="0"/>
                    <w:rPr>
                      <w:rFonts w:hint="default"/>
                    </w:rPr>
                  </w:pPr>
                  <w:r>
                    <w:t>电</w:t>
                  </w:r>
                </w:p>
              </w:tc>
              <w:tc>
                <w:tcPr>
                  <w:tcW w:w="915" w:type="dxa"/>
                  <w:noWrap w:val="0"/>
                  <w:vAlign w:val="center"/>
                </w:tcPr>
                <w:p w14:paraId="0AD08EAD">
                  <w:pPr>
                    <w:pStyle w:val="26"/>
                    <w:pageBreakBefore w:val="0"/>
                    <w:kinsoku/>
                    <w:wordWrap/>
                    <w:topLinePunct w:val="0"/>
                    <w:bidi w:val="0"/>
                    <w:rPr>
                      <w:rFonts w:hint="default" w:eastAsia="宋体"/>
                      <w:lang w:val="en-US" w:eastAsia="zh-CN"/>
                    </w:rPr>
                  </w:pPr>
                  <w:r>
                    <w:rPr>
                      <w:rFonts w:hint="eastAsia"/>
                      <w:lang w:val="en-US" w:eastAsia="zh-CN"/>
                    </w:rPr>
                    <w:t>k</w:t>
                  </w:r>
                  <w:r>
                    <w:t>W</w:t>
                  </w:r>
                  <w:r>
                    <w:rPr>
                      <w:rFonts w:hint="eastAsia"/>
                      <w:lang w:val="en-US" w:eastAsia="zh-CN"/>
                    </w:rPr>
                    <w:t>·</w:t>
                  </w:r>
                  <w:r>
                    <w:t>h</w:t>
                  </w:r>
                  <w:r>
                    <w:rPr>
                      <w:rFonts w:hint="eastAsia"/>
                      <w:lang w:val="en-US" w:eastAsia="zh-CN"/>
                    </w:rPr>
                    <w:t>/a</w:t>
                  </w:r>
                </w:p>
              </w:tc>
              <w:tc>
                <w:tcPr>
                  <w:tcW w:w="1080" w:type="dxa"/>
                  <w:noWrap w:val="0"/>
                  <w:vAlign w:val="center"/>
                </w:tcPr>
                <w:p w14:paraId="02C6C01F">
                  <w:pPr>
                    <w:pStyle w:val="26"/>
                    <w:pageBreakBefore w:val="0"/>
                    <w:kinsoku/>
                    <w:wordWrap/>
                    <w:topLinePunct w:val="0"/>
                    <w:bidi w:val="0"/>
                    <w:rPr>
                      <w:rFonts w:hint="default"/>
                    </w:rPr>
                  </w:pPr>
                  <w:r>
                    <w:t>54640000</w:t>
                  </w:r>
                </w:p>
              </w:tc>
              <w:tc>
                <w:tcPr>
                  <w:tcW w:w="1488" w:type="dxa"/>
                  <w:noWrap w:val="0"/>
                  <w:vAlign w:val="center"/>
                </w:tcPr>
                <w:p w14:paraId="0C7F3CA6">
                  <w:pPr>
                    <w:pStyle w:val="26"/>
                    <w:pageBreakBefore w:val="0"/>
                    <w:kinsoku/>
                    <w:wordWrap/>
                    <w:topLinePunct w:val="0"/>
                    <w:bidi w:val="0"/>
                    <w:rPr>
                      <w:rFonts w:hint="eastAsia" w:eastAsia="宋体"/>
                      <w:lang w:val="en-US" w:eastAsia="zh-CN"/>
                    </w:rPr>
                  </w:pPr>
                  <w:r>
                    <w:rPr>
                      <w:rFonts w:hint="eastAsia"/>
                      <w:lang w:val="en-US" w:eastAsia="zh-CN"/>
                    </w:rPr>
                    <w:t>/</w:t>
                  </w:r>
                </w:p>
              </w:tc>
              <w:tc>
                <w:tcPr>
                  <w:tcW w:w="3664" w:type="dxa"/>
                  <w:noWrap w:val="0"/>
                  <w:vAlign w:val="center"/>
                </w:tcPr>
                <w:p w14:paraId="2E2B417B">
                  <w:pPr>
                    <w:pStyle w:val="26"/>
                    <w:pageBreakBefore w:val="0"/>
                    <w:kinsoku/>
                    <w:wordWrap/>
                    <w:topLinePunct w:val="0"/>
                    <w:bidi w:val="0"/>
                    <w:jc w:val="both"/>
                    <w:rPr>
                      <w:rFonts w:hint="default" w:eastAsia="宋体"/>
                      <w:lang w:val="en-US" w:eastAsia="zh-CN"/>
                    </w:rPr>
                  </w:pPr>
                  <w:r>
                    <w:rPr>
                      <w:rFonts w:hint="eastAsia"/>
                      <w:lang w:val="en-US" w:eastAsia="zh-CN"/>
                    </w:rPr>
                    <w:t>依托</w:t>
                  </w:r>
                  <w:r>
                    <w:rPr>
                      <w:rFonts w:hint="eastAsia"/>
                    </w:rPr>
                    <w:t>新疆圣雄电石有限公司</w:t>
                  </w:r>
                  <w:r>
                    <w:rPr>
                      <w:rFonts w:hint="eastAsia"/>
                      <w:lang w:val="en-US" w:eastAsia="zh-CN"/>
                    </w:rPr>
                    <w:t>现有供电系统，配套建设变电设施</w:t>
                  </w:r>
                </w:p>
              </w:tc>
            </w:tr>
            <w:tr w14:paraId="732D6F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93" w:type="dxa"/>
                  <w:noWrap w:val="0"/>
                  <w:vAlign w:val="center"/>
                </w:tcPr>
                <w:p w14:paraId="4848263A">
                  <w:pPr>
                    <w:pStyle w:val="26"/>
                    <w:pageBreakBefore w:val="0"/>
                    <w:kinsoku/>
                    <w:wordWrap/>
                    <w:topLinePunct w:val="0"/>
                    <w:bidi w:val="0"/>
                    <w:rPr>
                      <w:rFonts w:hint="default"/>
                    </w:rPr>
                  </w:pPr>
                  <w:r>
                    <w:t>2</w:t>
                  </w:r>
                </w:p>
              </w:tc>
              <w:tc>
                <w:tcPr>
                  <w:tcW w:w="750" w:type="dxa"/>
                  <w:noWrap w:val="0"/>
                  <w:vAlign w:val="center"/>
                </w:tcPr>
                <w:p w14:paraId="25DF9025">
                  <w:pPr>
                    <w:pStyle w:val="26"/>
                    <w:pageBreakBefore w:val="0"/>
                    <w:kinsoku/>
                    <w:wordWrap/>
                    <w:topLinePunct w:val="0"/>
                    <w:bidi w:val="0"/>
                    <w:rPr>
                      <w:rFonts w:hint="default"/>
                    </w:rPr>
                  </w:pPr>
                  <w:r>
                    <w:t>荒煤气</w:t>
                  </w:r>
                </w:p>
              </w:tc>
              <w:tc>
                <w:tcPr>
                  <w:tcW w:w="915" w:type="dxa"/>
                  <w:noWrap w:val="0"/>
                  <w:vAlign w:val="center"/>
                </w:tcPr>
                <w:p w14:paraId="4AD1C6DD">
                  <w:pPr>
                    <w:pStyle w:val="26"/>
                    <w:pageBreakBefore w:val="0"/>
                    <w:kinsoku/>
                    <w:wordWrap/>
                    <w:topLinePunct w:val="0"/>
                    <w:bidi w:val="0"/>
                    <w:rPr>
                      <w:rFonts w:hint="default"/>
                      <w:vertAlign w:val="superscript"/>
                    </w:rPr>
                  </w:pPr>
                  <w:r>
                    <w:t>Nm</w:t>
                  </w:r>
                  <w:r>
                    <w:rPr>
                      <w:vertAlign w:val="superscript"/>
                    </w:rPr>
                    <w:t>3</w:t>
                  </w:r>
                  <w:r>
                    <w:rPr>
                      <w:rFonts w:hint="eastAsia"/>
                      <w:lang w:val="en-US" w:eastAsia="zh-CN"/>
                    </w:rPr>
                    <w:t>/a</w:t>
                  </w:r>
                </w:p>
              </w:tc>
              <w:tc>
                <w:tcPr>
                  <w:tcW w:w="1080" w:type="dxa"/>
                  <w:noWrap w:val="0"/>
                  <w:vAlign w:val="center"/>
                </w:tcPr>
                <w:p w14:paraId="42F33330">
                  <w:pPr>
                    <w:pStyle w:val="26"/>
                    <w:pageBreakBefore w:val="0"/>
                    <w:kinsoku/>
                    <w:wordWrap/>
                    <w:topLinePunct w:val="0"/>
                    <w:bidi w:val="0"/>
                    <w:rPr>
                      <w:rFonts w:hint="default"/>
                    </w:rPr>
                  </w:pPr>
                  <w:r>
                    <w:t>2.4×10</w:t>
                  </w:r>
                  <w:r>
                    <w:rPr>
                      <w:vertAlign w:val="superscript"/>
                    </w:rPr>
                    <w:t>8</w:t>
                  </w:r>
                </w:p>
              </w:tc>
              <w:tc>
                <w:tcPr>
                  <w:tcW w:w="1488" w:type="dxa"/>
                  <w:noWrap w:val="0"/>
                  <w:vAlign w:val="center"/>
                </w:tcPr>
                <w:p w14:paraId="5D88FB13">
                  <w:pPr>
                    <w:pStyle w:val="26"/>
                    <w:pageBreakBefore w:val="0"/>
                    <w:kinsoku/>
                    <w:wordWrap/>
                    <w:topLinePunct w:val="0"/>
                    <w:bidi w:val="0"/>
                    <w:rPr>
                      <w:rFonts w:hint="default" w:eastAsia="宋体"/>
                      <w:lang w:val="en-US" w:eastAsia="zh-CN"/>
                    </w:rPr>
                  </w:pPr>
                  <w:r>
                    <w:rPr>
                      <w:rFonts w:hint="eastAsia"/>
                      <w:lang w:val="en-US" w:eastAsia="zh-CN"/>
                    </w:rPr>
                    <w:t>/</w:t>
                  </w:r>
                </w:p>
              </w:tc>
              <w:tc>
                <w:tcPr>
                  <w:tcW w:w="3664" w:type="dxa"/>
                  <w:noWrap w:val="0"/>
                  <w:vAlign w:val="center"/>
                </w:tcPr>
                <w:p w14:paraId="36090FF0">
                  <w:pPr>
                    <w:pStyle w:val="26"/>
                    <w:pageBreakBefore w:val="0"/>
                    <w:kinsoku/>
                    <w:wordWrap/>
                    <w:topLinePunct w:val="0"/>
                    <w:bidi w:val="0"/>
                    <w:jc w:val="both"/>
                    <w:rPr>
                      <w:rFonts w:hint="default" w:eastAsia="宋体"/>
                      <w:lang w:val="en-US" w:eastAsia="zh-CN"/>
                    </w:rPr>
                  </w:pPr>
                  <w:r>
                    <w:rPr>
                      <w:rFonts w:hint="eastAsia"/>
                    </w:rPr>
                    <w:t>新疆圣雄电石有限公司</w:t>
                  </w:r>
                  <w:r>
                    <w:rPr>
                      <w:rFonts w:hint="eastAsia"/>
                      <w:lang w:val="en-US" w:eastAsia="zh-CN"/>
                    </w:rPr>
                    <w:t>现有工程共有兰炭炉10台，年产兰炭75万吨，所产生的荒煤气满足本项目需求</w:t>
                  </w:r>
                </w:p>
              </w:tc>
            </w:tr>
            <w:tr w14:paraId="750B0F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93" w:type="dxa"/>
                  <w:noWrap w:val="0"/>
                  <w:vAlign w:val="center"/>
                </w:tcPr>
                <w:p w14:paraId="4BA06506">
                  <w:pPr>
                    <w:pStyle w:val="26"/>
                    <w:pageBreakBefore w:val="0"/>
                    <w:kinsoku/>
                    <w:wordWrap/>
                    <w:topLinePunct w:val="0"/>
                    <w:bidi w:val="0"/>
                    <w:rPr>
                      <w:rFonts w:hint="default"/>
                    </w:rPr>
                  </w:pPr>
                  <w:r>
                    <w:t>3</w:t>
                  </w:r>
                </w:p>
              </w:tc>
              <w:tc>
                <w:tcPr>
                  <w:tcW w:w="750" w:type="dxa"/>
                  <w:noWrap w:val="0"/>
                  <w:vAlign w:val="center"/>
                </w:tcPr>
                <w:p w14:paraId="19F5ED47">
                  <w:pPr>
                    <w:pStyle w:val="26"/>
                    <w:pageBreakBefore w:val="0"/>
                    <w:kinsoku/>
                    <w:wordWrap/>
                    <w:topLinePunct w:val="0"/>
                    <w:bidi w:val="0"/>
                    <w:rPr>
                      <w:rFonts w:hint="default"/>
                    </w:rPr>
                  </w:pPr>
                  <w:r>
                    <w:t>新鲜水</w:t>
                  </w:r>
                </w:p>
              </w:tc>
              <w:tc>
                <w:tcPr>
                  <w:tcW w:w="915" w:type="dxa"/>
                  <w:noWrap w:val="0"/>
                  <w:vAlign w:val="center"/>
                </w:tcPr>
                <w:p w14:paraId="291F255F">
                  <w:pPr>
                    <w:pStyle w:val="26"/>
                    <w:pageBreakBefore w:val="0"/>
                    <w:kinsoku/>
                    <w:wordWrap/>
                    <w:topLinePunct w:val="0"/>
                    <w:bidi w:val="0"/>
                    <w:rPr>
                      <w:rFonts w:hint="default"/>
                    </w:rPr>
                  </w:pPr>
                  <w:r>
                    <w:t>t</w:t>
                  </w:r>
                  <w:r>
                    <w:rPr>
                      <w:rFonts w:hint="eastAsia"/>
                      <w:lang w:val="en-US" w:eastAsia="zh-CN"/>
                    </w:rPr>
                    <w:t>/a</w:t>
                  </w:r>
                </w:p>
              </w:tc>
              <w:tc>
                <w:tcPr>
                  <w:tcW w:w="1080" w:type="dxa"/>
                  <w:noWrap w:val="0"/>
                  <w:vAlign w:val="center"/>
                </w:tcPr>
                <w:p w14:paraId="1D4F060C">
                  <w:pPr>
                    <w:pStyle w:val="26"/>
                    <w:pageBreakBefore w:val="0"/>
                    <w:kinsoku/>
                    <w:wordWrap/>
                    <w:topLinePunct w:val="0"/>
                    <w:bidi w:val="0"/>
                    <w:rPr>
                      <w:rFonts w:hint="default"/>
                    </w:rPr>
                  </w:pPr>
                  <w:r>
                    <w:t>28920</w:t>
                  </w:r>
                </w:p>
              </w:tc>
              <w:tc>
                <w:tcPr>
                  <w:tcW w:w="1488" w:type="dxa"/>
                  <w:noWrap w:val="0"/>
                  <w:vAlign w:val="center"/>
                </w:tcPr>
                <w:p w14:paraId="2828AE01">
                  <w:pPr>
                    <w:pStyle w:val="26"/>
                    <w:pageBreakBefore w:val="0"/>
                    <w:kinsoku/>
                    <w:wordWrap/>
                    <w:topLinePunct w:val="0"/>
                    <w:bidi w:val="0"/>
                    <w:rPr>
                      <w:rFonts w:hint="eastAsia" w:eastAsia="宋体"/>
                      <w:lang w:val="en-US" w:eastAsia="zh-CN"/>
                    </w:rPr>
                  </w:pPr>
                  <w:r>
                    <w:rPr>
                      <w:rFonts w:hint="eastAsia"/>
                      <w:lang w:val="en-US" w:eastAsia="zh-CN"/>
                    </w:rPr>
                    <w:t>/</w:t>
                  </w:r>
                </w:p>
              </w:tc>
              <w:tc>
                <w:tcPr>
                  <w:tcW w:w="3664" w:type="dxa"/>
                  <w:noWrap w:val="0"/>
                  <w:vAlign w:val="center"/>
                </w:tcPr>
                <w:p w14:paraId="6A323A52">
                  <w:pPr>
                    <w:pStyle w:val="26"/>
                    <w:pageBreakBefore w:val="0"/>
                    <w:kinsoku/>
                    <w:wordWrap/>
                    <w:topLinePunct w:val="0"/>
                    <w:bidi w:val="0"/>
                    <w:jc w:val="both"/>
                    <w:rPr>
                      <w:rFonts w:hint="default" w:eastAsia="宋体"/>
                      <w:lang w:val="en-US" w:eastAsia="zh-CN"/>
                    </w:rPr>
                  </w:pPr>
                  <w:r>
                    <w:rPr>
                      <w:rFonts w:hint="eastAsia"/>
                      <w:lang w:val="en-US" w:eastAsia="zh-CN"/>
                    </w:rPr>
                    <w:t>依托</w:t>
                  </w:r>
                  <w:r>
                    <w:rPr>
                      <w:rFonts w:hint="eastAsia"/>
                    </w:rPr>
                    <w:t>新疆圣雄电石有限公司</w:t>
                  </w:r>
                  <w:r>
                    <w:rPr>
                      <w:rFonts w:hint="eastAsia"/>
                      <w:lang w:val="en-US" w:eastAsia="zh-CN"/>
                    </w:rPr>
                    <w:t>现有给水管网，配套建设管线</w:t>
                  </w:r>
                </w:p>
              </w:tc>
            </w:tr>
            <w:tr w14:paraId="194F8E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93" w:type="dxa"/>
                  <w:noWrap w:val="0"/>
                  <w:vAlign w:val="center"/>
                </w:tcPr>
                <w:p w14:paraId="314A189F">
                  <w:pPr>
                    <w:pStyle w:val="26"/>
                    <w:pageBreakBefore w:val="0"/>
                    <w:kinsoku/>
                    <w:wordWrap/>
                    <w:topLinePunct w:val="0"/>
                    <w:bidi w:val="0"/>
                    <w:rPr>
                      <w:rFonts w:hint="default"/>
                    </w:rPr>
                  </w:pPr>
                  <w:r>
                    <w:t>4</w:t>
                  </w:r>
                </w:p>
              </w:tc>
              <w:tc>
                <w:tcPr>
                  <w:tcW w:w="750" w:type="dxa"/>
                  <w:noWrap w:val="0"/>
                  <w:vAlign w:val="center"/>
                </w:tcPr>
                <w:p w14:paraId="7632CA9B">
                  <w:pPr>
                    <w:pStyle w:val="26"/>
                    <w:pageBreakBefore w:val="0"/>
                    <w:kinsoku/>
                    <w:wordWrap/>
                    <w:topLinePunct w:val="0"/>
                    <w:bidi w:val="0"/>
                    <w:rPr>
                      <w:rFonts w:hint="default"/>
                    </w:rPr>
                  </w:pPr>
                  <w:r>
                    <w:rPr>
                      <w:rFonts w:hint="eastAsia"/>
                      <w:lang w:val="en-US" w:eastAsia="zh-CN"/>
                    </w:rPr>
                    <w:t>脱</w:t>
                  </w:r>
                  <w:r>
                    <w:t>盐水</w:t>
                  </w:r>
                </w:p>
              </w:tc>
              <w:tc>
                <w:tcPr>
                  <w:tcW w:w="915" w:type="dxa"/>
                  <w:noWrap w:val="0"/>
                  <w:vAlign w:val="center"/>
                </w:tcPr>
                <w:p w14:paraId="529AE455">
                  <w:pPr>
                    <w:pStyle w:val="26"/>
                    <w:pageBreakBefore w:val="0"/>
                    <w:kinsoku/>
                    <w:wordWrap/>
                    <w:topLinePunct w:val="0"/>
                    <w:bidi w:val="0"/>
                    <w:rPr>
                      <w:rFonts w:hint="default"/>
                    </w:rPr>
                  </w:pPr>
                  <w:r>
                    <w:t>t</w:t>
                  </w:r>
                  <w:r>
                    <w:rPr>
                      <w:rFonts w:hint="eastAsia"/>
                      <w:lang w:val="en-US" w:eastAsia="zh-CN"/>
                    </w:rPr>
                    <w:t>/a</w:t>
                  </w:r>
                </w:p>
              </w:tc>
              <w:tc>
                <w:tcPr>
                  <w:tcW w:w="1080" w:type="dxa"/>
                  <w:noWrap w:val="0"/>
                  <w:vAlign w:val="center"/>
                </w:tcPr>
                <w:p w14:paraId="7A0E90BA">
                  <w:pPr>
                    <w:pStyle w:val="26"/>
                    <w:pageBreakBefore w:val="0"/>
                    <w:kinsoku/>
                    <w:wordWrap/>
                    <w:topLinePunct w:val="0"/>
                    <w:bidi w:val="0"/>
                    <w:rPr>
                      <w:rFonts w:hint="default"/>
                    </w:rPr>
                  </w:pPr>
                  <w:r>
                    <w:t>9.6×10</w:t>
                  </w:r>
                  <w:r>
                    <w:rPr>
                      <w:vertAlign w:val="superscript"/>
                    </w:rPr>
                    <w:t>4</w:t>
                  </w:r>
                </w:p>
              </w:tc>
              <w:tc>
                <w:tcPr>
                  <w:tcW w:w="1488" w:type="dxa"/>
                  <w:noWrap w:val="0"/>
                  <w:vAlign w:val="center"/>
                </w:tcPr>
                <w:p w14:paraId="15ACCB7C">
                  <w:pPr>
                    <w:pStyle w:val="26"/>
                    <w:pageBreakBefore w:val="0"/>
                    <w:kinsoku/>
                    <w:wordWrap/>
                    <w:topLinePunct w:val="0"/>
                    <w:bidi w:val="0"/>
                    <w:rPr>
                      <w:rFonts w:hint="eastAsia"/>
                      <w:lang w:val="en-US" w:eastAsia="zh-CN"/>
                    </w:rPr>
                  </w:pPr>
                  <w:r>
                    <w:rPr>
                      <w:rFonts w:hint="eastAsia"/>
                      <w:lang w:val="en-US" w:eastAsia="zh-CN"/>
                    </w:rPr>
                    <w:t>40/80℃，</w:t>
                  </w:r>
                </w:p>
                <w:p w14:paraId="2C1B3EB0">
                  <w:pPr>
                    <w:pStyle w:val="26"/>
                    <w:pageBreakBefore w:val="0"/>
                    <w:kinsoku/>
                    <w:wordWrap/>
                    <w:topLinePunct w:val="0"/>
                    <w:bidi w:val="0"/>
                    <w:rPr>
                      <w:rFonts w:hint="default"/>
                      <w:lang w:val="en-US"/>
                    </w:rPr>
                  </w:pPr>
                  <w:r>
                    <w:rPr>
                      <w:rFonts w:hint="eastAsia"/>
                      <w:lang w:val="en-US" w:eastAsia="zh-CN"/>
                    </w:rPr>
                    <w:t>0.4/0.58MPa(G)</w:t>
                  </w:r>
                </w:p>
              </w:tc>
              <w:tc>
                <w:tcPr>
                  <w:tcW w:w="3664" w:type="dxa"/>
                  <w:noWrap w:val="0"/>
                  <w:vAlign w:val="center"/>
                </w:tcPr>
                <w:p w14:paraId="3881F073">
                  <w:pPr>
                    <w:pStyle w:val="26"/>
                    <w:pageBreakBefore w:val="0"/>
                    <w:kinsoku/>
                    <w:wordWrap/>
                    <w:topLinePunct w:val="0"/>
                    <w:bidi w:val="0"/>
                    <w:jc w:val="both"/>
                    <w:rPr>
                      <w:rFonts w:hint="default"/>
                      <w:lang w:val="en-US"/>
                    </w:rPr>
                  </w:pPr>
                  <w:r>
                    <w:rPr>
                      <w:rFonts w:hint="eastAsia"/>
                    </w:rPr>
                    <w:t>目前</w:t>
                  </w:r>
                  <w:r>
                    <w:rPr>
                      <w:rFonts w:hint="eastAsia"/>
                      <w:lang w:val="en-US" w:eastAsia="zh-CN"/>
                    </w:rPr>
                    <w:t>正在建设的“</w:t>
                  </w:r>
                  <w:r>
                    <w:rPr>
                      <w:rFonts w:hint="eastAsia"/>
                      <w:bCs/>
                      <w:szCs w:val="21"/>
                    </w:rPr>
                    <w:t>新疆冠达能源有限公司圣雄尾气综合利用绿色环保减排型示范项目</w:t>
                  </w:r>
                  <w:r>
                    <w:rPr>
                      <w:rFonts w:hint="eastAsia"/>
                      <w:lang w:val="en-US" w:eastAsia="zh-CN"/>
                    </w:rPr>
                    <w:t>”配套设置吸附树脂软水系统，脱盐水供应富余量为15t/h，本项目脱盐水消耗量为12t/h，现有工程满足本项目需求</w:t>
                  </w:r>
                </w:p>
              </w:tc>
            </w:tr>
            <w:tr w14:paraId="09C124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93" w:type="dxa"/>
                  <w:noWrap w:val="0"/>
                  <w:vAlign w:val="center"/>
                </w:tcPr>
                <w:p w14:paraId="356498F5">
                  <w:pPr>
                    <w:pStyle w:val="26"/>
                    <w:pageBreakBefore w:val="0"/>
                    <w:kinsoku/>
                    <w:wordWrap/>
                    <w:topLinePunct w:val="0"/>
                    <w:bidi w:val="0"/>
                    <w:rPr>
                      <w:rFonts w:hint="eastAsia" w:eastAsia="宋体"/>
                      <w:lang w:val="en-US" w:eastAsia="zh-CN"/>
                    </w:rPr>
                  </w:pPr>
                  <w:r>
                    <w:rPr>
                      <w:rFonts w:hint="eastAsia"/>
                      <w:lang w:val="en-US" w:eastAsia="zh-CN"/>
                    </w:rPr>
                    <w:t>5</w:t>
                  </w:r>
                </w:p>
              </w:tc>
              <w:tc>
                <w:tcPr>
                  <w:tcW w:w="750" w:type="dxa"/>
                  <w:noWrap w:val="0"/>
                  <w:vAlign w:val="center"/>
                </w:tcPr>
                <w:p w14:paraId="067F30D9">
                  <w:pPr>
                    <w:pStyle w:val="26"/>
                    <w:pageBreakBefore w:val="0"/>
                    <w:kinsoku/>
                    <w:wordWrap/>
                    <w:topLinePunct w:val="0"/>
                    <w:bidi w:val="0"/>
                    <w:rPr>
                      <w:rFonts w:hint="default"/>
                      <w:lang w:val="en-US" w:eastAsia="zh-CN"/>
                    </w:rPr>
                  </w:pPr>
                  <w:r>
                    <w:rPr>
                      <w:rFonts w:hint="eastAsia"/>
                      <w:lang w:val="en-US" w:eastAsia="zh-CN"/>
                    </w:rPr>
                    <w:t>循环水</w:t>
                  </w:r>
                </w:p>
              </w:tc>
              <w:tc>
                <w:tcPr>
                  <w:tcW w:w="915" w:type="dxa"/>
                  <w:noWrap w:val="0"/>
                  <w:vAlign w:val="center"/>
                </w:tcPr>
                <w:p w14:paraId="6D7A6E65">
                  <w:pPr>
                    <w:pStyle w:val="26"/>
                    <w:pageBreakBefore w:val="0"/>
                    <w:kinsoku/>
                    <w:wordWrap/>
                    <w:topLinePunct w:val="0"/>
                    <w:bidi w:val="0"/>
                    <w:rPr>
                      <w:rFonts w:hint="default" w:eastAsia="宋体"/>
                      <w:lang w:val="en-US" w:eastAsia="zh-CN"/>
                    </w:rPr>
                  </w:pPr>
                  <w:r>
                    <w:rPr>
                      <w:rFonts w:hint="eastAsia"/>
                      <w:lang w:val="en-US" w:eastAsia="zh-CN"/>
                    </w:rPr>
                    <w:t>m</w:t>
                  </w:r>
                  <w:r>
                    <w:rPr>
                      <w:rFonts w:hint="eastAsia"/>
                      <w:vertAlign w:val="superscript"/>
                      <w:lang w:val="en-US" w:eastAsia="zh-CN"/>
                    </w:rPr>
                    <w:t>3</w:t>
                  </w:r>
                  <w:r>
                    <w:rPr>
                      <w:rFonts w:hint="eastAsia"/>
                      <w:lang w:val="en-US" w:eastAsia="zh-CN"/>
                    </w:rPr>
                    <w:t>/h</w:t>
                  </w:r>
                </w:p>
              </w:tc>
              <w:tc>
                <w:tcPr>
                  <w:tcW w:w="1080" w:type="dxa"/>
                  <w:noWrap w:val="0"/>
                  <w:vAlign w:val="center"/>
                </w:tcPr>
                <w:p w14:paraId="7EC07CDF">
                  <w:pPr>
                    <w:pStyle w:val="26"/>
                    <w:pageBreakBefore w:val="0"/>
                    <w:kinsoku/>
                    <w:wordWrap/>
                    <w:topLinePunct w:val="0"/>
                    <w:bidi w:val="0"/>
                    <w:rPr>
                      <w:rFonts w:hint="default" w:eastAsia="宋体"/>
                      <w:lang w:val="en-US" w:eastAsia="zh-CN"/>
                    </w:rPr>
                  </w:pPr>
                  <w:r>
                    <w:rPr>
                      <w:rFonts w:hint="eastAsia"/>
                      <w:lang w:val="en-US" w:eastAsia="zh-CN"/>
                    </w:rPr>
                    <w:t>500</w:t>
                  </w:r>
                </w:p>
              </w:tc>
              <w:tc>
                <w:tcPr>
                  <w:tcW w:w="1488" w:type="dxa"/>
                  <w:noWrap w:val="0"/>
                  <w:vAlign w:val="center"/>
                </w:tcPr>
                <w:p w14:paraId="45E2A9CE">
                  <w:pPr>
                    <w:pStyle w:val="26"/>
                    <w:pageBreakBefore w:val="0"/>
                    <w:kinsoku/>
                    <w:wordWrap/>
                    <w:topLinePunct w:val="0"/>
                    <w:bidi w:val="0"/>
                    <w:rPr>
                      <w:rFonts w:hint="eastAsia"/>
                      <w:lang w:val="en-US" w:eastAsia="zh-CN"/>
                    </w:rPr>
                  </w:pPr>
                  <w:r>
                    <w:rPr>
                      <w:rFonts w:hint="eastAsia"/>
                      <w:lang w:val="en-US" w:eastAsia="zh-CN"/>
                    </w:rPr>
                    <w:t>32/42℃，</w:t>
                  </w:r>
                </w:p>
                <w:p w14:paraId="604621BD">
                  <w:pPr>
                    <w:pStyle w:val="26"/>
                    <w:pageBreakBefore w:val="0"/>
                    <w:kinsoku/>
                    <w:wordWrap/>
                    <w:topLinePunct w:val="0"/>
                    <w:bidi w:val="0"/>
                    <w:rPr>
                      <w:rFonts w:hint="eastAsia"/>
                      <w:lang w:val="en-US" w:eastAsia="zh-CN"/>
                    </w:rPr>
                  </w:pPr>
                  <w:r>
                    <w:rPr>
                      <w:rFonts w:hint="eastAsia"/>
                      <w:lang w:val="en-US" w:eastAsia="zh-CN"/>
                    </w:rPr>
                    <w:t>0.4/0.58MPa(G)</w:t>
                  </w:r>
                </w:p>
              </w:tc>
              <w:tc>
                <w:tcPr>
                  <w:tcW w:w="3664" w:type="dxa"/>
                  <w:noWrap w:val="0"/>
                  <w:vAlign w:val="center"/>
                </w:tcPr>
                <w:p w14:paraId="31C85089">
                  <w:pPr>
                    <w:pStyle w:val="26"/>
                    <w:pageBreakBefore w:val="0"/>
                    <w:kinsoku/>
                    <w:wordWrap/>
                    <w:topLinePunct w:val="0"/>
                    <w:bidi w:val="0"/>
                    <w:ind w:left="0" w:leftChars="0" w:right="0" w:rightChars="0" w:firstLine="0" w:firstLineChars="0"/>
                    <w:jc w:val="both"/>
                    <w:rPr>
                      <w:rFonts w:hint="default" w:eastAsia="宋体"/>
                      <w:lang w:val="en-US" w:eastAsia="zh-CN"/>
                    </w:rPr>
                  </w:pPr>
                  <w:r>
                    <w:rPr>
                      <w:rFonts w:hint="eastAsia"/>
                      <w:lang w:val="en-US" w:eastAsia="zh-CN"/>
                    </w:rPr>
                    <w:t>/</w:t>
                  </w:r>
                </w:p>
              </w:tc>
            </w:tr>
            <w:tr w14:paraId="24C73B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93" w:type="dxa"/>
                  <w:noWrap w:val="0"/>
                  <w:vAlign w:val="center"/>
                </w:tcPr>
                <w:p w14:paraId="45956966">
                  <w:pPr>
                    <w:pStyle w:val="26"/>
                    <w:pageBreakBefore w:val="0"/>
                    <w:kinsoku/>
                    <w:wordWrap/>
                    <w:topLinePunct w:val="0"/>
                    <w:bidi w:val="0"/>
                    <w:rPr>
                      <w:rFonts w:hint="eastAsia" w:eastAsia="宋体"/>
                      <w:lang w:val="en-US" w:eastAsia="zh-CN"/>
                    </w:rPr>
                  </w:pPr>
                  <w:r>
                    <w:rPr>
                      <w:rFonts w:hint="eastAsia"/>
                      <w:lang w:val="en-US" w:eastAsia="zh-CN"/>
                    </w:rPr>
                    <w:t>6</w:t>
                  </w:r>
                </w:p>
              </w:tc>
              <w:tc>
                <w:tcPr>
                  <w:tcW w:w="750" w:type="dxa"/>
                  <w:noWrap w:val="0"/>
                  <w:vAlign w:val="center"/>
                </w:tcPr>
                <w:p w14:paraId="1BF4B2E0">
                  <w:pPr>
                    <w:pStyle w:val="26"/>
                    <w:pageBreakBefore w:val="0"/>
                    <w:kinsoku/>
                    <w:wordWrap/>
                    <w:topLinePunct w:val="0"/>
                    <w:bidi w:val="0"/>
                    <w:rPr>
                      <w:rFonts w:hint="eastAsia"/>
                      <w:lang w:val="en-US" w:eastAsia="zh-CN"/>
                    </w:rPr>
                  </w:pPr>
                  <w:r>
                    <w:rPr>
                      <w:rFonts w:hint="eastAsia"/>
                      <w:lang w:val="en-US" w:eastAsia="zh-CN"/>
                    </w:rPr>
                    <w:t>生产用</w:t>
                  </w:r>
                </w:p>
                <w:p w14:paraId="11B32AD9">
                  <w:pPr>
                    <w:pStyle w:val="26"/>
                    <w:pageBreakBefore w:val="0"/>
                    <w:kinsoku/>
                    <w:wordWrap/>
                    <w:topLinePunct w:val="0"/>
                    <w:bidi w:val="0"/>
                    <w:rPr>
                      <w:rFonts w:hint="default"/>
                    </w:rPr>
                  </w:pPr>
                  <w:r>
                    <w:t>蒸汽</w:t>
                  </w:r>
                </w:p>
              </w:tc>
              <w:tc>
                <w:tcPr>
                  <w:tcW w:w="915" w:type="dxa"/>
                  <w:noWrap w:val="0"/>
                  <w:vAlign w:val="center"/>
                </w:tcPr>
                <w:p w14:paraId="20AB90E2">
                  <w:pPr>
                    <w:pStyle w:val="26"/>
                    <w:pageBreakBefore w:val="0"/>
                    <w:kinsoku/>
                    <w:wordWrap/>
                    <w:topLinePunct w:val="0"/>
                    <w:bidi w:val="0"/>
                    <w:rPr>
                      <w:rFonts w:hint="eastAsia" w:eastAsia="宋体"/>
                      <w:lang w:eastAsia="zh-CN"/>
                    </w:rPr>
                  </w:pPr>
                  <w:r>
                    <w:rPr>
                      <w:rFonts w:hint="eastAsia"/>
                      <w:lang w:val="en-US" w:eastAsia="zh-CN"/>
                    </w:rPr>
                    <w:t>t/a</w:t>
                  </w:r>
                </w:p>
              </w:tc>
              <w:tc>
                <w:tcPr>
                  <w:tcW w:w="1080" w:type="dxa"/>
                  <w:noWrap w:val="0"/>
                  <w:vAlign w:val="center"/>
                </w:tcPr>
                <w:p w14:paraId="4B5ADE77">
                  <w:pPr>
                    <w:pStyle w:val="26"/>
                    <w:pageBreakBefore w:val="0"/>
                    <w:kinsoku/>
                    <w:wordWrap/>
                    <w:topLinePunct w:val="0"/>
                    <w:bidi w:val="0"/>
                    <w:rPr>
                      <w:rFonts w:hint="default" w:eastAsia="宋体"/>
                      <w:lang w:val="en-US" w:eastAsia="zh-CN"/>
                    </w:rPr>
                  </w:pPr>
                  <w:r>
                    <w:rPr>
                      <w:rFonts w:hint="eastAsia"/>
                      <w:lang w:val="en-US" w:eastAsia="zh-CN"/>
                    </w:rPr>
                    <w:t>1.6×10</w:t>
                  </w:r>
                  <w:r>
                    <w:rPr>
                      <w:rFonts w:hint="eastAsia"/>
                      <w:vertAlign w:val="superscript"/>
                      <w:lang w:val="en-US" w:eastAsia="zh-CN"/>
                    </w:rPr>
                    <w:t>4</w:t>
                  </w:r>
                </w:p>
              </w:tc>
              <w:tc>
                <w:tcPr>
                  <w:tcW w:w="1488" w:type="dxa"/>
                  <w:noWrap w:val="0"/>
                  <w:vAlign w:val="center"/>
                </w:tcPr>
                <w:p w14:paraId="1AF9887E">
                  <w:pPr>
                    <w:pStyle w:val="26"/>
                    <w:pageBreakBefore w:val="0"/>
                    <w:kinsoku/>
                    <w:wordWrap/>
                    <w:topLinePunct w:val="0"/>
                    <w:bidi w:val="0"/>
                    <w:rPr>
                      <w:rFonts w:hint="eastAsia"/>
                      <w:lang w:val="en-US" w:eastAsia="zh-CN"/>
                    </w:rPr>
                  </w:pPr>
                  <w:r>
                    <w:rPr>
                      <w:rFonts w:hint="eastAsia"/>
                      <w:lang w:val="en-US" w:eastAsia="zh-CN"/>
                    </w:rPr>
                    <w:t>164℃，</w:t>
                  </w:r>
                </w:p>
                <w:p w14:paraId="14A9EF41">
                  <w:pPr>
                    <w:pStyle w:val="26"/>
                    <w:pageBreakBefore w:val="0"/>
                    <w:kinsoku/>
                    <w:wordWrap/>
                    <w:topLinePunct w:val="0"/>
                    <w:bidi w:val="0"/>
                    <w:rPr>
                      <w:rFonts w:hint="default" w:eastAsia="宋体"/>
                      <w:lang w:val="en-US" w:eastAsia="zh-CN"/>
                    </w:rPr>
                  </w:pPr>
                  <w:r>
                    <w:rPr>
                      <w:rFonts w:hint="eastAsia"/>
                      <w:lang w:val="en-US" w:eastAsia="zh-CN"/>
                    </w:rPr>
                    <w:t>0.6MPa(G)</w:t>
                  </w:r>
                </w:p>
              </w:tc>
              <w:tc>
                <w:tcPr>
                  <w:tcW w:w="3664" w:type="dxa"/>
                  <w:vMerge w:val="restart"/>
                  <w:noWrap w:val="0"/>
                  <w:vAlign w:val="center"/>
                </w:tcPr>
                <w:p w14:paraId="0CAAC4BD">
                  <w:pPr>
                    <w:pStyle w:val="26"/>
                    <w:pageBreakBefore w:val="0"/>
                    <w:kinsoku/>
                    <w:wordWrap/>
                    <w:topLinePunct w:val="0"/>
                    <w:bidi w:val="0"/>
                    <w:jc w:val="both"/>
                    <w:rPr>
                      <w:rFonts w:hint="default" w:eastAsia="宋体"/>
                      <w:lang w:val="en-US" w:eastAsia="zh-CN"/>
                    </w:rPr>
                  </w:pPr>
                  <w:r>
                    <w:rPr>
                      <w:rFonts w:hint="eastAsia"/>
                    </w:rPr>
                    <w:t>目前</w:t>
                  </w:r>
                  <w:r>
                    <w:rPr>
                      <w:rFonts w:hint="eastAsia"/>
                      <w:lang w:val="en-US" w:eastAsia="zh-CN"/>
                    </w:rPr>
                    <w:t>正在建设的“</w:t>
                  </w:r>
                  <w:r>
                    <w:rPr>
                      <w:rFonts w:hint="eastAsia"/>
                      <w:bCs/>
                      <w:szCs w:val="21"/>
                    </w:rPr>
                    <w:t>新疆冠达能源有限公司圣雄尾气综合利用绿色环保减排型示范项目</w:t>
                  </w:r>
                  <w:r>
                    <w:rPr>
                      <w:rFonts w:hint="eastAsia"/>
                      <w:lang w:val="en-US" w:eastAsia="zh-CN"/>
                    </w:rPr>
                    <w:t>”提供蒸汽温度164℃，压力0.6MPa(G)，连续供应富余量为15t/h，本项目生产用蒸汽需要连续消耗2t/h，伴热用蒸汽需要间断消耗0.5t/h，现有工程蒸汽温度和压力满足本项目需求</w:t>
                  </w:r>
                </w:p>
              </w:tc>
            </w:tr>
            <w:tr w14:paraId="491140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93" w:type="dxa"/>
                  <w:noWrap w:val="0"/>
                  <w:vAlign w:val="center"/>
                </w:tcPr>
                <w:p w14:paraId="0BA31CCD">
                  <w:pPr>
                    <w:pStyle w:val="26"/>
                    <w:pageBreakBefore w:val="0"/>
                    <w:kinsoku/>
                    <w:wordWrap/>
                    <w:topLinePunct w:val="0"/>
                    <w:bidi w:val="0"/>
                    <w:rPr>
                      <w:rFonts w:hint="eastAsia" w:eastAsia="宋体"/>
                      <w:lang w:val="en-US" w:eastAsia="zh-CN"/>
                    </w:rPr>
                  </w:pPr>
                  <w:r>
                    <w:rPr>
                      <w:rFonts w:hint="eastAsia"/>
                      <w:lang w:val="en-US" w:eastAsia="zh-CN"/>
                    </w:rPr>
                    <w:t>7</w:t>
                  </w:r>
                </w:p>
              </w:tc>
              <w:tc>
                <w:tcPr>
                  <w:tcW w:w="750" w:type="dxa"/>
                  <w:noWrap w:val="0"/>
                  <w:vAlign w:val="center"/>
                </w:tcPr>
                <w:p w14:paraId="2AAF0984">
                  <w:pPr>
                    <w:pStyle w:val="26"/>
                    <w:pageBreakBefore w:val="0"/>
                    <w:kinsoku/>
                    <w:wordWrap/>
                    <w:topLinePunct w:val="0"/>
                    <w:bidi w:val="0"/>
                    <w:rPr>
                      <w:rFonts w:hint="eastAsia"/>
                      <w:lang w:val="en-US" w:eastAsia="zh-CN"/>
                    </w:rPr>
                  </w:pPr>
                  <w:r>
                    <w:rPr>
                      <w:rFonts w:hint="eastAsia"/>
                      <w:lang w:val="en-US" w:eastAsia="zh-CN"/>
                    </w:rPr>
                    <w:t>伴热用</w:t>
                  </w:r>
                </w:p>
                <w:p w14:paraId="79045967">
                  <w:pPr>
                    <w:pStyle w:val="26"/>
                    <w:pageBreakBefore w:val="0"/>
                    <w:kinsoku/>
                    <w:wordWrap/>
                    <w:topLinePunct w:val="0"/>
                    <w:bidi w:val="0"/>
                    <w:rPr>
                      <w:rFonts w:hint="default"/>
                      <w:lang w:val="en-US" w:eastAsia="zh-CN"/>
                    </w:rPr>
                  </w:pPr>
                  <w:r>
                    <w:rPr>
                      <w:rFonts w:hint="eastAsia"/>
                      <w:lang w:val="en-US" w:eastAsia="zh-CN"/>
                    </w:rPr>
                    <w:t>蒸汽</w:t>
                  </w:r>
                </w:p>
              </w:tc>
              <w:tc>
                <w:tcPr>
                  <w:tcW w:w="915" w:type="dxa"/>
                  <w:noWrap w:val="0"/>
                  <w:vAlign w:val="center"/>
                </w:tcPr>
                <w:p w14:paraId="5521979B">
                  <w:pPr>
                    <w:pStyle w:val="26"/>
                    <w:pageBreakBefore w:val="0"/>
                    <w:kinsoku/>
                    <w:wordWrap/>
                    <w:topLinePunct w:val="0"/>
                    <w:bidi w:val="0"/>
                    <w:rPr>
                      <w:rFonts w:hint="default"/>
                      <w:lang w:val="en-US" w:eastAsia="zh-CN"/>
                    </w:rPr>
                  </w:pPr>
                  <w:r>
                    <w:rPr>
                      <w:rFonts w:hint="eastAsia"/>
                      <w:lang w:val="en-US" w:eastAsia="zh-CN"/>
                    </w:rPr>
                    <w:t>t/h</w:t>
                  </w:r>
                </w:p>
              </w:tc>
              <w:tc>
                <w:tcPr>
                  <w:tcW w:w="1080" w:type="dxa"/>
                  <w:noWrap w:val="0"/>
                  <w:vAlign w:val="center"/>
                </w:tcPr>
                <w:p w14:paraId="769AF8FF">
                  <w:pPr>
                    <w:pStyle w:val="26"/>
                    <w:pageBreakBefore w:val="0"/>
                    <w:kinsoku/>
                    <w:wordWrap/>
                    <w:topLinePunct w:val="0"/>
                    <w:bidi w:val="0"/>
                    <w:rPr>
                      <w:rFonts w:hint="eastAsia"/>
                      <w:lang w:val="en-US" w:eastAsia="zh-CN"/>
                    </w:rPr>
                  </w:pPr>
                  <w:r>
                    <w:rPr>
                      <w:rFonts w:hint="eastAsia"/>
                      <w:lang w:val="en-US" w:eastAsia="zh-CN"/>
                    </w:rPr>
                    <w:t>0.5</w:t>
                  </w:r>
                </w:p>
              </w:tc>
              <w:tc>
                <w:tcPr>
                  <w:tcW w:w="1488" w:type="dxa"/>
                  <w:noWrap w:val="0"/>
                  <w:vAlign w:val="center"/>
                </w:tcPr>
                <w:p w14:paraId="511A603D">
                  <w:pPr>
                    <w:pStyle w:val="26"/>
                    <w:pageBreakBefore w:val="0"/>
                    <w:kinsoku/>
                    <w:wordWrap/>
                    <w:topLinePunct w:val="0"/>
                    <w:bidi w:val="0"/>
                    <w:rPr>
                      <w:rFonts w:hint="eastAsia"/>
                      <w:lang w:val="en-US" w:eastAsia="zh-CN"/>
                    </w:rPr>
                  </w:pPr>
                  <w:r>
                    <w:rPr>
                      <w:rFonts w:hint="eastAsia"/>
                      <w:lang w:val="en-US" w:eastAsia="zh-CN"/>
                    </w:rPr>
                    <w:t>164℃，</w:t>
                  </w:r>
                </w:p>
                <w:p w14:paraId="03AE563B">
                  <w:pPr>
                    <w:pStyle w:val="26"/>
                    <w:pageBreakBefore w:val="0"/>
                    <w:kinsoku/>
                    <w:wordWrap/>
                    <w:topLinePunct w:val="0"/>
                    <w:bidi w:val="0"/>
                    <w:rPr>
                      <w:rFonts w:hint="eastAsia"/>
                      <w:lang w:val="en-US" w:eastAsia="zh-CN"/>
                    </w:rPr>
                  </w:pPr>
                  <w:r>
                    <w:rPr>
                      <w:rFonts w:hint="eastAsia"/>
                      <w:lang w:val="en-US" w:eastAsia="zh-CN"/>
                    </w:rPr>
                    <w:t>0.6MPa(G)</w:t>
                  </w:r>
                </w:p>
              </w:tc>
              <w:tc>
                <w:tcPr>
                  <w:tcW w:w="3664" w:type="dxa"/>
                  <w:vMerge w:val="continue"/>
                  <w:noWrap w:val="0"/>
                  <w:vAlign w:val="center"/>
                </w:tcPr>
                <w:p w14:paraId="3A836901">
                  <w:pPr>
                    <w:pStyle w:val="26"/>
                    <w:pageBreakBefore w:val="0"/>
                    <w:kinsoku/>
                    <w:wordWrap/>
                    <w:topLinePunct w:val="0"/>
                    <w:bidi w:val="0"/>
                    <w:jc w:val="both"/>
                    <w:rPr>
                      <w:rFonts w:hint="eastAsia" w:eastAsia="宋体"/>
                      <w:lang w:val="en-US" w:eastAsia="zh-CN"/>
                    </w:rPr>
                  </w:pPr>
                </w:p>
              </w:tc>
            </w:tr>
            <w:tr w14:paraId="20125E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93" w:type="dxa"/>
                  <w:noWrap w:val="0"/>
                  <w:vAlign w:val="center"/>
                </w:tcPr>
                <w:p w14:paraId="7497D682">
                  <w:pPr>
                    <w:pStyle w:val="26"/>
                    <w:pageBreakBefore w:val="0"/>
                    <w:kinsoku/>
                    <w:wordWrap/>
                    <w:topLinePunct w:val="0"/>
                    <w:bidi w:val="0"/>
                    <w:rPr>
                      <w:rFonts w:hint="eastAsia" w:eastAsia="宋体"/>
                      <w:lang w:val="en-US" w:eastAsia="zh-CN"/>
                    </w:rPr>
                  </w:pPr>
                  <w:r>
                    <w:rPr>
                      <w:rFonts w:hint="eastAsia"/>
                      <w:lang w:val="en-US" w:eastAsia="zh-CN"/>
                    </w:rPr>
                    <w:t>8</w:t>
                  </w:r>
                </w:p>
              </w:tc>
              <w:tc>
                <w:tcPr>
                  <w:tcW w:w="750" w:type="dxa"/>
                  <w:noWrap w:val="0"/>
                  <w:vAlign w:val="center"/>
                </w:tcPr>
                <w:p w14:paraId="65CEE032">
                  <w:pPr>
                    <w:pStyle w:val="26"/>
                    <w:pageBreakBefore w:val="0"/>
                    <w:kinsoku/>
                    <w:wordWrap/>
                    <w:topLinePunct w:val="0"/>
                    <w:bidi w:val="0"/>
                    <w:rPr>
                      <w:rFonts w:hint="eastAsia" w:eastAsia="宋体"/>
                      <w:lang w:eastAsia="zh-CN"/>
                    </w:rPr>
                  </w:pPr>
                  <w:r>
                    <w:rPr>
                      <w:rFonts w:hint="eastAsia"/>
                      <w:lang w:val="en-US" w:eastAsia="zh-CN"/>
                    </w:rPr>
                    <w:t>仪表气</w:t>
                  </w:r>
                </w:p>
              </w:tc>
              <w:tc>
                <w:tcPr>
                  <w:tcW w:w="915" w:type="dxa"/>
                  <w:noWrap w:val="0"/>
                  <w:vAlign w:val="center"/>
                </w:tcPr>
                <w:p w14:paraId="075854AD">
                  <w:pPr>
                    <w:pStyle w:val="26"/>
                    <w:pageBreakBefore w:val="0"/>
                    <w:kinsoku/>
                    <w:wordWrap/>
                    <w:topLinePunct w:val="0"/>
                    <w:bidi w:val="0"/>
                  </w:pPr>
                  <w:r>
                    <w:t>Nm</w:t>
                  </w:r>
                  <w:r>
                    <w:rPr>
                      <w:vertAlign w:val="superscript"/>
                    </w:rPr>
                    <w:t>3</w:t>
                  </w:r>
                  <w:r>
                    <w:rPr>
                      <w:rFonts w:hint="eastAsia"/>
                      <w:lang w:val="en-US" w:eastAsia="zh-CN"/>
                    </w:rPr>
                    <w:t>/a</w:t>
                  </w:r>
                </w:p>
              </w:tc>
              <w:tc>
                <w:tcPr>
                  <w:tcW w:w="1080" w:type="dxa"/>
                  <w:noWrap w:val="0"/>
                  <w:vAlign w:val="center"/>
                </w:tcPr>
                <w:p w14:paraId="55781598">
                  <w:pPr>
                    <w:pStyle w:val="26"/>
                    <w:pageBreakBefore w:val="0"/>
                    <w:kinsoku/>
                    <w:wordWrap/>
                    <w:topLinePunct w:val="0"/>
                    <w:bidi w:val="0"/>
                    <w:rPr>
                      <w:rFonts w:hint="default"/>
                    </w:rPr>
                  </w:pPr>
                  <w:r>
                    <w:t>9.6×10</w:t>
                  </w:r>
                  <w:r>
                    <w:rPr>
                      <w:vertAlign w:val="superscript"/>
                    </w:rPr>
                    <w:t>5</w:t>
                  </w:r>
                </w:p>
              </w:tc>
              <w:tc>
                <w:tcPr>
                  <w:tcW w:w="1488" w:type="dxa"/>
                  <w:noWrap w:val="0"/>
                  <w:vAlign w:val="center"/>
                </w:tcPr>
                <w:p w14:paraId="68C2E485">
                  <w:pPr>
                    <w:pStyle w:val="26"/>
                    <w:pageBreakBefore w:val="0"/>
                    <w:kinsoku/>
                    <w:wordWrap/>
                    <w:topLinePunct w:val="0"/>
                    <w:bidi w:val="0"/>
                    <w:rPr>
                      <w:rFonts w:hint="default" w:eastAsia="宋体"/>
                      <w:lang w:val="en-US" w:eastAsia="zh-CN"/>
                    </w:rPr>
                  </w:pPr>
                  <w:r>
                    <w:rPr>
                      <w:rFonts w:hint="eastAsia"/>
                      <w:lang w:val="en-US" w:eastAsia="zh-CN"/>
                    </w:rPr>
                    <w:t>0.5～0.7MPa(G)</w:t>
                  </w:r>
                </w:p>
              </w:tc>
              <w:tc>
                <w:tcPr>
                  <w:tcW w:w="3664" w:type="dxa"/>
                  <w:noWrap w:val="0"/>
                  <w:vAlign w:val="center"/>
                </w:tcPr>
                <w:p w14:paraId="66477CC1">
                  <w:pPr>
                    <w:pStyle w:val="26"/>
                    <w:pageBreakBefore w:val="0"/>
                    <w:kinsoku/>
                    <w:wordWrap/>
                    <w:topLinePunct w:val="0"/>
                    <w:bidi w:val="0"/>
                    <w:jc w:val="both"/>
                  </w:pPr>
                  <w:r>
                    <w:rPr>
                      <w:rFonts w:hint="eastAsia"/>
                    </w:rPr>
                    <w:t>新疆圣雄电石有限公司目前有250m</w:t>
                  </w:r>
                  <w:r>
                    <w:rPr>
                      <w:rFonts w:hint="eastAsia"/>
                      <w:vertAlign w:val="superscript"/>
                      <w:lang w:eastAsia="zh-CN"/>
                    </w:rPr>
                    <w:t>3</w:t>
                  </w:r>
                  <w:r>
                    <w:rPr>
                      <w:rFonts w:hint="eastAsia"/>
                    </w:rPr>
                    <w:t>/min离心压缩机2台，10台45m</w:t>
                  </w:r>
                  <w:r>
                    <w:rPr>
                      <w:rFonts w:hint="eastAsia"/>
                      <w:vertAlign w:val="superscript"/>
                      <w:lang w:eastAsia="zh-CN"/>
                    </w:rPr>
                    <w:t>3</w:t>
                  </w:r>
                  <w:r>
                    <w:rPr>
                      <w:rFonts w:hint="eastAsia"/>
                    </w:rPr>
                    <w:t>/min的螺杆机，全部运行，供气</w:t>
                  </w:r>
                  <w:r>
                    <w:rPr>
                      <w:rFonts w:hint="eastAsia"/>
                      <w:lang w:val="en-US" w:eastAsia="zh-CN"/>
                    </w:rPr>
                    <w:t>能力为</w:t>
                  </w:r>
                  <w:r>
                    <w:rPr>
                      <w:rFonts w:hint="eastAsia"/>
                    </w:rPr>
                    <w:t>45000m</w:t>
                  </w:r>
                  <w:r>
                    <w:rPr>
                      <w:rFonts w:hint="eastAsia"/>
                      <w:vertAlign w:val="superscript"/>
                      <w:lang w:eastAsia="zh-CN"/>
                    </w:rPr>
                    <w:t>3</w:t>
                  </w:r>
                  <w:r>
                    <w:rPr>
                      <w:rFonts w:hint="eastAsia"/>
                      <w:lang w:val="en-US" w:eastAsia="zh-CN"/>
                    </w:rPr>
                    <w:t>/h</w:t>
                  </w:r>
                  <w:r>
                    <w:rPr>
                      <w:rFonts w:hint="eastAsia"/>
                    </w:rPr>
                    <w:t>，供气压力≥0.45</w:t>
                  </w:r>
                  <w:r>
                    <w:rPr>
                      <w:rFonts w:hint="eastAsia"/>
                      <w:lang w:eastAsia="zh-CN"/>
                    </w:rPr>
                    <w:t>MPa(G)</w:t>
                  </w:r>
                  <w:r>
                    <w:rPr>
                      <w:rFonts w:hint="eastAsia"/>
                    </w:rPr>
                    <w:t>，目前富余气量300m</w:t>
                  </w:r>
                  <w:r>
                    <w:rPr>
                      <w:rFonts w:hint="eastAsia"/>
                      <w:vertAlign w:val="superscript"/>
                      <w:lang w:eastAsia="zh-CN"/>
                    </w:rPr>
                    <w:t>3</w:t>
                  </w:r>
                  <w:r>
                    <w:rPr>
                      <w:rFonts w:hint="eastAsia"/>
                    </w:rPr>
                    <w:t>/h，本项目用气120m</w:t>
                  </w:r>
                  <w:r>
                    <w:rPr>
                      <w:rFonts w:hint="eastAsia"/>
                      <w:vertAlign w:val="superscript"/>
                      <w:lang w:eastAsia="zh-CN"/>
                    </w:rPr>
                    <w:t>3</w:t>
                  </w:r>
                  <w:r>
                    <w:rPr>
                      <w:rFonts w:hint="eastAsia"/>
                    </w:rPr>
                    <w:t>/h，</w:t>
                  </w:r>
                  <w:r>
                    <w:rPr>
                      <w:rFonts w:hint="eastAsia"/>
                      <w:lang w:val="en-US" w:eastAsia="zh-CN"/>
                    </w:rPr>
                    <w:t>现有工程风量和压力</w:t>
                  </w:r>
                  <w:r>
                    <w:rPr>
                      <w:rFonts w:hint="eastAsia"/>
                    </w:rPr>
                    <w:t>满足</w:t>
                  </w:r>
                  <w:r>
                    <w:rPr>
                      <w:rFonts w:hint="eastAsia"/>
                      <w:lang w:val="en-US" w:eastAsia="zh-CN"/>
                    </w:rPr>
                    <w:t>本项目</w:t>
                  </w:r>
                  <w:r>
                    <w:rPr>
                      <w:rFonts w:hint="eastAsia"/>
                    </w:rPr>
                    <w:t>需求</w:t>
                  </w:r>
                </w:p>
              </w:tc>
            </w:tr>
            <w:tr w14:paraId="4FD4DA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493" w:type="dxa"/>
                  <w:noWrap w:val="0"/>
                  <w:vAlign w:val="center"/>
                </w:tcPr>
                <w:p w14:paraId="72629C51">
                  <w:pPr>
                    <w:pStyle w:val="26"/>
                    <w:pageBreakBefore w:val="0"/>
                    <w:kinsoku/>
                    <w:wordWrap/>
                    <w:topLinePunct w:val="0"/>
                    <w:bidi w:val="0"/>
                    <w:rPr>
                      <w:rFonts w:hint="eastAsia" w:eastAsia="宋体"/>
                      <w:lang w:val="en-US" w:eastAsia="zh-CN"/>
                    </w:rPr>
                  </w:pPr>
                  <w:r>
                    <w:rPr>
                      <w:rFonts w:hint="eastAsia"/>
                      <w:lang w:val="en-US" w:eastAsia="zh-CN"/>
                    </w:rPr>
                    <w:t>9</w:t>
                  </w:r>
                </w:p>
              </w:tc>
              <w:tc>
                <w:tcPr>
                  <w:tcW w:w="750" w:type="dxa"/>
                  <w:noWrap w:val="0"/>
                  <w:vAlign w:val="center"/>
                </w:tcPr>
                <w:p w14:paraId="24882F03">
                  <w:pPr>
                    <w:pStyle w:val="26"/>
                    <w:pageBreakBefore w:val="0"/>
                    <w:kinsoku/>
                    <w:wordWrap/>
                    <w:topLinePunct w:val="0"/>
                    <w:bidi w:val="0"/>
                    <w:rPr>
                      <w:rFonts w:hint="default"/>
                    </w:rPr>
                  </w:pPr>
                  <w:r>
                    <w:t>氮气</w:t>
                  </w:r>
                </w:p>
              </w:tc>
              <w:tc>
                <w:tcPr>
                  <w:tcW w:w="915" w:type="dxa"/>
                  <w:noWrap w:val="0"/>
                  <w:vAlign w:val="center"/>
                </w:tcPr>
                <w:p w14:paraId="453C5DB1">
                  <w:pPr>
                    <w:pStyle w:val="26"/>
                    <w:pageBreakBefore w:val="0"/>
                    <w:kinsoku/>
                    <w:wordWrap/>
                    <w:topLinePunct w:val="0"/>
                    <w:bidi w:val="0"/>
                  </w:pPr>
                  <w:r>
                    <w:t>Nm</w:t>
                  </w:r>
                  <w:r>
                    <w:rPr>
                      <w:vertAlign w:val="superscript"/>
                    </w:rPr>
                    <w:t>3</w:t>
                  </w:r>
                  <w:r>
                    <w:rPr>
                      <w:rFonts w:hint="eastAsia"/>
                      <w:lang w:val="en-US" w:eastAsia="zh-CN"/>
                    </w:rPr>
                    <w:t>/a</w:t>
                  </w:r>
                </w:p>
              </w:tc>
              <w:tc>
                <w:tcPr>
                  <w:tcW w:w="1080" w:type="dxa"/>
                  <w:noWrap w:val="0"/>
                  <w:vAlign w:val="center"/>
                </w:tcPr>
                <w:p w14:paraId="23634107">
                  <w:pPr>
                    <w:pStyle w:val="26"/>
                    <w:pageBreakBefore w:val="0"/>
                    <w:kinsoku/>
                    <w:wordWrap/>
                    <w:topLinePunct w:val="0"/>
                    <w:bidi w:val="0"/>
                    <w:rPr>
                      <w:rFonts w:hint="default"/>
                      <w:vertAlign w:val="superscript"/>
                    </w:rPr>
                  </w:pPr>
                  <w:r>
                    <w:t>1.84×10</w:t>
                  </w:r>
                  <w:r>
                    <w:rPr>
                      <w:vertAlign w:val="superscript"/>
                    </w:rPr>
                    <w:t>6</w:t>
                  </w:r>
                </w:p>
              </w:tc>
              <w:tc>
                <w:tcPr>
                  <w:tcW w:w="1488" w:type="dxa"/>
                  <w:noWrap w:val="0"/>
                  <w:vAlign w:val="center"/>
                </w:tcPr>
                <w:p w14:paraId="260CFB88">
                  <w:pPr>
                    <w:pStyle w:val="26"/>
                    <w:pageBreakBefore w:val="0"/>
                    <w:kinsoku/>
                    <w:wordWrap/>
                    <w:topLinePunct w:val="0"/>
                    <w:bidi w:val="0"/>
                    <w:rPr>
                      <w:rFonts w:hint="default"/>
                      <w:lang w:val="en-US" w:eastAsia="zh-CN"/>
                    </w:rPr>
                  </w:pPr>
                  <w:r>
                    <w:rPr>
                      <w:rFonts w:hint="eastAsia"/>
                      <w:lang w:val="en-US" w:eastAsia="zh-CN"/>
                    </w:rPr>
                    <w:t>纯度99.5%，</w:t>
                  </w:r>
                </w:p>
                <w:p w14:paraId="6D41006F">
                  <w:pPr>
                    <w:pStyle w:val="26"/>
                    <w:pageBreakBefore w:val="0"/>
                    <w:kinsoku/>
                    <w:wordWrap/>
                    <w:topLinePunct w:val="0"/>
                    <w:bidi w:val="0"/>
                    <w:rPr>
                      <w:rFonts w:hint="default" w:eastAsia="宋体"/>
                      <w:lang w:val="en-US" w:eastAsia="zh-CN"/>
                    </w:rPr>
                  </w:pPr>
                  <w:r>
                    <w:rPr>
                      <w:rFonts w:hint="eastAsia"/>
                      <w:lang w:val="en-US" w:eastAsia="zh-CN"/>
                    </w:rPr>
                    <w:t>0.8MPa(G)</w:t>
                  </w:r>
                </w:p>
              </w:tc>
              <w:tc>
                <w:tcPr>
                  <w:tcW w:w="3664" w:type="dxa"/>
                  <w:noWrap w:val="0"/>
                  <w:vAlign w:val="center"/>
                </w:tcPr>
                <w:p w14:paraId="219133C5">
                  <w:pPr>
                    <w:pStyle w:val="26"/>
                    <w:pageBreakBefore w:val="0"/>
                    <w:kinsoku/>
                    <w:wordWrap/>
                    <w:topLinePunct w:val="0"/>
                    <w:bidi w:val="0"/>
                    <w:jc w:val="both"/>
                  </w:pPr>
                  <w:r>
                    <w:rPr>
                      <w:rFonts w:hint="eastAsia"/>
                    </w:rPr>
                    <w:t>新疆圣雄电石有限公司</w:t>
                  </w:r>
                  <w:r>
                    <w:rPr>
                      <w:rFonts w:hint="eastAsia"/>
                      <w:lang w:val="en-US" w:eastAsia="zh-CN"/>
                    </w:rPr>
                    <w:t>目前</w:t>
                  </w:r>
                  <w:r>
                    <w:rPr>
                      <w:rFonts w:hint="eastAsia"/>
                    </w:rPr>
                    <w:t>有</w:t>
                  </w:r>
                  <w:r>
                    <w:rPr>
                      <w:rFonts w:hint="eastAsia"/>
                      <w:lang w:val="en-US" w:eastAsia="zh-CN"/>
                    </w:rPr>
                    <w:t>1台</w:t>
                  </w:r>
                  <w:r>
                    <w:rPr>
                      <w:rFonts w:hint="eastAsia"/>
                    </w:rPr>
                    <w:t>2000m</w:t>
                  </w:r>
                  <w:r>
                    <w:rPr>
                      <w:rFonts w:hint="eastAsia"/>
                      <w:vertAlign w:val="superscript"/>
                      <w:lang w:eastAsia="zh-CN"/>
                    </w:rPr>
                    <w:t>3</w:t>
                  </w:r>
                  <w:r>
                    <w:rPr>
                      <w:rFonts w:hint="eastAsia"/>
                      <w:lang w:val="en-US" w:eastAsia="zh-CN"/>
                    </w:rPr>
                    <w:t>/h</w:t>
                  </w:r>
                  <w:r>
                    <w:rPr>
                      <w:rFonts w:hint="eastAsia"/>
                    </w:rPr>
                    <w:t>制氮机，</w:t>
                  </w:r>
                  <w:r>
                    <w:rPr>
                      <w:rFonts w:hint="eastAsia"/>
                      <w:lang w:val="en-US" w:eastAsia="zh-CN"/>
                    </w:rPr>
                    <w:t>3</w:t>
                  </w:r>
                  <w:r>
                    <w:rPr>
                      <w:rFonts w:hint="eastAsia"/>
                    </w:rPr>
                    <w:t>台1500m</w:t>
                  </w:r>
                  <w:r>
                    <w:rPr>
                      <w:rFonts w:hint="eastAsia"/>
                      <w:vertAlign w:val="superscript"/>
                      <w:lang w:eastAsia="zh-CN"/>
                    </w:rPr>
                    <w:t>3</w:t>
                  </w:r>
                  <w:r>
                    <w:rPr>
                      <w:rFonts w:hint="eastAsia"/>
                      <w:lang w:val="en-US" w:eastAsia="zh-CN"/>
                    </w:rPr>
                    <w:t>/h</w:t>
                  </w:r>
                  <w:r>
                    <w:rPr>
                      <w:rFonts w:hint="eastAsia"/>
                    </w:rPr>
                    <w:t>制氮机（停用1台），设计</w:t>
                  </w:r>
                  <w:r>
                    <w:rPr>
                      <w:rFonts w:hint="eastAsia"/>
                      <w:lang w:val="en-US" w:eastAsia="zh-CN"/>
                    </w:rPr>
                    <w:t>供</w:t>
                  </w:r>
                  <w:r>
                    <w:rPr>
                      <w:rFonts w:hint="eastAsia"/>
                    </w:rPr>
                    <w:t>气量8000m</w:t>
                  </w:r>
                  <w:r>
                    <w:rPr>
                      <w:rFonts w:hint="eastAsia"/>
                      <w:vertAlign w:val="superscript"/>
                      <w:lang w:eastAsia="zh-CN"/>
                    </w:rPr>
                    <w:t>3</w:t>
                  </w:r>
                  <w:r>
                    <w:rPr>
                      <w:rFonts w:hint="eastAsia"/>
                      <w:lang w:val="en-US" w:eastAsia="zh-CN"/>
                    </w:rPr>
                    <w:t>/h</w:t>
                  </w:r>
                  <w:r>
                    <w:rPr>
                      <w:rFonts w:hint="eastAsia"/>
                    </w:rPr>
                    <w:t>，供气压力0.2</w:t>
                  </w:r>
                  <w:r>
                    <w:rPr>
                      <w:rFonts w:hint="eastAsia"/>
                      <w:lang w:eastAsia="zh-CN"/>
                    </w:rPr>
                    <w:t>MPa(G)</w:t>
                  </w:r>
                  <w:r>
                    <w:rPr>
                      <w:rFonts w:hint="eastAsia"/>
                    </w:rPr>
                    <w:t>，</w:t>
                  </w:r>
                  <w:r>
                    <w:rPr>
                      <w:rFonts w:hint="eastAsia"/>
                      <w:lang w:val="en-US" w:eastAsia="zh-CN"/>
                    </w:rPr>
                    <w:t>目前</w:t>
                  </w:r>
                  <w:r>
                    <w:rPr>
                      <w:rFonts w:hint="eastAsia"/>
                    </w:rPr>
                    <w:t>氮气</w:t>
                  </w:r>
                  <w:r>
                    <w:rPr>
                      <w:rFonts w:hint="eastAsia"/>
                      <w:lang w:eastAsia="zh-CN"/>
                    </w:rPr>
                    <w:t>富余</w:t>
                  </w:r>
                  <w:r>
                    <w:rPr>
                      <w:rFonts w:hint="eastAsia"/>
                      <w:lang w:val="en-US" w:eastAsia="zh-CN"/>
                    </w:rPr>
                    <w:t>气量</w:t>
                  </w:r>
                  <w:r>
                    <w:rPr>
                      <w:rFonts w:hint="eastAsia"/>
                    </w:rPr>
                    <w:t>1500m</w:t>
                  </w:r>
                  <w:r>
                    <w:rPr>
                      <w:rFonts w:hint="eastAsia"/>
                      <w:vertAlign w:val="superscript"/>
                      <w:lang w:eastAsia="zh-CN"/>
                    </w:rPr>
                    <w:t>3</w:t>
                  </w:r>
                  <w:r>
                    <w:rPr>
                      <w:rFonts w:hint="eastAsia"/>
                      <w:lang w:val="en-US" w:eastAsia="zh-CN"/>
                    </w:rPr>
                    <w:t>/h</w:t>
                  </w:r>
                  <w:r>
                    <w:rPr>
                      <w:rFonts w:hint="eastAsia"/>
                    </w:rPr>
                    <w:t>，本项目需要连续用气300mm</w:t>
                  </w:r>
                  <w:r>
                    <w:rPr>
                      <w:rFonts w:hint="eastAsia"/>
                      <w:vertAlign w:val="superscript"/>
                      <w:lang w:eastAsia="zh-CN"/>
                    </w:rPr>
                    <w:t>3</w:t>
                  </w:r>
                  <w:r>
                    <w:rPr>
                      <w:rFonts w:hint="eastAsia"/>
                      <w:lang w:val="en-US" w:eastAsia="zh-CN"/>
                    </w:rPr>
                    <w:t>/h</w:t>
                  </w:r>
                  <w:r>
                    <w:rPr>
                      <w:rFonts w:hint="eastAsia"/>
                    </w:rPr>
                    <w:t>，</w:t>
                  </w:r>
                  <w:r>
                    <w:rPr>
                      <w:rFonts w:hint="eastAsia"/>
                      <w:lang w:val="en-US" w:eastAsia="zh-CN"/>
                    </w:rPr>
                    <w:t>现有工程</w:t>
                  </w:r>
                  <w:r>
                    <w:rPr>
                      <w:rFonts w:hint="eastAsia"/>
                    </w:rPr>
                    <w:t>满足</w:t>
                  </w:r>
                  <w:r>
                    <w:rPr>
                      <w:rFonts w:hint="eastAsia"/>
                      <w:lang w:val="en-US" w:eastAsia="zh-CN"/>
                    </w:rPr>
                    <w:t>本项目</w:t>
                  </w:r>
                  <w:r>
                    <w:rPr>
                      <w:rFonts w:hint="eastAsia"/>
                    </w:rPr>
                    <w:t>气量需要</w:t>
                  </w:r>
                  <w:r>
                    <w:rPr>
                      <w:rFonts w:hint="eastAsia"/>
                      <w:lang w:eastAsia="zh-CN"/>
                    </w:rPr>
                    <w:t>；由于螺杆压缩机需要≥0.2MPaG，现需要增加一套氮气增压系统，将压力提高至0.7MPa(G)</w:t>
                  </w:r>
                </w:p>
              </w:tc>
            </w:tr>
          </w:tbl>
          <w:p w14:paraId="583084AE">
            <w:pPr>
              <w:pStyle w:val="18"/>
              <w:pageBreakBefore w:val="0"/>
              <w:kinsoku/>
              <w:wordWrap/>
              <w:topLinePunct w:val="0"/>
              <w:bidi w:val="0"/>
              <w:rPr>
                <w:rFonts w:hint="eastAsia"/>
                <w:spacing w:val="0"/>
                <w:sz w:val="24"/>
              </w:rPr>
            </w:pPr>
            <w:r>
              <w:rPr>
                <w:rFonts w:hint="eastAsia"/>
                <w:spacing w:val="0"/>
                <w:sz w:val="24"/>
              </w:rPr>
              <w:t>本项目消耗的主要辅料为吸附剂和润滑油，消耗情况详见下表。</w:t>
            </w:r>
          </w:p>
          <w:p w14:paraId="6756AC06">
            <w:pPr>
              <w:pageBreakBefore w:val="0"/>
              <w:kinsoku/>
              <w:wordWrap/>
              <w:topLinePunct w:val="0"/>
              <w:bidi w:val="0"/>
              <w:rPr>
                <w:rFonts w:hint="eastAsia"/>
              </w:rPr>
            </w:pPr>
          </w:p>
          <w:p w14:paraId="3D7F3418">
            <w:pPr>
              <w:pageBreakBefore w:val="0"/>
              <w:kinsoku/>
              <w:wordWrap/>
              <w:topLinePunct w:val="0"/>
              <w:bidi w:val="0"/>
              <w:rPr>
                <w:rFonts w:hint="eastAsia"/>
              </w:rPr>
            </w:pPr>
          </w:p>
          <w:p w14:paraId="76B44A1B">
            <w:pPr>
              <w:pStyle w:val="25"/>
              <w:pageBreakBefore w:val="0"/>
              <w:kinsoku/>
              <w:wordWrap/>
              <w:topLinePunct w:val="0"/>
              <w:bidi w:val="0"/>
              <w:rPr>
                <w:rFonts w:hint="default" w:cs="Times New Roman"/>
                <w:color w:val="auto"/>
                <w:lang w:val="en-US"/>
              </w:rPr>
            </w:pPr>
            <w:r>
              <w:t>表2-</w:t>
            </w:r>
            <w:r>
              <w:rPr>
                <w:rFonts w:hint="eastAsia"/>
                <w:lang w:val="en-US" w:eastAsia="zh-CN"/>
              </w:rPr>
              <w:t>6</w:t>
            </w:r>
            <w:r>
              <w:t xml:space="preserve">  </w:t>
            </w:r>
            <w:r>
              <w:rPr>
                <w:rFonts w:hint="eastAsia"/>
                <w:lang w:val="en-US" w:eastAsia="zh-CN"/>
              </w:rPr>
              <w:t>项目生产辅料使用量汇总表</w:t>
            </w:r>
          </w:p>
          <w:tbl>
            <w:tblPr>
              <w:tblStyle w:val="14"/>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632"/>
              <w:gridCol w:w="2146"/>
              <w:gridCol w:w="1836"/>
            </w:tblGrid>
            <w:tr w14:paraId="6E4A4A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noWrap w:val="0"/>
                  <w:vAlign w:val="center"/>
                </w:tcPr>
                <w:p w14:paraId="1F9E7392">
                  <w:pPr>
                    <w:pStyle w:val="26"/>
                    <w:pageBreakBefore w:val="0"/>
                    <w:kinsoku/>
                    <w:wordWrap/>
                    <w:topLinePunct w:val="0"/>
                    <w:bidi w:val="0"/>
                    <w:rPr>
                      <w:rFonts w:hint="default"/>
                      <w:b/>
                      <w:bCs/>
                    </w:rPr>
                  </w:pPr>
                  <w:r>
                    <w:rPr>
                      <w:b/>
                      <w:bCs/>
                    </w:rPr>
                    <w:t>工艺</w:t>
                  </w:r>
                </w:p>
              </w:tc>
              <w:tc>
                <w:tcPr>
                  <w:tcW w:w="2632" w:type="dxa"/>
                  <w:noWrap w:val="0"/>
                  <w:vAlign w:val="center"/>
                </w:tcPr>
                <w:p w14:paraId="2560BAF6">
                  <w:pPr>
                    <w:pStyle w:val="26"/>
                    <w:pageBreakBefore w:val="0"/>
                    <w:kinsoku/>
                    <w:wordWrap/>
                    <w:topLinePunct w:val="0"/>
                    <w:bidi w:val="0"/>
                    <w:rPr>
                      <w:rFonts w:hint="default"/>
                      <w:b/>
                      <w:bCs/>
                    </w:rPr>
                  </w:pPr>
                  <w:r>
                    <w:rPr>
                      <w:b/>
                      <w:bCs/>
                    </w:rPr>
                    <w:t>型号</w:t>
                  </w:r>
                </w:p>
              </w:tc>
              <w:tc>
                <w:tcPr>
                  <w:tcW w:w="2146" w:type="dxa"/>
                  <w:noWrap w:val="0"/>
                  <w:vAlign w:val="center"/>
                </w:tcPr>
                <w:p w14:paraId="5A8FBB03">
                  <w:pPr>
                    <w:pStyle w:val="26"/>
                    <w:pageBreakBefore w:val="0"/>
                    <w:kinsoku/>
                    <w:wordWrap/>
                    <w:topLinePunct w:val="0"/>
                    <w:bidi w:val="0"/>
                    <w:rPr>
                      <w:rFonts w:hint="default"/>
                      <w:b/>
                      <w:bCs/>
                    </w:rPr>
                  </w:pPr>
                  <w:r>
                    <w:rPr>
                      <w:b/>
                      <w:bCs/>
                    </w:rPr>
                    <w:t>一次装入量，t</w:t>
                  </w:r>
                </w:p>
              </w:tc>
              <w:tc>
                <w:tcPr>
                  <w:tcW w:w="1836" w:type="dxa"/>
                  <w:noWrap w:val="0"/>
                  <w:vAlign w:val="center"/>
                </w:tcPr>
                <w:p w14:paraId="493CF371">
                  <w:pPr>
                    <w:pStyle w:val="26"/>
                    <w:pageBreakBefore w:val="0"/>
                    <w:kinsoku/>
                    <w:wordWrap/>
                    <w:topLinePunct w:val="0"/>
                    <w:bidi w:val="0"/>
                    <w:rPr>
                      <w:rFonts w:hint="default"/>
                      <w:b/>
                      <w:bCs/>
                    </w:rPr>
                  </w:pPr>
                  <w:r>
                    <w:rPr>
                      <w:b/>
                      <w:bCs/>
                    </w:rPr>
                    <w:t>堆比，g/mL</w:t>
                  </w:r>
                </w:p>
              </w:tc>
            </w:tr>
            <w:tr w14:paraId="31A00E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restart"/>
                  <w:noWrap w:val="0"/>
                  <w:vAlign w:val="center"/>
                </w:tcPr>
                <w:p w14:paraId="63553E8E">
                  <w:pPr>
                    <w:pStyle w:val="26"/>
                    <w:pageBreakBefore w:val="0"/>
                    <w:kinsoku/>
                    <w:wordWrap/>
                    <w:topLinePunct w:val="0"/>
                    <w:bidi w:val="0"/>
                    <w:rPr>
                      <w:rFonts w:hint="default"/>
                    </w:rPr>
                  </w:pPr>
                  <w:r>
                    <w:t>预处理</w:t>
                  </w:r>
                </w:p>
              </w:tc>
              <w:tc>
                <w:tcPr>
                  <w:tcW w:w="2632" w:type="dxa"/>
                  <w:noWrap w:val="0"/>
                  <w:vAlign w:val="center"/>
                </w:tcPr>
                <w:p w14:paraId="2E14044C">
                  <w:pPr>
                    <w:pStyle w:val="26"/>
                    <w:pageBreakBefore w:val="0"/>
                    <w:kinsoku/>
                    <w:wordWrap/>
                    <w:topLinePunct w:val="0"/>
                    <w:bidi w:val="0"/>
                    <w:rPr>
                      <w:rFonts w:hint="default"/>
                    </w:rPr>
                  </w:pPr>
                  <w:r>
                    <w:t>瓷球吸附剂</w:t>
                  </w:r>
                </w:p>
              </w:tc>
              <w:tc>
                <w:tcPr>
                  <w:tcW w:w="2146" w:type="dxa"/>
                  <w:noWrap w:val="0"/>
                  <w:vAlign w:val="center"/>
                </w:tcPr>
                <w:p w14:paraId="552FC0FC">
                  <w:pPr>
                    <w:pStyle w:val="26"/>
                    <w:pageBreakBefore w:val="0"/>
                    <w:kinsoku/>
                    <w:wordWrap/>
                    <w:topLinePunct w:val="0"/>
                    <w:bidi w:val="0"/>
                    <w:rPr>
                      <w:rFonts w:hint="default"/>
                    </w:rPr>
                  </w:pPr>
                  <w:r>
                    <w:t>37.614</w:t>
                  </w:r>
                </w:p>
              </w:tc>
              <w:tc>
                <w:tcPr>
                  <w:tcW w:w="1836" w:type="dxa"/>
                  <w:noWrap w:val="0"/>
                  <w:vAlign w:val="center"/>
                </w:tcPr>
                <w:p w14:paraId="412A90B1">
                  <w:pPr>
                    <w:pStyle w:val="26"/>
                    <w:pageBreakBefore w:val="0"/>
                    <w:kinsoku/>
                    <w:wordWrap/>
                    <w:topLinePunct w:val="0"/>
                    <w:bidi w:val="0"/>
                    <w:rPr>
                      <w:rFonts w:hint="default"/>
                    </w:rPr>
                  </w:pPr>
                  <w:r>
                    <w:t>～1.3</w:t>
                  </w:r>
                </w:p>
              </w:tc>
            </w:tr>
            <w:tr w14:paraId="63F903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noWrap w:val="0"/>
                  <w:vAlign w:val="center"/>
                </w:tcPr>
                <w:p w14:paraId="477B51D7">
                  <w:pPr>
                    <w:pStyle w:val="26"/>
                    <w:pageBreakBefore w:val="0"/>
                    <w:kinsoku/>
                    <w:wordWrap/>
                    <w:topLinePunct w:val="0"/>
                    <w:bidi w:val="0"/>
                  </w:pPr>
                </w:p>
              </w:tc>
              <w:tc>
                <w:tcPr>
                  <w:tcW w:w="2632" w:type="dxa"/>
                  <w:noWrap w:val="0"/>
                  <w:vAlign w:val="center"/>
                </w:tcPr>
                <w:p w14:paraId="798763F9">
                  <w:pPr>
                    <w:pStyle w:val="26"/>
                    <w:pageBreakBefore w:val="0"/>
                    <w:kinsoku/>
                    <w:wordWrap/>
                    <w:topLinePunct w:val="0"/>
                    <w:bidi w:val="0"/>
                    <w:rPr>
                      <w:rFonts w:hint="default"/>
                    </w:rPr>
                  </w:pPr>
                  <w:r>
                    <w:t>HXC40吸附剂</w:t>
                  </w:r>
                </w:p>
              </w:tc>
              <w:tc>
                <w:tcPr>
                  <w:tcW w:w="2146" w:type="dxa"/>
                  <w:noWrap w:val="0"/>
                  <w:vAlign w:val="center"/>
                </w:tcPr>
                <w:p w14:paraId="5DD4D2A4">
                  <w:pPr>
                    <w:pStyle w:val="26"/>
                    <w:pageBreakBefore w:val="0"/>
                    <w:kinsoku/>
                    <w:wordWrap/>
                    <w:topLinePunct w:val="0"/>
                    <w:bidi w:val="0"/>
                    <w:rPr>
                      <w:rFonts w:hint="default"/>
                    </w:rPr>
                  </w:pPr>
                  <w:r>
                    <w:t>127.98</w:t>
                  </w:r>
                </w:p>
              </w:tc>
              <w:tc>
                <w:tcPr>
                  <w:tcW w:w="1836" w:type="dxa"/>
                  <w:noWrap w:val="0"/>
                  <w:vAlign w:val="center"/>
                </w:tcPr>
                <w:p w14:paraId="3F867A03">
                  <w:pPr>
                    <w:pStyle w:val="26"/>
                    <w:pageBreakBefore w:val="0"/>
                    <w:kinsoku/>
                    <w:wordWrap/>
                    <w:topLinePunct w:val="0"/>
                    <w:bidi w:val="0"/>
                    <w:rPr>
                      <w:rFonts w:hint="default"/>
                    </w:rPr>
                  </w:pPr>
                  <w:r>
                    <w:t>0.55</w:t>
                  </w:r>
                </w:p>
              </w:tc>
            </w:tr>
            <w:tr w14:paraId="3B8065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restart"/>
                  <w:noWrap w:val="0"/>
                  <w:vAlign w:val="center"/>
                </w:tcPr>
                <w:p w14:paraId="155A03A5">
                  <w:pPr>
                    <w:pStyle w:val="26"/>
                    <w:pageBreakBefore w:val="0"/>
                    <w:kinsoku/>
                    <w:wordWrap/>
                    <w:topLinePunct w:val="0"/>
                    <w:bidi w:val="0"/>
                    <w:rPr>
                      <w:rFonts w:hint="default"/>
                    </w:rPr>
                  </w:pPr>
                  <w:r>
                    <w:t>预净化</w:t>
                  </w:r>
                </w:p>
              </w:tc>
              <w:tc>
                <w:tcPr>
                  <w:tcW w:w="2632" w:type="dxa"/>
                  <w:noWrap w:val="0"/>
                  <w:vAlign w:val="center"/>
                </w:tcPr>
                <w:p w14:paraId="6E95FC41">
                  <w:pPr>
                    <w:pStyle w:val="26"/>
                    <w:pageBreakBefore w:val="0"/>
                    <w:kinsoku/>
                    <w:wordWrap/>
                    <w:topLinePunct w:val="0"/>
                    <w:bidi w:val="0"/>
                    <w:rPr>
                      <w:rFonts w:hint="default"/>
                    </w:rPr>
                  </w:pPr>
                  <w:r>
                    <w:t>HXAL吸附剂</w:t>
                  </w:r>
                </w:p>
              </w:tc>
              <w:tc>
                <w:tcPr>
                  <w:tcW w:w="2146" w:type="dxa"/>
                  <w:noWrap w:val="0"/>
                  <w:vAlign w:val="center"/>
                </w:tcPr>
                <w:p w14:paraId="050CAEC5">
                  <w:pPr>
                    <w:pStyle w:val="26"/>
                    <w:pageBreakBefore w:val="0"/>
                    <w:kinsoku/>
                    <w:wordWrap/>
                    <w:topLinePunct w:val="0"/>
                    <w:bidi w:val="0"/>
                    <w:rPr>
                      <w:rFonts w:hint="default"/>
                    </w:rPr>
                  </w:pPr>
                  <w:r>
                    <w:t>15.23</w:t>
                  </w:r>
                </w:p>
              </w:tc>
              <w:tc>
                <w:tcPr>
                  <w:tcW w:w="1836" w:type="dxa"/>
                  <w:noWrap w:val="0"/>
                  <w:vAlign w:val="center"/>
                </w:tcPr>
                <w:p w14:paraId="32169F5B">
                  <w:pPr>
                    <w:pStyle w:val="26"/>
                    <w:pageBreakBefore w:val="0"/>
                    <w:kinsoku/>
                    <w:wordWrap/>
                    <w:topLinePunct w:val="0"/>
                    <w:bidi w:val="0"/>
                    <w:rPr>
                      <w:rFonts w:hint="default"/>
                    </w:rPr>
                  </w:pPr>
                  <w:r>
                    <w:t>0.75</w:t>
                  </w:r>
                </w:p>
              </w:tc>
            </w:tr>
            <w:tr w14:paraId="540FDC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noWrap w:val="0"/>
                  <w:vAlign w:val="center"/>
                </w:tcPr>
                <w:p w14:paraId="0874652E">
                  <w:pPr>
                    <w:pStyle w:val="26"/>
                    <w:pageBreakBefore w:val="0"/>
                    <w:kinsoku/>
                    <w:wordWrap/>
                    <w:topLinePunct w:val="0"/>
                    <w:autoSpaceDE w:val="0"/>
                    <w:autoSpaceDN w:val="0"/>
                    <w:bidi w:val="0"/>
                  </w:pPr>
                </w:p>
              </w:tc>
              <w:tc>
                <w:tcPr>
                  <w:tcW w:w="2632" w:type="dxa"/>
                  <w:noWrap w:val="0"/>
                  <w:vAlign w:val="center"/>
                </w:tcPr>
                <w:p w14:paraId="6C027090">
                  <w:pPr>
                    <w:pStyle w:val="26"/>
                    <w:pageBreakBefore w:val="0"/>
                    <w:kinsoku/>
                    <w:wordWrap/>
                    <w:topLinePunct w:val="0"/>
                    <w:autoSpaceDE w:val="0"/>
                    <w:autoSpaceDN w:val="0"/>
                    <w:bidi w:val="0"/>
                    <w:rPr>
                      <w:rFonts w:hint="default"/>
                    </w:rPr>
                  </w:pPr>
                  <w:r>
                    <w:t>HXC40吸附剂</w:t>
                  </w:r>
                </w:p>
              </w:tc>
              <w:tc>
                <w:tcPr>
                  <w:tcW w:w="2146" w:type="dxa"/>
                  <w:noWrap w:val="0"/>
                  <w:vAlign w:val="center"/>
                </w:tcPr>
                <w:p w14:paraId="1B7B148D">
                  <w:pPr>
                    <w:pStyle w:val="26"/>
                    <w:pageBreakBefore w:val="0"/>
                    <w:kinsoku/>
                    <w:wordWrap/>
                    <w:topLinePunct w:val="0"/>
                    <w:autoSpaceDE w:val="0"/>
                    <w:autoSpaceDN w:val="0"/>
                    <w:bidi w:val="0"/>
                    <w:rPr>
                      <w:rFonts w:hint="default"/>
                    </w:rPr>
                  </w:pPr>
                  <w:r>
                    <w:t>7.68</w:t>
                  </w:r>
                </w:p>
              </w:tc>
              <w:tc>
                <w:tcPr>
                  <w:tcW w:w="1836" w:type="dxa"/>
                  <w:noWrap w:val="0"/>
                  <w:vAlign w:val="center"/>
                </w:tcPr>
                <w:p w14:paraId="05E77936">
                  <w:pPr>
                    <w:pStyle w:val="26"/>
                    <w:pageBreakBefore w:val="0"/>
                    <w:kinsoku/>
                    <w:wordWrap/>
                    <w:topLinePunct w:val="0"/>
                    <w:autoSpaceDE w:val="0"/>
                    <w:autoSpaceDN w:val="0"/>
                    <w:bidi w:val="0"/>
                    <w:rPr>
                      <w:rFonts w:hint="default"/>
                    </w:rPr>
                  </w:pPr>
                  <w:r>
                    <w:t>0.6</w:t>
                  </w:r>
                </w:p>
              </w:tc>
            </w:tr>
            <w:tr w14:paraId="73730A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noWrap w:val="0"/>
                  <w:vAlign w:val="center"/>
                </w:tcPr>
                <w:p w14:paraId="472E0FF2">
                  <w:pPr>
                    <w:pStyle w:val="26"/>
                    <w:pageBreakBefore w:val="0"/>
                    <w:kinsoku/>
                    <w:wordWrap/>
                    <w:topLinePunct w:val="0"/>
                    <w:autoSpaceDE w:val="0"/>
                    <w:autoSpaceDN w:val="0"/>
                    <w:bidi w:val="0"/>
                  </w:pPr>
                </w:p>
              </w:tc>
              <w:tc>
                <w:tcPr>
                  <w:tcW w:w="2632" w:type="dxa"/>
                  <w:noWrap w:val="0"/>
                  <w:vAlign w:val="center"/>
                </w:tcPr>
                <w:p w14:paraId="3C76F805">
                  <w:pPr>
                    <w:pStyle w:val="26"/>
                    <w:pageBreakBefore w:val="0"/>
                    <w:kinsoku/>
                    <w:wordWrap/>
                    <w:topLinePunct w:val="0"/>
                    <w:autoSpaceDE w:val="0"/>
                    <w:autoSpaceDN w:val="0"/>
                    <w:bidi w:val="0"/>
                    <w:rPr>
                      <w:rFonts w:hint="default"/>
                    </w:rPr>
                  </w:pPr>
                  <w:r>
                    <w:t>HX30D吸附剂</w:t>
                  </w:r>
                </w:p>
              </w:tc>
              <w:tc>
                <w:tcPr>
                  <w:tcW w:w="2146" w:type="dxa"/>
                  <w:noWrap w:val="0"/>
                  <w:vAlign w:val="center"/>
                </w:tcPr>
                <w:p w14:paraId="6E5E5089">
                  <w:pPr>
                    <w:pStyle w:val="26"/>
                    <w:pageBreakBefore w:val="0"/>
                    <w:kinsoku/>
                    <w:wordWrap/>
                    <w:topLinePunct w:val="0"/>
                    <w:autoSpaceDE w:val="0"/>
                    <w:autoSpaceDN w:val="0"/>
                    <w:bidi w:val="0"/>
                    <w:rPr>
                      <w:rFonts w:hint="default"/>
                    </w:rPr>
                  </w:pPr>
                  <w:r>
                    <w:t>43.51</w:t>
                  </w:r>
                </w:p>
              </w:tc>
              <w:tc>
                <w:tcPr>
                  <w:tcW w:w="1836" w:type="dxa"/>
                  <w:noWrap w:val="0"/>
                  <w:vAlign w:val="center"/>
                </w:tcPr>
                <w:p w14:paraId="17335EFD">
                  <w:pPr>
                    <w:pStyle w:val="26"/>
                    <w:pageBreakBefore w:val="0"/>
                    <w:kinsoku/>
                    <w:wordWrap/>
                    <w:topLinePunct w:val="0"/>
                    <w:autoSpaceDE w:val="0"/>
                    <w:autoSpaceDN w:val="0"/>
                    <w:bidi w:val="0"/>
                    <w:rPr>
                      <w:rFonts w:hint="default"/>
                    </w:rPr>
                  </w:pPr>
                  <w:r>
                    <w:t>0.62</w:t>
                  </w:r>
                </w:p>
              </w:tc>
            </w:tr>
            <w:tr w14:paraId="1077F1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noWrap w:val="0"/>
                  <w:vAlign w:val="center"/>
                </w:tcPr>
                <w:p w14:paraId="7D5AFBCF">
                  <w:pPr>
                    <w:pStyle w:val="26"/>
                    <w:pageBreakBefore w:val="0"/>
                    <w:kinsoku/>
                    <w:wordWrap/>
                    <w:topLinePunct w:val="0"/>
                    <w:autoSpaceDE w:val="0"/>
                    <w:autoSpaceDN w:val="0"/>
                    <w:bidi w:val="0"/>
                  </w:pPr>
                </w:p>
              </w:tc>
              <w:tc>
                <w:tcPr>
                  <w:tcW w:w="2632" w:type="dxa"/>
                  <w:noWrap w:val="0"/>
                  <w:vAlign w:val="center"/>
                </w:tcPr>
                <w:p w14:paraId="37DCDD2A">
                  <w:pPr>
                    <w:pStyle w:val="26"/>
                    <w:pageBreakBefore w:val="0"/>
                    <w:kinsoku/>
                    <w:wordWrap/>
                    <w:topLinePunct w:val="0"/>
                    <w:autoSpaceDE w:val="0"/>
                    <w:autoSpaceDN w:val="0"/>
                    <w:bidi w:val="0"/>
                    <w:rPr>
                      <w:rFonts w:hint="default"/>
                    </w:rPr>
                  </w:pPr>
                  <w:r>
                    <w:t>HXSI吸附剂</w:t>
                  </w:r>
                </w:p>
              </w:tc>
              <w:tc>
                <w:tcPr>
                  <w:tcW w:w="2146" w:type="dxa"/>
                  <w:noWrap w:val="0"/>
                  <w:vAlign w:val="center"/>
                </w:tcPr>
                <w:p w14:paraId="4263E199">
                  <w:pPr>
                    <w:pStyle w:val="26"/>
                    <w:pageBreakBefore w:val="0"/>
                    <w:kinsoku/>
                    <w:wordWrap/>
                    <w:topLinePunct w:val="0"/>
                    <w:autoSpaceDE w:val="0"/>
                    <w:autoSpaceDN w:val="0"/>
                    <w:bidi w:val="0"/>
                    <w:rPr>
                      <w:rFonts w:hint="default"/>
                    </w:rPr>
                  </w:pPr>
                  <w:r>
                    <w:t>12.80</w:t>
                  </w:r>
                </w:p>
              </w:tc>
              <w:tc>
                <w:tcPr>
                  <w:tcW w:w="1836" w:type="dxa"/>
                  <w:noWrap w:val="0"/>
                  <w:vAlign w:val="center"/>
                </w:tcPr>
                <w:p w14:paraId="21ADEBBA">
                  <w:pPr>
                    <w:pStyle w:val="26"/>
                    <w:pageBreakBefore w:val="0"/>
                    <w:kinsoku/>
                    <w:wordWrap/>
                    <w:topLinePunct w:val="0"/>
                    <w:autoSpaceDE w:val="0"/>
                    <w:autoSpaceDN w:val="0"/>
                    <w:bidi w:val="0"/>
                    <w:rPr>
                      <w:rFonts w:hint="default"/>
                    </w:rPr>
                  </w:pPr>
                  <w:r>
                    <w:t>0.75</w:t>
                  </w:r>
                </w:p>
              </w:tc>
            </w:tr>
            <w:tr w14:paraId="749BFB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restart"/>
                  <w:noWrap w:val="0"/>
                  <w:vAlign w:val="center"/>
                </w:tcPr>
                <w:p w14:paraId="30016573">
                  <w:pPr>
                    <w:pStyle w:val="26"/>
                    <w:pageBreakBefore w:val="0"/>
                    <w:kinsoku/>
                    <w:wordWrap/>
                    <w:topLinePunct w:val="0"/>
                    <w:bidi w:val="0"/>
                    <w:rPr>
                      <w:rFonts w:hint="default"/>
                    </w:rPr>
                  </w:pPr>
                  <w:r>
                    <w:t>PSA吸附塔</w:t>
                  </w:r>
                </w:p>
              </w:tc>
              <w:tc>
                <w:tcPr>
                  <w:tcW w:w="2632" w:type="dxa"/>
                  <w:noWrap w:val="0"/>
                  <w:vAlign w:val="center"/>
                </w:tcPr>
                <w:p w14:paraId="7AFD6556">
                  <w:pPr>
                    <w:pStyle w:val="26"/>
                    <w:pageBreakBefore w:val="0"/>
                    <w:kinsoku/>
                    <w:wordWrap/>
                    <w:topLinePunct w:val="0"/>
                    <w:bidi w:val="0"/>
                    <w:rPr>
                      <w:rFonts w:hint="default"/>
                    </w:rPr>
                  </w:pPr>
                  <w:r>
                    <w:t>HXAL吸附剂</w:t>
                  </w:r>
                </w:p>
              </w:tc>
              <w:tc>
                <w:tcPr>
                  <w:tcW w:w="2146" w:type="dxa"/>
                  <w:noWrap w:val="0"/>
                  <w:vAlign w:val="center"/>
                </w:tcPr>
                <w:p w14:paraId="77D93877">
                  <w:pPr>
                    <w:pStyle w:val="26"/>
                    <w:pageBreakBefore w:val="0"/>
                    <w:kinsoku/>
                    <w:wordWrap/>
                    <w:topLinePunct w:val="0"/>
                    <w:bidi w:val="0"/>
                    <w:rPr>
                      <w:rFonts w:hint="default"/>
                    </w:rPr>
                  </w:pPr>
                  <w:r>
                    <w:t>10.55</w:t>
                  </w:r>
                </w:p>
              </w:tc>
              <w:tc>
                <w:tcPr>
                  <w:tcW w:w="1836" w:type="dxa"/>
                  <w:noWrap w:val="0"/>
                  <w:vAlign w:val="center"/>
                </w:tcPr>
                <w:p w14:paraId="2995B77B">
                  <w:pPr>
                    <w:pStyle w:val="26"/>
                    <w:pageBreakBefore w:val="0"/>
                    <w:kinsoku/>
                    <w:wordWrap/>
                    <w:topLinePunct w:val="0"/>
                    <w:bidi w:val="0"/>
                    <w:rPr>
                      <w:rFonts w:hint="default"/>
                    </w:rPr>
                  </w:pPr>
                  <w:r>
                    <w:t>0.75</w:t>
                  </w:r>
                </w:p>
              </w:tc>
            </w:tr>
            <w:tr w14:paraId="3C3AF9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noWrap w:val="0"/>
                  <w:vAlign w:val="center"/>
                </w:tcPr>
                <w:p w14:paraId="586C91DD">
                  <w:pPr>
                    <w:pStyle w:val="26"/>
                    <w:pageBreakBefore w:val="0"/>
                    <w:kinsoku/>
                    <w:wordWrap/>
                    <w:topLinePunct w:val="0"/>
                    <w:bidi w:val="0"/>
                  </w:pPr>
                </w:p>
              </w:tc>
              <w:tc>
                <w:tcPr>
                  <w:tcW w:w="2632" w:type="dxa"/>
                  <w:noWrap w:val="0"/>
                  <w:vAlign w:val="center"/>
                </w:tcPr>
                <w:p w14:paraId="2789BBB0">
                  <w:pPr>
                    <w:pStyle w:val="26"/>
                    <w:pageBreakBefore w:val="0"/>
                    <w:kinsoku/>
                    <w:wordWrap/>
                    <w:topLinePunct w:val="0"/>
                    <w:bidi w:val="0"/>
                    <w:rPr>
                      <w:rFonts w:hint="default"/>
                    </w:rPr>
                  </w:pPr>
                  <w:r>
                    <w:t>HXSI吸附剂</w:t>
                  </w:r>
                </w:p>
              </w:tc>
              <w:tc>
                <w:tcPr>
                  <w:tcW w:w="2146" w:type="dxa"/>
                  <w:noWrap w:val="0"/>
                  <w:vAlign w:val="center"/>
                </w:tcPr>
                <w:p w14:paraId="58B8DE0D">
                  <w:pPr>
                    <w:pStyle w:val="26"/>
                    <w:pageBreakBefore w:val="0"/>
                    <w:kinsoku/>
                    <w:wordWrap/>
                    <w:topLinePunct w:val="0"/>
                    <w:bidi w:val="0"/>
                    <w:rPr>
                      <w:rFonts w:hint="default"/>
                    </w:rPr>
                  </w:pPr>
                  <w:r>
                    <w:t>46.15</w:t>
                  </w:r>
                </w:p>
              </w:tc>
              <w:tc>
                <w:tcPr>
                  <w:tcW w:w="1836" w:type="dxa"/>
                  <w:noWrap w:val="0"/>
                  <w:vAlign w:val="center"/>
                </w:tcPr>
                <w:p w14:paraId="33863080">
                  <w:pPr>
                    <w:pStyle w:val="26"/>
                    <w:pageBreakBefore w:val="0"/>
                    <w:kinsoku/>
                    <w:wordWrap/>
                    <w:topLinePunct w:val="0"/>
                    <w:bidi w:val="0"/>
                    <w:rPr>
                      <w:rFonts w:hint="default"/>
                    </w:rPr>
                  </w:pPr>
                  <w:r>
                    <w:t>0.75</w:t>
                  </w:r>
                </w:p>
              </w:tc>
            </w:tr>
            <w:tr w14:paraId="17C9A1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noWrap w:val="0"/>
                  <w:vAlign w:val="center"/>
                </w:tcPr>
                <w:p w14:paraId="33162765">
                  <w:pPr>
                    <w:pStyle w:val="26"/>
                    <w:pageBreakBefore w:val="0"/>
                    <w:kinsoku/>
                    <w:wordWrap/>
                    <w:topLinePunct w:val="0"/>
                    <w:bidi w:val="0"/>
                  </w:pPr>
                </w:p>
              </w:tc>
              <w:tc>
                <w:tcPr>
                  <w:tcW w:w="2632" w:type="dxa"/>
                  <w:noWrap w:val="0"/>
                  <w:vAlign w:val="center"/>
                </w:tcPr>
                <w:p w14:paraId="791AA8CA">
                  <w:pPr>
                    <w:pStyle w:val="26"/>
                    <w:pageBreakBefore w:val="0"/>
                    <w:kinsoku/>
                    <w:wordWrap/>
                    <w:topLinePunct w:val="0"/>
                    <w:bidi w:val="0"/>
                    <w:rPr>
                      <w:rFonts w:hint="default"/>
                    </w:rPr>
                  </w:pPr>
                  <w:r>
                    <w:t>HXBC-15B吸附剂</w:t>
                  </w:r>
                </w:p>
              </w:tc>
              <w:tc>
                <w:tcPr>
                  <w:tcW w:w="2146" w:type="dxa"/>
                  <w:noWrap w:val="0"/>
                  <w:vAlign w:val="center"/>
                </w:tcPr>
                <w:p w14:paraId="201E6D7D">
                  <w:pPr>
                    <w:pStyle w:val="26"/>
                    <w:pageBreakBefore w:val="0"/>
                    <w:kinsoku/>
                    <w:wordWrap/>
                    <w:topLinePunct w:val="0"/>
                    <w:bidi w:val="0"/>
                    <w:rPr>
                      <w:rFonts w:hint="default"/>
                    </w:rPr>
                  </w:pPr>
                  <w:r>
                    <w:t>92.29</w:t>
                  </w:r>
                </w:p>
              </w:tc>
              <w:tc>
                <w:tcPr>
                  <w:tcW w:w="1836" w:type="dxa"/>
                  <w:noWrap w:val="0"/>
                  <w:vAlign w:val="center"/>
                </w:tcPr>
                <w:p w14:paraId="482322B9">
                  <w:pPr>
                    <w:pStyle w:val="26"/>
                    <w:pageBreakBefore w:val="0"/>
                    <w:kinsoku/>
                    <w:wordWrap/>
                    <w:topLinePunct w:val="0"/>
                    <w:bidi w:val="0"/>
                    <w:rPr>
                      <w:rFonts w:hint="default"/>
                    </w:rPr>
                  </w:pPr>
                  <w:r>
                    <w:t>0.60</w:t>
                  </w:r>
                </w:p>
              </w:tc>
            </w:tr>
            <w:tr w14:paraId="488E12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noWrap w:val="0"/>
                  <w:vAlign w:val="center"/>
                </w:tcPr>
                <w:p w14:paraId="566AC544">
                  <w:pPr>
                    <w:pStyle w:val="26"/>
                    <w:pageBreakBefore w:val="0"/>
                    <w:kinsoku/>
                    <w:wordWrap/>
                    <w:topLinePunct w:val="0"/>
                    <w:bidi w:val="0"/>
                  </w:pPr>
                </w:p>
              </w:tc>
              <w:tc>
                <w:tcPr>
                  <w:tcW w:w="2632" w:type="dxa"/>
                  <w:noWrap w:val="0"/>
                  <w:vAlign w:val="center"/>
                </w:tcPr>
                <w:p w14:paraId="4349CC0E">
                  <w:pPr>
                    <w:pStyle w:val="26"/>
                    <w:pageBreakBefore w:val="0"/>
                    <w:kinsoku/>
                    <w:wordWrap/>
                    <w:topLinePunct w:val="0"/>
                    <w:bidi w:val="0"/>
                    <w:rPr>
                      <w:rFonts w:hint="default"/>
                    </w:rPr>
                  </w:pPr>
                  <w:r>
                    <w:t>HX5A吸附剂</w:t>
                  </w:r>
                </w:p>
              </w:tc>
              <w:tc>
                <w:tcPr>
                  <w:tcW w:w="2146" w:type="dxa"/>
                  <w:noWrap w:val="0"/>
                  <w:vAlign w:val="center"/>
                </w:tcPr>
                <w:p w14:paraId="6B09EB36">
                  <w:pPr>
                    <w:pStyle w:val="26"/>
                    <w:pageBreakBefore w:val="0"/>
                    <w:kinsoku/>
                    <w:wordWrap/>
                    <w:topLinePunct w:val="0"/>
                    <w:bidi w:val="0"/>
                    <w:rPr>
                      <w:rFonts w:hint="default"/>
                    </w:rPr>
                  </w:pPr>
                  <w:r>
                    <w:t>369.16</w:t>
                  </w:r>
                </w:p>
              </w:tc>
              <w:tc>
                <w:tcPr>
                  <w:tcW w:w="1836" w:type="dxa"/>
                  <w:noWrap w:val="0"/>
                  <w:vAlign w:val="center"/>
                </w:tcPr>
                <w:p w14:paraId="1E8E9E4F">
                  <w:pPr>
                    <w:pStyle w:val="26"/>
                    <w:pageBreakBefore w:val="0"/>
                    <w:kinsoku/>
                    <w:wordWrap/>
                    <w:topLinePunct w:val="0"/>
                    <w:bidi w:val="0"/>
                    <w:rPr>
                      <w:rFonts w:hint="default"/>
                    </w:rPr>
                  </w:pPr>
                  <w:r>
                    <w:t>0.72</w:t>
                  </w:r>
                </w:p>
              </w:tc>
            </w:tr>
            <w:tr w14:paraId="5BDB1A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restart"/>
                  <w:noWrap w:val="0"/>
                  <w:vAlign w:val="center"/>
                </w:tcPr>
                <w:p w14:paraId="69A6BD87">
                  <w:pPr>
                    <w:pStyle w:val="26"/>
                    <w:pageBreakBefore w:val="0"/>
                    <w:kinsoku/>
                    <w:wordWrap/>
                    <w:topLinePunct w:val="0"/>
                    <w:bidi w:val="0"/>
                    <w:rPr>
                      <w:rFonts w:hint="default"/>
                    </w:rPr>
                  </w:pPr>
                  <w:r>
                    <w:t>干燥</w:t>
                  </w:r>
                </w:p>
              </w:tc>
              <w:tc>
                <w:tcPr>
                  <w:tcW w:w="2632" w:type="dxa"/>
                  <w:noWrap w:val="0"/>
                  <w:vAlign w:val="center"/>
                </w:tcPr>
                <w:p w14:paraId="2B646117">
                  <w:pPr>
                    <w:pStyle w:val="26"/>
                    <w:pageBreakBefore w:val="0"/>
                    <w:kinsoku/>
                    <w:wordWrap/>
                    <w:topLinePunct w:val="0"/>
                    <w:bidi w:val="0"/>
                    <w:rPr>
                      <w:rFonts w:hint="default"/>
                    </w:rPr>
                  </w:pPr>
                  <w:r>
                    <w:t>HXAL吸附剂</w:t>
                  </w:r>
                </w:p>
              </w:tc>
              <w:tc>
                <w:tcPr>
                  <w:tcW w:w="2146" w:type="dxa"/>
                  <w:noWrap w:val="0"/>
                  <w:vAlign w:val="center"/>
                </w:tcPr>
                <w:p w14:paraId="66D78B66">
                  <w:pPr>
                    <w:pStyle w:val="26"/>
                    <w:pageBreakBefore w:val="0"/>
                    <w:kinsoku/>
                    <w:wordWrap/>
                    <w:topLinePunct w:val="0"/>
                    <w:bidi w:val="0"/>
                    <w:rPr>
                      <w:rFonts w:hint="default"/>
                    </w:rPr>
                  </w:pPr>
                  <w:r>
                    <w:t>0.75</w:t>
                  </w:r>
                </w:p>
              </w:tc>
              <w:tc>
                <w:tcPr>
                  <w:tcW w:w="1836" w:type="dxa"/>
                  <w:noWrap w:val="0"/>
                  <w:vAlign w:val="center"/>
                </w:tcPr>
                <w:p w14:paraId="48CD2C53">
                  <w:pPr>
                    <w:pStyle w:val="26"/>
                    <w:pageBreakBefore w:val="0"/>
                    <w:kinsoku/>
                    <w:wordWrap/>
                    <w:topLinePunct w:val="0"/>
                    <w:bidi w:val="0"/>
                    <w:rPr>
                      <w:rFonts w:hint="default"/>
                    </w:rPr>
                  </w:pPr>
                  <w:r>
                    <w:t>0.75</w:t>
                  </w:r>
                </w:p>
              </w:tc>
            </w:tr>
            <w:tr w14:paraId="4D327C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noWrap w:val="0"/>
                  <w:vAlign w:val="center"/>
                </w:tcPr>
                <w:p w14:paraId="6DC7F8B4">
                  <w:pPr>
                    <w:pStyle w:val="26"/>
                    <w:pageBreakBefore w:val="0"/>
                    <w:kinsoku/>
                    <w:wordWrap/>
                    <w:topLinePunct w:val="0"/>
                    <w:bidi w:val="0"/>
                  </w:pPr>
                </w:p>
              </w:tc>
              <w:tc>
                <w:tcPr>
                  <w:tcW w:w="2632" w:type="dxa"/>
                  <w:noWrap w:val="0"/>
                  <w:vAlign w:val="center"/>
                </w:tcPr>
                <w:p w14:paraId="1D76D1D2">
                  <w:pPr>
                    <w:pStyle w:val="26"/>
                    <w:pageBreakBefore w:val="0"/>
                    <w:kinsoku/>
                    <w:wordWrap/>
                    <w:topLinePunct w:val="0"/>
                    <w:bidi w:val="0"/>
                    <w:rPr>
                      <w:rFonts w:hint="default"/>
                    </w:rPr>
                  </w:pPr>
                  <w:r>
                    <w:t>HX13X吸附剂</w:t>
                  </w:r>
                </w:p>
              </w:tc>
              <w:tc>
                <w:tcPr>
                  <w:tcW w:w="2146" w:type="dxa"/>
                  <w:noWrap w:val="0"/>
                  <w:vAlign w:val="center"/>
                </w:tcPr>
                <w:p w14:paraId="10409BC8">
                  <w:pPr>
                    <w:pStyle w:val="26"/>
                    <w:pageBreakBefore w:val="0"/>
                    <w:kinsoku/>
                    <w:wordWrap/>
                    <w:topLinePunct w:val="0"/>
                    <w:bidi w:val="0"/>
                    <w:rPr>
                      <w:rFonts w:hint="default"/>
                    </w:rPr>
                  </w:pPr>
                  <w:r>
                    <w:t>6.0</w:t>
                  </w:r>
                </w:p>
              </w:tc>
              <w:tc>
                <w:tcPr>
                  <w:tcW w:w="1836" w:type="dxa"/>
                  <w:noWrap w:val="0"/>
                  <w:vAlign w:val="center"/>
                </w:tcPr>
                <w:p w14:paraId="7E59C2D9">
                  <w:pPr>
                    <w:pStyle w:val="26"/>
                    <w:pageBreakBefore w:val="0"/>
                    <w:kinsoku/>
                    <w:wordWrap/>
                    <w:topLinePunct w:val="0"/>
                    <w:bidi w:val="0"/>
                    <w:rPr>
                      <w:rFonts w:hint="default"/>
                    </w:rPr>
                  </w:pPr>
                  <w:r>
                    <w:t>0.72</w:t>
                  </w:r>
                </w:p>
              </w:tc>
            </w:tr>
            <w:tr w14:paraId="3C6129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noWrap w:val="0"/>
                  <w:vAlign w:val="center"/>
                </w:tcPr>
                <w:p w14:paraId="0904484C">
                  <w:pPr>
                    <w:pStyle w:val="26"/>
                    <w:pageBreakBefore w:val="0"/>
                    <w:kinsoku/>
                    <w:wordWrap/>
                    <w:topLinePunct w:val="0"/>
                    <w:bidi w:val="0"/>
                    <w:rPr>
                      <w:rFonts w:hint="default"/>
                    </w:rPr>
                  </w:pPr>
                  <w:r>
                    <w:t>压缩</w:t>
                  </w:r>
                </w:p>
              </w:tc>
              <w:tc>
                <w:tcPr>
                  <w:tcW w:w="2632" w:type="dxa"/>
                  <w:noWrap w:val="0"/>
                  <w:vAlign w:val="center"/>
                </w:tcPr>
                <w:p w14:paraId="24E109EE">
                  <w:pPr>
                    <w:pStyle w:val="26"/>
                    <w:pageBreakBefore w:val="0"/>
                    <w:kinsoku/>
                    <w:wordWrap/>
                    <w:topLinePunct w:val="0"/>
                    <w:bidi w:val="0"/>
                    <w:rPr>
                      <w:rFonts w:hint="default"/>
                    </w:rPr>
                  </w:pPr>
                  <w:r>
                    <w:t>润滑油</w:t>
                  </w:r>
                </w:p>
              </w:tc>
              <w:tc>
                <w:tcPr>
                  <w:tcW w:w="2146" w:type="dxa"/>
                  <w:noWrap w:val="0"/>
                  <w:vAlign w:val="center"/>
                </w:tcPr>
                <w:p w14:paraId="72F9E6BD">
                  <w:pPr>
                    <w:pStyle w:val="26"/>
                    <w:pageBreakBefore w:val="0"/>
                    <w:kinsoku/>
                    <w:wordWrap/>
                    <w:topLinePunct w:val="0"/>
                    <w:bidi w:val="0"/>
                    <w:rPr>
                      <w:rFonts w:hint="default"/>
                    </w:rPr>
                  </w:pPr>
                  <w:r>
                    <w:t>1</w:t>
                  </w:r>
                </w:p>
              </w:tc>
              <w:tc>
                <w:tcPr>
                  <w:tcW w:w="1836" w:type="dxa"/>
                  <w:noWrap w:val="0"/>
                  <w:vAlign w:val="center"/>
                </w:tcPr>
                <w:p w14:paraId="46EDB681">
                  <w:pPr>
                    <w:pStyle w:val="26"/>
                    <w:pageBreakBefore w:val="0"/>
                    <w:kinsoku/>
                    <w:wordWrap/>
                    <w:topLinePunct w:val="0"/>
                    <w:bidi w:val="0"/>
                    <w:rPr>
                      <w:rFonts w:hint="eastAsia" w:eastAsia="宋体"/>
                      <w:lang w:val="en-US" w:eastAsia="zh-CN"/>
                    </w:rPr>
                  </w:pPr>
                  <w:r>
                    <w:rPr>
                      <w:rFonts w:hint="eastAsia"/>
                      <w:lang w:val="en-US" w:eastAsia="zh-CN"/>
                    </w:rPr>
                    <w:t>/</w:t>
                  </w:r>
                </w:p>
              </w:tc>
            </w:tr>
          </w:tbl>
          <w:p w14:paraId="52034880">
            <w:pPr>
              <w:pageBreakBefore w:val="0"/>
              <w:kinsoku/>
              <w:wordWrap/>
              <w:topLinePunct w:val="0"/>
              <w:autoSpaceDE w:val="0"/>
              <w:autoSpaceDN w:val="0"/>
              <w:bidi w:val="0"/>
              <w:spacing w:line="360" w:lineRule="auto"/>
              <w:ind w:firstLine="482" w:firstLineChars="200"/>
              <w:rPr>
                <w:sz w:val="24"/>
              </w:rPr>
            </w:pPr>
            <w:r>
              <w:rPr>
                <w:rFonts w:hint="eastAsia"/>
                <w:b/>
                <w:sz w:val="24"/>
                <w:lang w:val="en-US" w:eastAsia="zh-CN"/>
              </w:rPr>
              <w:t>5</w:t>
            </w:r>
            <w:r>
              <w:rPr>
                <w:b/>
                <w:bCs/>
                <w:sz w:val="24"/>
              </w:rPr>
              <w:t xml:space="preserve"> 主要产品方案</w:t>
            </w:r>
          </w:p>
          <w:p w14:paraId="5EC788D4">
            <w:pPr>
              <w:pageBreakBefore w:val="0"/>
              <w:kinsoku/>
              <w:wordWrap/>
              <w:topLinePunct w:val="0"/>
              <w:autoSpaceDE w:val="0"/>
              <w:autoSpaceDN w:val="0"/>
              <w:bidi w:val="0"/>
              <w:spacing w:line="360" w:lineRule="auto"/>
              <w:ind w:firstLine="480" w:firstLineChars="200"/>
              <w:rPr>
                <w:sz w:val="24"/>
              </w:rPr>
            </w:pPr>
            <w:r>
              <w:rPr>
                <w:rFonts w:hint="eastAsia"/>
                <w:sz w:val="24"/>
              </w:rPr>
              <w:t>本</w:t>
            </w:r>
            <w:r>
              <w:rPr>
                <w:sz w:val="24"/>
              </w:rPr>
              <w:t>项目产品</w:t>
            </w:r>
            <w:r>
              <w:rPr>
                <w:rFonts w:hint="eastAsia"/>
                <w:sz w:val="24"/>
              </w:rPr>
              <w:t>为氢气和</w:t>
            </w:r>
            <w:r>
              <w:rPr>
                <w:rFonts w:hint="eastAsia"/>
                <w:sz w:val="24"/>
                <w:lang w:eastAsia="zh-CN"/>
              </w:rPr>
              <w:t>解吸气</w:t>
            </w:r>
            <w:r>
              <w:rPr>
                <w:rFonts w:hint="eastAsia"/>
                <w:sz w:val="24"/>
              </w:rPr>
              <w:t>，产品</w:t>
            </w:r>
            <w:r>
              <w:rPr>
                <w:sz w:val="24"/>
              </w:rPr>
              <w:t>方案见</w:t>
            </w:r>
            <w:r>
              <w:rPr>
                <w:rFonts w:hint="eastAsia"/>
                <w:sz w:val="24"/>
              </w:rPr>
              <w:t>下</w:t>
            </w:r>
            <w:r>
              <w:rPr>
                <w:sz w:val="24"/>
              </w:rPr>
              <w:t>表。</w:t>
            </w:r>
          </w:p>
          <w:p w14:paraId="39E604BD">
            <w:pPr>
              <w:pageBreakBefore w:val="0"/>
              <w:kinsoku/>
              <w:wordWrap/>
              <w:topLinePunct w:val="0"/>
              <w:autoSpaceDE w:val="0"/>
              <w:autoSpaceDN w:val="0"/>
              <w:bidi w:val="0"/>
              <w:spacing w:line="360" w:lineRule="auto"/>
              <w:jc w:val="center"/>
              <w:rPr>
                <w:sz w:val="24"/>
              </w:rPr>
            </w:pPr>
            <w:r>
              <w:rPr>
                <w:rFonts w:eastAsia="黑体"/>
                <w:szCs w:val="21"/>
              </w:rPr>
              <w:t>表2-</w:t>
            </w:r>
            <w:r>
              <w:rPr>
                <w:rFonts w:hint="eastAsia" w:eastAsia="黑体"/>
                <w:szCs w:val="21"/>
                <w:lang w:val="en-US" w:eastAsia="zh-CN"/>
              </w:rPr>
              <w:t>7</w:t>
            </w:r>
            <w:r>
              <w:rPr>
                <w:rFonts w:eastAsia="黑体"/>
                <w:szCs w:val="21"/>
              </w:rPr>
              <w:t xml:space="preserve">  产品方案</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487"/>
              <w:gridCol w:w="812"/>
              <w:gridCol w:w="1138"/>
              <w:gridCol w:w="1387"/>
              <w:gridCol w:w="4566"/>
            </w:tblGrid>
            <w:tr w14:paraId="6CC53B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87" w:type="dxa"/>
                  <w:noWrap w:val="0"/>
                  <w:vAlign w:val="center"/>
                </w:tcPr>
                <w:p w14:paraId="7C611F5B">
                  <w:pPr>
                    <w:pageBreakBefore w:val="0"/>
                    <w:tabs>
                      <w:tab w:val="left" w:pos="3600"/>
                      <w:tab w:val="left" w:pos="5670"/>
                    </w:tabs>
                    <w:kinsoku/>
                    <w:wordWrap/>
                    <w:topLinePunct w:val="0"/>
                    <w:bidi w:val="0"/>
                    <w:spacing w:line="280" w:lineRule="exact"/>
                    <w:jc w:val="center"/>
                    <w:rPr>
                      <w:b/>
                      <w:szCs w:val="21"/>
                    </w:rPr>
                  </w:pPr>
                  <w:r>
                    <w:rPr>
                      <w:rFonts w:hint="eastAsia"/>
                      <w:b/>
                      <w:szCs w:val="21"/>
                    </w:rPr>
                    <w:t>序号</w:t>
                  </w:r>
                </w:p>
              </w:tc>
              <w:tc>
                <w:tcPr>
                  <w:tcW w:w="812" w:type="dxa"/>
                  <w:noWrap w:val="0"/>
                  <w:vAlign w:val="center"/>
                </w:tcPr>
                <w:p w14:paraId="4EC91529">
                  <w:pPr>
                    <w:pageBreakBefore w:val="0"/>
                    <w:tabs>
                      <w:tab w:val="left" w:pos="3600"/>
                      <w:tab w:val="left" w:pos="5670"/>
                    </w:tabs>
                    <w:kinsoku/>
                    <w:wordWrap/>
                    <w:topLinePunct w:val="0"/>
                    <w:bidi w:val="0"/>
                    <w:spacing w:line="280" w:lineRule="exact"/>
                    <w:jc w:val="center"/>
                    <w:rPr>
                      <w:b/>
                      <w:szCs w:val="21"/>
                    </w:rPr>
                  </w:pPr>
                  <w:r>
                    <w:rPr>
                      <w:rFonts w:hint="eastAsia"/>
                      <w:b/>
                      <w:szCs w:val="21"/>
                    </w:rPr>
                    <w:t>产品</w:t>
                  </w:r>
                </w:p>
              </w:tc>
              <w:tc>
                <w:tcPr>
                  <w:tcW w:w="1138" w:type="dxa"/>
                  <w:noWrap w:val="0"/>
                  <w:vAlign w:val="center"/>
                </w:tcPr>
                <w:p w14:paraId="5670EB52">
                  <w:pPr>
                    <w:pageBreakBefore w:val="0"/>
                    <w:tabs>
                      <w:tab w:val="left" w:pos="3600"/>
                      <w:tab w:val="left" w:pos="5670"/>
                    </w:tabs>
                    <w:kinsoku/>
                    <w:wordWrap/>
                    <w:topLinePunct w:val="0"/>
                    <w:bidi w:val="0"/>
                    <w:spacing w:line="280" w:lineRule="exact"/>
                    <w:jc w:val="center"/>
                    <w:rPr>
                      <w:b/>
                      <w:szCs w:val="21"/>
                    </w:rPr>
                  </w:pPr>
                  <w:r>
                    <w:rPr>
                      <w:rFonts w:hint="eastAsia"/>
                      <w:b/>
                      <w:szCs w:val="21"/>
                    </w:rPr>
                    <w:t>规格</w:t>
                  </w:r>
                </w:p>
              </w:tc>
              <w:tc>
                <w:tcPr>
                  <w:tcW w:w="1387" w:type="dxa"/>
                  <w:noWrap w:val="0"/>
                  <w:vAlign w:val="center"/>
                </w:tcPr>
                <w:p w14:paraId="0057CBFE">
                  <w:pPr>
                    <w:pageBreakBefore w:val="0"/>
                    <w:tabs>
                      <w:tab w:val="left" w:pos="3600"/>
                      <w:tab w:val="left" w:pos="5670"/>
                    </w:tabs>
                    <w:kinsoku/>
                    <w:wordWrap/>
                    <w:topLinePunct w:val="0"/>
                    <w:bidi w:val="0"/>
                    <w:spacing w:line="280" w:lineRule="exact"/>
                    <w:jc w:val="center"/>
                    <w:rPr>
                      <w:b/>
                      <w:szCs w:val="21"/>
                    </w:rPr>
                  </w:pPr>
                  <w:r>
                    <w:rPr>
                      <w:rFonts w:hint="eastAsia"/>
                      <w:b/>
                      <w:szCs w:val="21"/>
                    </w:rPr>
                    <w:t>年产量</w:t>
                  </w:r>
                </w:p>
              </w:tc>
              <w:tc>
                <w:tcPr>
                  <w:tcW w:w="4566" w:type="dxa"/>
                  <w:noWrap w:val="0"/>
                  <w:vAlign w:val="center"/>
                </w:tcPr>
                <w:p w14:paraId="5C57EF62">
                  <w:pPr>
                    <w:pageBreakBefore w:val="0"/>
                    <w:tabs>
                      <w:tab w:val="left" w:pos="3600"/>
                      <w:tab w:val="left" w:pos="5670"/>
                    </w:tabs>
                    <w:kinsoku/>
                    <w:wordWrap/>
                    <w:topLinePunct w:val="0"/>
                    <w:bidi w:val="0"/>
                    <w:spacing w:line="280" w:lineRule="exact"/>
                    <w:jc w:val="center"/>
                    <w:rPr>
                      <w:b/>
                      <w:szCs w:val="21"/>
                    </w:rPr>
                  </w:pPr>
                  <w:r>
                    <w:rPr>
                      <w:rFonts w:hint="eastAsia"/>
                      <w:b/>
                      <w:szCs w:val="21"/>
                    </w:rPr>
                    <w:t>备注</w:t>
                  </w:r>
                </w:p>
              </w:tc>
            </w:tr>
            <w:tr w14:paraId="77A9B5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87" w:type="dxa"/>
                  <w:noWrap w:val="0"/>
                  <w:vAlign w:val="center"/>
                </w:tcPr>
                <w:p w14:paraId="490D6D00">
                  <w:pPr>
                    <w:pageBreakBefore w:val="0"/>
                    <w:tabs>
                      <w:tab w:val="left" w:pos="3600"/>
                      <w:tab w:val="left" w:pos="5670"/>
                    </w:tabs>
                    <w:kinsoku/>
                    <w:wordWrap/>
                    <w:topLinePunct w:val="0"/>
                    <w:bidi w:val="0"/>
                    <w:spacing w:line="280" w:lineRule="exact"/>
                    <w:jc w:val="center"/>
                    <w:rPr>
                      <w:bCs/>
                      <w:szCs w:val="21"/>
                    </w:rPr>
                  </w:pPr>
                  <w:r>
                    <w:rPr>
                      <w:rFonts w:hint="eastAsia"/>
                      <w:bCs/>
                      <w:szCs w:val="21"/>
                    </w:rPr>
                    <w:t>1</w:t>
                  </w:r>
                </w:p>
              </w:tc>
              <w:tc>
                <w:tcPr>
                  <w:tcW w:w="812" w:type="dxa"/>
                  <w:noWrap w:val="0"/>
                  <w:vAlign w:val="center"/>
                </w:tcPr>
                <w:p w14:paraId="43302DC2">
                  <w:pPr>
                    <w:pageBreakBefore w:val="0"/>
                    <w:tabs>
                      <w:tab w:val="left" w:pos="3600"/>
                      <w:tab w:val="left" w:pos="5670"/>
                    </w:tabs>
                    <w:kinsoku/>
                    <w:wordWrap/>
                    <w:topLinePunct w:val="0"/>
                    <w:bidi w:val="0"/>
                    <w:spacing w:line="280" w:lineRule="exact"/>
                    <w:jc w:val="center"/>
                    <w:rPr>
                      <w:bCs/>
                      <w:szCs w:val="21"/>
                    </w:rPr>
                  </w:pPr>
                  <w:r>
                    <w:rPr>
                      <w:rFonts w:hint="eastAsia"/>
                      <w:bCs/>
                      <w:szCs w:val="21"/>
                    </w:rPr>
                    <w:t>氢气</w:t>
                  </w:r>
                </w:p>
              </w:tc>
              <w:tc>
                <w:tcPr>
                  <w:tcW w:w="1138" w:type="dxa"/>
                  <w:noWrap w:val="0"/>
                  <w:vAlign w:val="center"/>
                </w:tcPr>
                <w:p w14:paraId="0B369480">
                  <w:pPr>
                    <w:pageBreakBefore w:val="0"/>
                    <w:tabs>
                      <w:tab w:val="left" w:pos="3600"/>
                      <w:tab w:val="left" w:pos="5670"/>
                    </w:tabs>
                    <w:kinsoku/>
                    <w:wordWrap/>
                    <w:topLinePunct w:val="0"/>
                    <w:bidi w:val="0"/>
                    <w:spacing w:line="280" w:lineRule="exact"/>
                    <w:jc w:val="center"/>
                    <w:rPr>
                      <w:bCs/>
                      <w:szCs w:val="21"/>
                    </w:rPr>
                  </w:pPr>
                  <w:r>
                    <w:rPr>
                      <w:rFonts w:hint="eastAsia"/>
                      <w:bCs/>
                      <w:szCs w:val="21"/>
                      <w:lang w:val="en-US" w:eastAsia="zh-CN"/>
                    </w:rPr>
                    <w:t>纯度</w:t>
                  </w:r>
                  <w:r>
                    <w:rPr>
                      <w:rFonts w:hint="eastAsia"/>
                      <w:bCs/>
                      <w:szCs w:val="21"/>
                    </w:rPr>
                    <w:t>99.5%</w:t>
                  </w:r>
                </w:p>
              </w:tc>
              <w:tc>
                <w:tcPr>
                  <w:tcW w:w="1387" w:type="dxa"/>
                  <w:noWrap w:val="0"/>
                  <w:vAlign w:val="center"/>
                </w:tcPr>
                <w:p w14:paraId="093C87C3">
                  <w:pPr>
                    <w:pageBreakBefore w:val="0"/>
                    <w:tabs>
                      <w:tab w:val="left" w:pos="3600"/>
                      <w:tab w:val="left" w:pos="5670"/>
                    </w:tabs>
                    <w:kinsoku/>
                    <w:wordWrap/>
                    <w:topLinePunct w:val="0"/>
                    <w:bidi w:val="0"/>
                    <w:spacing w:line="280" w:lineRule="exact"/>
                    <w:jc w:val="center"/>
                    <w:rPr>
                      <w:bCs/>
                      <w:szCs w:val="21"/>
                    </w:rPr>
                  </w:pPr>
                  <w:r>
                    <w:rPr>
                      <w:rFonts w:hint="eastAsia"/>
                      <w:bCs/>
                      <w:szCs w:val="21"/>
                      <w:lang w:val="en-US" w:eastAsia="zh-CN"/>
                    </w:rPr>
                    <w:t>4×10</w:t>
                  </w:r>
                  <w:r>
                    <w:rPr>
                      <w:rFonts w:hint="eastAsia"/>
                      <w:bCs/>
                      <w:szCs w:val="21"/>
                      <w:vertAlign w:val="superscript"/>
                      <w:lang w:val="en-US" w:eastAsia="zh-CN"/>
                    </w:rPr>
                    <w:t>7</w:t>
                  </w:r>
                  <w:r>
                    <w:rPr>
                      <w:rFonts w:hint="eastAsia"/>
                      <w:bCs/>
                      <w:szCs w:val="21"/>
                      <w:lang w:val="en-US" w:eastAsia="zh-CN"/>
                    </w:rPr>
                    <w:t>Nm</w:t>
                  </w:r>
                  <w:r>
                    <w:rPr>
                      <w:rFonts w:hint="eastAsia"/>
                      <w:bCs/>
                      <w:szCs w:val="21"/>
                      <w:vertAlign w:val="superscript"/>
                      <w:lang w:val="en-US" w:eastAsia="zh-CN"/>
                    </w:rPr>
                    <w:t>3</w:t>
                  </w:r>
                  <w:r>
                    <w:rPr>
                      <w:rFonts w:hint="eastAsia"/>
                      <w:bCs/>
                      <w:szCs w:val="21"/>
                      <w:vertAlign w:val="baseline"/>
                      <w:lang w:val="en-US" w:eastAsia="zh-CN"/>
                    </w:rPr>
                    <w:t>/a</w:t>
                  </w:r>
                </w:p>
              </w:tc>
              <w:tc>
                <w:tcPr>
                  <w:tcW w:w="4566" w:type="dxa"/>
                  <w:noWrap w:val="0"/>
                  <w:vAlign w:val="center"/>
                </w:tcPr>
                <w:p w14:paraId="40E0794B">
                  <w:pPr>
                    <w:pageBreakBefore w:val="0"/>
                    <w:tabs>
                      <w:tab w:val="left" w:pos="3600"/>
                      <w:tab w:val="left" w:pos="5670"/>
                    </w:tabs>
                    <w:kinsoku/>
                    <w:wordWrap/>
                    <w:topLinePunct w:val="0"/>
                    <w:bidi w:val="0"/>
                    <w:spacing w:line="280" w:lineRule="exact"/>
                    <w:jc w:val="center"/>
                    <w:rPr>
                      <w:bCs/>
                      <w:szCs w:val="21"/>
                    </w:rPr>
                  </w:pPr>
                  <w:r>
                    <w:rPr>
                      <w:rFonts w:hint="eastAsia"/>
                      <w:bCs/>
                      <w:szCs w:val="21"/>
                    </w:rPr>
                    <w:t>经管线全部用于</w:t>
                  </w:r>
                  <w:r>
                    <w:rPr>
                      <w:rFonts w:hint="eastAsia"/>
                      <w:bCs/>
                      <w:szCs w:val="21"/>
                      <w:lang w:val="en-US" w:eastAsia="zh-CN"/>
                    </w:rPr>
                    <w:t>下游</w:t>
                  </w:r>
                  <w:r>
                    <w:rPr>
                      <w:rFonts w:hint="eastAsia"/>
                      <w:bCs/>
                      <w:szCs w:val="21"/>
                    </w:rPr>
                    <w:t>制甲醇装置</w:t>
                  </w:r>
                </w:p>
              </w:tc>
            </w:tr>
            <w:tr w14:paraId="6D172A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87" w:type="dxa"/>
                  <w:noWrap w:val="0"/>
                  <w:vAlign w:val="center"/>
                </w:tcPr>
                <w:p w14:paraId="29CA3F3D">
                  <w:pPr>
                    <w:pageBreakBefore w:val="0"/>
                    <w:tabs>
                      <w:tab w:val="left" w:pos="3600"/>
                      <w:tab w:val="left" w:pos="5670"/>
                    </w:tabs>
                    <w:kinsoku/>
                    <w:wordWrap/>
                    <w:topLinePunct w:val="0"/>
                    <w:bidi w:val="0"/>
                    <w:spacing w:line="280" w:lineRule="exact"/>
                    <w:jc w:val="center"/>
                    <w:rPr>
                      <w:rFonts w:hint="eastAsia"/>
                      <w:bCs/>
                      <w:szCs w:val="21"/>
                    </w:rPr>
                  </w:pPr>
                  <w:r>
                    <w:rPr>
                      <w:rFonts w:hint="eastAsia"/>
                      <w:bCs/>
                      <w:szCs w:val="21"/>
                    </w:rPr>
                    <w:t>2</w:t>
                  </w:r>
                </w:p>
              </w:tc>
              <w:tc>
                <w:tcPr>
                  <w:tcW w:w="812" w:type="dxa"/>
                  <w:noWrap w:val="0"/>
                  <w:vAlign w:val="center"/>
                </w:tcPr>
                <w:p w14:paraId="65A82A2C">
                  <w:pPr>
                    <w:pageBreakBefore w:val="0"/>
                    <w:tabs>
                      <w:tab w:val="left" w:pos="3600"/>
                      <w:tab w:val="left" w:pos="5670"/>
                    </w:tabs>
                    <w:kinsoku/>
                    <w:wordWrap/>
                    <w:topLinePunct w:val="0"/>
                    <w:bidi w:val="0"/>
                    <w:spacing w:line="280" w:lineRule="exact"/>
                    <w:jc w:val="center"/>
                    <w:rPr>
                      <w:rFonts w:hint="eastAsia"/>
                      <w:bCs/>
                      <w:szCs w:val="21"/>
                    </w:rPr>
                  </w:pPr>
                  <w:r>
                    <w:rPr>
                      <w:rFonts w:hint="eastAsia"/>
                      <w:bCs/>
                      <w:szCs w:val="21"/>
                    </w:rPr>
                    <w:t>解</w:t>
                  </w:r>
                  <w:r>
                    <w:rPr>
                      <w:rFonts w:hint="eastAsia"/>
                      <w:bCs/>
                      <w:szCs w:val="21"/>
                      <w:lang w:val="en-US" w:eastAsia="zh-CN"/>
                    </w:rPr>
                    <w:t>吸</w:t>
                  </w:r>
                  <w:r>
                    <w:rPr>
                      <w:rFonts w:hint="eastAsia"/>
                      <w:bCs/>
                      <w:szCs w:val="21"/>
                    </w:rPr>
                    <w:t>气</w:t>
                  </w:r>
                </w:p>
              </w:tc>
              <w:tc>
                <w:tcPr>
                  <w:tcW w:w="1138" w:type="dxa"/>
                  <w:noWrap w:val="0"/>
                  <w:vAlign w:val="center"/>
                </w:tcPr>
                <w:p w14:paraId="63BE74F4">
                  <w:pPr>
                    <w:pageBreakBefore w:val="0"/>
                    <w:tabs>
                      <w:tab w:val="left" w:pos="3600"/>
                      <w:tab w:val="left" w:pos="5670"/>
                    </w:tabs>
                    <w:kinsoku/>
                    <w:wordWrap/>
                    <w:topLinePunct w:val="0"/>
                    <w:bidi w:val="0"/>
                    <w:spacing w:line="280" w:lineRule="exact"/>
                    <w:jc w:val="center"/>
                    <w:rPr>
                      <w:bCs/>
                      <w:szCs w:val="21"/>
                    </w:rPr>
                  </w:pPr>
                  <w:r>
                    <w:rPr>
                      <w:rFonts w:hint="eastAsia"/>
                      <w:bCs/>
                      <w:szCs w:val="21"/>
                    </w:rPr>
                    <w:t>/</w:t>
                  </w:r>
                </w:p>
              </w:tc>
              <w:tc>
                <w:tcPr>
                  <w:tcW w:w="1387" w:type="dxa"/>
                  <w:noWrap w:val="0"/>
                  <w:vAlign w:val="center"/>
                </w:tcPr>
                <w:p w14:paraId="6475B659">
                  <w:pPr>
                    <w:pageBreakBefore w:val="0"/>
                    <w:tabs>
                      <w:tab w:val="left" w:pos="3600"/>
                      <w:tab w:val="left" w:pos="5670"/>
                    </w:tabs>
                    <w:kinsoku/>
                    <w:wordWrap/>
                    <w:topLinePunct w:val="0"/>
                    <w:bidi w:val="0"/>
                    <w:spacing w:line="280" w:lineRule="exact"/>
                    <w:jc w:val="center"/>
                    <w:rPr>
                      <w:bCs/>
                      <w:szCs w:val="21"/>
                    </w:rPr>
                  </w:pPr>
                  <w:r>
                    <w:rPr>
                      <w:rFonts w:hint="eastAsia"/>
                      <w:bCs/>
                      <w:szCs w:val="21"/>
                      <w:lang w:val="en-US" w:eastAsia="zh-CN"/>
                    </w:rPr>
                    <w:t>2.4×10</w:t>
                  </w:r>
                  <w:r>
                    <w:rPr>
                      <w:rFonts w:hint="eastAsia"/>
                      <w:bCs/>
                      <w:szCs w:val="21"/>
                      <w:vertAlign w:val="superscript"/>
                      <w:lang w:val="en-US" w:eastAsia="zh-CN"/>
                    </w:rPr>
                    <w:t>8</w:t>
                  </w:r>
                  <w:r>
                    <w:rPr>
                      <w:rFonts w:hint="eastAsia"/>
                      <w:bCs/>
                      <w:szCs w:val="21"/>
                      <w:lang w:val="en-US" w:eastAsia="zh-CN"/>
                    </w:rPr>
                    <w:t>Nm</w:t>
                  </w:r>
                  <w:r>
                    <w:rPr>
                      <w:rFonts w:hint="eastAsia"/>
                      <w:bCs/>
                      <w:szCs w:val="21"/>
                      <w:vertAlign w:val="superscript"/>
                      <w:lang w:val="en-US" w:eastAsia="zh-CN"/>
                    </w:rPr>
                    <w:t>3</w:t>
                  </w:r>
                  <w:r>
                    <w:rPr>
                      <w:rFonts w:hint="eastAsia"/>
                      <w:bCs/>
                      <w:szCs w:val="21"/>
                      <w:vertAlign w:val="baseline"/>
                      <w:lang w:val="en-US" w:eastAsia="zh-CN"/>
                    </w:rPr>
                    <w:t>/a</w:t>
                  </w:r>
                </w:p>
              </w:tc>
              <w:tc>
                <w:tcPr>
                  <w:tcW w:w="4566" w:type="dxa"/>
                  <w:noWrap w:val="0"/>
                  <w:vAlign w:val="center"/>
                </w:tcPr>
                <w:p w14:paraId="26F144B5">
                  <w:pPr>
                    <w:pageBreakBefore w:val="0"/>
                    <w:tabs>
                      <w:tab w:val="left" w:pos="3600"/>
                      <w:tab w:val="left" w:pos="5670"/>
                    </w:tabs>
                    <w:kinsoku/>
                    <w:wordWrap/>
                    <w:topLinePunct w:val="0"/>
                    <w:bidi w:val="0"/>
                    <w:spacing w:line="280" w:lineRule="exact"/>
                    <w:jc w:val="center"/>
                    <w:rPr>
                      <w:bCs/>
                      <w:szCs w:val="21"/>
                    </w:rPr>
                  </w:pPr>
                  <w:r>
                    <w:rPr>
                      <w:rFonts w:hint="eastAsia"/>
                      <w:bCs/>
                      <w:szCs w:val="21"/>
                    </w:rPr>
                    <w:t>经管线全部用于下游“新疆冠达能源有限公司圣雄尾气综合利用绿色环保减排型示范项目”装置</w:t>
                  </w:r>
                </w:p>
              </w:tc>
            </w:tr>
          </w:tbl>
          <w:p w14:paraId="6B53E3BE">
            <w:pPr>
              <w:pageBreakBefore w:val="0"/>
              <w:kinsoku/>
              <w:wordWrap/>
              <w:topLinePunct w:val="0"/>
              <w:autoSpaceDE w:val="0"/>
              <w:autoSpaceDN w:val="0"/>
              <w:bidi w:val="0"/>
              <w:spacing w:line="360" w:lineRule="auto"/>
              <w:ind w:firstLine="480" w:firstLineChars="200"/>
              <w:rPr>
                <w:b w:val="0"/>
                <w:bCs w:val="0"/>
                <w:sz w:val="24"/>
              </w:rPr>
            </w:pPr>
            <w:r>
              <w:rPr>
                <w:rFonts w:hint="eastAsia"/>
                <w:b w:val="0"/>
                <w:bCs w:val="0"/>
                <w:sz w:val="24"/>
                <w:lang w:val="en-US" w:eastAsia="zh-CN"/>
              </w:rPr>
              <w:t>解吸气组分见下表。</w:t>
            </w:r>
          </w:p>
          <w:p w14:paraId="54CCA473">
            <w:pPr>
              <w:pageBreakBefore w:val="0"/>
              <w:kinsoku/>
              <w:wordWrap/>
              <w:topLinePunct w:val="0"/>
              <w:autoSpaceDE w:val="0"/>
              <w:autoSpaceDN w:val="0"/>
              <w:bidi w:val="0"/>
              <w:spacing w:line="360" w:lineRule="auto"/>
              <w:jc w:val="center"/>
              <w:rPr>
                <w:b/>
                <w:sz w:val="24"/>
              </w:rPr>
            </w:pPr>
            <w:r>
              <w:rPr>
                <w:rFonts w:hint="eastAsia" w:ascii="黑体" w:hAnsi="黑体" w:eastAsia="黑体" w:cs="黑体"/>
                <w:bCs/>
                <w:szCs w:val="21"/>
              </w:rPr>
              <w:t>表2-</w:t>
            </w:r>
            <w:r>
              <w:rPr>
                <w:rFonts w:hint="eastAsia" w:ascii="黑体" w:hAnsi="黑体" w:eastAsia="黑体" w:cs="黑体"/>
                <w:bCs/>
                <w:szCs w:val="21"/>
                <w:lang w:val="en-US" w:eastAsia="zh-CN"/>
              </w:rPr>
              <w:t>8</w:t>
            </w:r>
            <w:r>
              <w:rPr>
                <w:rFonts w:hint="eastAsia" w:ascii="黑体" w:hAnsi="黑体" w:eastAsia="黑体" w:cs="黑体"/>
                <w:bCs/>
                <w:szCs w:val="21"/>
              </w:rPr>
              <w:t xml:space="preserve">  </w:t>
            </w:r>
            <w:r>
              <w:rPr>
                <w:rFonts w:hint="eastAsia" w:ascii="黑体" w:hAnsi="黑体" w:eastAsia="黑体" w:cs="黑体"/>
                <w:bCs/>
                <w:szCs w:val="21"/>
                <w:lang w:val="en-US" w:eastAsia="zh-CN"/>
              </w:rPr>
              <w:t>解吸气</w:t>
            </w:r>
            <w:r>
              <w:rPr>
                <w:rFonts w:hint="eastAsia" w:ascii="黑体" w:hAnsi="黑体" w:eastAsia="黑体" w:cs="黑体"/>
                <w:bCs/>
                <w:szCs w:val="21"/>
              </w:rPr>
              <w:t>成分组成一览表</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1421"/>
              <w:gridCol w:w="2664"/>
              <w:gridCol w:w="4305"/>
            </w:tblGrid>
            <w:tr w14:paraId="121563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47CC3675">
                  <w:pPr>
                    <w:pageBreakBefore w:val="0"/>
                    <w:kinsoku/>
                    <w:wordWrap/>
                    <w:topLinePunct w:val="0"/>
                    <w:bidi w:val="0"/>
                    <w:spacing w:line="280" w:lineRule="exact"/>
                    <w:jc w:val="center"/>
                    <w:rPr>
                      <w:b/>
                      <w:bCs/>
                      <w:szCs w:val="21"/>
                    </w:rPr>
                  </w:pPr>
                  <w:r>
                    <w:rPr>
                      <w:b/>
                      <w:bCs/>
                      <w:szCs w:val="21"/>
                    </w:rPr>
                    <w:t>序号</w:t>
                  </w:r>
                </w:p>
              </w:tc>
              <w:tc>
                <w:tcPr>
                  <w:tcW w:w="2664" w:type="dxa"/>
                  <w:noWrap w:val="0"/>
                  <w:vAlign w:val="center"/>
                </w:tcPr>
                <w:p w14:paraId="575A30BD">
                  <w:pPr>
                    <w:pageBreakBefore w:val="0"/>
                    <w:kinsoku/>
                    <w:wordWrap/>
                    <w:topLinePunct w:val="0"/>
                    <w:bidi w:val="0"/>
                    <w:spacing w:line="280" w:lineRule="exact"/>
                    <w:jc w:val="center"/>
                    <w:rPr>
                      <w:b/>
                      <w:bCs/>
                      <w:szCs w:val="21"/>
                    </w:rPr>
                  </w:pPr>
                  <w:r>
                    <w:rPr>
                      <w:b/>
                      <w:bCs/>
                      <w:szCs w:val="21"/>
                    </w:rPr>
                    <w:t>名称</w:t>
                  </w:r>
                </w:p>
              </w:tc>
              <w:tc>
                <w:tcPr>
                  <w:tcW w:w="4305" w:type="dxa"/>
                  <w:noWrap w:val="0"/>
                  <w:vAlign w:val="center"/>
                </w:tcPr>
                <w:p w14:paraId="599D3BA5">
                  <w:pPr>
                    <w:pageBreakBefore w:val="0"/>
                    <w:kinsoku/>
                    <w:wordWrap/>
                    <w:topLinePunct w:val="0"/>
                    <w:bidi w:val="0"/>
                    <w:spacing w:line="280" w:lineRule="exact"/>
                    <w:jc w:val="center"/>
                    <w:rPr>
                      <w:b/>
                      <w:bCs/>
                      <w:szCs w:val="21"/>
                    </w:rPr>
                  </w:pPr>
                  <w:r>
                    <w:rPr>
                      <w:rFonts w:hint="eastAsia"/>
                      <w:b/>
                      <w:bCs/>
                      <w:szCs w:val="21"/>
                    </w:rPr>
                    <w:t>组成（mol%）</w:t>
                  </w:r>
                </w:p>
              </w:tc>
            </w:tr>
            <w:tr w14:paraId="47178F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7ED26F5F">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1</w:t>
                  </w:r>
                </w:p>
              </w:tc>
              <w:tc>
                <w:tcPr>
                  <w:tcW w:w="2664" w:type="dxa"/>
                  <w:noWrap w:val="0"/>
                  <w:vAlign w:val="center"/>
                </w:tcPr>
                <w:p w14:paraId="4FC59972">
                  <w:pPr>
                    <w:pageBreakBefore w:val="0"/>
                    <w:kinsoku/>
                    <w:wordWrap/>
                    <w:topLinePunct w:val="0"/>
                    <w:bidi w:val="0"/>
                    <w:spacing w:line="280" w:lineRule="exact"/>
                    <w:jc w:val="center"/>
                    <w:rPr>
                      <w:szCs w:val="21"/>
                    </w:rPr>
                  </w:pPr>
                  <w:r>
                    <w:rPr>
                      <w:rFonts w:hint="eastAsia"/>
                      <w:szCs w:val="21"/>
                    </w:rPr>
                    <w:t>O</w:t>
                  </w:r>
                  <w:r>
                    <w:rPr>
                      <w:rFonts w:hint="eastAsia"/>
                      <w:szCs w:val="21"/>
                      <w:vertAlign w:val="subscript"/>
                    </w:rPr>
                    <w:t>2</w:t>
                  </w:r>
                </w:p>
              </w:tc>
              <w:tc>
                <w:tcPr>
                  <w:tcW w:w="4305" w:type="dxa"/>
                  <w:noWrap w:val="0"/>
                  <w:vAlign w:val="center"/>
                </w:tcPr>
                <w:p w14:paraId="2DAA864E">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5</w:t>
                  </w:r>
                  <w:r>
                    <w:rPr>
                      <w:rFonts w:hint="eastAsia"/>
                      <w:szCs w:val="21"/>
                    </w:rPr>
                    <w:t>4%</w:t>
                  </w:r>
                </w:p>
              </w:tc>
            </w:tr>
            <w:tr w14:paraId="2010B0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64E0E081">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2</w:t>
                  </w:r>
                </w:p>
              </w:tc>
              <w:tc>
                <w:tcPr>
                  <w:tcW w:w="2664" w:type="dxa"/>
                  <w:noWrap w:val="0"/>
                  <w:vAlign w:val="center"/>
                </w:tcPr>
                <w:p w14:paraId="4BD398D8">
                  <w:pPr>
                    <w:pageBreakBefore w:val="0"/>
                    <w:kinsoku/>
                    <w:wordWrap/>
                    <w:topLinePunct w:val="0"/>
                    <w:bidi w:val="0"/>
                    <w:spacing w:line="280" w:lineRule="exact"/>
                    <w:jc w:val="center"/>
                    <w:rPr>
                      <w:szCs w:val="21"/>
                    </w:rPr>
                  </w:pPr>
                  <w:r>
                    <w:rPr>
                      <w:rFonts w:hint="eastAsia"/>
                      <w:szCs w:val="21"/>
                    </w:rPr>
                    <w:t>N</w:t>
                  </w:r>
                  <w:r>
                    <w:rPr>
                      <w:rFonts w:hint="eastAsia"/>
                      <w:szCs w:val="21"/>
                      <w:vertAlign w:val="subscript"/>
                    </w:rPr>
                    <w:t>2</w:t>
                  </w:r>
                </w:p>
              </w:tc>
              <w:tc>
                <w:tcPr>
                  <w:tcW w:w="4305" w:type="dxa"/>
                  <w:noWrap w:val="0"/>
                  <w:vAlign w:val="center"/>
                </w:tcPr>
                <w:p w14:paraId="6AEEB7C7">
                  <w:pPr>
                    <w:pageBreakBefore w:val="0"/>
                    <w:kinsoku/>
                    <w:wordWrap/>
                    <w:topLinePunct w:val="0"/>
                    <w:bidi w:val="0"/>
                    <w:spacing w:line="280" w:lineRule="exact"/>
                    <w:jc w:val="center"/>
                    <w:rPr>
                      <w:szCs w:val="21"/>
                    </w:rPr>
                  </w:pPr>
                  <w:r>
                    <w:rPr>
                      <w:rFonts w:hint="eastAsia"/>
                      <w:szCs w:val="21"/>
                      <w:lang w:val="en-US" w:eastAsia="zh-CN"/>
                    </w:rPr>
                    <w:t>53.11</w:t>
                  </w:r>
                  <w:r>
                    <w:rPr>
                      <w:rFonts w:hint="eastAsia"/>
                      <w:szCs w:val="21"/>
                    </w:rPr>
                    <w:t>%</w:t>
                  </w:r>
                </w:p>
              </w:tc>
            </w:tr>
            <w:tr w14:paraId="2AA163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14ED6125">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3</w:t>
                  </w:r>
                </w:p>
              </w:tc>
              <w:tc>
                <w:tcPr>
                  <w:tcW w:w="2664" w:type="dxa"/>
                  <w:noWrap w:val="0"/>
                  <w:vAlign w:val="center"/>
                </w:tcPr>
                <w:p w14:paraId="27A4A963">
                  <w:pPr>
                    <w:pageBreakBefore w:val="0"/>
                    <w:kinsoku/>
                    <w:wordWrap/>
                    <w:topLinePunct w:val="0"/>
                    <w:bidi w:val="0"/>
                    <w:spacing w:line="280" w:lineRule="exact"/>
                    <w:jc w:val="center"/>
                    <w:rPr>
                      <w:szCs w:val="21"/>
                    </w:rPr>
                  </w:pPr>
                  <w:r>
                    <w:rPr>
                      <w:rFonts w:hint="eastAsia"/>
                      <w:szCs w:val="21"/>
                    </w:rPr>
                    <w:t>CO</w:t>
                  </w:r>
                </w:p>
              </w:tc>
              <w:tc>
                <w:tcPr>
                  <w:tcW w:w="4305" w:type="dxa"/>
                  <w:noWrap w:val="0"/>
                  <w:vAlign w:val="center"/>
                </w:tcPr>
                <w:p w14:paraId="3F2E6CA5">
                  <w:pPr>
                    <w:pageBreakBefore w:val="0"/>
                    <w:kinsoku/>
                    <w:wordWrap/>
                    <w:topLinePunct w:val="0"/>
                    <w:bidi w:val="0"/>
                    <w:spacing w:line="280" w:lineRule="exact"/>
                    <w:jc w:val="center"/>
                    <w:rPr>
                      <w:szCs w:val="21"/>
                    </w:rPr>
                  </w:pPr>
                  <w:r>
                    <w:rPr>
                      <w:rFonts w:hint="eastAsia"/>
                      <w:szCs w:val="21"/>
                      <w:lang w:val="en-US" w:eastAsia="zh-CN"/>
                    </w:rPr>
                    <w:t>14.32</w:t>
                  </w:r>
                  <w:r>
                    <w:rPr>
                      <w:rFonts w:hint="eastAsia"/>
                      <w:szCs w:val="21"/>
                    </w:rPr>
                    <w:t>%</w:t>
                  </w:r>
                </w:p>
              </w:tc>
            </w:tr>
            <w:tr w14:paraId="3B0919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6CC1F40D">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4</w:t>
                  </w:r>
                </w:p>
              </w:tc>
              <w:tc>
                <w:tcPr>
                  <w:tcW w:w="2664" w:type="dxa"/>
                  <w:noWrap w:val="0"/>
                  <w:vAlign w:val="center"/>
                </w:tcPr>
                <w:p w14:paraId="347422FB">
                  <w:pPr>
                    <w:pageBreakBefore w:val="0"/>
                    <w:kinsoku/>
                    <w:wordWrap/>
                    <w:topLinePunct w:val="0"/>
                    <w:bidi w:val="0"/>
                    <w:spacing w:line="280" w:lineRule="exact"/>
                    <w:jc w:val="center"/>
                    <w:rPr>
                      <w:szCs w:val="21"/>
                    </w:rPr>
                  </w:pPr>
                  <w:r>
                    <w:rPr>
                      <w:rFonts w:hint="eastAsia"/>
                      <w:szCs w:val="21"/>
                    </w:rPr>
                    <w:t>CH</w:t>
                  </w:r>
                  <w:r>
                    <w:rPr>
                      <w:rFonts w:hint="eastAsia"/>
                      <w:szCs w:val="21"/>
                      <w:vertAlign w:val="subscript"/>
                    </w:rPr>
                    <w:t>4</w:t>
                  </w:r>
                </w:p>
              </w:tc>
              <w:tc>
                <w:tcPr>
                  <w:tcW w:w="4305" w:type="dxa"/>
                  <w:noWrap w:val="0"/>
                  <w:vAlign w:val="center"/>
                </w:tcPr>
                <w:p w14:paraId="6656FC16">
                  <w:pPr>
                    <w:pageBreakBefore w:val="0"/>
                    <w:kinsoku/>
                    <w:wordWrap/>
                    <w:topLinePunct w:val="0"/>
                    <w:bidi w:val="0"/>
                    <w:spacing w:line="280" w:lineRule="exact"/>
                    <w:jc w:val="center"/>
                    <w:rPr>
                      <w:szCs w:val="21"/>
                    </w:rPr>
                  </w:pPr>
                  <w:r>
                    <w:rPr>
                      <w:rFonts w:hint="eastAsia"/>
                      <w:szCs w:val="21"/>
                      <w:lang w:val="en-US" w:eastAsia="zh-CN"/>
                    </w:rPr>
                    <w:t>11.76</w:t>
                  </w:r>
                  <w:r>
                    <w:rPr>
                      <w:rFonts w:hint="eastAsia"/>
                      <w:szCs w:val="21"/>
                    </w:rPr>
                    <w:t>%</w:t>
                  </w:r>
                </w:p>
              </w:tc>
            </w:tr>
            <w:tr w14:paraId="4A568C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591B7C10">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5</w:t>
                  </w:r>
                </w:p>
              </w:tc>
              <w:tc>
                <w:tcPr>
                  <w:tcW w:w="2664" w:type="dxa"/>
                  <w:noWrap w:val="0"/>
                  <w:vAlign w:val="center"/>
                </w:tcPr>
                <w:p w14:paraId="09C6D757">
                  <w:pPr>
                    <w:pageBreakBefore w:val="0"/>
                    <w:kinsoku/>
                    <w:wordWrap/>
                    <w:topLinePunct w:val="0"/>
                    <w:bidi w:val="0"/>
                    <w:spacing w:line="280" w:lineRule="exact"/>
                    <w:jc w:val="center"/>
                    <w:rPr>
                      <w:szCs w:val="21"/>
                    </w:rPr>
                  </w:pPr>
                  <w:r>
                    <w:rPr>
                      <w:rFonts w:hint="eastAsia"/>
                      <w:szCs w:val="21"/>
                    </w:rPr>
                    <w:t>CO</w:t>
                  </w:r>
                  <w:r>
                    <w:rPr>
                      <w:rFonts w:hint="eastAsia"/>
                      <w:szCs w:val="21"/>
                      <w:vertAlign w:val="subscript"/>
                    </w:rPr>
                    <w:t>2</w:t>
                  </w:r>
                </w:p>
              </w:tc>
              <w:tc>
                <w:tcPr>
                  <w:tcW w:w="4305" w:type="dxa"/>
                  <w:noWrap w:val="0"/>
                  <w:vAlign w:val="center"/>
                </w:tcPr>
                <w:p w14:paraId="6B64816F">
                  <w:pPr>
                    <w:pageBreakBefore w:val="0"/>
                    <w:kinsoku/>
                    <w:wordWrap/>
                    <w:topLinePunct w:val="0"/>
                    <w:bidi w:val="0"/>
                    <w:spacing w:line="280" w:lineRule="exact"/>
                    <w:jc w:val="center"/>
                    <w:rPr>
                      <w:szCs w:val="21"/>
                    </w:rPr>
                  </w:pPr>
                  <w:r>
                    <w:rPr>
                      <w:rFonts w:hint="eastAsia"/>
                      <w:szCs w:val="21"/>
                      <w:lang w:val="en-US" w:eastAsia="zh-CN"/>
                    </w:rPr>
                    <w:t>15.27</w:t>
                  </w:r>
                  <w:r>
                    <w:rPr>
                      <w:rFonts w:hint="eastAsia"/>
                      <w:szCs w:val="21"/>
                    </w:rPr>
                    <w:t>%</w:t>
                  </w:r>
                </w:p>
              </w:tc>
            </w:tr>
            <w:tr w14:paraId="0F8A9F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6C37A8D0">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6</w:t>
                  </w:r>
                </w:p>
              </w:tc>
              <w:tc>
                <w:tcPr>
                  <w:tcW w:w="2664" w:type="dxa"/>
                  <w:noWrap w:val="0"/>
                  <w:vAlign w:val="center"/>
                </w:tcPr>
                <w:p w14:paraId="22E3A87C">
                  <w:pPr>
                    <w:pageBreakBefore w:val="0"/>
                    <w:kinsoku/>
                    <w:wordWrap/>
                    <w:topLinePunct w:val="0"/>
                    <w:bidi w:val="0"/>
                    <w:spacing w:line="280" w:lineRule="exact"/>
                    <w:jc w:val="center"/>
                    <w:rPr>
                      <w:szCs w:val="21"/>
                    </w:rPr>
                  </w:pPr>
                  <w:r>
                    <w:rPr>
                      <w:rFonts w:hint="eastAsia"/>
                      <w:szCs w:val="21"/>
                    </w:rPr>
                    <w:t>C</w:t>
                  </w:r>
                  <w:r>
                    <w:rPr>
                      <w:rFonts w:hint="eastAsia"/>
                      <w:szCs w:val="21"/>
                      <w:vertAlign w:val="subscript"/>
                    </w:rPr>
                    <w:t>2</w:t>
                  </w:r>
                  <w:r>
                    <w:rPr>
                      <w:rFonts w:hint="eastAsia"/>
                      <w:szCs w:val="21"/>
                    </w:rPr>
                    <w:t>H</w:t>
                  </w:r>
                  <w:r>
                    <w:rPr>
                      <w:rFonts w:hint="eastAsia"/>
                      <w:szCs w:val="21"/>
                      <w:vertAlign w:val="subscript"/>
                    </w:rPr>
                    <w:t>4</w:t>
                  </w:r>
                </w:p>
              </w:tc>
              <w:tc>
                <w:tcPr>
                  <w:tcW w:w="4305" w:type="dxa"/>
                  <w:noWrap w:val="0"/>
                  <w:vAlign w:val="center"/>
                </w:tcPr>
                <w:p w14:paraId="7F152455">
                  <w:pPr>
                    <w:pageBreakBefore w:val="0"/>
                    <w:kinsoku/>
                    <w:wordWrap/>
                    <w:topLinePunct w:val="0"/>
                    <w:bidi w:val="0"/>
                    <w:spacing w:line="280" w:lineRule="exact"/>
                    <w:jc w:val="center"/>
                    <w:rPr>
                      <w:szCs w:val="21"/>
                    </w:rPr>
                  </w:pPr>
                  <w:r>
                    <w:rPr>
                      <w:rFonts w:hint="eastAsia"/>
                      <w:szCs w:val="21"/>
                    </w:rPr>
                    <w:t>0.2</w:t>
                  </w:r>
                  <w:r>
                    <w:rPr>
                      <w:rFonts w:hint="eastAsia"/>
                      <w:szCs w:val="21"/>
                      <w:lang w:val="en-US" w:eastAsia="zh-CN"/>
                    </w:rPr>
                    <w:t>7</w:t>
                  </w:r>
                  <w:r>
                    <w:rPr>
                      <w:rFonts w:hint="eastAsia"/>
                      <w:szCs w:val="21"/>
                    </w:rPr>
                    <w:t>%</w:t>
                  </w:r>
                </w:p>
              </w:tc>
            </w:tr>
            <w:tr w14:paraId="3EB03C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5D878FCD">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7</w:t>
                  </w:r>
                </w:p>
              </w:tc>
              <w:tc>
                <w:tcPr>
                  <w:tcW w:w="2664" w:type="dxa"/>
                  <w:noWrap w:val="0"/>
                  <w:vAlign w:val="center"/>
                </w:tcPr>
                <w:p w14:paraId="620BB560">
                  <w:pPr>
                    <w:pageBreakBefore w:val="0"/>
                    <w:kinsoku/>
                    <w:wordWrap/>
                    <w:topLinePunct w:val="0"/>
                    <w:bidi w:val="0"/>
                    <w:spacing w:line="280" w:lineRule="exact"/>
                    <w:jc w:val="center"/>
                    <w:rPr>
                      <w:szCs w:val="21"/>
                    </w:rPr>
                  </w:pPr>
                  <w:r>
                    <w:rPr>
                      <w:rFonts w:hint="eastAsia"/>
                      <w:szCs w:val="21"/>
                    </w:rPr>
                    <w:t>C</w:t>
                  </w:r>
                  <w:r>
                    <w:rPr>
                      <w:rFonts w:hint="eastAsia"/>
                      <w:szCs w:val="21"/>
                      <w:vertAlign w:val="subscript"/>
                    </w:rPr>
                    <w:t>2</w:t>
                  </w:r>
                  <w:r>
                    <w:rPr>
                      <w:rFonts w:hint="eastAsia"/>
                      <w:szCs w:val="21"/>
                    </w:rPr>
                    <w:t>H</w:t>
                  </w:r>
                  <w:r>
                    <w:rPr>
                      <w:rFonts w:hint="eastAsia"/>
                      <w:szCs w:val="21"/>
                      <w:vertAlign w:val="subscript"/>
                    </w:rPr>
                    <w:t>6</w:t>
                  </w:r>
                </w:p>
              </w:tc>
              <w:tc>
                <w:tcPr>
                  <w:tcW w:w="4305" w:type="dxa"/>
                  <w:noWrap w:val="0"/>
                  <w:vAlign w:val="center"/>
                </w:tcPr>
                <w:p w14:paraId="107D91FB">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95</w:t>
                  </w:r>
                  <w:r>
                    <w:rPr>
                      <w:rFonts w:hint="eastAsia"/>
                      <w:szCs w:val="21"/>
                    </w:rPr>
                    <w:t>%</w:t>
                  </w:r>
                </w:p>
              </w:tc>
            </w:tr>
            <w:tr w14:paraId="4AAC07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0D5FDBC2">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8</w:t>
                  </w:r>
                </w:p>
              </w:tc>
              <w:tc>
                <w:tcPr>
                  <w:tcW w:w="2664" w:type="dxa"/>
                  <w:noWrap w:val="0"/>
                  <w:vAlign w:val="center"/>
                </w:tcPr>
                <w:p w14:paraId="35B7C2C2">
                  <w:pPr>
                    <w:pageBreakBefore w:val="0"/>
                    <w:kinsoku/>
                    <w:wordWrap/>
                    <w:topLinePunct w:val="0"/>
                    <w:bidi w:val="0"/>
                    <w:spacing w:line="280" w:lineRule="exact"/>
                    <w:jc w:val="center"/>
                    <w:rPr>
                      <w:szCs w:val="21"/>
                    </w:rPr>
                  </w:pPr>
                  <w:r>
                    <w:rPr>
                      <w:rFonts w:hint="eastAsia"/>
                      <w:szCs w:val="21"/>
                    </w:rPr>
                    <w:t>NH</w:t>
                  </w:r>
                  <w:r>
                    <w:rPr>
                      <w:rFonts w:hint="eastAsia"/>
                      <w:szCs w:val="21"/>
                      <w:vertAlign w:val="subscript"/>
                    </w:rPr>
                    <w:t>3</w:t>
                  </w:r>
                </w:p>
              </w:tc>
              <w:tc>
                <w:tcPr>
                  <w:tcW w:w="4305" w:type="dxa"/>
                  <w:noWrap w:val="0"/>
                  <w:vAlign w:val="center"/>
                </w:tcPr>
                <w:p w14:paraId="59548D37">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31</w:t>
                  </w:r>
                  <w:r>
                    <w:rPr>
                      <w:rFonts w:hint="eastAsia"/>
                      <w:szCs w:val="21"/>
                    </w:rPr>
                    <w:t>%</w:t>
                  </w:r>
                </w:p>
              </w:tc>
            </w:tr>
            <w:tr w14:paraId="6FEB6B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421" w:type="dxa"/>
                  <w:noWrap w:val="0"/>
                  <w:vAlign w:val="center"/>
                </w:tcPr>
                <w:p w14:paraId="3EC4B59F">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9</w:t>
                  </w:r>
                </w:p>
              </w:tc>
              <w:tc>
                <w:tcPr>
                  <w:tcW w:w="2664" w:type="dxa"/>
                  <w:noWrap w:val="0"/>
                  <w:vAlign w:val="center"/>
                </w:tcPr>
                <w:p w14:paraId="5C8B047A">
                  <w:pPr>
                    <w:pageBreakBefore w:val="0"/>
                    <w:kinsoku/>
                    <w:wordWrap/>
                    <w:topLinePunct w:val="0"/>
                    <w:bidi w:val="0"/>
                    <w:spacing w:line="280" w:lineRule="exact"/>
                    <w:jc w:val="center"/>
                    <w:rPr>
                      <w:szCs w:val="21"/>
                    </w:rPr>
                  </w:pPr>
                  <w:r>
                    <w:rPr>
                      <w:rFonts w:hint="eastAsia"/>
                      <w:szCs w:val="21"/>
                    </w:rPr>
                    <w:t>其他组分</w:t>
                  </w:r>
                </w:p>
              </w:tc>
              <w:tc>
                <w:tcPr>
                  <w:tcW w:w="4305" w:type="dxa"/>
                  <w:noWrap w:val="0"/>
                  <w:vAlign w:val="center"/>
                </w:tcPr>
                <w:p w14:paraId="4824A26D">
                  <w:pPr>
                    <w:pageBreakBefore w:val="0"/>
                    <w:kinsoku/>
                    <w:wordWrap/>
                    <w:topLinePunct w:val="0"/>
                    <w:bidi w:val="0"/>
                    <w:spacing w:line="280" w:lineRule="exact"/>
                    <w:jc w:val="center"/>
                    <w:rPr>
                      <w:szCs w:val="21"/>
                    </w:rPr>
                  </w:pPr>
                  <w:r>
                    <w:rPr>
                      <w:rFonts w:hint="eastAsia"/>
                      <w:szCs w:val="21"/>
                      <w:lang w:val="en-US" w:eastAsia="zh-CN"/>
                    </w:rPr>
                    <w:t>3.47</w:t>
                  </w:r>
                  <w:r>
                    <w:rPr>
                      <w:rFonts w:hint="eastAsia"/>
                      <w:szCs w:val="21"/>
                    </w:rPr>
                    <w:t>%</w:t>
                  </w:r>
                </w:p>
              </w:tc>
            </w:tr>
          </w:tbl>
          <w:p w14:paraId="02F43A95">
            <w:pPr>
              <w:pageBreakBefore w:val="0"/>
              <w:kinsoku/>
              <w:wordWrap/>
              <w:topLinePunct w:val="0"/>
              <w:autoSpaceDE w:val="0"/>
              <w:autoSpaceDN w:val="0"/>
              <w:bidi w:val="0"/>
              <w:spacing w:line="360" w:lineRule="auto"/>
              <w:ind w:firstLine="482" w:firstLineChars="200"/>
              <w:rPr>
                <w:sz w:val="24"/>
              </w:rPr>
            </w:pPr>
            <w:r>
              <w:rPr>
                <w:b/>
                <w:bCs/>
                <w:sz w:val="24"/>
              </w:rPr>
              <w:t>5 公用工程</w:t>
            </w:r>
          </w:p>
          <w:p w14:paraId="02A3815B">
            <w:pPr>
              <w:pageBreakBefore w:val="0"/>
              <w:kinsoku/>
              <w:wordWrap/>
              <w:topLinePunct w:val="0"/>
              <w:autoSpaceDE w:val="0"/>
              <w:autoSpaceDN w:val="0"/>
              <w:bidi w:val="0"/>
              <w:spacing w:line="360" w:lineRule="auto"/>
              <w:ind w:firstLine="480" w:firstLineChars="200"/>
              <w:rPr>
                <w:sz w:val="24"/>
              </w:rPr>
            </w:pPr>
            <w:r>
              <w:rPr>
                <w:sz w:val="24"/>
              </w:rPr>
              <w:t>（1）给水</w:t>
            </w:r>
          </w:p>
          <w:p w14:paraId="499D6D5F">
            <w:pPr>
              <w:pageBreakBefore w:val="0"/>
              <w:kinsoku/>
              <w:wordWrap/>
              <w:topLinePunct w:val="0"/>
              <w:autoSpaceDE w:val="0"/>
              <w:autoSpaceDN w:val="0"/>
              <w:bidi w:val="0"/>
              <w:spacing w:line="360" w:lineRule="auto"/>
              <w:ind w:firstLine="480" w:firstLineChars="200"/>
              <w:rPr>
                <w:sz w:val="24"/>
              </w:rPr>
            </w:pPr>
            <w:r>
              <w:rPr>
                <w:rFonts w:hint="eastAsia"/>
                <w:sz w:val="24"/>
              </w:rPr>
              <w:t>本项目</w:t>
            </w:r>
            <w:r>
              <w:rPr>
                <w:rFonts w:hint="eastAsia"/>
                <w:sz w:val="24"/>
                <w:lang w:val="en-US" w:eastAsia="zh-CN"/>
              </w:rPr>
              <w:t>运营期用水依托</w:t>
            </w:r>
            <w:r>
              <w:rPr>
                <w:rFonts w:hint="eastAsia"/>
                <w:sz w:val="24"/>
              </w:rPr>
              <w:t>新疆圣雄电石有限公司厂区供水，供水水源引自丰收电厂水库，原水送入本项目净水站蓄水池储存，经加压泵房送至用水点，界区交接点处至压力&gt;0.4MPa，主要用于循环水补充水、工艺装置生产用水、全厂生活、道路浇洒、绿化用水和消防用水，其水质、水量均能满足本项目需要。</w:t>
            </w:r>
          </w:p>
          <w:p w14:paraId="09103465">
            <w:pPr>
              <w:pageBreakBefore w:val="0"/>
              <w:kinsoku/>
              <w:wordWrap/>
              <w:topLinePunct w:val="0"/>
              <w:autoSpaceDE w:val="0"/>
              <w:autoSpaceDN w:val="0"/>
              <w:bidi w:val="0"/>
              <w:spacing w:line="360" w:lineRule="auto"/>
              <w:ind w:firstLine="480" w:firstLineChars="200"/>
              <w:rPr>
                <w:sz w:val="24"/>
              </w:rPr>
            </w:pPr>
            <w:r>
              <w:rPr>
                <w:rFonts w:hint="eastAsia"/>
                <w:sz w:val="24"/>
                <w:lang w:val="en-US" w:eastAsia="zh-CN"/>
              </w:rPr>
              <w:t>①</w:t>
            </w:r>
            <w:r>
              <w:rPr>
                <w:rFonts w:hint="eastAsia"/>
                <w:sz w:val="24"/>
              </w:rPr>
              <w:t xml:space="preserve"> 冷却塔补水</w:t>
            </w:r>
          </w:p>
          <w:p w14:paraId="2D3C0D1B">
            <w:pPr>
              <w:pageBreakBefore w:val="0"/>
              <w:kinsoku/>
              <w:wordWrap/>
              <w:topLinePunct w:val="0"/>
              <w:bidi w:val="0"/>
              <w:spacing w:line="360" w:lineRule="auto"/>
              <w:ind w:firstLine="480" w:firstLineChars="200"/>
              <w:rPr>
                <w:sz w:val="24"/>
              </w:rPr>
            </w:pPr>
            <w:r>
              <w:rPr>
                <w:sz w:val="24"/>
              </w:rPr>
              <w:t>冷却塔因蒸发需要补充</w:t>
            </w:r>
            <w:r>
              <w:rPr>
                <w:rFonts w:hint="eastAsia"/>
                <w:sz w:val="24"/>
              </w:rPr>
              <w:t>脱盐</w:t>
            </w:r>
            <w:r>
              <w:rPr>
                <w:sz w:val="24"/>
              </w:rPr>
              <w:t>水保证生产设备正常运营，</w:t>
            </w:r>
            <w:r>
              <w:rPr>
                <w:rFonts w:hint="eastAsia"/>
                <w:sz w:val="24"/>
              </w:rPr>
              <w:t>根据设计资料所需脱盐水量为12</w:t>
            </w:r>
            <w:r>
              <w:rPr>
                <w:sz w:val="24"/>
              </w:rPr>
              <w:t>m</w:t>
            </w:r>
            <w:r>
              <w:rPr>
                <w:sz w:val="24"/>
                <w:vertAlign w:val="superscript"/>
              </w:rPr>
              <w:t>3</w:t>
            </w:r>
            <w:r>
              <w:rPr>
                <w:sz w:val="24"/>
              </w:rPr>
              <w:t>/</w:t>
            </w:r>
            <w:r>
              <w:rPr>
                <w:rFonts w:hint="eastAsia"/>
                <w:sz w:val="24"/>
              </w:rPr>
              <w:t>h</w:t>
            </w:r>
            <w:r>
              <w:rPr>
                <w:sz w:val="24"/>
              </w:rPr>
              <w:t>(</w:t>
            </w:r>
            <w:r>
              <w:rPr>
                <w:rFonts w:hint="eastAsia"/>
                <w:sz w:val="24"/>
              </w:rPr>
              <w:t>96000</w:t>
            </w:r>
            <w:r>
              <w:rPr>
                <w:sz w:val="24"/>
              </w:rPr>
              <w:t>m</w:t>
            </w:r>
            <w:r>
              <w:rPr>
                <w:sz w:val="24"/>
                <w:vertAlign w:val="superscript"/>
              </w:rPr>
              <w:t>3</w:t>
            </w:r>
            <w:r>
              <w:rPr>
                <w:sz w:val="24"/>
              </w:rPr>
              <w:t>/a)</w:t>
            </w:r>
            <w:r>
              <w:rPr>
                <w:rFonts w:hint="eastAsia"/>
                <w:sz w:val="24"/>
              </w:rPr>
              <w:t>。</w:t>
            </w:r>
          </w:p>
          <w:p w14:paraId="1C947B82">
            <w:pPr>
              <w:pageBreakBefore w:val="0"/>
              <w:kinsoku/>
              <w:wordWrap/>
              <w:topLinePunct w:val="0"/>
              <w:autoSpaceDE w:val="0"/>
              <w:autoSpaceDN w:val="0"/>
              <w:bidi w:val="0"/>
              <w:spacing w:line="360" w:lineRule="auto"/>
              <w:ind w:firstLine="480" w:firstLineChars="200"/>
              <w:rPr>
                <w:sz w:val="24"/>
              </w:rPr>
            </w:pPr>
            <w:r>
              <w:rPr>
                <w:rFonts w:hint="eastAsia"/>
                <w:sz w:val="24"/>
                <w:lang w:val="en-US" w:eastAsia="zh-CN"/>
              </w:rPr>
              <w:t>②</w:t>
            </w:r>
            <w:r>
              <w:rPr>
                <w:rFonts w:hint="eastAsia"/>
                <w:sz w:val="24"/>
              </w:rPr>
              <w:t xml:space="preserve"> 生活用水</w:t>
            </w:r>
          </w:p>
          <w:p w14:paraId="6538E553">
            <w:pPr>
              <w:pageBreakBefore w:val="0"/>
              <w:kinsoku/>
              <w:wordWrap/>
              <w:topLinePunct w:val="0"/>
              <w:autoSpaceDE w:val="0"/>
              <w:autoSpaceDN w:val="0"/>
              <w:bidi w:val="0"/>
              <w:spacing w:line="360" w:lineRule="auto"/>
              <w:ind w:firstLine="480" w:firstLineChars="200"/>
              <w:rPr>
                <w:sz w:val="24"/>
              </w:rPr>
            </w:pPr>
            <w:r>
              <w:rPr>
                <w:sz w:val="24"/>
              </w:rPr>
              <w:t>本项目新增定员</w:t>
            </w:r>
            <w:r>
              <w:rPr>
                <w:rFonts w:hint="eastAsia"/>
                <w:sz w:val="24"/>
              </w:rPr>
              <w:t>45人</w:t>
            </w:r>
            <w:r>
              <w:rPr>
                <w:sz w:val="24"/>
              </w:rPr>
              <w:t>。厂区设置倒班</w:t>
            </w:r>
            <w:r>
              <w:rPr>
                <w:rFonts w:hint="eastAsia"/>
                <w:sz w:val="24"/>
              </w:rPr>
              <w:t>休息间</w:t>
            </w:r>
            <w:r>
              <w:rPr>
                <w:sz w:val="24"/>
              </w:rPr>
              <w:t>用于员工休息，生活用水量参考《新疆维吾尔自治区生活用水定额》</w:t>
            </w:r>
            <w:r>
              <w:rPr>
                <w:rFonts w:hint="eastAsia"/>
                <w:sz w:val="24"/>
              </w:rPr>
              <w:t>东疆区</w:t>
            </w:r>
            <w:r>
              <w:rPr>
                <w:sz w:val="24"/>
              </w:rPr>
              <w:t>城镇居民住宅有上下水设施无淋浴设备楼房的系数，即50～70L/人·d，本次评价取平均值60L/人·d，经计算可得生活用水总量为</w:t>
            </w:r>
            <w:r>
              <w:rPr>
                <w:rFonts w:hint="eastAsia"/>
                <w:sz w:val="24"/>
              </w:rPr>
              <w:t>2.7</w:t>
            </w:r>
            <w:r>
              <w:rPr>
                <w:sz w:val="24"/>
              </w:rPr>
              <w:t>m</w:t>
            </w:r>
            <w:r>
              <w:rPr>
                <w:sz w:val="24"/>
                <w:vertAlign w:val="superscript"/>
              </w:rPr>
              <w:t>3</w:t>
            </w:r>
            <w:r>
              <w:rPr>
                <w:sz w:val="24"/>
              </w:rPr>
              <w:t>/d(</w:t>
            </w:r>
            <w:r>
              <w:rPr>
                <w:rFonts w:hint="eastAsia"/>
                <w:sz w:val="24"/>
              </w:rPr>
              <w:t>899.1</w:t>
            </w:r>
            <w:r>
              <w:rPr>
                <w:sz w:val="24"/>
              </w:rPr>
              <w:t>m</w:t>
            </w:r>
            <w:r>
              <w:rPr>
                <w:sz w:val="24"/>
                <w:vertAlign w:val="superscript"/>
              </w:rPr>
              <w:t>3</w:t>
            </w:r>
            <w:r>
              <w:rPr>
                <w:sz w:val="24"/>
              </w:rPr>
              <w:t>/a)。</w:t>
            </w:r>
          </w:p>
          <w:p w14:paraId="3CC72E1B">
            <w:pPr>
              <w:pageBreakBefore w:val="0"/>
              <w:kinsoku/>
              <w:wordWrap/>
              <w:topLinePunct w:val="0"/>
              <w:autoSpaceDE w:val="0"/>
              <w:autoSpaceDN w:val="0"/>
              <w:bidi w:val="0"/>
              <w:spacing w:line="360" w:lineRule="auto"/>
              <w:ind w:firstLine="480" w:firstLineChars="200"/>
              <w:rPr>
                <w:sz w:val="24"/>
              </w:rPr>
            </w:pPr>
            <w:r>
              <w:rPr>
                <w:sz w:val="24"/>
              </w:rPr>
              <w:t>（2）排水</w:t>
            </w:r>
          </w:p>
          <w:p w14:paraId="7DBA5264">
            <w:pPr>
              <w:pageBreakBefore w:val="0"/>
              <w:kinsoku/>
              <w:wordWrap/>
              <w:topLinePunct w:val="0"/>
              <w:autoSpaceDE w:val="0"/>
              <w:autoSpaceDN w:val="0"/>
              <w:bidi w:val="0"/>
              <w:spacing w:line="360" w:lineRule="auto"/>
              <w:ind w:firstLine="480" w:firstLineChars="200"/>
              <w:rPr>
                <w:sz w:val="24"/>
              </w:rPr>
            </w:pPr>
            <w:r>
              <w:rPr>
                <w:rFonts w:hint="eastAsia"/>
                <w:sz w:val="24"/>
              </w:rPr>
              <w:t>本项目配套建设排水管网，生活污水和生产废水经管线自流至圣雄电石有限公司生活污水处理站。</w:t>
            </w:r>
          </w:p>
          <w:p w14:paraId="15C0707A">
            <w:pPr>
              <w:pageBreakBefore w:val="0"/>
              <w:kinsoku/>
              <w:wordWrap/>
              <w:topLinePunct w:val="0"/>
              <w:autoSpaceDE w:val="0"/>
              <w:autoSpaceDN w:val="0"/>
              <w:bidi w:val="0"/>
              <w:spacing w:line="360" w:lineRule="auto"/>
              <w:ind w:firstLine="480" w:firstLineChars="200"/>
              <w:rPr>
                <w:sz w:val="24"/>
              </w:rPr>
            </w:pPr>
            <w:r>
              <w:rPr>
                <w:rFonts w:hint="eastAsia"/>
                <w:sz w:val="24"/>
                <w:lang w:val="en-US" w:eastAsia="zh-CN"/>
              </w:rPr>
              <w:t>①</w:t>
            </w:r>
            <w:r>
              <w:rPr>
                <w:rFonts w:hint="eastAsia"/>
                <w:sz w:val="24"/>
              </w:rPr>
              <w:t xml:space="preserve"> 循环水排水</w:t>
            </w:r>
          </w:p>
          <w:p w14:paraId="7B6A1A94">
            <w:pPr>
              <w:pageBreakBefore w:val="0"/>
              <w:kinsoku/>
              <w:wordWrap/>
              <w:topLinePunct w:val="0"/>
              <w:autoSpaceDE w:val="0"/>
              <w:autoSpaceDN w:val="0"/>
              <w:bidi w:val="0"/>
              <w:spacing w:line="360" w:lineRule="auto"/>
              <w:ind w:firstLine="480" w:firstLineChars="200"/>
              <w:rPr>
                <w:sz w:val="24"/>
              </w:rPr>
            </w:pPr>
            <w:r>
              <w:rPr>
                <w:sz w:val="24"/>
              </w:rPr>
              <w:t>为保证循环水水质，冷却水塔需外排少量循环水。外排循环水水量约</w:t>
            </w:r>
            <w:r>
              <w:rPr>
                <w:rFonts w:hint="eastAsia"/>
                <w:sz w:val="24"/>
              </w:rPr>
              <w:t>4</w:t>
            </w:r>
            <w:r>
              <w:rPr>
                <w:sz w:val="24"/>
              </w:rPr>
              <w:t>m</w:t>
            </w:r>
            <w:r>
              <w:rPr>
                <w:sz w:val="24"/>
                <w:vertAlign w:val="superscript"/>
              </w:rPr>
              <w:t>3</w:t>
            </w:r>
            <w:r>
              <w:rPr>
                <w:sz w:val="24"/>
              </w:rPr>
              <w:t>/h（</w:t>
            </w:r>
            <w:r>
              <w:rPr>
                <w:rFonts w:hint="eastAsia"/>
                <w:sz w:val="24"/>
              </w:rPr>
              <w:t>32000</w:t>
            </w:r>
            <w:r>
              <w:rPr>
                <w:sz w:val="24"/>
              </w:rPr>
              <w:t>m</w:t>
            </w:r>
            <w:r>
              <w:rPr>
                <w:sz w:val="24"/>
                <w:vertAlign w:val="superscript"/>
              </w:rPr>
              <w:t>3</w:t>
            </w:r>
            <w:r>
              <w:rPr>
                <w:sz w:val="24"/>
              </w:rPr>
              <w:t>/a），外排循环水中除Ca</w:t>
            </w:r>
            <w:r>
              <w:rPr>
                <w:sz w:val="24"/>
                <w:vertAlign w:val="superscript"/>
              </w:rPr>
              <w:t>2+</w:t>
            </w:r>
            <w:r>
              <w:rPr>
                <w:sz w:val="24"/>
              </w:rPr>
              <w:t>、Mg</w:t>
            </w:r>
            <w:r>
              <w:rPr>
                <w:sz w:val="24"/>
                <w:vertAlign w:val="superscript"/>
              </w:rPr>
              <w:t>2+</w:t>
            </w:r>
            <w:r>
              <w:rPr>
                <w:sz w:val="24"/>
              </w:rPr>
              <w:t>、Fe</w:t>
            </w:r>
            <w:r>
              <w:rPr>
                <w:sz w:val="24"/>
                <w:vertAlign w:val="superscript"/>
              </w:rPr>
              <w:t>3+</w:t>
            </w:r>
            <w:r>
              <w:rPr>
                <w:sz w:val="24"/>
              </w:rPr>
              <w:t>等离子含量略高外无其他有毒、有害污染物，属清净下水。</w:t>
            </w:r>
          </w:p>
          <w:p w14:paraId="65C7BD2C">
            <w:pPr>
              <w:pageBreakBefore w:val="0"/>
              <w:kinsoku/>
              <w:wordWrap/>
              <w:topLinePunct w:val="0"/>
              <w:autoSpaceDE w:val="0"/>
              <w:autoSpaceDN w:val="0"/>
              <w:bidi w:val="0"/>
              <w:spacing w:line="360" w:lineRule="auto"/>
              <w:ind w:firstLine="480" w:firstLineChars="200"/>
              <w:rPr>
                <w:sz w:val="24"/>
              </w:rPr>
            </w:pPr>
            <w:r>
              <w:rPr>
                <w:rFonts w:hint="eastAsia"/>
                <w:sz w:val="24"/>
                <w:lang w:val="en-US" w:eastAsia="zh-CN"/>
              </w:rPr>
              <w:t>②</w:t>
            </w:r>
            <w:r>
              <w:rPr>
                <w:rFonts w:hint="eastAsia"/>
                <w:sz w:val="24"/>
              </w:rPr>
              <w:t xml:space="preserve"> 生活污水</w:t>
            </w:r>
          </w:p>
          <w:p w14:paraId="3D518921">
            <w:pPr>
              <w:pageBreakBefore w:val="0"/>
              <w:kinsoku/>
              <w:wordWrap/>
              <w:topLinePunct w:val="0"/>
              <w:autoSpaceDE w:val="0"/>
              <w:autoSpaceDN w:val="0"/>
              <w:bidi w:val="0"/>
              <w:spacing w:line="360" w:lineRule="auto"/>
              <w:ind w:firstLine="480" w:firstLineChars="200"/>
              <w:rPr>
                <w:sz w:val="24"/>
              </w:rPr>
            </w:pPr>
            <w:r>
              <w:rPr>
                <w:sz w:val="24"/>
              </w:rPr>
              <w:t>生活污水产生量按照生活用水量的80%计，则项目生活污水产生量为</w:t>
            </w:r>
            <w:r>
              <w:rPr>
                <w:rFonts w:hint="eastAsia"/>
                <w:sz w:val="24"/>
              </w:rPr>
              <w:t>2.16</w:t>
            </w:r>
            <w:r>
              <w:rPr>
                <w:sz w:val="24"/>
              </w:rPr>
              <w:t>m</w:t>
            </w:r>
            <w:r>
              <w:rPr>
                <w:sz w:val="24"/>
                <w:vertAlign w:val="superscript"/>
              </w:rPr>
              <w:t>3</w:t>
            </w:r>
            <w:r>
              <w:rPr>
                <w:sz w:val="24"/>
              </w:rPr>
              <w:t>/d(</w:t>
            </w:r>
            <w:r>
              <w:rPr>
                <w:rFonts w:hint="eastAsia"/>
                <w:sz w:val="24"/>
              </w:rPr>
              <w:t>719.28</w:t>
            </w:r>
            <w:r>
              <w:rPr>
                <w:sz w:val="24"/>
              </w:rPr>
              <w:t>m</w:t>
            </w:r>
            <w:r>
              <w:rPr>
                <w:sz w:val="24"/>
                <w:vertAlign w:val="superscript"/>
              </w:rPr>
              <w:t>3</w:t>
            </w:r>
            <w:r>
              <w:rPr>
                <w:sz w:val="24"/>
              </w:rPr>
              <w:t>/a)。</w:t>
            </w:r>
          </w:p>
          <w:p w14:paraId="3B417D13">
            <w:pPr>
              <w:pageBreakBefore w:val="0"/>
              <w:kinsoku/>
              <w:wordWrap/>
              <w:topLinePunct w:val="0"/>
              <w:bidi w:val="0"/>
              <w:spacing w:line="360" w:lineRule="auto"/>
              <w:ind w:firstLine="480" w:firstLineChars="200"/>
              <w:rPr>
                <w:sz w:val="24"/>
              </w:rPr>
            </w:pPr>
            <w:r>
              <w:rPr>
                <w:sz w:val="24"/>
              </w:rPr>
              <w:t>本项目水平衡见</w:t>
            </w:r>
            <w:r>
              <w:rPr>
                <w:rFonts w:hint="eastAsia"/>
                <w:sz w:val="24"/>
              </w:rPr>
              <w:t>下</w:t>
            </w:r>
            <w:r>
              <w:rPr>
                <w:sz w:val="24"/>
              </w:rPr>
              <w:t>图。</w:t>
            </w:r>
          </w:p>
          <w:p w14:paraId="3E2CE84B">
            <w:pPr>
              <w:pageBreakBefore w:val="0"/>
              <w:kinsoku/>
              <w:wordWrap/>
              <w:topLinePunct w:val="0"/>
              <w:bidi w:val="0"/>
              <w:spacing w:line="360" w:lineRule="auto"/>
              <w:ind w:firstLine="480" w:firstLineChars="200"/>
              <w:rPr>
                <w:sz w:val="24"/>
              </w:rPr>
            </w:pPr>
          </w:p>
          <w:p w14:paraId="0AA415F9">
            <w:pPr>
              <w:pageBreakBefore w:val="0"/>
              <w:kinsoku/>
              <w:wordWrap/>
              <w:topLinePunct w:val="0"/>
              <w:autoSpaceDE w:val="0"/>
              <w:autoSpaceDN w:val="0"/>
              <w:bidi w:val="0"/>
              <w:spacing w:line="360" w:lineRule="auto"/>
              <w:jc w:val="center"/>
              <w:rPr>
                <w:sz w:val="24"/>
              </w:rPr>
            </w:pPr>
            <w:r>
              <w:rPr>
                <w:sz w:val="24"/>
              </w:rPr>
              <w:object>
                <v:shape id="_x0000_i1025" o:spt="75" type="#_x0000_t75" style="height:111pt;width:273pt;" o:ole="t" filled="f" o:preferrelative="t" stroked="f" coordsize="21600,21600">
                  <v:path/>
                  <v:fill on="f" focussize="0,0"/>
                  <v:stroke on="f"/>
                  <v:imagedata r:id="rId14" o:title=""/>
                  <o:lock v:ext="edit" aspectratio="f"/>
                  <w10:wrap type="none"/>
                  <w10:anchorlock/>
                </v:shape>
                <o:OLEObject Type="Embed" ProgID="Visio.Drawing.11" ShapeID="_x0000_i1025" DrawAspect="Content" ObjectID="_1468075725" r:id="rId13">
                  <o:LockedField>false</o:LockedField>
                </o:OLEObject>
              </w:object>
            </w:r>
          </w:p>
          <w:p w14:paraId="23C4D59D">
            <w:pPr>
              <w:pStyle w:val="25"/>
              <w:pageBreakBefore w:val="0"/>
              <w:kinsoku/>
              <w:wordWrap/>
              <w:topLinePunct w:val="0"/>
              <w:bidi w:val="0"/>
              <w:rPr>
                <w:rFonts w:hint="default" w:ascii="Times New Roman" w:hAnsi="Times New Roman" w:cs="Times New Roman"/>
              </w:rPr>
            </w:pPr>
            <w:r>
              <w:rPr>
                <w:rFonts w:hint="default" w:ascii="Times New Roman" w:hAnsi="Times New Roman" w:cs="Times New Roman"/>
              </w:rPr>
              <w:t>图2-1  项目水平衡图  单位：m</w:t>
            </w:r>
            <w:r>
              <w:rPr>
                <w:rFonts w:hint="default" w:ascii="Times New Roman" w:hAnsi="Times New Roman" w:cs="Times New Roman"/>
                <w:vertAlign w:val="superscript"/>
              </w:rPr>
              <w:t>3</w:t>
            </w:r>
            <w:r>
              <w:rPr>
                <w:rFonts w:hint="default" w:ascii="Times New Roman" w:hAnsi="Times New Roman" w:cs="Times New Roman"/>
              </w:rPr>
              <w:t>/a</w:t>
            </w:r>
          </w:p>
          <w:p w14:paraId="4667A0D7">
            <w:pPr>
              <w:pageBreakBefore w:val="0"/>
              <w:kinsoku/>
              <w:wordWrap/>
              <w:topLinePunct w:val="0"/>
              <w:autoSpaceDE w:val="0"/>
              <w:autoSpaceDN w:val="0"/>
              <w:bidi w:val="0"/>
              <w:spacing w:line="360" w:lineRule="auto"/>
              <w:ind w:firstLine="480" w:firstLineChars="200"/>
              <w:rPr>
                <w:bCs/>
                <w:sz w:val="24"/>
              </w:rPr>
            </w:pPr>
            <w:r>
              <w:rPr>
                <w:sz w:val="24"/>
              </w:rPr>
              <w:t>（</w:t>
            </w:r>
            <w:r>
              <w:rPr>
                <w:bCs/>
                <w:sz w:val="24"/>
              </w:rPr>
              <w:t>3）供电</w:t>
            </w:r>
          </w:p>
          <w:p w14:paraId="508E06CB">
            <w:pPr>
              <w:pageBreakBefore w:val="0"/>
              <w:kinsoku/>
              <w:wordWrap/>
              <w:topLinePunct w:val="0"/>
              <w:autoSpaceDE w:val="0"/>
              <w:autoSpaceDN w:val="0"/>
              <w:bidi w:val="0"/>
              <w:spacing w:line="360" w:lineRule="auto"/>
              <w:ind w:firstLine="480" w:firstLineChars="200"/>
              <w:rPr>
                <w:bCs/>
                <w:sz w:val="24"/>
              </w:rPr>
            </w:pPr>
            <w:r>
              <w:rPr>
                <w:sz w:val="24"/>
              </w:rPr>
              <w:t>本项目</w:t>
            </w:r>
            <w:r>
              <w:rPr>
                <w:rFonts w:hint="eastAsia"/>
                <w:bCs/>
                <w:sz w:val="24"/>
              </w:rPr>
              <w:t>运营期用电依托现有工程供电线路，配套建设配电室</w:t>
            </w:r>
            <w:r>
              <w:rPr>
                <w:bCs/>
                <w:sz w:val="24"/>
              </w:rPr>
              <w:t>。</w:t>
            </w:r>
          </w:p>
          <w:p w14:paraId="6B6EB21E">
            <w:pPr>
              <w:pageBreakBefore w:val="0"/>
              <w:kinsoku/>
              <w:wordWrap/>
              <w:topLinePunct w:val="0"/>
              <w:autoSpaceDE w:val="0"/>
              <w:autoSpaceDN w:val="0"/>
              <w:bidi w:val="0"/>
              <w:spacing w:line="360" w:lineRule="auto"/>
              <w:ind w:firstLine="480" w:firstLineChars="200"/>
              <w:rPr>
                <w:bCs/>
                <w:sz w:val="24"/>
              </w:rPr>
            </w:pPr>
            <w:r>
              <w:rPr>
                <w:sz w:val="24"/>
              </w:rPr>
              <w:t>（</w:t>
            </w:r>
            <w:r>
              <w:rPr>
                <w:bCs/>
                <w:sz w:val="24"/>
              </w:rPr>
              <w:t>4）供热</w:t>
            </w:r>
          </w:p>
          <w:p w14:paraId="4CBD2CF8">
            <w:pPr>
              <w:pageBreakBefore w:val="0"/>
              <w:kinsoku/>
              <w:wordWrap/>
              <w:topLinePunct w:val="0"/>
              <w:bidi w:val="0"/>
              <w:spacing w:line="360" w:lineRule="auto"/>
              <w:ind w:firstLine="480" w:firstLineChars="200"/>
              <w:rPr>
                <w:sz w:val="24"/>
              </w:rPr>
            </w:pPr>
            <w:r>
              <w:rPr>
                <w:rFonts w:hint="eastAsia"/>
                <w:sz w:val="24"/>
              </w:rPr>
              <w:t>目前正在建设的“新疆冠达能源有限公司圣雄尾气综合利用绿色环保减排型示范项目”提供蒸汽温度164℃，压力0.6MPa(G)，连续供应富余量为15t/h，本项目生产用蒸汽需要连续消耗2t/h，伴热用蒸汽需要间断消耗0.5t/h，现有工程蒸汽温度和压力满足本项目需求</w:t>
            </w:r>
            <w:r>
              <w:rPr>
                <w:sz w:val="24"/>
              </w:rPr>
              <w:t>。</w:t>
            </w:r>
          </w:p>
          <w:p w14:paraId="17F6BA7F">
            <w:pPr>
              <w:pageBreakBefore w:val="0"/>
              <w:kinsoku/>
              <w:wordWrap/>
              <w:topLinePunct w:val="0"/>
              <w:autoSpaceDE w:val="0"/>
              <w:autoSpaceDN w:val="0"/>
              <w:bidi w:val="0"/>
              <w:spacing w:line="360" w:lineRule="auto"/>
              <w:ind w:firstLine="482" w:firstLineChars="200"/>
              <w:rPr>
                <w:sz w:val="24"/>
              </w:rPr>
            </w:pPr>
            <w:r>
              <w:rPr>
                <w:b/>
                <w:bCs/>
                <w:sz w:val="24"/>
              </w:rPr>
              <w:t>6 厂区平面布置</w:t>
            </w:r>
          </w:p>
          <w:p w14:paraId="4BF3199D">
            <w:pPr>
              <w:pageBreakBefore w:val="0"/>
              <w:kinsoku/>
              <w:wordWrap/>
              <w:topLinePunct w:val="0"/>
              <w:autoSpaceDE w:val="0"/>
              <w:autoSpaceDN w:val="0"/>
              <w:bidi w:val="0"/>
              <w:spacing w:line="360" w:lineRule="auto"/>
              <w:ind w:firstLine="480" w:firstLineChars="200"/>
              <w:rPr>
                <w:sz w:val="24"/>
              </w:rPr>
            </w:pPr>
            <w:r>
              <w:rPr>
                <w:sz w:val="24"/>
              </w:rPr>
              <w:t>本项目</w:t>
            </w:r>
            <w:r>
              <w:rPr>
                <w:rFonts w:hint="eastAsia"/>
                <w:sz w:val="24"/>
              </w:rPr>
              <w:t>位于</w:t>
            </w:r>
            <w:r>
              <w:rPr>
                <w:rFonts w:hint="eastAsia"/>
                <w:sz w:val="24"/>
                <w:lang w:val="en-US" w:eastAsia="zh-CN"/>
              </w:rPr>
              <w:t xml:space="preserve">       </w:t>
            </w:r>
            <w:r>
              <w:rPr>
                <w:rFonts w:hint="eastAsia"/>
                <w:sz w:val="24"/>
              </w:rPr>
              <w:t>，因空地形状较为特殊，自北向南分为三个部分</w:t>
            </w:r>
            <w:r>
              <w:rPr>
                <w:sz w:val="24"/>
              </w:rPr>
              <w:t>。</w:t>
            </w:r>
          </w:p>
          <w:p w14:paraId="2823B363">
            <w:pPr>
              <w:pageBreakBefore w:val="0"/>
              <w:kinsoku/>
              <w:wordWrap/>
              <w:topLinePunct w:val="0"/>
              <w:autoSpaceDE w:val="0"/>
              <w:autoSpaceDN w:val="0"/>
              <w:bidi w:val="0"/>
              <w:spacing w:line="360" w:lineRule="auto"/>
              <w:ind w:firstLine="480" w:firstLineChars="200"/>
              <w:rPr>
                <w:sz w:val="24"/>
              </w:rPr>
            </w:pPr>
            <w:r>
              <w:rPr>
                <w:rFonts w:hint="eastAsia"/>
                <w:sz w:val="24"/>
              </w:rPr>
              <w:t>厂区北侧设置消防水池、消防泵房和冷却塔，东北侧留作预留用地。厂区中部设置配电室和机柜间。厂区南侧为主要生产设备区，预净化、预处理、VPSA、脱氧干燥工序的主要设施集中在西侧，根据生产工艺呈东西向布设；东侧为动力设备厂房，主要设置辅助生产的螺杆式压缩机和往复式压缩机。</w:t>
            </w:r>
          </w:p>
          <w:p w14:paraId="72C2FE15">
            <w:pPr>
              <w:pageBreakBefore w:val="0"/>
              <w:kinsoku/>
              <w:wordWrap/>
              <w:topLinePunct w:val="0"/>
              <w:autoSpaceDE w:val="0"/>
              <w:autoSpaceDN w:val="0"/>
              <w:bidi w:val="0"/>
              <w:spacing w:line="360" w:lineRule="auto"/>
              <w:ind w:firstLine="480" w:firstLineChars="200"/>
              <w:rPr>
                <w:rFonts w:hint="eastAsia"/>
                <w:sz w:val="24"/>
              </w:rPr>
            </w:pPr>
            <w:r>
              <w:rPr>
                <w:rFonts w:hint="eastAsia"/>
                <w:sz w:val="24"/>
              </w:rPr>
              <w:t>本项目产生的解吸气向北接入</w:t>
            </w:r>
            <w:r>
              <w:rPr>
                <w:rFonts w:hint="eastAsia"/>
                <w:sz w:val="24"/>
                <w:lang w:eastAsia="zh-CN"/>
              </w:rPr>
              <w:t>“</w:t>
            </w:r>
            <w:r>
              <w:rPr>
                <w:rFonts w:hint="eastAsia"/>
                <w:sz w:val="24"/>
              </w:rPr>
              <w:t>新疆冠达能源有限公司圣雄尾气综合利用绿色环保减排型示范项目</w:t>
            </w:r>
            <w:r>
              <w:rPr>
                <w:rFonts w:hint="eastAsia"/>
                <w:sz w:val="24"/>
                <w:lang w:eastAsia="zh-CN"/>
              </w:rPr>
              <w:t>”</w:t>
            </w:r>
            <w:r>
              <w:rPr>
                <w:rFonts w:hint="eastAsia"/>
                <w:sz w:val="24"/>
              </w:rPr>
              <w:t>，氢气向东通向制甲醇工艺。</w:t>
            </w:r>
          </w:p>
          <w:p w14:paraId="28B907B6">
            <w:pPr>
              <w:pageBreakBefore w:val="0"/>
              <w:kinsoku/>
              <w:wordWrap/>
              <w:topLinePunct w:val="0"/>
              <w:autoSpaceDE w:val="0"/>
              <w:autoSpaceDN w:val="0"/>
              <w:bidi w:val="0"/>
              <w:spacing w:line="360" w:lineRule="auto"/>
              <w:ind w:firstLine="480" w:firstLineChars="200"/>
              <w:rPr>
                <w:sz w:val="24"/>
              </w:rPr>
            </w:pPr>
            <w:r>
              <w:rPr>
                <w:rFonts w:hint="eastAsia"/>
                <w:sz w:val="24"/>
              </w:rPr>
              <w:t>本项目主要产噪设备为压缩机和机泵，焦油泵和冷却塔水泵均为液下泵，真空泵和压缩机均设置在密闭厂房内，可有效地减少噪声对外环境的影响。结合现场踏勘资料可知，本项目周边无环境敏感目标。</w:t>
            </w:r>
          </w:p>
          <w:p w14:paraId="14E189FB">
            <w:pPr>
              <w:pageBreakBefore w:val="0"/>
              <w:kinsoku/>
              <w:wordWrap/>
              <w:topLinePunct w:val="0"/>
              <w:autoSpaceDE w:val="0"/>
              <w:autoSpaceDN w:val="0"/>
              <w:bidi w:val="0"/>
              <w:spacing w:line="360" w:lineRule="auto"/>
              <w:ind w:firstLine="480" w:firstLineChars="200"/>
              <w:rPr>
                <w:sz w:val="24"/>
              </w:rPr>
            </w:pPr>
            <w:r>
              <w:rPr>
                <w:sz w:val="24"/>
              </w:rPr>
              <w:t>综上所述，本项目布局设置合理。厂区平面布置图见附图</w:t>
            </w:r>
            <w:r>
              <w:rPr>
                <w:rFonts w:hint="eastAsia"/>
                <w:sz w:val="24"/>
                <w:lang w:val="en-US" w:eastAsia="zh-CN"/>
              </w:rPr>
              <w:t>5</w:t>
            </w:r>
            <w:r>
              <w:rPr>
                <w:sz w:val="24"/>
              </w:rPr>
              <w:t>。</w:t>
            </w:r>
          </w:p>
        </w:tc>
      </w:tr>
      <w:tr w14:paraId="2C5D9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jc w:val="center"/>
        </w:trPr>
        <w:tc>
          <w:tcPr>
            <w:tcW w:w="697" w:type="dxa"/>
            <w:noWrap w:val="0"/>
            <w:vAlign w:val="center"/>
          </w:tcPr>
          <w:p w14:paraId="06E6A238">
            <w:pPr>
              <w:pageBreakBefore w:val="0"/>
              <w:kinsoku/>
              <w:wordWrap/>
              <w:topLinePunct w:val="0"/>
              <w:autoSpaceDE w:val="0"/>
              <w:autoSpaceDN w:val="0"/>
              <w:bidi w:val="0"/>
              <w:jc w:val="center"/>
              <w:rPr>
                <w:szCs w:val="21"/>
              </w:rPr>
            </w:pPr>
            <w:r>
              <w:rPr>
                <w:szCs w:val="21"/>
              </w:rPr>
              <w:t>工艺流程和产排污环节</w:t>
            </w:r>
          </w:p>
        </w:tc>
        <w:tc>
          <w:tcPr>
            <w:tcW w:w="8714" w:type="dxa"/>
            <w:noWrap w:val="0"/>
            <w:vAlign w:val="top"/>
          </w:tcPr>
          <w:p w14:paraId="14C817B0">
            <w:pPr>
              <w:pageBreakBefore w:val="0"/>
              <w:kinsoku/>
              <w:wordWrap/>
              <w:topLinePunct w:val="0"/>
              <w:autoSpaceDE w:val="0"/>
              <w:autoSpaceDN w:val="0"/>
              <w:bidi w:val="0"/>
              <w:spacing w:line="360" w:lineRule="auto"/>
              <w:ind w:firstLine="482" w:firstLineChars="200"/>
              <w:rPr>
                <w:b/>
                <w:sz w:val="24"/>
              </w:rPr>
            </w:pPr>
            <w:r>
              <w:rPr>
                <w:b/>
                <w:sz w:val="24"/>
              </w:rPr>
              <w:t>1 施工期工艺流程</w:t>
            </w:r>
          </w:p>
          <w:p w14:paraId="6EB056B6">
            <w:pPr>
              <w:pageBreakBefore w:val="0"/>
              <w:kinsoku/>
              <w:wordWrap/>
              <w:topLinePunct w:val="0"/>
              <w:autoSpaceDE w:val="0"/>
              <w:autoSpaceDN w:val="0"/>
              <w:bidi w:val="0"/>
              <w:spacing w:line="360" w:lineRule="auto"/>
              <w:ind w:firstLine="480" w:firstLineChars="200"/>
              <w:rPr>
                <w:sz w:val="24"/>
              </w:rPr>
            </w:pPr>
            <w:r>
              <w:rPr>
                <w:sz w:val="24"/>
              </w:rPr>
              <w:t>本项目施工期工作主要为场地平整，建构筑物建设、生产设备安装，后期设备调试验收等。具体工艺流程及产污环节见图2-</w:t>
            </w:r>
            <w:r>
              <w:rPr>
                <w:rFonts w:hint="eastAsia"/>
                <w:sz w:val="24"/>
              </w:rPr>
              <w:t>2</w:t>
            </w:r>
            <w:r>
              <w:rPr>
                <w:sz w:val="24"/>
              </w:rPr>
              <w:t>。</w:t>
            </w:r>
          </w:p>
          <w:p w14:paraId="1B315495">
            <w:pPr>
              <w:pageBreakBefore w:val="0"/>
              <w:kinsoku/>
              <w:wordWrap/>
              <w:topLinePunct w:val="0"/>
              <w:autoSpaceDE w:val="0"/>
              <w:autoSpaceDN w:val="0"/>
              <w:bidi w:val="0"/>
              <w:spacing w:line="360" w:lineRule="auto"/>
              <w:jc w:val="center"/>
            </w:pPr>
            <w:r>
              <w:drawing>
                <wp:inline distT="0" distB="0" distL="114300" distR="114300">
                  <wp:extent cx="2174875" cy="2566035"/>
                  <wp:effectExtent l="0" t="0" r="15875" b="5715"/>
                  <wp:docPr id="2" name="图片 7" descr="F:/123/picturecompress_20220321162616/output_12.pngoutput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F:/123/picturecompress_20220321162616/output_12.pngoutput_12"/>
                          <pic:cNvPicPr>
                            <a:picLocks noChangeAspect="1"/>
                          </pic:cNvPicPr>
                        </pic:nvPicPr>
                        <pic:blipFill>
                          <a:blip r:embed="rId15"/>
                          <a:stretch>
                            <a:fillRect/>
                          </a:stretch>
                        </pic:blipFill>
                        <pic:spPr>
                          <a:xfrm>
                            <a:off x="0" y="0"/>
                            <a:ext cx="2174875" cy="2566035"/>
                          </a:xfrm>
                          <a:prstGeom prst="rect">
                            <a:avLst/>
                          </a:prstGeom>
                          <a:noFill/>
                          <a:ln>
                            <a:noFill/>
                          </a:ln>
                        </pic:spPr>
                      </pic:pic>
                    </a:graphicData>
                  </a:graphic>
                </wp:inline>
              </w:drawing>
            </w:r>
          </w:p>
          <w:p w14:paraId="4C835764">
            <w:pPr>
              <w:pageBreakBefore w:val="0"/>
              <w:kinsoku/>
              <w:wordWrap/>
              <w:topLinePunct w:val="0"/>
              <w:autoSpaceDE w:val="0"/>
              <w:autoSpaceDN w:val="0"/>
              <w:bidi w:val="0"/>
              <w:spacing w:line="360" w:lineRule="auto"/>
              <w:jc w:val="center"/>
              <w:rPr>
                <w:b/>
                <w:sz w:val="24"/>
              </w:rPr>
            </w:pPr>
            <w:bookmarkStart w:id="4" w:name="_Toc509_WPSOffice_Level2"/>
            <w:bookmarkStart w:id="5" w:name="_Toc10251_WPSOffice_Level2"/>
            <w:r>
              <w:rPr>
                <w:rFonts w:eastAsia="黑体"/>
                <w:szCs w:val="21"/>
              </w:rPr>
              <w:t>图2-</w:t>
            </w:r>
            <w:r>
              <w:rPr>
                <w:rFonts w:hint="eastAsia" w:eastAsia="黑体"/>
                <w:szCs w:val="21"/>
              </w:rPr>
              <w:t>2</w:t>
            </w:r>
            <w:r>
              <w:rPr>
                <w:rFonts w:eastAsia="黑体"/>
                <w:szCs w:val="21"/>
              </w:rPr>
              <w:t xml:space="preserve">  施工期生产工艺流程及产污环节分布示意图</w:t>
            </w:r>
            <w:bookmarkEnd w:id="4"/>
            <w:bookmarkEnd w:id="5"/>
          </w:p>
          <w:p w14:paraId="5AC42658">
            <w:pPr>
              <w:pageBreakBefore w:val="0"/>
              <w:kinsoku/>
              <w:wordWrap/>
              <w:topLinePunct w:val="0"/>
              <w:autoSpaceDE w:val="0"/>
              <w:autoSpaceDN w:val="0"/>
              <w:bidi w:val="0"/>
              <w:spacing w:line="360" w:lineRule="auto"/>
              <w:ind w:firstLine="482" w:firstLineChars="200"/>
              <w:rPr>
                <w:b/>
                <w:sz w:val="24"/>
              </w:rPr>
            </w:pPr>
            <w:r>
              <w:rPr>
                <w:b/>
                <w:sz w:val="24"/>
              </w:rPr>
              <w:t>2 运营期工艺流程</w:t>
            </w:r>
          </w:p>
          <w:p w14:paraId="3B50A287">
            <w:pPr>
              <w:pageBreakBefore w:val="0"/>
              <w:kinsoku/>
              <w:wordWrap/>
              <w:topLinePunct w:val="0"/>
              <w:autoSpaceDE w:val="0"/>
              <w:autoSpaceDN w:val="0"/>
              <w:bidi w:val="0"/>
              <w:spacing w:line="360" w:lineRule="auto"/>
              <w:ind w:firstLine="480" w:firstLineChars="200"/>
              <w:rPr>
                <w:rFonts w:hint="default" w:eastAsia="宋体"/>
                <w:bCs/>
                <w:sz w:val="24"/>
                <w:lang w:val="en-US" w:eastAsia="zh-CN"/>
              </w:rPr>
            </w:pPr>
            <w:r>
              <w:rPr>
                <w:rFonts w:hint="eastAsia"/>
                <w:bCs/>
                <w:sz w:val="24"/>
                <w:lang w:val="en-US" w:eastAsia="zh-CN"/>
              </w:rPr>
              <w:t>（1）预处理工序</w:t>
            </w:r>
          </w:p>
          <w:p w14:paraId="6E19AD9F">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由</w:t>
            </w:r>
            <w:r>
              <w:rPr>
                <w:rFonts w:hint="default" w:ascii="Times New Roman" w:hAnsi="Times New Roman" w:cs="Times New Roman"/>
                <w:bCs/>
                <w:sz w:val="24"/>
              </w:rPr>
              <w:t>“新疆圣雄电石有限公司煤电盐化循环经济一期工程年产60万吨电石、60万吨石灰、75万吨兰炭项目”</w:t>
            </w:r>
            <w:r>
              <w:rPr>
                <w:rFonts w:hint="default" w:ascii="Times New Roman" w:hAnsi="Times New Roman" w:cs="Times New Roman"/>
                <w:bCs/>
                <w:sz w:val="24"/>
                <w:lang w:val="en-US" w:eastAsia="zh-CN"/>
              </w:rPr>
              <w:t>产生</w:t>
            </w:r>
            <w:r>
              <w:rPr>
                <w:rFonts w:hint="eastAsia"/>
                <w:bCs/>
                <w:sz w:val="24"/>
              </w:rPr>
              <w:t>的荒煤气经进入荒煤气分离器，分离出原料气中的液态水，</w:t>
            </w:r>
            <w:r>
              <w:rPr>
                <w:rFonts w:hint="eastAsia"/>
                <w:bCs/>
                <w:sz w:val="24"/>
                <w:lang w:val="en-US" w:eastAsia="zh-CN"/>
              </w:rPr>
              <w:t>含油废水经管线输送至</w:t>
            </w:r>
            <w:r>
              <w:rPr>
                <w:rFonts w:hint="default" w:ascii="Times New Roman" w:hAnsi="Times New Roman" w:cs="Times New Roman"/>
                <w:bCs/>
                <w:sz w:val="24"/>
              </w:rPr>
              <w:t>新疆圣雄电石有限公司</w:t>
            </w:r>
            <w:r>
              <w:rPr>
                <w:rFonts w:hint="eastAsia"/>
                <w:bCs/>
                <w:sz w:val="24"/>
                <w:lang w:val="en-US" w:eastAsia="zh-CN"/>
              </w:rPr>
              <w:t>现有工程已建成</w:t>
            </w:r>
            <w:r>
              <w:rPr>
                <w:rFonts w:hint="default" w:ascii="Times New Roman" w:hAnsi="Times New Roman" w:cs="Times New Roman"/>
                <w:bCs/>
                <w:sz w:val="24"/>
              </w:rPr>
              <w:t>污水处理设施进行处理</w:t>
            </w:r>
            <w:r>
              <w:rPr>
                <w:rFonts w:hint="default" w:ascii="Times New Roman" w:hAnsi="Times New Roman" w:cs="Times New Roman"/>
                <w:bCs/>
                <w:sz w:val="24"/>
                <w:lang w:eastAsia="zh-CN"/>
              </w:rPr>
              <w:t>。</w:t>
            </w:r>
            <w:r>
              <w:rPr>
                <w:rFonts w:hint="eastAsia"/>
                <w:bCs/>
                <w:sz w:val="24"/>
              </w:rPr>
              <w:t>从塔底进入预净化吸附塔，2塔同时进料，1塔再生。吸附塔内全部装填焦炭类吸附剂，吸附剂颗粒大，内部空隙发达，气体透过性好，压降阻力小，对焦油、萘吸附性能好。同时具备价格便宜，更换方便等优点。长时间吸附过程中，塔内</w:t>
            </w:r>
            <w:r>
              <w:rPr>
                <w:rFonts w:hint="eastAsia"/>
                <w:bCs/>
                <w:sz w:val="24"/>
                <w:lang w:eastAsia="zh-CN"/>
              </w:rPr>
              <w:t>降温</w:t>
            </w:r>
            <w:r>
              <w:rPr>
                <w:rFonts w:hint="eastAsia"/>
                <w:bCs/>
                <w:sz w:val="24"/>
              </w:rPr>
              <w:t>导致焦油和液态水容易形成混合液态，造成吸附剂孔隙堵塞。采用焦炭类吸附剂减少了堵塞的影响，延长吸附剂使用寿命。经过预处理后荒煤气，焦油、萘、粉尘等杂质大量减少，保证螺杆压缩机长时间的稳定运行。</w:t>
            </w:r>
          </w:p>
          <w:p w14:paraId="28F782F5">
            <w:pPr>
              <w:keepNext w:val="0"/>
              <w:keepLines w:val="0"/>
              <w:pageBreakBefore w:val="0"/>
              <w:widowControl/>
              <w:suppressLineNumbers w:val="0"/>
              <w:kinsoku/>
              <w:wordWrap/>
              <w:topLinePunct w:val="0"/>
              <w:autoSpaceDE w:val="0"/>
              <w:autoSpaceDN w:val="0"/>
              <w:bidi w:val="0"/>
              <w:spacing w:line="360" w:lineRule="auto"/>
              <w:ind w:firstLine="480" w:firstLineChars="200"/>
              <w:jc w:val="left"/>
              <w:rPr>
                <w:rFonts w:ascii="Times New Roman" w:hAnsi="Times New Roman" w:eastAsia="宋体" w:cs="Times New Roman"/>
                <w:color w:val="000000"/>
                <w:kern w:val="0"/>
                <w:sz w:val="24"/>
                <w:szCs w:val="24"/>
                <w:lang w:val="en-US" w:eastAsia="zh-CN" w:bidi="ar"/>
              </w:rPr>
            </w:pPr>
            <w:r>
              <w:rPr>
                <w:rFonts w:hint="eastAsia"/>
                <w:bCs/>
                <w:sz w:val="24"/>
              </w:rPr>
              <w:t>预净化塔吸附结束后，利用PSA解吸气作为再生气，</w:t>
            </w:r>
            <w:r>
              <w:rPr>
                <w:rFonts w:hint="eastAsia"/>
                <w:bCs/>
                <w:sz w:val="24"/>
                <w:lang w:val="en-US" w:eastAsia="zh-CN"/>
              </w:rPr>
              <w:t>用电伴热</w:t>
            </w:r>
            <w:r>
              <w:rPr>
                <w:rFonts w:hint="eastAsia"/>
                <w:bCs/>
                <w:sz w:val="24"/>
              </w:rPr>
              <w:t>将再生气加热至150℃，从塔顶进入吸附塔，将吸附在吸附剂上的焦油、萘、水等加热脱离下来，经过冷却和分离后</w:t>
            </w:r>
            <w:r>
              <w:rPr>
                <w:rFonts w:hint="eastAsia"/>
                <w:bCs/>
                <w:sz w:val="24"/>
                <w:lang w:val="en-US" w:eastAsia="zh-CN"/>
              </w:rPr>
              <w:t>在污油罐内临时存储，定期清运处置。</w:t>
            </w:r>
          </w:p>
          <w:p w14:paraId="305077C5">
            <w:pPr>
              <w:keepNext w:val="0"/>
              <w:keepLines w:val="0"/>
              <w:pageBreakBefore w:val="0"/>
              <w:widowControl/>
              <w:suppressLineNumbers w:val="0"/>
              <w:kinsoku/>
              <w:wordWrap/>
              <w:topLinePunct w:val="0"/>
              <w:autoSpaceDE w:val="0"/>
              <w:autoSpaceDN w:val="0"/>
              <w:bidi w:val="0"/>
              <w:spacing w:line="360" w:lineRule="auto"/>
              <w:ind w:firstLine="480" w:firstLineChars="200"/>
              <w:jc w:val="left"/>
              <w:rPr>
                <w:sz w:val="24"/>
              </w:rPr>
            </w:pPr>
            <w:r>
              <w:rPr>
                <w:rFonts w:ascii="Times New Roman" w:hAnsi="Times New Roman" w:eastAsia="宋体" w:cs="Times New Roman"/>
                <w:color w:val="000000"/>
                <w:kern w:val="0"/>
                <w:sz w:val="24"/>
                <w:szCs w:val="24"/>
                <w:lang w:val="en-US" w:eastAsia="zh-CN" w:bidi="ar"/>
              </w:rPr>
              <w:t>TSA</w:t>
            </w:r>
            <w:r>
              <w:rPr>
                <w:rFonts w:hint="default" w:ascii="Times New Roman" w:hAnsi="Times New Roman" w:eastAsia="宋体" w:cs="Times New Roman"/>
                <w:color w:val="000000"/>
                <w:kern w:val="0"/>
                <w:sz w:val="24"/>
                <w:szCs w:val="24"/>
                <w:lang w:val="en-US" w:eastAsia="zh-CN" w:bidi="ar"/>
              </w:rPr>
              <w:t>预净化主要工艺操作条件</w:t>
            </w:r>
            <w:r>
              <w:rPr>
                <w:rFonts w:hint="default" w:ascii="Times New Roman" w:hAnsi="Times New Roman" w:cs="Times New Roman"/>
                <w:color w:val="000000"/>
                <w:kern w:val="0"/>
                <w:sz w:val="24"/>
                <w:szCs w:val="24"/>
                <w:lang w:val="en-US" w:eastAsia="zh-CN" w:bidi="ar"/>
              </w:rPr>
              <w:t>见</w:t>
            </w:r>
            <w:r>
              <w:rPr>
                <w:rFonts w:hint="default" w:ascii="Times New Roman" w:hAnsi="Times New Roman" w:eastAsia="宋体" w:cs="Times New Roman"/>
                <w:color w:val="000000"/>
                <w:kern w:val="0"/>
                <w:sz w:val="24"/>
                <w:szCs w:val="24"/>
                <w:lang w:val="en-US" w:eastAsia="zh-CN" w:bidi="ar"/>
              </w:rPr>
              <w:t>下表</w:t>
            </w:r>
            <w:r>
              <w:rPr>
                <w:rFonts w:hint="eastAsia" w:cs="Times New Roman"/>
                <w:color w:val="000000"/>
                <w:kern w:val="0"/>
                <w:sz w:val="24"/>
                <w:szCs w:val="24"/>
                <w:lang w:val="en-US" w:eastAsia="zh-CN" w:bidi="ar"/>
              </w:rPr>
              <w:t>。</w:t>
            </w:r>
          </w:p>
          <w:p w14:paraId="73A09964">
            <w:pPr>
              <w:pageBreakBefore w:val="0"/>
              <w:kinsoku/>
              <w:wordWrap/>
              <w:topLinePunct w:val="0"/>
              <w:autoSpaceDE w:val="0"/>
              <w:autoSpaceDN w:val="0"/>
              <w:bidi w:val="0"/>
              <w:spacing w:line="360" w:lineRule="auto"/>
              <w:ind w:firstLine="480" w:firstLineChars="200"/>
              <w:rPr>
                <w:rFonts w:hint="eastAsia"/>
                <w:bCs/>
                <w:sz w:val="24"/>
                <w:lang w:val="en-US" w:eastAsia="zh-CN"/>
              </w:rPr>
            </w:pPr>
          </w:p>
          <w:p w14:paraId="06B1A18B">
            <w:pPr>
              <w:pageBreakBefore w:val="0"/>
              <w:kinsoku/>
              <w:wordWrap/>
              <w:topLinePunct w:val="0"/>
              <w:autoSpaceDE w:val="0"/>
              <w:autoSpaceDN w:val="0"/>
              <w:bidi w:val="0"/>
              <w:spacing w:line="360" w:lineRule="auto"/>
              <w:ind w:firstLine="480" w:firstLineChars="200"/>
              <w:rPr>
                <w:rFonts w:hint="eastAsia"/>
                <w:bCs/>
                <w:sz w:val="24"/>
                <w:lang w:val="en-US" w:eastAsia="zh-CN"/>
              </w:rPr>
            </w:pPr>
          </w:p>
          <w:p w14:paraId="539D2ECA">
            <w:pPr>
              <w:pStyle w:val="25"/>
              <w:pageBreakBefore w:val="0"/>
              <w:kinsoku/>
              <w:wordWrap/>
              <w:topLinePunct w:val="0"/>
              <w:bidi w:val="0"/>
              <w:rPr>
                <w:rFonts w:hint="default"/>
                <w:bCs/>
                <w:sz w:val="24"/>
                <w:lang w:val="en-US" w:eastAsia="zh-CN"/>
              </w:rPr>
            </w:pPr>
            <w:r>
              <w:rPr>
                <w:rFonts w:hint="eastAsia"/>
                <w:lang w:val="en-US" w:eastAsia="zh-CN"/>
              </w:rPr>
              <w:t>表2-9  TSA预净化主要工艺操作条件</w:t>
            </w:r>
          </w:p>
          <w:tbl>
            <w:tblPr>
              <w:tblStyle w:val="14"/>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96"/>
              <w:gridCol w:w="2797"/>
              <w:gridCol w:w="2797"/>
            </w:tblGrid>
            <w:tr w14:paraId="5A7A06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043A6609">
                  <w:pPr>
                    <w:pStyle w:val="26"/>
                    <w:pageBreakBefore w:val="0"/>
                    <w:kinsoku/>
                    <w:wordWrap/>
                    <w:topLinePunct w:val="0"/>
                    <w:bidi w:val="0"/>
                    <w:rPr>
                      <w:rFonts w:hint="default"/>
                      <w:b/>
                      <w:bCs/>
                      <w:lang w:val="en-US" w:eastAsia="zh-CN"/>
                    </w:rPr>
                  </w:pPr>
                  <w:r>
                    <w:rPr>
                      <w:rFonts w:hint="eastAsia"/>
                      <w:b/>
                      <w:bCs/>
                      <w:lang w:val="en-US" w:eastAsia="zh-CN"/>
                    </w:rPr>
                    <w:t>序号</w:t>
                  </w:r>
                </w:p>
              </w:tc>
              <w:tc>
                <w:tcPr>
                  <w:tcW w:w="2867" w:type="dxa"/>
                  <w:tcBorders>
                    <w:tl2br w:val="nil"/>
                    <w:tr2bl w:val="nil"/>
                  </w:tcBorders>
                  <w:noWrap w:val="0"/>
                  <w:vAlign w:val="center"/>
                </w:tcPr>
                <w:p w14:paraId="6AF77D39">
                  <w:pPr>
                    <w:pStyle w:val="26"/>
                    <w:pageBreakBefore w:val="0"/>
                    <w:kinsoku/>
                    <w:wordWrap/>
                    <w:topLinePunct w:val="0"/>
                    <w:bidi w:val="0"/>
                    <w:rPr>
                      <w:rFonts w:hint="default"/>
                      <w:b/>
                      <w:bCs/>
                      <w:lang w:val="en-US" w:eastAsia="zh-CN"/>
                    </w:rPr>
                  </w:pPr>
                  <w:r>
                    <w:rPr>
                      <w:rFonts w:hint="eastAsia"/>
                      <w:b/>
                      <w:bCs/>
                      <w:lang w:val="en-US" w:eastAsia="zh-CN"/>
                    </w:rPr>
                    <w:t>主要参数</w:t>
                  </w:r>
                </w:p>
              </w:tc>
              <w:tc>
                <w:tcPr>
                  <w:tcW w:w="2867" w:type="dxa"/>
                  <w:tcBorders>
                    <w:tl2br w:val="nil"/>
                    <w:tr2bl w:val="nil"/>
                  </w:tcBorders>
                  <w:noWrap w:val="0"/>
                  <w:vAlign w:val="center"/>
                </w:tcPr>
                <w:p w14:paraId="1B41DFCD">
                  <w:pPr>
                    <w:pStyle w:val="26"/>
                    <w:pageBreakBefore w:val="0"/>
                    <w:kinsoku/>
                    <w:wordWrap/>
                    <w:topLinePunct w:val="0"/>
                    <w:bidi w:val="0"/>
                    <w:rPr>
                      <w:rFonts w:hint="default"/>
                      <w:b/>
                      <w:bCs/>
                      <w:lang w:val="en-US" w:eastAsia="zh-CN"/>
                    </w:rPr>
                  </w:pPr>
                  <w:r>
                    <w:rPr>
                      <w:rFonts w:hint="eastAsia"/>
                      <w:b/>
                      <w:bCs/>
                      <w:lang w:val="en-US" w:eastAsia="zh-CN"/>
                    </w:rPr>
                    <w:t>操作条件</w:t>
                  </w:r>
                </w:p>
              </w:tc>
            </w:tr>
            <w:tr w14:paraId="57F477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0D51DA32">
                  <w:pPr>
                    <w:pStyle w:val="26"/>
                    <w:pageBreakBefore w:val="0"/>
                    <w:kinsoku/>
                    <w:wordWrap/>
                    <w:topLinePunct w:val="0"/>
                    <w:bidi w:val="0"/>
                    <w:rPr>
                      <w:rFonts w:hint="default"/>
                      <w:lang w:val="en-US" w:eastAsia="zh-CN"/>
                    </w:rPr>
                  </w:pPr>
                  <w:r>
                    <w:rPr>
                      <w:rFonts w:hint="eastAsia"/>
                      <w:lang w:val="en-US" w:eastAsia="zh-CN"/>
                    </w:rPr>
                    <w:t>1</w:t>
                  </w:r>
                </w:p>
              </w:tc>
              <w:tc>
                <w:tcPr>
                  <w:tcW w:w="2867" w:type="dxa"/>
                  <w:tcBorders>
                    <w:tl2br w:val="nil"/>
                    <w:tr2bl w:val="nil"/>
                  </w:tcBorders>
                  <w:noWrap w:val="0"/>
                  <w:vAlign w:val="center"/>
                </w:tcPr>
                <w:p w14:paraId="5B277624">
                  <w:pPr>
                    <w:pStyle w:val="26"/>
                    <w:pageBreakBefore w:val="0"/>
                    <w:kinsoku/>
                    <w:wordWrap/>
                    <w:topLinePunct w:val="0"/>
                    <w:bidi w:val="0"/>
                    <w:rPr>
                      <w:rFonts w:hint="default"/>
                      <w:lang w:val="en-US" w:eastAsia="zh-CN"/>
                    </w:rPr>
                  </w:pPr>
                  <w:r>
                    <w:rPr>
                      <w:rFonts w:hint="eastAsia"/>
                      <w:lang w:val="en-US" w:eastAsia="zh-CN"/>
                    </w:rPr>
                    <w:t>吸附压力（MPa）</w:t>
                  </w:r>
                </w:p>
              </w:tc>
              <w:tc>
                <w:tcPr>
                  <w:tcW w:w="2867" w:type="dxa"/>
                  <w:tcBorders>
                    <w:tl2br w:val="nil"/>
                    <w:tr2bl w:val="nil"/>
                  </w:tcBorders>
                  <w:noWrap w:val="0"/>
                  <w:vAlign w:val="center"/>
                </w:tcPr>
                <w:p w14:paraId="1F98E9F0">
                  <w:pPr>
                    <w:pStyle w:val="26"/>
                    <w:pageBreakBefore w:val="0"/>
                    <w:kinsoku/>
                    <w:wordWrap/>
                    <w:topLinePunct w:val="0"/>
                    <w:bidi w:val="0"/>
                    <w:rPr>
                      <w:rFonts w:hint="default"/>
                      <w:lang w:val="en-US" w:eastAsia="zh-CN"/>
                    </w:rPr>
                  </w:pPr>
                  <w:r>
                    <w:rPr>
                      <w:rFonts w:hint="eastAsia"/>
                      <w:lang w:val="en-US" w:eastAsia="zh-CN"/>
                    </w:rPr>
                    <w:t>0.005（G）</w:t>
                  </w:r>
                </w:p>
              </w:tc>
            </w:tr>
            <w:tr w14:paraId="55AB47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2B9B5DBB">
                  <w:pPr>
                    <w:pStyle w:val="26"/>
                    <w:pageBreakBefore w:val="0"/>
                    <w:kinsoku/>
                    <w:wordWrap/>
                    <w:topLinePunct w:val="0"/>
                    <w:bidi w:val="0"/>
                    <w:rPr>
                      <w:rFonts w:hint="default"/>
                      <w:lang w:val="en-US" w:eastAsia="zh-CN"/>
                    </w:rPr>
                  </w:pPr>
                  <w:r>
                    <w:rPr>
                      <w:rFonts w:hint="eastAsia"/>
                      <w:lang w:val="en-US" w:eastAsia="zh-CN"/>
                    </w:rPr>
                    <w:t>2</w:t>
                  </w:r>
                </w:p>
              </w:tc>
              <w:tc>
                <w:tcPr>
                  <w:tcW w:w="2867" w:type="dxa"/>
                  <w:tcBorders>
                    <w:tl2br w:val="nil"/>
                    <w:tr2bl w:val="nil"/>
                  </w:tcBorders>
                  <w:noWrap w:val="0"/>
                  <w:vAlign w:val="center"/>
                </w:tcPr>
                <w:p w14:paraId="65490308">
                  <w:pPr>
                    <w:pStyle w:val="26"/>
                    <w:pageBreakBefore w:val="0"/>
                    <w:kinsoku/>
                    <w:wordWrap/>
                    <w:topLinePunct w:val="0"/>
                    <w:bidi w:val="0"/>
                    <w:rPr>
                      <w:rFonts w:hint="default"/>
                      <w:lang w:val="en-US" w:eastAsia="zh-CN"/>
                    </w:rPr>
                  </w:pPr>
                  <w:r>
                    <w:rPr>
                      <w:rFonts w:hint="eastAsia"/>
                      <w:lang w:val="en-US" w:eastAsia="zh-CN"/>
                    </w:rPr>
                    <w:t>吸附温度（℃）</w:t>
                  </w:r>
                </w:p>
              </w:tc>
              <w:tc>
                <w:tcPr>
                  <w:tcW w:w="2867" w:type="dxa"/>
                  <w:tcBorders>
                    <w:tl2br w:val="nil"/>
                    <w:tr2bl w:val="nil"/>
                  </w:tcBorders>
                  <w:noWrap w:val="0"/>
                  <w:vAlign w:val="center"/>
                </w:tcPr>
                <w:p w14:paraId="1A5A005D">
                  <w:pPr>
                    <w:pStyle w:val="26"/>
                    <w:pageBreakBefore w:val="0"/>
                    <w:kinsoku/>
                    <w:wordWrap/>
                    <w:topLinePunct w:val="0"/>
                    <w:bidi w:val="0"/>
                    <w:rPr>
                      <w:rFonts w:hint="default"/>
                      <w:lang w:val="en-US" w:eastAsia="zh-CN"/>
                    </w:rPr>
                  </w:pPr>
                  <w:r>
                    <w:rPr>
                      <w:rFonts w:hint="eastAsia"/>
                      <w:lang w:val="en-US" w:eastAsia="zh-CN"/>
                    </w:rPr>
                    <w:t>≤40（或环境温度）</w:t>
                  </w:r>
                </w:p>
              </w:tc>
            </w:tr>
            <w:tr w14:paraId="6591DD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71495FA9">
                  <w:pPr>
                    <w:pStyle w:val="26"/>
                    <w:pageBreakBefore w:val="0"/>
                    <w:kinsoku/>
                    <w:wordWrap/>
                    <w:topLinePunct w:val="0"/>
                    <w:bidi w:val="0"/>
                    <w:rPr>
                      <w:rFonts w:hint="default"/>
                      <w:lang w:val="en-US" w:eastAsia="zh-CN"/>
                    </w:rPr>
                  </w:pPr>
                  <w:r>
                    <w:rPr>
                      <w:rFonts w:hint="eastAsia"/>
                      <w:lang w:val="en-US" w:eastAsia="zh-CN"/>
                    </w:rPr>
                    <w:t>3</w:t>
                  </w:r>
                </w:p>
              </w:tc>
              <w:tc>
                <w:tcPr>
                  <w:tcW w:w="2867" w:type="dxa"/>
                  <w:tcBorders>
                    <w:tl2br w:val="nil"/>
                    <w:tr2bl w:val="nil"/>
                  </w:tcBorders>
                  <w:noWrap w:val="0"/>
                  <w:vAlign w:val="center"/>
                </w:tcPr>
                <w:p w14:paraId="487D4BCC">
                  <w:pPr>
                    <w:pStyle w:val="26"/>
                    <w:pageBreakBefore w:val="0"/>
                    <w:kinsoku/>
                    <w:wordWrap/>
                    <w:topLinePunct w:val="0"/>
                    <w:bidi w:val="0"/>
                    <w:rPr>
                      <w:rFonts w:hint="default"/>
                      <w:lang w:val="en-US" w:eastAsia="zh-CN"/>
                    </w:rPr>
                  </w:pPr>
                  <w:r>
                    <w:rPr>
                      <w:rFonts w:hint="eastAsia"/>
                      <w:lang w:val="en-US" w:eastAsia="zh-CN"/>
                    </w:rPr>
                    <w:t>再生压力（MPa）</w:t>
                  </w:r>
                </w:p>
              </w:tc>
              <w:tc>
                <w:tcPr>
                  <w:tcW w:w="2867" w:type="dxa"/>
                  <w:tcBorders>
                    <w:tl2br w:val="nil"/>
                    <w:tr2bl w:val="nil"/>
                  </w:tcBorders>
                  <w:noWrap w:val="0"/>
                  <w:vAlign w:val="center"/>
                </w:tcPr>
                <w:p w14:paraId="4FA3AB22">
                  <w:pPr>
                    <w:pStyle w:val="26"/>
                    <w:pageBreakBefore w:val="0"/>
                    <w:kinsoku/>
                    <w:wordWrap/>
                    <w:topLinePunct w:val="0"/>
                    <w:bidi w:val="0"/>
                    <w:rPr>
                      <w:rFonts w:hint="default"/>
                      <w:lang w:val="en-US" w:eastAsia="zh-CN"/>
                    </w:rPr>
                  </w:pPr>
                  <w:r>
                    <w:rPr>
                      <w:rFonts w:hint="eastAsia"/>
                      <w:lang w:val="en-US" w:eastAsia="zh-CN"/>
                    </w:rPr>
                    <w:t>0.015～0.02（G）</w:t>
                  </w:r>
                </w:p>
              </w:tc>
            </w:tr>
            <w:tr w14:paraId="54D079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38CB5DB6">
                  <w:pPr>
                    <w:pStyle w:val="26"/>
                    <w:pageBreakBefore w:val="0"/>
                    <w:kinsoku/>
                    <w:wordWrap/>
                    <w:topLinePunct w:val="0"/>
                    <w:bidi w:val="0"/>
                    <w:rPr>
                      <w:rFonts w:hint="default"/>
                      <w:lang w:val="en-US" w:eastAsia="zh-CN"/>
                    </w:rPr>
                  </w:pPr>
                  <w:r>
                    <w:rPr>
                      <w:rFonts w:hint="eastAsia"/>
                      <w:lang w:val="en-US" w:eastAsia="zh-CN"/>
                    </w:rPr>
                    <w:t>4</w:t>
                  </w:r>
                </w:p>
              </w:tc>
              <w:tc>
                <w:tcPr>
                  <w:tcW w:w="2867" w:type="dxa"/>
                  <w:tcBorders>
                    <w:tl2br w:val="nil"/>
                    <w:tr2bl w:val="nil"/>
                  </w:tcBorders>
                  <w:noWrap w:val="0"/>
                  <w:vAlign w:val="center"/>
                </w:tcPr>
                <w:p w14:paraId="57367CD6">
                  <w:pPr>
                    <w:pStyle w:val="26"/>
                    <w:pageBreakBefore w:val="0"/>
                    <w:kinsoku/>
                    <w:wordWrap/>
                    <w:topLinePunct w:val="0"/>
                    <w:bidi w:val="0"/>
                    <w:rPr>
                      <w:rFonts w:hint="default"/>
                      <w:lang w:val="en-US" w:eastAsia="zh-CN"/>
                    </w:rPr>
                  </w:pPr>
                  <w:r>
                    <w:rPr>
                      <w:rFonts w:hint="eastAsia"/>
                      <w:lang w:val="en-US" w:eastAsia="zh-CN"/>
                    </w:rPr>
                    <w:t>进口再生温度（℃）</w:t>
                  </w:r>
                </w:p>
              </w:tc>
              <w:tc>
                <w:tcPr>
                  <w:tcW w:w="2867" w:type="dxa"/>
                  <w:tcBorders>
                    <w:tl2br w:val="nil"/>
                    <w:tr2bl w:val="nil"/>
                  </w:tcBorders>
                  <w:noWrap w:val="0"/>
                  <w:vAlign w:val="center"/>
                </w:tcPr>
                <w:p w14:paraId="41AD2F58">
                  <w:pPr>
                    <w:pStyle w:val="26"/>
                    <w:pageBreakBefore w:val="0"/>
                    <w:kinsoku/>
                    <w:wordWrap/>
                    <w:topLinePunct w:val="0"/>
                    <w:bidi w:val="0"/>
                    <w:rPr>
                      <w:rFonts w:hint="default"/>
                      <w:lang w:val="en-US" w:eastAsia="zh-CN"/>
                    </w:rPr>
                  </w:pPr>
                  <w:r>
                    <w:rPr>
                      <w:rFonts w:hint="eastAsia"/>
                      <w:lang w:val="en-US" w:eastAsia="zh-CN"/>
                    </w:rPr>
                    <w:t>140</w:t>
                  </w:r>
                </w:p>
              </w:tc>
            </w:tr>
            <w:tr w14:paraId="579CCC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24DE0179">
                  <w:pPr>
                    <w:pStyle w:val="26"/>
                    <w:pageBreakBefore w:val="0"/>
                    <w:kinsoku/>
                    <w:wordWrap/>
                    <w:topLinePunct w:val="0"/>
                    <w:bidi w:val="0"/>
                    <w:rPr>
                      <w:rFonts w:hint="default"/>
                      <w:lang w:val="en-US" w:eastAsia="zh-CN"/>
                    </w:rPr>
                  </w:pPr>
                  <w:r>
                    <w:rPr>
                      <w:rFonts w:hint="eastAsia"/>
                      <w:lang w:val="en-US" w:eastAsia="zh-CN"/>
                    </w:rPr>
                    <w:t>5</w:t>
                  </w:r>
                </w:p>
              </w:tc>
              <w:tc>
                <w:tcPr>
                  <w:tcW w:w="2867" w:type="dxa"/>
                  <w:tcBorders>
                    <w:tl2br w:val="nil"/>
                    <w:tr2bl w:val="nil"/>
                  </w:tcBorders>
                  <w:noWrap w:val="0"/>
                  <w:vAlign w:val="center"/>
                </w:tcPr>
                <w:p w14:paraId="7BF12DBE">
                  <w:pPr>
                    <w:pStyle w:val="26"/>
                    <w:pageBreakBefore w:val="0"/>
                    <w:kinsoku/>
                    <w:wordWrap/>
                    <w:topLinePunct w:val="0"/>
                    <w:bidi w:val="0"/>
                    <w:rPr>
                      <w:rFonts w:hint="default"/>
                      <w:lang w:val="en-US" w:eastAsia="zh-CN"/>
                    </w:rPr>
                  </w:pPr>
                  <w:r>
                    <w:rPr>
                      <w:rFonts w:hint="eastAsia"/>
                      <w:lang w:val="en-US" w:eastAsia="zh-CN"/>
                    </w:rPr>
                    <w:t>出口再生温度（℃）</w:t>
                  </w:r>
                </w:p>
              </w:tc>
              <w:tc>
                <w:tcPr>
                  <w:tcW w:w="2867" w:type="dxa"/>
                  <w:tcBorders>
                    <w:tl2br w:val="nil"/>
                    <w:tr2bl w:val="nil"/>
                  </w:tcBorders>
                  <w:noWrap w:val="0"/>
                  <w:vAlign w:val="center"/>
                </w:tcPr>
                <w:p w14:paraId="45719AF1">
                  <w:pPr>
                    <w:pStyle w:val="26"/>
                    <w:pageBreakBefore w:val="0"/>
                    <w:kinsoku/>
                    <w:wordWrap/>
                    <w:topLinePunct w:val="0"/>
                    <w:bidi w:val="0"/>
                    <w:rPr>
                      <w:rFonts w:hint="default"/>
                      <w:lang w:val="en-US" w:eastAsia="zh-CN"/>
                    </w:rPr>
                  </w:pPr>
                  <w:r>
                    <w:rPr>
                      <w:rFonts w:hint="eastAsia"/>
                      <w:lang w:val="en-US" w:eastAsia="zh-CN"/>
                    </w:rPr>
                    <w:t>100</w:t>
                  </w:r>
                </w:p>
              </w:tc>
            </w:tr>
            <w:tr w14:paraId="5B8CFE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77AC64F5">
                  <w:pPr>
                    <w:pStyle w:val="26"/>
                    <w:pageBreakBefore w:val="0"/>
                    <w:kinsoku/>
                    <w:wordWrap/>
                    <w:topLinePunct w:val="0"/>
                    <w:bidi w:val="0"/>
                    <w:rPr>
                      <w:rFonts w:hint="default"/>
                      <w:lang w:val="en-US" w:eastAsia="zh-CN"/>
                    </w:rPr>
                  </w:pPr>
                  <w:r>
                    <w:rPr>
                      <w:rFonts w:hint="eastAsia"/>
                      <w:lang w:val="en-US" w:eastAsia="zh-CN"/>
                    </w:rPr>
                    <w:t>6</w:t>
                  </w:r>
                </w:p>
              </w:tc>
              <w:tc>
                <w:tcPr>
                  <w:tcW w:w="2867" w:type="dxa"/>
                  <w:tcBorders>
                    <w:tl2br w:val="nil"/>
                    <w:tr2bl w:val="nil"/>
                  </w:tcBorders>
                  <w:noWrap w:val="0"/>
                  <w:vAlign w:val="center"/>
                </w:tcPr>
                <w:p w14:paraId="6725125C">
                  <w:pPr>
                    <w:pStyle w:val="26"/>
                    <w:pageBreakBefore w:val="0"/>
                    <w:kinsoku/>
                    <w:wordWrap/>
                    <w:topLinePunct w:val="0"/>
                    <w:bidi w:val="0"/>
                    <w:rPr>
                      <w:rFonts w:hint="default"/>
                      <w:lang w:val="en-US" w:eastAsia="zh-CN"/>
                    </w:rPr>
                  </w:pPr>
                  <w:r>
                    <w:rPr>
                      <w:rFonts w:hint="eastAsia"/>
                      <w:lang w:val="en-US" w:eastAsia="zh-CN"/>
                    </w:rPr>
                    <w:t>切换时间（h）</w:t>
                  </w:r>
                </w:p>
              </w:tc>
              <w:tc>
                <w:tcPr>
                  <w:tcW w:w="2867" w:type="dxa"/>
                  <w:tcBorders>
                    <w:tl2br w:val="nil"/>
                    <w:tr2bl w:val="nil"/>
                  </w:tcBorders>
                  <w:noWrap w:val="0"/>
                  <w:vAlign w:val="center"/>
                </w:tcPr>
                <w:p w14:paraId="0BD9C3A6">
                  <w:pPr>
                    <w:pStyle w:val="26"/>
                    <w:pageBreakBefore w:val="0"/>
                    <w:kinsoku/>
                    <w:wordWrap/>
                    <w:topLinePunct w:val="0"/>
                    <w:bidi w:val="0"/>
                    <w:rPr>
                      <w:rFonts w:hint="default"/>
                      <w:lang w:val="en-US" w:eastAsia="zh-CN"/>
                    </w:rPr>
                  </w:pPr>
                  <w:r>
                    <w:rPr>
                      <w:rFonts w:hint="eastAsia"/>
                      <w:lang w:val="en-US" w:eastAsia="zh-CN"/>
                    </w:rPr>
                    <w:t>～12</w:t>
                  </w:r>
                </w:p>
              </w:tc>
            </w:tr>
          </w:tbl>
          <w:p w14:paraId="250AEE42">
            <w:pPr>
              <w:pageBreakBefore w:val="0"/>
              <w:kinsoku/>
              <w:wordWrap/>
              <w:topLinePunct w:val="0"/>
              <w:autoSpaceDE w:val="0"/>
              <w:autoSpaceDN w:val="0"/>
              <w:bidi w:val="0"/>
              <w:spacing w:line="360" w:lineRule="auto"/>
              <w:ind w:firstLine="480" w:firstLineChars="200"/>
              <w:rPr>
                <w:rFonts w:hint="default" w:eastAsia="宋体"/>
                <w:bCs/>
                <w:sz w:val="24"/>
                <w:lang w:val="en-US" w:eastAsia="zh-CN"/>
              </w:rPr>
            </w:pPr>
            <w:r>
              <w:rPr>
                <w:rFonts w:hint="eastAsia"/>
                <w:bCs/>
                <w:sz w:val="24"/>
                <w:lang w:eastAsia="zh-CN"/>
              </w:rPr>
              <w:t>（</w:t>
            </w:r>
            <w:r>
              <w:rPr>
                <w:rFonts w:hint="eastAsia"/>
                <w:bCs/>
                <w:sz w:val="24"/>
                <w:lang w:val="en-US" w:eastAsia="zh-CN"/>
              </w:rPr>
              <w:t>2</w:t>
            </w:r>
            <w:r>
              <w:rPr>
                <w:rFonts w:hint="eastAsia"/>
                <w:bCs/>
                <w:sz w:val="24"/>
                <w:lang w:eastAsia="zh-CN"/>
              </w:rPr>
              <w:t>）</w:t>
            </w:r>
            <w:r>
              <w:rPr>
                <w:rFonts w:hint="eastAsia"/>
                <w:bCs/>
                <w:sz w:val="24"/>
                <w:lang w:val="en-US" w:eastAsia="zh-CN"/>
              </w:rPr>
              <w:t>荒煤气原料压缩工序</w:t>
            </w:r>
          </w:p>
          <w:p w14:paraId="450E1776">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来自预处理</w:t>
            </w:r>
            <w:r>
              <w:rPr>
                <w:rFonts w:hint="eastAsia"/>
                <w:bCs/>
                <w:sz w:val="24"/>
                <w:lang w:val="en-US" w:eastAsia="zh-CN"/>
              </w:rPr>
              <w:t>工序</w:t>
            </w:r>
            <w:r>
              <w:rPr>
                <w:rFonts w:hint="eastAsia"/>
                <w:bCs/>
                <w:sz w:val="24"/>
              </w:rPr>
              <w:t>的荒煤气</w:t>
            </w:r>
            <w:r>
              <w:rPr>
                <w:rFonts w:hint="eastAsia"/>
                <w:bCs/>
                <w:sz w:val="24"/>
                <w:lang w:eastAsia="zh-CN"/>
              </w:rPr>
              <w:t>经过</w:t>
            </w:r>
            <w:r>
              <w:rPr>
                <w:rFonts w:hint="eastAsia"/>
                <w:bCs/>
                <w:sz w:val="24"/>
              </w:rPr>
              <w:t>压缩至～0.7</w:t>
            </w:r>
            <w:r>
              <w:rPr>
                <w:rFonts w:hint="eastAsia"/>
                <w:bCs/>
                <w:sz w:val="24"/>
                <w:lang w:eastAsia="zh-CN"/>
              </w:rPr>
              <w:t>MPa(G)</w:t>
            </w:r>
            <w:r>
              <w:rPr>
                <w:rFonts w:hint="eastAsia"/>
                <w:bCs/>
                <w:sz w:val="24"/>
              </w:rPr>
              <w:t>后，经冷却器降温至40</w:t>
            </w:r>
            <w:r>
              <w:rPr>
                <w:rFonts w:hint="eastAsia"/>
                <w:bCs/>
                <w:sz w:val="24"/>
                <w:lang w:val="en-US" w:eastAsia="zh-CN"/>
              </w:rPr>
              <w:t>℃</w:t>
            </w:r>
            <w:r>
              <w:rPr>
                <w:rFonts w:hint="eastAsia"/>
                <w:bCs/>
                <w:sz w:val="24"/>
              </w:rPr>
              <w:t>后，去后续的预净化工序。</w:t>
            </w:r>
          </w:p>
          <w:p w14:paraId="208B0CBA">
            <w:pPr>
              <w:pageBreakBefore w:val="0"/>
              <w:kinsoku/>
              <w:wordWrap/>
              <w:topLinePunct w:val="0"/>
              <w:autoSpaceDE w:val="0"/>
              <w:autoSpaceDN w:val="0"/>
              <w:bidi w:val="0"/>
              <w:spacing w:line="360" w:lineRule="auto"/>
              <w:ind w:firstLine="480" w:firstLineChars="200"/>
              <w:rPr>
                <w:rFonts w:hint="default" w:eastAsia="宋体"/>
                <w:bCs/>
                <w:sz w:val="24"/>
                <w:lang w:val="en-US" w:eastAsia="zh-CN"/>
              </w:rPr>
            </w:pPr>
            <w:r>
              <w:rPr>
                <w:rFonts w:hint="eastAsia"/>
                <w:bCs/>
                <w:sz w:val="24"/>
                <w:lang w:val="en-US" w:eastAsia="zh-CN"/>
              </w:rPr>
              <w:t>该工序在维护压缩机过程中会产生一定量的废润滑油。</w:t>
            </w:r>
          </w:p>
          <w:p w14:paraId="647CB653">
            <w:pPr>
              <w:pageBreakBefore w:val="0"/>
              <w:kinsoku/>
              <w:wordWrap/>
              <w:topLinePunct w:val="0"/>
              <w:autoSpaceDE w:val="0"/>
              <w:autoSpaceDN w:val="0"/>
              <w:bidi w:val="0"/>
              <w:spacing w:line="360" w:lineRule="auto"/>
              <w:ind w:firstLine="480" w:firstLineChars="200"/>
              <w:rPr>
                <w:rFonts w:hint="default" w:eastAsia="宋体"/>
                <w:bCs/>
                <w:sz w:val="24"/>
                <w:lang w:val="en-US" w:eastAsia="zh-CN"/>
              </w:rPr>
            </w:pPr>
            <w:r>
              <w:rPr>
                <w:rFonts w:hint="eastAsia"/>
                <w:bCs/>
                <w:sz w:val="24"/>
                <w:lang w:eastAsia="zh-CN"/>
              </w:rPr>
              <w:t>（</w:t>
            </w:r>
            <w:r>
              <w:rPr>
                <w:rFonts w:hint="eastAsia"/>
                <w:bCs/>
                <w:sz w:val="24"/>
                <w:lang w:val="en-US" w:eastAsia="zh-CN"/>
              </w:rPr>
              <w:t>3</w:t>
            </w:r>
            <w:r>
              <w:rPr>
                <w:rFonts w:hint="eastAsia"/>
                <w:bCs/>
                <w:sz w:val="24"/>
                <w:lang w:eastAsia="zh-CN"/>
              </w:rPr>
              <w:t>）</w:t>
            </w:r>
            <w:r>
              <w:rPr>
                <w:rFonts w:hint="eastAsia"/>
                <w:bCs/>
                <w:sz w:val="24"/>
                <w:lang w:val="en-US" w:eastAsia="zh-CN"/>
              </w:rPr>
              <w:t>预净化工序</w:t>
            </w:r>
          </w:p>
          <w:p w14:paraId="12F407D6">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来自压缩工序压力约0.70</w:t>
            </w:r>
            <w:r>
              <w:rPr>
                <w:rFonts w:hint="eastAsia"/>
                <w:bCs/>
                <w:sz w:val="24"/>
                <w:lang w:eastAsia="zh-CN"/>
              </w:rPr>
              <w:t>MPa(G)</w:t>
            </w:r>
            <w:r>
              <w:rPr>
                <w:rFonts w:hint="eastAsia"/>
                <w:bCs/>
                <w:sz w:val="24"/>
              </w:rPr>
              <w:t>、40</w:t>
            </w:r>
            <w:r>
              <w:rPr>
                <w:rFonts w:hint="eastAsia"/>
                <w:bCs/>
                <w:sz w:val="24"/>
                <w:lang w:val="en-US" w:eastAsia="zh-CN"/>
              </w:rPr>
              <w:t>℃</w:t>
            </w:r>
            <w:r>
              <w:rPr>
                <w:rFonts w:hint="eastAsia"/>
                <w:bCs/>
                <w:sz w:val="24"/>
              </w:rPr>
              <w:t>的荒煤气自TSA塔塔底进入，采用3塔流程，2塔同时进气，1塔再生，进一步脱除萘、苯等杂质。当TSA塔吸附饱和后即转入再生过程。TSA塔的再生过程包括：</w:t>
            </w:r>
          </w:p>
          <w:p w14:paraId="509E7F3C">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① </w:t>
            </w:r>
            <w:r>
              <w:rPr>
                <w:rFonts w:hint="eastAsia"/>
                <w:bCs/>
                <w:sz w:val="24"/>
              </w:rPr>
              <w:t>降压过程</w:t>
            </w:r>
          </w:p>
          <w:p w14:paraId="0D4FD347">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预处理塔逆着吸附方向，即朝着入口端卸压，气体排至</w:t>
            </w:r>
            <w:r>
              <w:rPr>
                <w:rFonts w:hint="eastAsia"/>
                <w:bCs/>
                <w:sz w:val="24"/>
                <w:lang w:eastAsia="zh-CN"/>
              </w:rPr>
              <w:t>解吸气</w:t>
            </w:r>
            <w:r>
              <w:rPr>
                <w:rFonts w:hint="eastAsia"/>
                <w:bCs/>
                <w:sz w:val="24"/>
              </w:rPr>
              <w:t>总管。</w:t>
            </w:r>
          </w:p>
          <w:p w14:paraId="3FF65B81">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② </w:t>
            </w:r>
            <w:r>
              <w:rPr>
                <w:rFonts w:hint="eastAsia"/>
                <w:bCs/>
                <w:sz w:val="24"/>
              </w:rPr>
              <w:t>加热脱附杂质</w:t>
            </w:r>
          </w:p>
          <w:p w14:paraId="430B86A9">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用变压吸附工序副产的解吸气加热至约 140℃后逆着吸附方向吹扫吸附层，使萘、焦油</w:t>
            </w:r>
            <w:r>
              <w:rPr>
                <w:rFonts w:hint="eastAsia"/>
                <w:bCs/>
                <w:sz w:val="24"/>
                <w:lang w:eastAsia="zh-CN"/>
              </w:rPr>
              <w:t>及其</w:t>
            </w:r>
            <w:r>
              <w:rPr>
                <w:rFonts w:hint="eastAsia"/>
                <w:bCs/>
                <w:sz w:val="24"/>
              </w:rPr>
              <w:t>它芳香族化合物在加温下得以完全脱附，再生后的解吸气与</w:t>
            </w:r>
            <w:r>
              <w:rPr>
                <w:rFonts w:hint="eastAsia"/>
                <w:bCs/>
                <w:sz w:val="24"/>
                <w:lang w:eastAsia="zh-CN"/>
              </w:rPr>
              <w:t>解吸气</w:t>
            </w:r>
            <w:r>
              <w:rPr>
                <w:rFonts w:hint="eastAsia"/>
                <w:bCs/>
                <w:sz w:val="24"/>
              </w:rPr>
              <w:t>送回界外管网。</w:t>
            </w:r>
          </w:p>
          <w:p w14:paraId="336D090A">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③ </w:t>
            </w:r>
            <w:r>
              <w:rPr>
                <w:rFonts w:hint="eastAsia"/>
                <w:bCs/>
                <w:sz w:val="24"/>
              </w:rPr>
              <w:t>冷却吸附剂</w:t>
            </w:r>
          </w:p>
          <w:p w14:paraId="24434FDE">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脱附完毕后，停止加热再生气，继续用常温再生气逆着进气方向吹扫吸附床层，使之冷却至吸附温度。吹冷后的解吸气也送回界外管网。</w:t>
            </w:r>
          </w:p>
          <w:p w14:paraId="5B871CC0">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④ </w:t>
            </w:r>
            <w:r>
              <w:rPr>
                <w:rFonts w:hint="eastAsia"/>
                <w:bCs/>
                <w:sz w:val="24"/>
              </w:rPr>
              <w:t>升压过程</w:t>
            </w:r>
          </w:p>
          <w:p w14:paraId="0656B0FD">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用处理后的荒煤气逆着吸附方向将预处理塔加压至吸附压力，至此预处理塔就又可以进行下一次吸附了。</w:t>
            </w:r>
          </w:p>
          <w:p w14:paraId="657FCD89">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经过以上四步完成吸附塔的再生。</w:t>
            </w:r>
          </w:p>
          <w:p w14:paraId="00CBF36A">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⑤ </w:t>
            </w:r>
            <w:r>
              <w:rPr>
                <w:rFonts w:hint="eastAsia"/>
                <w:bCs/>
                <w:sz w:val="24"/>
              </w:rPr>
              <w:t>产品外送</w:t>
            </w:r>
          </w:p>
          <w:p w14:paraId="0480482E">
            <w:pPr>
              <w:pageBreakBefore w:val="0"/>
              <w:kinsoku/>
              <w:wordWrap/>
              <w:topLinePunct w:val="0"/>
              <w:autoSpaceDE w:val="0"/>
              <w:autoSpaceDN w:val="0"/>
              <w:bidi w:val="0"/>
              <w:spacing w:line="360" w:lineRule="auto"/>
              <w:ind w:firstLine="480" w:firstLineChars="200"/>
              <w:rPr>
                <w:rFonts w:hint="eastAsia" w:eastAsia="宋体"/>
                <w:bCs/>
                <w:sz w:val="24"/>
                <w:lang w:eastAsia="zh-CN"/>
              </w:rPr>
            </w:pPr>
            <w:r>
              <w:rPr>
                <w:rFonts w:hint="eastAsia"/>
                <w:bCs/>
                <w:sz w:val="24"/>
              </w:rPr>
              <w:t>经过预净化工序塔顶气体送至VPSA进行继续净化，再生气输送至圣雄燃料气管网输送至“新疆冠达能源有限公司圣雄尾气综合利用绿色环保减排型示范项目”燃气锅炉</w:t>
            </w:r>
            <w:r>
              <w:rPr>
                <w:rFonts w:hint="eastAsia"/>
                <w:bCs/>
                <w:sz w:val="24"/>
                <w:lang w:eastAsia="zh-CN"/>
              </w:rPr>
              <w:t>。</w:t>
            </w:r>
          </w:p>
          <w:p w14:paraId="3231DEEC">
            <w:pPr>
              <w:pageBreakBefore w:val="0"/>
              <w:kinsoku/>
              <w:wordWrap/>
              <w:topLinePunct w:val="0"/>
              <w:autoSpaceDE w:val="0"/>
              <w:autoSpaceDN w:val="0"/>
              <w:bidi w:val="0"/>
              <w:spacing w:line="360" w:lineRule="auto"/>
              <w:ind w:firstLine="480" w:firstLineChars="200"/>
              <w:rPr>
                <w:rFonts w:hint="default" w:eastAsia="宋体"/>
                <w:bCs/>
                <w:sz w:val="24"/>
                <w:lang w:val="en-US" w:eastAsia="zh-CN"/>
              </w:rPr>
            </w:pPr>
            <w:r>
              <w:rPr>
                <w:rFonts w:hint="eastAsia"/>
                <w:bCs/>
                <w:sz w:val="24"/>
                <w:lang w:eastAsia="zh-CN"/>
              </w:rPr>
              <w:t>（</w:t>
            </w:r>
            <w:r>
              <w:rPr>
                <w:rFonts w:hint="eastAsia"/>
                <w:bCs/>
                <w:sz w:val="24"/>
                <w:lang w:val="en-US" w:eastAsia="zh-CN"/>
              </w:rPr>
              <w:t>4</w:t>
            </w:r>
            <w:r>
              <w:rPr>
                <w:rFonts w:hint="eastAsia"/>
                <w:bCs/>
                <w:sz w:val="24"/>
                <w:lang w:eastAsia="zh-CN"/>
              </w:rPr>
              <w:t>）</w:t>
            </w:r>
            <w:r>
              <w:rPr>
                <w:rFonts w:hint="eastAsia"/>
                <w:bCs/>
                <w:sz w:val="24"/>
                <w:lang w:val="en-US" w:eastAsia="zh-CN"/>
              </w:rPr>
              <w:t>VPSA工序</w:t>
            </w:r>
          </w:p>
          <w:p w14:paraId="7801590B">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变压吸附工序由吸附塔和缓冲罐组成。中间气经吸附、多次均压降压、顺放、 逆放、冲洗、多次均压升压和产品最终升压等变压吸附过程，通过对一氧化碳等微量组分的进一步脱出。吸附塔交替进行以上的吸附、再生操作(始终有2个吸附塔处于吸附状态)即可实现气体的连续分离与提纯，经提纯后氢气纯度可达到99%。</w:t>
            </w:r>
          </w:p>
          <w:p w14:paraId="590D5C27">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具体工艺过程如下：</w:t>
            </w:r>
          </w:p>
          <w:p w14:paraId="0F4D5488">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① </w:t>
            </w:r>
            <w:r>
              <w:rPr>
                <w:rFonts w:hint="eastAsia"/>
                <w:bCs/>
                <w:sz w:val="24"/>
              </w:rPr>
              <w:t>吸附</w:t>
            </w:r>
          </w:p>
          <w:p w14:paraId="59292948">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经过预处理后的荒煤气自塔底进入吸附塔中正处于吸附工况的吸附塔，在吸附剂选择吸附的条件下一次性除去氢以外的绝大部分杂质，获得纯度大于99%以上的粗氢气，从塔顶排出送净化工序。</w:t>
            </w:r>
          </w:p>
          <w:p w14:paraId="0B111D9F">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当被吸附杂质的传质区前沿(称为吸附前沿)到达床层出口预留段某一位置时，停止吸附，转入再生过程。</w:t>
            </w:r>
          </w:p>
          <w:p w14:paraId="56B0FCD2">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② </w:t>
            </w:r>
            <w:r>
              <w:rPr>
                <w:rFonts w:hint="eastAsia"/>
                <w:bCs/>
                <w:sz w:val="24"/>
              </w:rPr>
              <w:t>均压降压过程</w:t>
            </w:r>
          </w:p>
          <w:p w14:paraId="76121BEF">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是在吸附过程结束后，顺着吸附方向将塔内的较高压力的氢气放入</w:t>
            </w:r>
            <w:r>
              <w:rPr>
                <w:rFonts w:hint="eastAsia"/>
                <w:bCs/>
                <w:sz w:val="24"/>
                <w:lang w:eastAsia="zh-CN"/>
              </w:rPr>
              <w:t>其他已</w:t>
            </w:r>
            <w:r>
              <w:rPr>
                <w:rFonts w:hint="eastAsia"/>
                <w:bCs/>
                <w:sz w:val="24"/>
              </w:rPr>
              <w:t>完成再生的较低压力吸附塔的过程，这一过程不仅是降压过程，更是回收床层死空间氢气的过程，本流程共包括了2次连续的均压降压过程，以保证氢气的充分回收。</w:t>
            </w:r>
          </w:p>
          <w:p w14:paraId="3D13B58C">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③ </w:t>
            </w:r>
            <w:r>
              <w:rPr>
                <w:rFonts w:hint="eastAsia"/>
                <w:bCs/>
                <w:sz w:val="24"/>
              </w:rPr>
              <w:t>顺放过程</w:t>
            </w:r>
          </w:p>
          <w:p w14:paraId="22B28C23">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在均压回收氢气过程结束后，继续顺着吸附方向进行减压，顺放出来的氢气放入顺放气缓冲罐中混合并储存起来，用作吸附塔冲洗的再生气源。</w:t>
            </w:r>
          </w:p>
          <w:p w14:paraId="5143EBE2">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④ </w:t>
            </w:r>
            <w:r>
              <w:rPr>
                <w:rFonts w:hint="eastAsia"/>
                <w:bCs/>
                <w:sz w:val="24"/>
              </w:rPr>
              <w:t>逆放过程</w:t>
            </w:r>
          </w:p>
          <w:p w14:paraId="75544986">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在顺放结束、吸附前沿已达到床层出口后，逆着吸附方向将吸附塔压力降至接近常压，此时被吸附的杂质开始从吸附剂中大量解吸出来，解吸气送至解吸气缓冲罐用作预处理系统的再生气源。</w:t>
            </w:r>
          </w:p>
          <w:p w14:paraId="711E7E22">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⑤ </w:t>
            </w:r>
            <w:r>
              <w:rPr>
                <w:rFonts w:hint="eastAsia"/>
                <w:bCs/>
                <w:sz w:val="24"/>
              </w:rPr>
              <w:t>抽真空和冲洗过程</w:t>
            </w:r>
          </w:p>
          <w:p w14:paraId="116A8718">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逆放结束后，为使吸附剂得到彻底的再生，用顺放气缓冲罐中储存的氢气逆着吸附方向冲洗吸附床层，同时对吸附塔抽真空，进一步降低杂质组分的分压，并将杂质解析出来。</w:t>
            </w:r>
          </w:p>
          <w:p w14:paraId="04B6D3F0">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解析出来的再生气也送至解吸气缓冲罐用作预处理系统的再生气源。</w:t>
            </w:r>
          </w:p>
          <w:p w14:paraId="2AF414F0">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⑥ </w:t>
            </w:r>
            <w:r>
              <w:rPr>
                <w:rFonts w:hint="eastAsia"/>
                <w:bCs/>
                <w:sz w:val="24"/>
              </w:rPr>
              <w:t>均压升压过程</w:t>
            </w:r>
          </w:p>
          <w:p w14:paraId="5853EE46">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在冲洗再生过程完成后，用</w:t>
            </w:r>
            <w:r>
              <w:rPr>
                <w:rFonts w:hint="eastAsia"/>
                <w:bCs/>
                <w:sz w:val="24"/>
                <w:lang w:eastAsia="zh-CN"/>
              </w:rPr>
              <w:t>来自其他</w:t>
            </w:r>
            <w:r>
              <w:rPr>
                <w:rFonts w:hint="eastAsia"/>
                <w:bCs/>
                <w:sz w:val="24"/>
              </w:rPr>
              <w:t>吸附塔的较高压力氢气依次对该吸附塔进行升压，这一过程与均压降压过程相对应，不仅是升压过程，而且也是回收</w:t>
            </w:r>
            <w:r>
              <w:rPr>
                <w:rFonts w:hint="eastAsia"/>
                <w:bCs/>
                <w:sz w:val="24"/>
                <w:lang w:eastAsia="zh-CN"/>
              </w:rPr>
              <w:t>其他</w:t>
            </w:r>
            <w:r>
              <w:rPr>
                <w:rFonts w:hint="eastAsia"/>
                <w:bCs/>
                <w:sz w:val="24"/>
              </w:rPr>
              <w:t>塔的床层死空间氢气的过程，本流程共包括了连续2次均压升压过程。</w:t>
            </w:r>
          </w:p>
          <w:p w14:paraId="6A243B1E">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lang w:val="en-US" w:eastAsia="zh-CN"/>
              </w:rPr>
              <w:t xml:space="preserve">⑦ </w:t>
            </w:r>
            <w:r>
              <w:rPr>
                <w:rFonts w:hint="eastAsia"/>
                <w:bCs/>
                <w:sz w:val="24"/>
              </w:rPr>
              <w:t>产品气升压过程</w:t>
            </w:r>
          </w:p>
          <w:p w14:paraId="6DB482B6">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在2次均压升压过程完成后，为了使吸附塔可以平稳地切换至下一次吸附并保证产品纯度在这一过程中不发生波动，需要通过升压调节阀缓慢而平稳地用产品氢气将吸附塔压力升至吸附压力。</w:t>
            </w:r>
          </w:p>
          <w:p w14:paraId="2F5E8C7B">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经这一过程后吸附塔便完成了一个完整的“吸附-再生”循环，又为下一次吸附做好了准备。</w:t>
            </w:r>
          </w:p>
          <w:p w14:paraId="06F3DC75">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吸附塔交替进行以上的吸附、再生操作</w:t>
            </w:r>
            <w:r>
              <w:rPr>
                <w:rFonts w:hint="eastAsia"/>
                <w:bCs/>
                <w:sz w:val="24"/>
                <w:lang w:eastAsia="zh-CN"/>
              </w:rPr>
              <w:t>（</w:t>
            </w:r>
            <w:r>
              <w:rPr>
                <w:rFonts w:hint="eastAsia"/>
                <w:bCs/>
                <w:sz w:val="24"/>
              </w:rPr>
              <w:t>始终有2个吸附塔处于吸附状态</w:t>
            </w:r>
            <w:r>
              <w:rPr>
                <w:rFonts w:hint="eastAsia"/>
                <w:bCs/>
                <w:sz w:val="24"/>
                <w:lang w:eastAsia="zh-CN"/>
              </w:rPr>
              <w:t>）</w:t>
            </w:r>
            <w:r>
              <w:rPr>
                <w:rFonts w:hint="eastAsia"/>
                <w:bCs/>
                <w:sz w:val="24"/>
              </w:rPr>
              <w:t>即可实现气体的连续分离与提纯。</w:t>
            </w:r>
          </w:p>
          <w:p w14:paraId="3B87B5CB">
            <w:pPr>
              <w:pageBreakBefore w:val="0"/>
              <w:kinsoku/>
              <w:wordWrap/>
              <w:topLinePunct w:val="0"/>
              <w:autoSpaceDE w:val="0"/>
              <w:autoSpaceDN w:val="0"/>
              <w:bidi w:val="0"/>
              <w:spacing w:line="360" w:lineRule="auto"/>
              <w:ind w:firstLine="480" w:firstLineChars="200"/>
              <w:rPr>
                <w:rFonts w:hint="eastAsia"/>
                <w:bCs/>
                <w:sz w:val="24"/>
              </w:rPr>
            </w:pPr>
            <w:r>
              <w:rPr>
                <w:rFonts w:hint="eastAsia"/>
                <w:bCs/>
                <w:sz w:val="24"/>
              </w:rPr>
              <w:t>变压吸附的主要工艺操作条件</w:t>
            </w:r>
            <w:r>
              <w:rPr>
                <w:rFonts w:hint="eastAsia"/>
                <w:bCs/>
                <w:sz w:val="24"/>
                <w:lang w:val="en-US" w:eastAsia="zh-CN"/>
              </w:rPr>
              <w:t>见</w:t>
            </w:r>
            <w:r>
              <w:rPr>
                <w:rFonts w:hint="eastAsia"/>
                <w:bCs/>
                <w:sz w:val="24"/>
              </w:rPr>
              <w:t>下表</w:t>
            </w:r>
            <w:r>
              <w:rPr>
                <w:rFonts w:hint="eastAsia"/>
                <w:bCs/>
                <w:sz w:val="24"/>
                <w:lang w:eastAsia="zh-CN"/>
              </w:rPr>
              <w:t>。</w:t>
            </w:r>
          </w:p>
          <w:p w14:paraId="30A03F3B">
            <w:pPr>
              <w:pageBreakBefore w:val="0"/>
              <w:kinsoku/>
              <w:wordWrap/>
              <w:topLinePunct w:val="0"/>
              <w:autoSpaceDE w:val="0"/>
              <w:autoSpaceDN w:val="0"/>
              <w:bidi w:val="0"/>
              <w:spacing w:line="360" w:lineRule="auto"/>
              <w:ind w:firstLine="0" w:firstLineChars="0"/>
              <w:jc w:val="center"/>
              <w:rPr>
                <w:rFonts w:hint="eastAsia"/>
                <w:bCs/>
                <w:sz w:val="24"/>
              </w:rPr>
            </w:pPr>
            <w:r>
              <w:rPr>
                <w:rFonts w:hint="eastAsia"/>
                <w:lang w:val="en-US" w:eastAsia="zh-CN"/>
              </w:rPr>
              <w:t>表2-10  变压吸附主要工艺操作条件</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96"/>
              <w:gridCol w:w="2797"/>
              <w:gridCol w:w="2797"/>
            </w:tblGrid>
            <w:tr w14:paraId="4FCBCC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4003CD65">
                  <w:pPr>
                    <w:pStyle w:val="26"/>
                    <w:pageBreakBefore w:val="0"/>
                    <w:kinsoku/>
                    <w:wordWrap/>
                    <w:topLinePunct w:val="0"/>
                    <w:autoSpaceDE w:val="0"/>
                    <w:autoSpaceDN w:val="0"/>
                    <w:bidi w:val="0"/>
                    <w:spacing w:line="280" w:lineRule="exact"/>
                    <w:rPr>
                      <w:rFonts w:hint="default"/>
                      <w:b/>
                      <w:bCs/>
                      <w:lang w:val="en-US" w:eastAsia="zh-CN"/>
                    </w:rPr>
                  </w:pPr>
                  <w:r>
                    <w:rPr>
                      <w:rFonts w:hint="eastAsia"/>
                      <w:b/>
                      <w:bCs/>
                      <w:lang w:val="en-US" w:eastAsia="zh-CN"/>
                    </w:rPr>
                    <w:t>序号</w:t>
                  </w:r>
                </w:p>
              </w:tc>
              <w:tc>
                <w:tcPr>
                  <w:tcW w:w="2867" w:type="dxa"/>
                  <w:tcBorders>
                    <w:tl2br w:val="nil"/>
                    <w:tr2bl w:val="nil"/>
                  </w:tcBorders>
                  <w:noWrap w:val="0"/>
                  <w:vAlign w:val="center"/>
                </w:tcPr>
                <w:p w14:paraId="27F79B89">
                  <w:pPr>
                    <w:pStyle w:val="26"/>
                    <w:pageBreakBefore w:val="0"/>
                    <w:kinsoku/>
                    <w:wordWrap/>
                    <w:topLinePunct w:val="0"/>
                    <w:autoSpaceDE w:val="0"/>
                    <w:autoSpaceDN w:val="0"/>
                    <w:bidi w:val="0"/>
                    <w:spacing w:line="280" w:lineRule="exact"/>
                    <w:rPr>
                      <w:rFonts w:hint="default"/>
                      <w:b/>
                      <w:bCs/>
                      <w:lang w:val="en-US" w:eastAsia="zh-CN"/>
                    </w:rPr>
                  </w:pPr>
                  <w:r>
                    <w:rPr>
                      <w:rFonts w:hint="eastAsia"/>
                      <w:b/>
                      <w:bCs/>
                      <w:lang w:val="en-US" w:eastAsia="zh-CN"/>
                    </w:rPr>
                    <w:t>工序步骤</w:t>
                  </w:r>
                </w:p>
              </w:tc>
              <w:tc>
                <w:tcPr>
                  <w:tcW w:w="2867" w:type="dxa"/>
                  <w:tcBorders>
                    <w:tl2br w:val="nil"/>
                    <w:tr2bl w:val="nil"/>
                  </w:tcBorders>
                  <w:noWrap w:val="0"/>
                  <w:vAlign w:val="center"/>
                </w:tcPr>
                <w:p w14:paraId="00BF9746">
                  <w:pPr>
                    <w:pStyle w:val="26"/>
                    <w:pageBreakBefore w:val="0"/>
                    <w:kinsoku/>
                    <w:wordWrap/>
                    <w:topLinePunct w:val="0"/>
                    <w:autoSpaceDE w:val="0"/>
                    <w:autoSpaceDN w:val="0"/>
                    <w:bidi w:val="0"/>
                    <w:spacing w:line="280" w:lineRule="exact"/>
                    <w:rPr>
                      <w:rFonts w:hint="default"/>
                      <w:b/>
                      <w:bCs/>
                      <w:lang w:val="en-US" w:eastAsia="zh-CN"/>
                    </w:rPr>
                  </w:pPr>
                  <w:r>
                    <w:rPr>
                      <w:rFonts w:hint="eastAsia"/>
                      <w:b/>
                      <w:bCs/>
                      <w:lang w:val="en-US" w:eastAsia="zh-CN"/>
                    </w:rPr>
                    <w:t>压力（MPa）</w:t>
                  </w:r>
                </w:p>
              </w:tc>
            </w:tr>
            <w:tr w14:paraId="2B4F77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3CAA2117">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1</w:t>
                  </w:r>
                </w:p>
              </w:tc>
              <w:tc>
                <w:tcPr>
                  <w:tcW w:w="2867" w:type="dxa"/>
                  <w:tcBorders>
                    <w:tl2br w:val="nil"/>
                    <w:tr2bl w:val="nil"/>
                  </w:tcBorders>
                  <w:noWrap w:val="0"/>
                  <w:vAlign w:val="center"/>
                </w:tcPr>
                <w:p w14:paraId="3A3F2163">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吸附</w:t>
                  </w:r>
                </w:p>
              </w:tc>
              <w:tc>
                <w:tcPr>
                  <w:tcW w:w="2867" w:type="dxa"/>
                  <w:tcBorders>
                    <w:tl2br w:val="nil"/>
                    <w:tr2bl w:val="nil"/>
                  </w:tcBorders>
                  <w:noWrap w:val="0"/>
                  <w:vAlign w:val="center"/>
                </w:tcPr>
                <w:p w14:paraId="57AF3C59">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0.68（G）</w:t>
                  </w:r>
                </w:p>
              </w:tc>
            </w:tr>
            <w:tr w14:paraId="6F6E32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7EEA774B">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2</w:t>
                  </w:r>
                </w:p>
              </w:tc>
              <w:tc>
                <w:tcPr>
                  <w:tcW w:w="2867" w:type="dxa"/>
                  <w:tcBorders>
                    <w:tl2br w:val="nil"/>
                    <w:tr2bl w:val="nil"/>
                  </w:tcBorders>
                  <w:noWrap w:val="0"/>
                  <w:vAlign w:val="center"/>
                </w:tcPr>
                <w:p w14:paraId="30BBEDD3">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一均降</w:t>
                  </w:r>
                </w:p>
              </w:tc>
              <w:tc>
                <w:tcPr>
                  <w:tcW w:w="2867" w:type="dxa"/>
                  <w:tcBorders>
                    <w:tl2br w:val="nil"/>
                    <w:tr2bl w:val="nil"/>
                  </w:tcBorders>
                  <w:noWrap w:val="0"/>
                  <w:vAlign w:val="center"/>
                </w:tcPr>
                <w:p w14:paraId="06796415">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0.68→0.44（G）</w:t>
                  </w:r>
                </w:p>
              </w:tc>
            </w:tr>
            <w:tr w14:paraId="08E45F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1FBC55B7">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3</w:t>
                  </w:r>
                </w:p>
              </w:tc>
              <w:tc>
                <w:tcPr>
                  <w:tcW w:w="2867" w:type="dxa"/>
                  <w:tcBorders>
                    <w:tl2br w:val="nil"/>
                    <w:tr2bl w:val="nil"/>
                  </w:tcBorders>
                  <w:noWrap w:val="0"/>
                  <w:vAlign w:val="center"/>
                </w:tcPr>
                <w:p w14:paraId="0E251274">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顺放</w:t>
                  </w:r>
                </w:p>
              </w:tc>
              <w:tc>
                <w:tcPr>
                  <w:tcW w:w="2867" w:type="dxa"/>
                  <w:tcBorders>
                    <w:tl2br w:val="nil"/>
                    <w:tr2bl w:val="nil"/>
                  </w:tcBorders>
                  <w:noWrap w:val="0"/>
                  <w:vAlign w:val="center"/>
                </w:tcPr>
                <w:p w14:paraId="0089281F">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0.44→0.30（G）</w:t>
                  </w:r>
                </w:p>
              </w:tc>
            </w:tr>
            <w:tr w14:paraId="7058F2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1BB1CA51">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4</w:t>
                  </w:r>
                </w:p>
              </w:tc>
              <w:tc>
                <w:tcPr>
                  <w:tcW w:w="2867" w:type="dxa"/>
                  <w:tcBorders>
                    <w:tl2br w:val="nil"/>
                    <w:tr2bl w:val="nil"/>
                  </w:tcBorders>
                  <w:noWrap w:val="0"/>
                  <w:vAlign w:val="center"/>
                </w:tcPr>
                <w:p w14:paraId="3BA23563">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二均降</w:t>
                  </w:r>
                </w:p>
              </w:tc>
              <w:tc>
                <w:tcPr>
                  <w:tcW w:w="2867" w:type="dxa"/>
                  <w:tcBorders>
                    <w:tl2br w:val="nil"/>
                    <w:tr2bl w:val="nil"/>
                  </w:tcBorders>
                  <w:noWrap w:val="0"/>
                  <w:vAlign w:val="center"/>
                </w:tcPr>
                <w:p w14:paraId="3C290E37">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0.44→0.16（G）</w:t>
                  </w:r>
                </w:p>
              </w:tc>
            </w:tr>
            <w:tr w14:paraId="198B29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353BC7C0">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5</w:t>
                  </w:r>
                </w:p>
              </w:tc>
              <w:tc>
                <w:tcPr>
                  <w:tcW w:w="2867" w:type="dxa"/>
                  <w:tcBorders>
                    <w:tl2br w:val="nil"/>
                    <w:tr2bl w:val="nil"/>
                  </w:tcBorders>
                  <w:noWrap w:val="0"/>
                  <w:vAlign w:val="center"/>
                </w:tcPr>
                <w:p w14:paraId="2D2A293D">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逆放</w:t>
                  </w:r>
                </w:p>
              </w:tc>
              <w:tc>
                <w:tcPr>
                  <w:tcW w:w="2867" w:type="dxa"/>
                  <w:tcBorders>
                    <w:tl2br w:val="nil"/>
                    <w:tr2bl w:val="nil"/>
                  </w:tcBorders>
                  <w:noWrap w:val="0"/>
                  <w:vAlign w:val="center"/>
                </w:tcPr>
                <w:p w14:paraId="61438C25">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0.16→0.02（G）</w:t>
                  </w:r>
                </w:p>
              </w:tc>
            </w:tr>
            <w:tr w14:paraId="6933C4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5DF9DE43">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6</w:t>
                  </w:r>
                </w:p>
              </w:tc>
              <w:tc>
                <w:tcPr>
                  <w:tcW w:w="2867" w:type="dxa"/>
                  <w:tcBorders>
                    <w:tl2br w:val="nil"/>
                    <w:tr2bl w:val="nil"/>
                  </w:tcBorders>
                  <w:noWrap w:val="0"/>
                  <w:vAlign w:val="center"/>
                </w:tcPr>
                <w:p w14:paraId="0B3E58DC">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抽真空+冲洗</w:t>
                  </w:r>
                </w:p>
              </w:tc>
              <w:tc>
                <w:tcPr>
                  <w:tcW w:w="2867" w:type="dxa"/>
                  <w:tcBorders>
                    <w:tl2br w:val="nil"/>
                    <w:tr2bl w:val="nil"/>
                  </w:tcBorders>
                  <w:noWrap w:val="0"/>
                  <w:vAlign w:val="center"/>
                </w:tcPr>
                <w:p w14:paraId="7B8EEAF7">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0.02→0.04（G）</w:t>
                  </w:r>
                </w:p>
              </w:tc>
            </w:tr>
            <w:tr w14:paraId="65CB79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66CAB1FE">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7</w:t>
                  </w:r>
                </w:p>
              </w:tc>
              <w:tc>
                <w:tcPr>
                  <w:tcW w:w="2867" w:type="dxa"/>
                  <w:tcBorders>
                    <w:tl2br w:val="nil"/>
                    <w:tr2bl w:val="nil"/>
                  </w:tcBorders>
                  <w:noWrap w:val="0"/>
                  <w:vAlign w:val="center"/>
                </w:tcPr>
                <w:p w14:paraId="3A6CD2ED">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均升</w:t>
                  </w:r>
                </w:p>
              </w:tc>
              <w:tc>
                <w:tcPr>
                  <w:tcW w:w="2867" w:type="dxa"/>
                  <w:tcBorders>
                    <w:tl2br w:val="nil"/>
                    <w:tr2bl w:val="nil"/>
                  </w:tcBorders>
                  <w:noWrap w:val="0"/>
                  <w:vAlign w:val="center"/>
                </w:tcPr>
                <w:p w14:paraId="3256B420">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0.04→0.44（G）</w:t>
                  </w:r>
                </w:p>
              </w:tc>
            </w:tr>
            <w:tr w14:paraId="26A3BE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6" w:type="dxa"/>
                  <w:tcBorders>
                    <w:tl2br w:val="nil"/>
                    <w:tr2bl w:val="nil"/>
                  </w:tcBorders>
                  <w:noWrap w:val="0"/>
                  <w:vAlign w:val="center"/>
                </w:tcPr>
                <w:p w14:paraId="42B01A17">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8</w:t>
                  </w:r>
                </w:p>
              </w:tc>
              <w:tc>
                <w:tcPr>
                  <w:tcW w:w="2867" w:type="dxa"/>
                  <w:tcBorders>
                    <w:tl2br w:val="nil"/>
                    <w:tr2bl w:val="nil"/>
                  </w:tcBorders>
                  <w:noWrap w:val="0"/>
                  <w:vAlign w:val="center"/>
                </w:tcPr>
                <w:p w14:paraId="46A26EC6">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终升</w:t>
                  </w:r>
                </w:p>
              </w:tc>
              <w:tc>
                <w:tcPr>
                  <w:tcW w:w="2867" w:type="dxa"/>
                  <w:tcBorders>
                    <w:tl2br w:val="nil"/>
                    <w:tr2bl w:val="nil"/>
                  </w:tcBorders>
                  <w:noWrap w:val="0"/>
                  <w:vAlign w:val="center"/>
                </w:tcPr>
                <w:p w14:paraId="27E497F4">
                  <w:pPr>
                    <w:pStyle w:val="26"/>
                    <w:pageBreakBefore w:val="0"/>
                    <w:kinsoku/>
                    <w:wordWrap/>
                    <w:topLinePunct w:val="0"/>
                    <w:autoSpaceDE w:val="0"/>
                    <w:autoSpaceDN w:val="0"/>
                    <w:bidi w:val="0"/>
                    <w:spacing w:line="280" w:lineRule="exact"/>
                    <w:rPr>
                      <w:rFonts w:hint="default"/>
                      <w:lang w:val="en-US" w:eastAsia="zh-CN"/>
                    </w:rPr>
                  </w:pPr>
                  <w:r>
                    <w:rPr>
                      <w:rFonts w:hint="eastAsia"/>
                      <w:lang w:val="en-US" w:eastAsia="zh-CN"/>
                    </w:rPr>
                    <w:t>0.44→0.68（G）</w:t>
                  </w:r>
                </w:p>
              </w:tc>
            </w:tr>
          </w:tbl>
          <w:p w14:paraId="7C03CC36">
            <w:pPr>
              <w:pageBreakBefore w:val="0"/>
              <w:kinsoku/>
              <w:wordWrap/>
              <w:topLinePunct w:val="0"/>
              <w:autoSpaceDE w:val="0"/>
              <w:autoSpaceDN w:val="0"/>
              <w:bidi w:val="0"/>
              <w:spacing w:line="360" w:lineRule="auto"/>
              <w:ind w:firstLine="480" w:firstLineChars="200"/>
              <w:rPr>
                <w:rFonts w:hint="eastAsia"/>
                <w:bCs/>
                <w:sz w:val="24"/>
              </w:rPr>
            </w:pPr>
          </w:p>
          <w:p w14:paraId="7DD6D516">
            <w:pPr>
              <w:pageBreakBefore w:val="0"/>
              <w:kinsoku/>
              <w:wordWrap/>
              <w:topLinePunct w:val="0"/>
              <w:autoSpaceDE w:val="0"/>
              <w:autoSpaceDN w:val="0"/>
              <w:bidi w:val="0"/>
              <w:spacing w:line="360" w:lineRule="auto"/>
              <w:ind w:firstLine="480" w:firstLineChars="200"/>
              <w:rPr>
                <w:rFonts w:hint="eastAsia"/>
                <w:bCs/>
                <w:sz w:val="24"/>
              </w:rPr>
            </w:pPr>
          </w:p>
          <w:p w14:paraId="6713A6EE">
            <w:pPr>
              <w:pageBreakBefore w:val="0"/>
              <w:kinsoku/>
              <w:wordWrap/>
              <w:topLinePunct w:val="0"/>
              <w:autoSpaceDE w:val="0"/>
              <w:autoSpaceDN w:val="0"/>
              <w:bidi w:val="0"/>
              <w:spacing w:line="360" w:lineRule="auto"/>
              <w:ind w:firstLine="480" w:firstLineChars="200"/>
              <w:rPr>
                <w:rFonts w:hint="eastAsia"/>
                <w:bCs/>
                <w:sz w:val="24"/>
              </w:rPr>
            </w:pPr>
          </w:p>
          <w:p w14:paraId="5FBAC894">
            <w:pPr>
              <w:pStyle w:val="5"/>
              <w:pageBreakBefore w:val="0"/>
              <w:kinsoku/>
              <w:wordWrap/>
              <w:topLinePunct w:val="0"/>
              <w:bidi w:val="0"/>
              <w:spacing w:before="156"/>
              <w:ind w:left="0" w:leftChars="0"/>
              <w:jc w:val="center"/>
              <w:rPr>
                <w:rFonts w:ascii="Times New Roman" w:hAnsi="Times New Roman"/>
                <w:b w:val="0"/>
                <w:sz w:val="24"/>
              </w:rPr>
            </w:pPr>
            <w:r>
              <w:rPr>
                <w:rFonts w:ascii="Times New Roman" w:hAnsi="Times New Roman"/>
                <w:b/>
                <w:sz w:val="24"/>
              </w:rPr>
              <w:object>
                <v:shape id="_x0000_i1026" o:spt="75" type="#_x0000_t75" style="height:162pt;width:260.25pt;" o:ole="t" filled="f" o:preferrelative="t" stroked="f" coordsize="21600,21600">
                  <v:path/>
                  <v:fill on="f" focussize="0,0"/>
                  <v:stroke on="f"/>
                  <v:imagedata r:id="rId17" o:title=""/>
                  <o:lock v:ext="edit" aspectratio="f"/>
                  <w10:wrap type="none"/>
                  <w10:anchorlock/>
                </v:shape>
                <o:OLEObject Type="Embed" ProgID="Visio.Drawing.11" ShapeID="_x0000_i1026" DrawAspect="Content" ObjectID="_1468075726" r:id="rId16">
                  <o:LockedField>false</o:LockedField>
                </o:OLEObject>
              </w:object>
            </w:r>
          </w:p>
          <w:p w14:paraId="1D5C7061">
            <w:pPr>
              <w:pStyle w:val="25"/>
              <w:pageBreakBefore w:val="0"/>
              <w:kinsoku/>
              <w:wordWrap/>
              <w:topLinePunct w:val="0"/>
              <w:bidi w:val="0"/>
              <w:rPr>
                <w:rFonts w:hint="default" w:ascii="Times New Roman" w:hAnsi="Times New Roman" w:cs="Times New Roman"/>
              </w:rPr>
            </w:pPr>
            <w:r>
              <w:rPr>
                <w:rFonts w:hint="default"/>
              </w:rPr>
              <w:t>图2-</w:t>
            </w:r>
            <w:r>
              <w:t>3</w:t>
            </w:r>
            <w:r>
              <w:rPr>
                <w:rFonts w:hint="default"/>
              </w:rPr>
              <w:t xml:space="preserve">  </w:t>
            </w:r>
            <w:r>
              <w:t>运营</w:t>
            </w:r>
            <w:r>
              <w:rPr>
                <w:rFonts w:hint="default"/>
              </w:rPr>
              <w:t>期生产工艺流程及产污环节分布示意图</w:t>
            </w:r>
          </w:p>
        </w:tc>
      </w:tr>
      <w:tr w14:paraId="12B0A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jc w:val="center"/>
        </w:trPr>
        <w:tc>
          <w:tcPr>
            <w:tcW w:w="697" w:type="dxa"/>
            <w:tcBorders>
              <w:bottom w:val="single" w:color="auto" w:sz="8" w:space="0"/>
            </w:tcBorders>
            <w:noWrap w:val="0"/>
            <w:vAlign w:val="center"/>
          </w:tcPr>
          <w:p w14:paraId="04D82097">
            <w:pPr>
              <w:pageBreakBefore w:val="0"/>
              <w:kinsoku/>
              <w:wordWrap/>
              <w:topLinePunct w:val="0"/>
              <w:autoSpaceDE w:val="0"/>
              <w:autoSpaceDN w:val="0"/>
              <w:bidi w:val="0"/>
              <w:jc w:val="center"/>
              <w:rPr>
                <w:bCs/>
                <w:szCs w:val="21"/>
              </w:rPr>
            </w:pPr>
            <w:r>
              <w:rPr>
                <w:bCs/>
                <w:szCs w:val="21"/>
              </w:rPr>
              <w:t>与项</w:t>
            </w:r>
          </w:p>
          <w:p w14:paraId="74A2C7D0">
            <w:pPr>
              <w:pageBreakBefore w:val="0"/>
              <w:kinsoku/>
              <w:wordWrap/>
              <w:topLinePunct w:val="0"/>
              <w:autoSpaceDE w:val="0"/>
              <w:autoSpaceDN w:val="0"/>
              <w:bidi w:val="0"/>
              <w:jc w:val="center"/>
              <w:rPr>
                <w:bCs/>
                <w:szCs w:val="21"/>
              </w:rPr>
            </w:pPr>
            <w:r>
              <w:rPr>
                <w:bCs/>
                <w:szCs w:val="21"/>
              </w:rPr>
              <w:t>目有</w:t>
            </w:r>
          </w:p>
          <w:p w14:paraId="79FECE2A">
            <w:pPr>
              <w:pageBreakBefore w:val="0"/>
              <w:kinsoku/>
              <w:wordWrap/>
              <w:topLinePunct w:val="0"/>
              <w:autoSpaceDE w:val="0"/>
              <w:autoSpaceDN w:val="0"/>
              <w:bidi w:val="0"/>
              <w:jc w:val="center"/>
              <w:rPr>
                <w:bCs/>
                <w:szCs w:val="21"/>
              </w:rPr>
            </w:pPr>
            <w:r>
              <w:rPr>
                <w:bCs/>
                <w:szCs w:val="21"/>
              </w:rPr>
              <w:t>关的</w:t>
            </w:r>
          </w:p>
          <w:p w14:paraId="17A2621B">
            <w:pPr>
              <w:pageBreakBefore w:val="0"/>
              <w:kinsoku/>
              <w:wordWrap/>
              <w:topLinePunct w:val="0"/>
              <w:autoSpaceDE w:val="0"/>
              <w:autoSpaceDN w:val="0"/>
              <w:bidi w:val="0"/>
              <w:jc w:val="center"/>
              <w:rPr>
                <w:bCs/>
                <w:szCs w:val="21"/>
              </w:rPr>
            </w:pPr>
            <w:r>
              <w:rPr>
                <w:bCs/>
                <w:szCs w:val="21"/>
              </w:rPr>
              <w:t>原有</w:t>
            </w:r>
          </w:p>
          <w:p w14:paraId="1E4085D4">
            <w:pPr>
              <w:pageBreakBefore w:val="0"/>
              <w:kinsoku/>
              <w:wordWrap/>
              <w:topLinePunct w:val="0"/>
              <w:autoSpaceDE w:val="0"/>
              <w:autoSpaceDN w:val="0"/>
              <w:bidi w:val="0"/>
              <w:jc w:val="center"/>
              <w:rPr>
                <w:bCs/>
                <w:szCs w:val="21"/>
              </w:rPr>
            </w:pPr>
            <w:r>
              <w:rPr>
                <w:bCs/>
                <w:szCs w:val="21"/>
              </w:rPr>
              <w:t>环境</w:t>
            </w:r>
          </w:p>
          <w:p w14:paraId="7F91B8EC">
            <w:pPr>
              <w:pageBreakBefore w:val="0"/>
              <w:kinsoku/>
              <w:wordWrap/>
              <w:topLinePunct w:val="0"/>
              <w:autoSpaceDE w:val="0"/>
              <w:autoSpaceDN w:val="0"/>
              <w:bidi w:val="0"/>
              <w:jc w:val="center"/>
              <w:rPr>
                <w:bCs/>
                <w:szCs w:val="21"/>
              </w:rPr>
            </w:pPr>
            <w:r>
              <w:rPr>
                <w:bCs/>
                <w:szCs w:val="21"/>
              </w:rPr>
              <w:t>污染</w:t>
            </w:r>
          </w:p>
          <w:p w14:paraId="1411FB45">
            <w:pPr>
              <w:pageBreakBefore w:val="0"/>
              <w:kinsoku/>
              <w:wordWrap/>
              <w:topLinePunct w:val="0"/>
              <w:autoSpaceDE w:val="0"/>
              <w:autoSpaceDN w:val="0"/>
              <w:bidi w:val="0"/>
              <w:jc w:val="center"/>
              <w:rPr>
                <w:szCs w:val="21"/>
              </w:rPr>
            </w:pPr>
            <w:r>
              <w:rPr>
                <w:bCs/>
                <w:szCs w:val="21"/>
              </w:rPr>
              <w:t>问题</w:t>
            </w:r>
          </w:p>
        </w:tc>
        <w:tc>
          <w:tcPr>
            <w:tcW w:w="8714" w:type="dxa"/>
            <w:tcBorders>
              <w:bottom w:val="single" w:color="auto" w:sz="8" w:space="0"/>
            </w:tcBorders>
            <w:noWrap w:val="0"/>
            <w:vAlign w:val="center"/>
          </w:tcPr>
          <w:p w14:paraId="1EEC52AF">
            <w:pPr>
              <w:pageBreakBefore w:val="0"/>
              <w:kinsoku/>
              <w:wordWrap/>
              <w:topLinePunct w:val="0"/>
              <w:autoSpaceDE w:val="0"/>
              <w:autoSpaceDN w:val="0"/>
              <w:bidi w:val="0"/>
              <w:spacing w:line="360" w:lineRule="auto"/>
              <w:ind w:firstLine="480" w:firstLineChars="200"/>
              <w:rPr>
                <w:rFonts w:hint="eastAsia"/>
                <w:kern w:val="0"/>
                <w:sz w:val="24"/>
              </w:rPr>
            </w:pPr>
            <w:r>
              <w:rPr>
                <w:rFonts w:hint="eastAsia"/>
                <w:kern w:val="0"/>
                <w:sz w:val="24"/>
              </w:rPr>
              <w:t>本项目为新建工程，经现场勘查，</w:t>
            </w:r>
            <w:r>
              <w:rPr>
                <w:rFonts w:hint="eastAsia"/>
                <w:kern w:val="0"/>
                <w:sz w:val="24"/>
                <w:lang w:val="en-US" w:eastAsia="zh-CN"/>
              </w:rPr>
              <w:t>选址区域为空地，</w:t>
            </w:r>
            <w:r>
              <w:rPr>
                <w:rFonts w:hint="eastAsia"/>
                <w:kern w:val="0"/>
                <w:sz w:val="24"/>
              </w:rPr>
              <w:t>未发现与项目有关的环境污染问题。</w:t>
            </w:r>
          </w:p>
          <w:p w14:paraId="0FBC0667">
            <w:pPr>
              <w:pageBreakBefore w:val="0"/>
              <w:kinsoku/>
              <w:wordWrap/>
              <w:topLinePunct w:val="0"/>
              <w:autoSpaceDE w:val="0"/>
              <w:autoSpaceDN w:val="0"/>
              <w:bidi w:val="0"/>
              <w:spacing w:line="360" w:lineRule="auto"/>
              <w:ind w:firstLine="480" w:firstLineChars="200"/>
              <w:rPr>
                <w:rFonts w:hint="eastAsia"/>
                <w:kern w:val="0"/>
                <w:sz w:val="24"/>
              </w:rPr>
            </w:pPr>
          </w:p>
          <w:p w14:paraId="21C24B9B">
            <w:pPr>
              <w:pageBreakBefore w:val="0"/>
              <w:kinsoku/>
              <w:wordWrap/>
              <w:topLinePunct w:val="0"/>
              <w:autoSpaceDE w:val="0"/>
              <w:autoSpaceDN w:val="0"/>
              <w:bidi w:val="0"/>
              <w:spacing w:line="360" w:lineRule="auto"/>
              <w:ind w:firstLine="480" w:firstLineChars="200"/>
              <w:rPr>
                <w:rFonts w:hint="eastAsia"/>
                <w:kern w:val="0"/>
                <w:sz w:val="24"/>
              </w:rPr>
            </w:pPr>
          </w:p>
          <w:p w14:paraId="7C7BB0D5">
            <w:pPr>
              <w:pageBreakBefore w:val="0"/>
              <w:kinsoku/>
              <w:wordWrap/>
              <w:topLinePunct w:val="0"/>
              <w:autoSpaceDE w:val="0"/>
              <w:autoSpaceDN w:val="0"/>
              <w:bidi w:val="0"/>
              <w:spacing w:line="360" w:lineRule="auto"/>
              <w:ind w:firstLine="480" w:firstLineChars="200"/>
              <w:rPr>
                <w:rFonts w:hint="eastAsia"/>
                <w:kern w:val="0"/>
                <w:sz w:val="24"/>
              </w:rPr>
            </w:pPr>
          </w:p>
          <w:p w14:paraId="675FCD95">
            <w:pPr>
              <w:pageBreakBefore w:val="0"/>
              <w:kinsoku/>
              <w:wordWrap/>
              <w:topLinePunct w:val="0"/>
              <w:autoSpaceDE w:val="0"/>
              <w:autoSpaceDN w:val="0"/>
              <w:bidi w:val="0"/>
              <w:spacing w:line="360" w:lineRule="auto"/>
              <w:ind w:firstLine="480" w:firstLineChars="200"/>
              <w:rPr>
                <w:rFonts w:hint="eastAsia"/>
                <w:kern w:val="0"/>
                <w:sz w:val="24"/>
              </w:rPr>
            </w:pPr>
          </w:p>
          <w:p w14:paraId="43BEAECC">
            <w:pPr>
              <w:pageBreakBefore w:val="0"/>
              <w:kinsoku/>
              <w:wordWrap/>
              <w:topLinePunct w:val="0"/>
              <w:autoSpaceDE w:val="0"/>
              <w:autoSpaceDN w:val="0"/>
              <w:bidi w:val="0"/>
              <w:spacing w:line="360" w:lineRule="auto"/>
              <w:ind w:firstLine="480" w:firstLineChars="200"/>
              <w:rPr>
                <w:rFonts w:hint="eastAsia"/>
                <w:kern w:val="0"/>
                <w:sz w:val="24"/>
              </w:rPr>
            </w:pPr>
          </w:p>
          <w:p w14:paraId="34031AF4">
            <w:pPr>
              <w:pageBreakBefore w:val="0"/>
              <w:kinsoku/>
              <w:wordWrap/>
              <w:topLinePunct w:val="0"/>
              <w:autoSpaceDE w:val="0"/>
              <w:autoSpaceDN w:val="0"/>
              <w:bidi w:val="0"/>
              <w:spacing w:line="360" w:lineRule="auto"/>
              <w:ind w:firstLine="480" w:firstLineChars="200"/>
              <w:rPr>
                <w:rFonts w:hint="eastAsia"/>
                <w:kern w:val="0"/>
                <w:sz w:val="24"/>
              </w:rPr>
            </w:pPr>
          </w:p>
          <w:p w14:paraId="53D5126D">
            <w:pPr>
              <w:pageBreakBefore w:val="0"/>
              <w:kinsoku/>
              <w:wordWrap/>
              <w:topLinePunct w:val="0"/>
              <w:autoSpaceDE w:val="0"/>
              <w:autoSpaceDN w:val="0"/>
              <w:bidi w:val="0"/>
              <w:spacing w:line="360" w:lineRule="auto"/>
              <w:ind w:firstLine="480" w:firstLineChars="200"/>
              <w:rPr>
                <w:rFonts w:hint="eastAsia"/>
                <w:kern w:val="0"/>
                <w:sz w:val="24"/>
              </w:rPr>
            </w:pPr>
          </w:p>
          <w:p w14:paraId="03235218">
            <w:pPr>
              <w:pageBreakBefore w:val="0"/>
              <w:kinsoku/>
              <w:wordWrap/>
              <w:topLinePunct w:val="0"/>
              <w:autoSpaceDE w:val="0"/>
              <w:autoSpaceDN w:val="0"/>
              <w:bidi w:val="0"/>
              <w:spacing w:line="360" w:lineRule="auto"/>
              <w:ind w:firstLine="480" w:firstLineChars="200"/>
              <w:rPr>
                <w:rFonts w:hint="eastAsia"/>
                <w:kern w:val="0"/>
                <w:sz w:val="24"/>
              </w:rPr>
            </w:pPr>
          </w:p>
          <w:p w14:paraId="2A6323D5">
            <w:pPr>
              <w:pageBreakBefore w:val="0"/>
              <w:kinsoku/>
              <w:wordWrap/>
              <w:topLinePunct w:val="0"/>
              <w:autoSpaceDE w:val="0"/>
              <w:autoSpaceDN w:val="0"/>
              <w:bidi w:val="0"/>
              <w:spacing w:line="360" w:lineRule="auto"/>
              <w:ind w:firstLine="480" w:firstLineChars="200"/>
              <w:rPr>
                <w:rFonts w:hint="eastAsia"/>
                <w:kern w:val="0"/>
                <w:sz w:val="24"/>
              </w:rPr>
            </w:pPr>
          </w:p>
          <w:p w14:paraId="5B027137">
            <w:pPr>
              <w:pageBreakBefore w:val="0"/>
              <w:kinsoku/>
              <w:wordWrap/>
              <w:topLinePunct w:val="0"/>
              <w:autoSpaceDE w:val="0"/>
              <w:autoSpaceDN w:val="0"/>
              <w:bidi w:val="0"/>
              <w:spacing w:line="360" w:lineRule="auto"/>
              <w:ind w:firstLine="480" w:firstLineChars="200"/>
              <w:rPr>
                <w:rFonts w:hint="eastAsia"/>
                <w:kern w:val="0"/>
                <w:sz w:val="24"/>
              </w:rPr>
            </w:pPr>
          </w:p>
          <w:p w14:paraId="514BD35C">
            <w:pPr>
              <w:pageBreakBefore w:val="0"/>
              <w:kinsoku/>
              <w:wordWrap/>
              <w:topLinePunct w:val="0"/>
              <w:autoSpaceDE w:val="0"/>
              <w:autoSpaceDN w:val="0"/>
              <w:bidi w:val="0"/>
              <w:spacing w:line="360" w:lineRule="auto"/>
              <w:ind w:firstLine="480" w:firstLineChars="200"/>
              <w:rPr>
                <w:rFonts w:hint="eastAsia"/>
                <w:kern w:val="0"/>
                <w:sz w:val="24"/>
              </w:rPr>
            </w:pPr>
          </w:p>
          <w:p w14:paraId="713A6A3B">
            <w:pPr>
              <w:pageBreakBefore w:val="0"/>
              <w:kinsoku/>
              <w:wordWrap/>
              <w:topLinePunct w:val="0"/>
              <w:autoSpaceDE w:val="0"/>
              <w:autoSpaceDN w:val="0"/>
              <w:bidi w:val="0"/>
              <w:spacing w:line="360" w:lineRule="auto"/>
              <w:ind w:firstLine="480" w:firstLineChars="200"/>
              <w:rPr>
                <w:rFonts w:hint="eastAsia"/>
                <w:kern w:val="0"/>
                <w:sz w:val="24"/>
              </w:rPr>
            </w:pPr>
          </w:p>
          <w:p w14:paraId="1E4EC433">
            <w:pPr>
              <w:pageBreakBefore w:val="0"/>
              <w:kinsoku/>
              <w:wordWrap/>
              <w:topLinePunct w:val="0"/>
              <w:autoSpaceDE w:val="0"/>
              <w:autoSpaceDN w:val="0"/>
              <w:bidi w:val="0"/>
              <w:spacing w:line="360" w:lineRule="auto"/>
              <w:ind w:firstLine="480" w:firstLineChars="200"/>
              <w:rPr>
                <w:rFonts w:hint="eastAsia"/>
                <w:kern w:val="0"/>
                <w:sz w:val="24"/>
              </w:rPr>
            </w:pPr>
          </w:p>
          <w:p w14:paraId="264C470C">
            <w:pPr>
              <w:pageBreakBefore w:val="0"/>
              <w:kinsoku/>
              <w:wordWrap/>
              <w:topLinePunct w:val="0"/>
              <w:autoSpaceDE w:val="0"/>
              <w:autoSpaceDN w:val="0"/>
              <w:bidi w:val="0"/>
              <w:spacing w:line="360" w:lineRule="auto"/>
              <w:ind w:firstLine="480" w:firstLineChars="200"/>
              <w:rPr>
                <w:rFonts w:hint="eastAsia"/>
                <w:kern w:val="0"/>
                <w:sz w:val="24"/>
              </w:rPr>
            </w:pPr>
          </w:p>
          <w:p w14:paraId="759466AD">
            <w:pPr>
              <w:pageBreakBefore w:val="0"/>
              <w:kinsoku/>
              <w:wordWrap/>
              <w:topLinePunct w:val="0"/>
              <w:autoSpaceDE w:val="0"/>
              <w:autoSpaceDN w:val="0"/>
              <w:bidi w:val="0"/>
              <w:spacing w:line="360" w:lineRule="auto"/>
              <w:ind w:firstLine="480" w:firstLineChars="200"/>
              <w:rPr>
                <w:rFonts w:hint="eastAsia"/>
                <w:kern w:val="0"/>
                <w:sz w:val="24"/>
              </w:rPr>
            </w:pPr>
          </w:p>
          <w:p w14:paraId="16182FED">
            <w:pPr>
              <w:pageBreakBefore w:val="0"/>
              <w:kinsoku/>
              <w:wordWrap/>
              <w:topLinePunct w:val="0"/>
              <w:autoSpaceDE w:val="0"/>
              <w:autoSpaceDN w:val="0"/>
              <w:bidi w:val="0"/>
              <w:spacing w:line="360" w:lineRule="auto"/>
              <w:ind w:firstLine="480" w:firstLineChars="200"/>
              <w:rPr>
                <w:rFonts w:hint="eastAsia"/>
                <w:kern w:val="0"/>
                <w:sz w:val="24"/>
              </w:rPr>
            </w:pPr>
          </w:p>
        </w:tc>
      </w:tr>
    </w:tbl>
    <w:p w14:paraId="0A477419">
      <w:pPr>
        <w:pageBreakBefore w:val="0"/>
        <w:kinsoku/>
        <w:wordWrap/>
        <w:topLinePunct w:val="0"/>
        <w:bidi w:val="0"/>
        <w:jc w:val="center"/>
        <w:rPr>
          <w:rFonts w:eastAsia="黑体"/>
          <w:snapToGrid w:val="0"/>
          <w:szCs w:val="21"/>
        </w:rPr>
        <w:sectPr>
          <w:footerReference r:id="rId6" w:type="default"/>
          <w:pgSz w:w="11905" w:h="16838"/>
          <w:pgMar w:top="1701" w:right="1417" w:bottom="1701" w:left="1417" w:header="850" w:footer="964" w:gutter="0"/>
          <w:pgBorders>
            <w:top w:val="none" w:sz="0" w:space="0"/>
            <w:left w:val="none" w:sz="0" w:space="0"/>
            <w:bottom w:val="none" w:sz="0" w:space="0"/>
            <w:right w:val="none" w:sz="0" w:space="0"/>
          </w:pgBorders>
          <w:pgNumType w:fmt="numberInDash"/>
          <w:cols w:space="720" w:num="1"/>
          <w:docGrid w:type="lines" w:linePitch="312" w:charSpace="0"/>
        </w:sectPr>
      </w:pPr>
    </w:p>
    <w:p w14:paraId="480052C0">
      <w:pPr>
        <w:pageBreakBefore w:val="0"/>
        <w:kinsoku/>
        <w:wordWrap/>
        <w:topLinePunct w:val="0"/>
        <w:bidi w:val="0"/>
        <w:spacing w:line="360" w:lineRule="auto"/>
        <w:jc w:val="center"/>
        <w:outlineLvl w:val="0"/>
        <w:rPr>
          <w:rFonts w:eastAsia="黑体"/>
          <w:snapToGrid w:val="0"/>
          <w:sz w:val="30"/>
          <w:szCs w:val="30"/>
        </w:rPr>
      </w:pPr>
      <w:bookmarkStart w:id="6" w:name="_Toc23285"/>
      <w:r>
        <w:rPr>
          <w:rFonts w:eastAsia="黑体"/>
          <w:snapToGrid w:val="0"/>
          <w:sz w:val="30"/>
          <w:szCs w:val="30"/>
        </w:rPr>
        <w:t>三、区域环境质量现状、环境保护目标及评价标准</w:t>
      </w:r>
      <w:bookmarkEnd w:id="6"/>
    </w:p>
    <w:tbl>
      <w:tblPr>
        <w:tblStyle w:val="13"/>
        <w:tblW w:w="94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57" w:type="dxa"/>
          <w:bottom w:w="57" w:type="dxa"/>
          <w:right w:w="57" w:type="dxa"/>
        </w:tblCellMar>
      </w:tblPr>
      <w:tblGrid>
        <w:gridCol w:w="697"/>
        <w:gridCol w:w="8714"/>
      </w:tblGrid>
      <w:tr w14:paraId="04306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jc w:val="center"/>
        </w:trPr>
        <w:tc>
          <w:tcPr>
            <w:tcW w:w="697" w:type="dxa"/>
            <w:tcBorders>
              <w:top w:val="single" w:color="auto" w:sz="8" w:space="0"/>
            </w:tcBorders>
            <w:noWrap w:val="0"/>
            <w:vAlign w:val="center"/>
          </w:tcPr>
          <w:p w14:paraId="25F69669">
            <w:pPr>
              <w:pageBreakBefore w:val="0"/>
              <w:kinsoku/>
              <w:wordWrap/>
              <w:topLinePunct w:val="0"/>
              <w:autoSpaceDE w:val="0"/>
              <w:autoSpaceDN w:val="0"/>
              <w:bidi w:val="0"/>
              <w:jc w:val="center"/>
              <w:rPr>
                <w:kern w:val="0"/>
                <w:szCs w:val="21"/>
              </w:rPr>
            </w:pPr>
            <w:r>
              <w:rPr>
                <w:kern w:val="0"/>
                <w:szCs w:val="21"/>
              </w:rPr>
              <w:t>区域</w:t>
            </w:r>
          </w:p>
          <w:p w14:paraId="6B4A1F58">
            <w:pPr>
              <w:pageBreakBefore w:val="0"/>
              <w:kinsoku/>
              <w:wordWrap/>
              <w:topLinePunct w:val="0"/>
              <w:autoSpaceDE w:val="0"/>
              <w:autoSpaceDN w:val="0"/>
              <w:bidi w:val="0"/>
              <w:jc w:val="center"/>
              <w:rPr>
                <w:kern w:val="0"/>
                <w:szCs w:val="21"/>
              </w:rPr>
            </w:pPr>
            <w:r>
              <w:rPr>
                <w:kern w:val="0"/>
                <w:szCs w:val="21"/>
              </w:rPr>
              <w:t>环境</w:t>
            </w:r>
          </w:p>
          <w:p w14:paraId="0AC3C2C4">
            <w:pPr>
              <w:pageBreakBefore w:val="0"/>
              <w:kinsoku/>
              <w:wordWrap/>
              <w:topLinePunct w:val="0"/>
              <w:autoSpaceDE w:val="0"/>
              <w:autoSpaceDN w:val="0"/>
              <w:bidi w:val="0"/>
              <w:jc w:val="center"/>
              <w:rPr>
                <w:kern w:val="0"/>
                <w:szCs w:val="21"/>
              </w:rPr>
            </w:pPr>
            <w:r>
              <w:rPr>
                <w:kern w:val="0"/>
                <w:szCs w:val="21"/>
              </w:rPr>
              <w:t>质量</w:t>
            </w:r>
          </w:p>
          <w:p w14:paraId="4DA75A7D">
            <w:pPr>
              <w:pageBreakBefore w:val="0"/>
              <w:kinsoku/>
              <w:wordWrap/>
              <w:topLinePunct w:val="0"/>
              <w:autoSpaceDE w:val="0"/>
              <w:autoSpaceDN w:val="0"/>
              <w:bidi w:val="0"/>
              <w:jc w:val="center"/>
              <w:rPr>
                <w:kern w:val="0"/>
                <w:szCs w:val="21"/>
              </w:rPr>
            </w:pPr>
            <w:r>
              <w:rPr>
                <w:kern w:val="0"/>
                <w:szCs w:val="21"/>
              </w:rPr>
              <w:t>现状</w:t>
            </w:r>
          </w:p>
        </w:tc>
        <w:tc>
          <w:tcPr>
            <w:tcW w:w="8714" w:type="dxa"/>
            <w:tcBorders>
              <w:top w:val="single" w:color="auto" w:sz="8" w:space="0"/>
            </w:tcBorders>
            <w:noWrap w:val="0"/>
            <w:vAlign w:val="center"/>
          </w:tcPr>
          <w:p w14:paraId="64253B29">
            <w:pPr>
              <w:pageBreakBefore w:val="0"/>
              <w:kinsoku/>
              <w:wordWrap/>
              <w:topLinePunct w:val="0"/>
              <w:autoSpaceDE w:val="0"/>
              <w:autoSpaceDN w:val="0"/>
              <w:bidi w:val="0"/>
              <w:spacing w:line="360" w:lineRule="auto"/>
              <w:ind w:firstLine="482" w:firstLineChars="200"/>
              <w:jc w:val="left"/>
              <w:rPr>
                <w:kern w:val="0"/>
                <w:sz w:val="24"/>
              </w:rPr>
            </w:pPr>
            <w:r>
              <w:rPr>
                <w:b/>
                <w:bCs/>
                <w:kern w:val="0"/>
                <w:sz w:val="24"/>
              </w:rPr>
              <w:t>1 大气环境</w:t>
            </w:r>
          </w:p>
          <w:p w14:paraId="7B8ECD55">
            <w:pPr>
              <w:pageBreakBefore w:val="0"/>
              <w:kinsoku/>
              <w:wordWrap/>
              <w:topLinePunct w:val="0"/>
              <w:autoSpaceDE w:val="0"/>
              <w:autoSpaceDN w:val="0"/>
              <w:bidi w:val="0"/>
              <w:spacing w:line="360" w:lineRule="auto"/>
              <w:ind w:firstLine="482" w:firstLineChars="200"/>
              <w:jc w:val="left"/>
              <w:rPr>
                <w:sz w:val="24"/>
              </w:rPr>
            </w:pPr>
            <w:r>
              <w:rPr>
                <w:b/>
                <w:bCs/>
                <w:sz w:val="24"/>
              </w:rPr>
              <w:t>1.1 基本污染物现状评价</w:t>
            </w:r>
          </w:p>
          <w:p w14:paraId="2A22E6B3">
            <w:pPr>
              <w:pageBreakBefore w:val="0"/>
              <w:kinsoku/>
              <w:wordWrap/>
              <w:topLinePunct w:val="0"/>
              <w:autoSpaceDE w:val="0"/>
              <w:autoSpaceDN w:val="0"/>
              <w:bidi w:val="0"/>
              <w:spacing w:line="360" w:lineRule="auto"/>
              <w:ind w:firstLine="480" w:firstLineChars="200"/>
              <w:rPr>
                <w:sz w:val="24"/>
              </w:rPr>
            </w:pPr>
            <w:r>
              <w:rPr>
                <w:sz w:val="24"/>
              </w:rPr>
              <w:t>根据《环境影响评价技术导则 大气环境》(HJ2.2-2018)：“项目所在区域达标判定，优先采用国家或地方生态环境主管部门公开发布的评价基准年环境质量公告或环境质量报告中的数据或结论。评价范围内没有环境空气质量监测网数据或公开发布的环境空气质量现状数据的，可选择符合HJ664规定，并且与评价范围地理位置临近，地形、气候条件相近的环境空气质量城市点或区域点监测数据”。</w:t>
            </w:r>
          </w:p>
          <w:p w14:paraId="18FA0AEE">
            <w:pPr>
              <w:pageBreakBefore w:val="0"/>
              <w:kinsoku/>
              <w:wordWrap/>
              <w:topLinePunct w:val="0"/>
              <w:autoSpaceDE w:val="0"/>
              <w:autoSpaceDN w:val="0"/>
              <w:bidi w:val="0"/>
              <w:spacing w:line="360" w:lineRule="auto"/>
              <w:ind w:firstLine="480" w:firstLineChars="200"/>
              <w:rPr>
                <w:sz w:val="24"/>
              </w:rPr>
            </w:pPr>
            <w:r>
              <w:rPr>
                <w:rFonts w:hint="eastAsia"/>
                <w:sz w:val="24"/>
              </w:rPr>
              <w:t>本次评价选用</w:t>
            </w:r>
            <w:r>
              <w:rPr>
                <w:sz w:val="24"/>
              </w:rPr>
              <w:t>中华人民共和国生态环境部环境工程评估中心发布的“环境空气质量模型技术支持服务系统”达标区判定中的数据，选用</w:t>
            </w:r>
            <w:r>
              <w:rPr>
                <w:rFonts w:hint="eastAsia"/>
                <w:sz w:val="24"/>
              </w:rPr>
              <w:t>吐鲁番市</w:t>
            </w:r>
            <w:r>
              <w:rPr>
                <w:sz w:val="24"/>
              </w:rPr>
              <w:t>202</w:t>
            </w:r>
            <w:r>
              <w:rPr>
                <w:rFonts w:hint="eastAsia"/>
                <w:sz w:val="24"/>
              </w:rPr>
              <w:t>2</w:t>
            </w:r>
            <w:r>
              <w:rPr>
                <w:sz w:val="24"/>
              </w:rPr>
              <w:t>年环境空气质量监测数据判定本项目区环境质量情况，具体环境质量数据及评价结果见</w:t>
            </w:r>
            <w:r>
              <w:rPr>
                <w:rFonts w:hint="eastAsia"/>
                <w:sz w:val="24"/>
                <w:lang w:val="en-US" w:eastAsia="zh-CN"/>
              </w:rPr>
              <w:t>下</w:t>
            </w:r>
            <w:r>
              <w:rPr>
                <w:sz w:val="24"/>
              </w:rPr>
              <w:t>表。</w:t>
            </w:r>
          </w:p>
          <w:p w14:paraId="3639DE58">
            <w:pPr>
              <w:pageBreakBefore w:val="0"/>
              <w:tabs>
                <w:tab w:val="left" w:pos="3296"/>
              </w:tabs>
              <w:kinsoku/>
              <w:wordWrap/>
              <w:topLinePunct w:val="0"/>
              <w:autoSpaceDE w:val="0"/>
              <w:autoSpaceDN w:val="0"/>
              <w:bidi w:val="0"/>
              <w:spacing w:line="360" w:lineRule="auto"/>
              <w:jc w:val="center"/>
            </w:pPr>
            <w:r>
              <w:rPr>
                <w:rFonts w:eastAsia="黑体"/>
                <w:bCs/>
                <w:szCs w:val="21"/>
              </w:rPr>
              <w:t>表3-1  环境空气质量监测数据及评价结果一览表</w:t>
            </w:r>
          </w:p>
          <w:tbl>
            <w:tblPr>
              <w:tblStyle w:val="13"/>
              <w:tblW w:w="839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28" w:type="dxa"/>
                <w:left w:w="28" w:type="dxa"/>
                <w:bottom w:w="28" w:type="dxa"/>
                <w:right w:w="28" w:type="dxa"/>
              </w:tblCellMar>
            </w:tblPr>
            <w:tblGrid>
              <w:gridCol w:w="691"/>
              <w:gridCol w:w="3164"/>
              <w:gridCol w:w="970"/>
              <w:gridCol w:w="994"/>
              <w:gridCol w:w="1151"/>
              <w:gridCol w:w="1420"/>
            </w:tblGrid>
            <w:tr w14:paraId="6A6FEF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28" w:type="dxa"/>
                  <w:left w:w="28" w:type="dxa"/>
                  <w:bottom w:w="28" w:type="dxa"/>
                  <w:right w:w="28" w:type="dxa"/>
                </w:tblCellMar>
              </w:tblPrEx>
              <w:trPr>
                <w:cantSplit/>
                <w:trHeight w:val="340" w:hRule="atLeast"/>
                <w:jc w:val="center"/>
              </w:trPr>
              <w:tc>
                <w:tcPr>
                  <w:tcW w:w="691" w:type="dxa"/>
                  <w:noWrap w:val="0"/>
                  <w:tcMar>
                    <w:top w:w="28" w:type="dxa"/>
                    <w:left w:w="0" w:type="dxa"/>
                    <w:bottom w:w="28" w:type="dxa"/>
                    <w:right w:w="0" w:type="dxa"/>
                  </w:tcMar>
                  <w:vAlign w:val="center"/>
                </w:tcPr>
                <w:p w14:paraId="569FF28A">
                  <w:pPr>
                    <w:pageBreakBefore w:val="0"/>
                    <w:kinsoku/>
                    <w:wordWrap/>
                    <w:topLinePunct w:val="0"/>
                    <w:autoSpaceDE w:val="0"/>
                    <w:autoSpaceDN w:val="0"/>
                    <w:bidi w:val="0"/>
                    <w:spacing w:line="280" w:lineRule="exact"/>
                    <w:jc w:val="center"/>
                    <w:rPr>
                      <w:b/>
                      <w:bCs/>
                      <w:szCs w:val="21"/>
                    </w:rPr>
                  </w:pPr>
                  <w:r>
                    <w:rPr>
                      <w:b/>
                      <w:bCs/>
                      <w:szCs w:val="21"/>
                    </w:rPr>
                    <w:t>污染物</w:t>
                  </w:r>
                </w:p>
              </w:tc>
              <w:tc>
                <w:tcPr>
                  <w:tcW w:w="3164" w:type="dxa"/>
                  <w:noWrap w:val="0"/>
                  <w:tcMar>
                    <w:top w:w="28" w:type="dxa"/>
                    <w:left w:w="0" w:type="dxa"/>
                    <w:bottom w:w="28" w:type="dxa"/>
                    <w:right w:w="0" w:type="dxa"/>
                  </w:tcMar>
                  <w:vAlign w:val="center"/>
                </w:tcPr>
                <w:p w14:paraId="269EB82B">
                  <w:pPr>
                    <w:pageBreakBefore w:val="0"/>
                    <w:kinsoku/>
                    <w:wordWrap/>
                    <w:topLinePunct w:val="0"/>
                    <w:autoSpaceDE w:val="0"/>
                    <w:autoSpaceDN w:val="0"/>
                    <w:bidi w:val="0"/>
                    <w:spacing w:line="280" w:lineRule="exact"/>
                    <w:jc w:val="center"/>
                    <w:rPr>
                      <w:b/>
                      <w:bCs/>
                      <w:szCs w:val="21"/>
                    </w:rPr>
                  </w:pPr>
                  <w:r>
                    <w:rPr>
                      <w:b/>
                      <w:bCs/>
                      <w:szCs w:val="21"/>
                    </w:rPr>
                    <w:t>年评价指标</w:t>
                  </w:r>
                </w:p>
              </w:tc>
              <w:tc>
                <w:tcPr>
                  <w:tcW w:w="970" w:type="dxa"/>
                  <w:noWrap w:val="0"/>
                  <w:tcMar>
                    <w:top w:w="28" w:type="dxa"/>
                    <w:left w:w="0" w:type="dxa"/>
                    <w:bottom w:w="28" w:type="dxa"/>
                    <w:right w:w="0" w:type="dxa"/>
                  </w:tcMar>
                  <w:vAlign w:val="center"/>
                </w:tcPr>
                <w:p w14:paraId="212F9F8B">
                  <w:pPr>
                    <w:pageBreakBefore w:val="0"/>
                    <w:kinsoku/>
                    <w:wordWrap/>
                    <w:topLinePunct w:val="0"/>
                    <w:autoSpaceDE w:val="0"/>
                    <w:autoSpaceDN w:val="0"/>
                    <w:bidi w:val="0"/>
                    <w:spacing w:line="280" w:lineRule="exact"/>
                    <w:jc w:val="center"/>
                    <w:rPr>
                      <w:b/>
                      <w:bCs/>
                      <w:szCs w:val="21"/>
                    </w:rPr>
                  </w:pPr>
                  <w:r>
                    <w:rPr>
                      <w:b/>
                      <w:bCs/>
                      <w:szCs w:val="21"/>
                    </w:rPr>
                    <w:t>现状浓度</w:t>
                  </w:r>
                </w:p>
                <w:p w14:paraId="44F443F7">
                  <w:pPr>
                    <w:pageBreakBefore w:val="0"/>
                    <w:kinsoku/>
                    <w:wordWrap/>
                    <w:topLinePunct w:val="0"/>
                    <w:autoSpaceDE w:val="0"/>
                    <w:autoSpaceDN w:val="0"/>
                    <w:bidi w:val="0"/>
                    <w:spacing w:line="280" w:lineRule="exact"/>
                    <w:jc w:val="center"/>
                    <w:rPr>
                      <w:b/>
                      <w:bCs/>
                      <w:szCs w:val="21"/>
                    </w:rPr>
                  </w:pPr>
                  <w:r>
                    <w:rPr>
                      <w:b/>
                      <w:bCs/>
                      <w:szCs w:val="21"/>
                    </w:rPr>
                    <w:t>（μg/m</w:t>
                  </w:r>
                  <w:r>
                    <w:rPr>
                      <w:b/>
                      <w:bCs/>
                      <w:szCs w:val="21"/>
                      <w:vertAlign w:val="superscript"/>
                    </w:rPr>
                    <w:t>3</w:t>
                  </w:r>
                  <w:r>
                    <w:rPr>
                      <w:b/>
                      <w:bCs/>
                      <w:szCs w:val="21"/>
                    </w:rPr>
                    <w:t>）</w:t>
                  </w:r>
                </w:p>
              </w:tc>
              <w:tc>
                <w:tcPr>
                  <w:tcW w:w="994" w:type="dxa"/>
                  <w:noWrap w:val="0"/>
                  <w:tcMar>
                    <w:top w:w="28" w:type="dxa"/>
                    <w:left w:w="0" w:type="dxa"/>
                    <w:bottom w:w="28" w:type="dxa"/>
                    <w:right w:w="0" w:type="dxa"/>
                  </w:tcMar>
                  <w:vAlign w:val="center"/>
                </w:tcPr>
                <w:p w14:paraId="0E1F0C76">
                  <w:pPr>
                    <w:pageBreakBefore w:val="0"/>
                    <w:kinsoku/>
                    <w:wordWrap/>
                    <w:topLinePunct w:val="0"/>
                    <w:autoSpaceDE w:val="0"/>
                    <w:autoSpaceDN w:val="0"/>
                    <w:bidi w:val="0"/>
                    <w:spacing w:line="280" w:lineRule="exact"/>
                    <w:jc w:val="center"/>
                    <w:rPr>
                      <w:b/>
                      <w:bCs/>
                      <w:szCs w:val="21"/>
                    </w:rPr>
                  </w:pPr>
                  <w:r>
                    <w:rPr>
                      <w:b/>
                      <w:bCs/>
                      <w:szCs w:val="21"/>
                    </w:rPr>
                    <w:t>标准值</w:t>
                  </w:r>
                </w:p>
                <w:p w14:paraId="26179CA9">
                  <w:pPr>
                    <w:pageBreakBefore w:val="0"/>
                    <w:kinsoku/>
                    <w:wordWrap/>
                    <w:topLinePunct w:val="0"/>
                    <w:autoSpaceDE w:val="0"/>
                    <w:autoSpaceDN w:val="0"/>
                    <w:bidi w:val="0"/>
                    <w:spacing w:line="280" w:lineRule="exact"/>
                    <w:jc w:val="center"/>
                    <w:rPr>
                      <w:b/>
                      <w:bCs/>
                      <w:szCs w:val="21"/>
                    </w:rPr>
                  </w:pPr>
                  <w:r>
                    <w:rPr>
                      <w:b/>
                      <w:bCs/>
                      <w:szCs w:val="21"/>
                    </w:rPr>
                    <w:t>（μg/m</w:t>
                  </w:r>
                  <w:r>
                    <w:rPr>
                      <w:b/>
                      <w:bCs/>
                      <w:szCs w:val="21"/>
                      <w:vertAlign w:val="superscript"/>
                    </w:rPr>
                    <w:t>3</w:t>
                  </w:r>
                  <w:r>
                    <w:rPr>
                      <w:b/>
                      <w:bCs/>
                      <w:szCs w:val="21"/>
                    </w:rPr>
                    <w:t>）</w:t>
                  </w:r>
                </w:p>
              </w:tc>
              <w:tc>
                <w:tcPr>
                  <w:tcW w:w="1151" w:type="dxa"/>
                  <w:noWrap w:val="0"/>
                  <w:tcMar>
                    <w:top w:w="28" w:type="dxa"/>
                    <w:left w:w="0" w:type="dxa"/>
                    <w:bottom w:w="28" w:type="dxa"/>
                    <w:right w:w="0" w:type="dxa"/>
                  </w:tcMar>
                  <w:vAlign w:val="center"/>
                </w:tcPr>
                <w:p w14:paraId="370A53F8">
                  <w:pPr>
                    <w:pageBreakBefore w:val="0"/>
                    <w:kinsoku/>
                    <w:wordWrap/>
                    <w:topLinePunct w:val="0"/>
                    <w:autoSpaceDE w:val="0"/>
                    <w:autoSpaceDN w:val="0"/>
                    <w:bidi w:val="0"/>
                    <w:spacing w:line="280" w:lineRule="exact"/>
                    <w:jc w:val="center"/>
                    <w:rPr>
                      <w:b/>
                      <w:bCs/>
                      <w:szCs w:val="21"/>
                    </w:rPr>
                  </w:pPr>
                  <w:r>
                    <w:rPr>
                      <w:b/>
                      <w:bCs/>
                      <w:szCs w:val="21"/>
                    </w:rPr>
                    <w:t>占标率</w:t>
                  </w:r>
                </w:p>
                <w:p w14:paraId="47D9D47F">
                  <w:pPr>
                    <w:pageBreakBefore w:val="0"/>
                    <w:kinsoku/>
                    <w:wordWrap/>
                    <w:topLinePunct w:val="0"/>
                    <w:autoSpaceDE w:val="0"/>
                    <w:autoSpaceDN w:val="0"/>
                    <w:bidi w:val="0"/>
                    <w:spacing w:line="280" w:lineRule="exact"/>
                    <w:jc w:val="center"/>
                    <w:rPr>
                      <w:b/>
                      <w:bCs/>
                      <w:szCs w:val="21"/>
                    </w:rPr>
                  </w:pPr>
                  <w:r>
                    <w:rPr>
                      <w:b/>
                      <w:bCs/>
                      <w:szCs w:val="21"/>
                    </w:rPr>
                    <w:t>（%）</w:t>
                  </w:r>
                </w:p>
              </w:tc>
              <w:tc>
                <w:tcPr>
                  <w:tcW w:w="1420" w:type="dxa"/>
                  <w:noWrap w:val="0"/>
                  <w:tcMar>
                    <w:top w:w="28" w:type="dxa"/>
                    <w:left w:w="0" w:type="dxa"/>
                    <w:bottom w:w="28" w:type="dxa"/>
                    <w:right w:w="0" w:type="dxa"/>
                  </w:tcMar>
                  <w:vAlign w:val="center"/>
                </w:tcPr>
                <w:p w14:paraId="3F7185BD">
                  <w:pPr>
                    <w:pageBreakBefore w:val="0"/>
                    <w:kinsoku/>
                    <w:wordWrap/>
                    <w:topLinePunct w:val="0"/>
                    <w:autoSpaceDE w:val="0"/>
                    <w:autoSpaceDN w:val="0"/>
                    <w:bidi w:val="0"/>
                    <w:spacing w:line="280" w:lineRule="exact"/>
                    <w:jc w:val="center"/>
                    <w:rPr>
                      <w:b/>
                      <w:bCs/>
                      <w:szCs w:val="21"/>
                    </w:rPr>
                  </w:pPr>
                  <w:r>
                    <w:rPr>
                      <w:b/>
                      <w:bCs/>
                      <w:szCs w:val="21"/>
                    </w:rPr>
                    <w:t>达标情况</w:t>
                  </w:r>
                </w:p>
              </w:tc>
            </w:tr>
            <w:tr w14:paraId="71BBA4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28" w:type="dxa"/>
                  <w:left w:w="28" w:type="dxa"/>
                  <w:bottom w:w="28" w:type="dxa"/>
                  <w:right w:w="28" w:type="dxa"/>
                </w:tblCellMar>
              </w:tblPrEx>
              <w:trPr>
                <w:cantSplit/>
                <w:trHeight w:val="340" w:hRule="atLeast"/>
                <w:jc w:val="center"/>
              </w:trPr>
              <w:tc>
                <w:tcPr>
                  <w:tcW w:w="691" w:type="dxa"/>
                  <w:noWrap w:val="0"/>
                  <w:tcMar>
                    <w:top w:w="28" w:type="dxa"/>
                    <w:left w:w="0" w:type="dxa"/>
                    <w:bottom w:w="28" w:type="dxa"/>
                    <w:right w:w="0" w:type="dxa"/>
                  </w:tcMar>
                  <w:vAlign w:val="center"/>
                </w:tcPr>
                <w:p w14:paraId="3477E04B">
                  <w:pPr>
                    <w:pageBreakBefore w:val="0"/>
                    <w:kinsoku/>
                    <w:wordWrap/>
                    <w:topLinePunct w:val="0"/>
                    <w:autoSpaceDE w:val="0"/>
                    <w:autoSpaceDN w:val="0"/>
                    <w:bidi w:val="0"/>
                    <w:spacing w:line="280" w:lineRule="exact"/>
                    <w:jc w:val="center"/>
                    <w:rPr>
                      <w:szCs w:val="21"/>
                    </w:rPr>
                  </w:pPr>
                  <w:r>
                    <w:rPr>
                      <w:szCs w:val="21"/>
                    </w:rPr>
                    <w:t>SO</w:t>
                  </w:r>
                  <w:r>
                    <w:rPr>
                      <w:szCs w:val="21"/>
                      <w:vertAlign w:val="subscript"/>
                    </w:rPr>
                    <w:t>2</w:t>
                  </w:r>
                </w:p>
              </w:tc>
              <w:tc>
                <w:tcPr>
                  <w:tcW w:w="3164" w:type="dxa"/>
                  <w:vMerge w:val="restart"/>
                  <w:noWrap w:val="0"/>
                  <w:tcMar>
                    <w:top w:w="28" w:type="dxa"/>
                    <w:left w:w="0" w:type="dxa"/>
                    <w:bottom w:w="28" w:type="dxa"/>
                    <w:right w:w="0" w:type="dxa"/>
                  </w:tcMar>
                  <w:vAlign w:val="center"/>
                </w:tcPr>
                <w:p w14:paraId="6DBF8013">
                  <w:pPr>
                    <w:pageBreakBefore w:val="0"/>
                    <w:kinsoku/>
                    <w:wordWrap/>
                    <w:topLinePunct w:val="0"/>
                    <w:autoSpaceDE w:val="0"/>
                    <w:autoSpaceDN w:val="0"/>
                    <w:bidi w:val="0"/>
                    <w:spacing w:line="280" w:lineRule="exact"/>
                    <w:jc w:val="center"/>
                    <w:rPr>
                      <w:szCs w:val="21"/>
                    </w:rPr>
                  </w:pPr>
                  <w:r>
                    <w:rPr>
                      <w:szCs w:val="21"/>
                    </w:rPr>
                    <w:t>年平均质量浓度</w:t>
                  </w:r>
                </w:p>
              </w:tc>
              <w:tc>
                <w:tcPr>
                  <w:tcW w:w="970" w:type="dxa"/>
                  <w:noWrap w:val="0"/>
                  <w:tcMar>
                    <w:top w:w="28" w:type="dxa"/>
                    <w:left w:w="0" w:type="dxa"/>
                    <w:bottom w:w="28" w:type="dxa"/>
                    <w:right w:w="0" w:type="dxa"/>
                  </w:tcMar>
                  <w:vAlign w:val="center"/>
                </w:tcPr>
                <w:p w14:paraId="589277BB">
                  <w:pPr>
                    <w:pageBreakBefore w:val="0"/>
                    <w:kinsoku/>
                    <w:wordWrap/>
                    <w:topLinePunct w:val="0"/>
                    <w:autoSpaceDE w:val="0"/>
                    <w:autoSpaceDN w:val="0"/>
                    <w:bidi w:val="0"/>
                    <w:spacing w:line="280" w:lineRule="exact"/>
                    <w:jc w:val="center"/>
                    <w:rPr>
                      <w:szCs w:val="21"/>
                    </w:rPr>
                  </w:pPr>
                  <w:r>
                    <w:rPr>
                      <w:rFonts w:hint="eastAsia"/>
                      <w:szCs w:val="21"/>
                    </w:rPr>
                    <w:t>7.8</w:t>
                  </w:r>
                </w:p>
              </w:tc>
              <w:tc>
                <w:tcPr>
                  <w:tcW w:w="994" w:type="dxa"/>
                  <w:noWrap w:val="0"/>
                  <w:tcMar>
                    <w:top w:w="28" w:type="dxa"/>
                    <w:left w:w="0" w:type="dxa"/>
                    <w:bottom w:w="28" w:type="dxa"/>
                    <w:right w:w="0" w:type="dxa"/>
                  </w:tcMar>
                  <w:vAlign w:val="center"/>
                </w:tcPr>
                <w:p w14:paraId="1723902F">
                  <w:pPr>
                    <w:pageBreakBefore w:val="0"/>
                    <w:kinsoku/>
                    <w:wordWrap/>
                    <w:topLinePunct w:val="0"/>
                    <w:autoSpaceDE w:val="0"/>
                    <w:autoSpaceDN w:val="0"/>
                    <w:bidi w:val="0"/>
                    <w:spacing w:line="280" w:lineRule="exact"/>
                    <w:jc w:val="center"/>
                    <w:rPr>
                      <w:szCs w:val="21"/>
                    </w:rPr>
                  </w:pPr>
                  <w:r>
                    <w:rPr>
                      <w:szCs w:val="21"/>
                    </w:rPr>
                    <w:t>60</w:t>
                  </w:r>
                </w:p>
              </w:tc>
              <w:tc>
                <w:tcPr>
                  <w:tcW w:w="1151" w:type="dxa"/>
                  <w:noWrap w:val="0"/>
                  <w:tcMar>
                    <w:top w:w="28" w:type="dxa"/>
                    <w:left w:w="0" w:type="dxa"/>
                    <w:bottom w:w="28" w:type="dxa"/>
                    <w:right w:w="0" w:type="dxa"/>
                  </w:tcMar>
                  <w:vAlign w:val="center"/>
                </w:tcPr>
                <w:p w14:paraId="235D787E">
                  <w:pPr>
                    <w:pageBreakBefore w:val="0"/>
                    <w:kinsoku/>
                    <w:wordWrap/>
                    <w:topLinePunct w:val="0"/>
                    <w:autoSpaceDE w:val="0"/>
                    <w:autoSpaceDN w:val="0"/>
                    <w:bidi w:val="0"/>
                    <w:spacing w:line="280" w:lineRule="exact"/>
                    <w:jc w:val="center"/>
                    <w:rPr>
                      <w:szCs w:val="21"/>
                    </w:rPr>
                  </w:pPr>
                  <w:r>
                    <w:rPr>
                      <w:rFonts w:hint="eastAsia"/>
                      <w:szCs w:val="21"/>
                    </w:rPr>
                    <w:t>13</w:t>
                  </w:r>
                </w:p>
              </w:tc>
              <w:tc>
                <w:tcPr>
                  <w:tcW w:w="1420" w:type="dxa"/>
                  <w:noWrap w:val="0"/>
                  <w:tcMar>
                    <w:top w:w="28" w:type="dxa"/>
                    <w:left w:w="0" w:type="dxa"/>
                    <w:bottom w:w="28" w:type="dxa"/>
                    <w:right w:w="0" w:type="dxa"/>
                  </w:tcMar>
                  <w:vAlign w:val="center"/>
                </w:tcPr>
                <w:p w14:paraId="05265F45">
                  <w:pPr>
                    <w:pageBreakBefore w:val="0"/>
                    <w:kinsoku/>
                    <w:wordWrap/>
                    <w:topLinePunct w:val="0"/>
                    <w:autoSpaceDE w:val="0"/>
                    <w:autoSpaceDN w:val="0"/>
                    <w:bidi w:val="0"/>
                    <w:spacing w:line="280" w:lineRule="exact"/>
                    <w:jc w:val="center"/>
                    <w:rPr>
                      <w:szCs w:val="21"/>
                    </w:rPr>
                  </w:pPr>
                  <w:r>
                    <w:rPr>
                      <w:szCs w:val="21"/>
                    </w:rPr>
                    <w:t>达标</w:t>
                  </w:r>
                </w:p>
              </w:tc>
            </w:tr>
            <w:tr w14:paraId="3409CD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28" w:type="dxa"/>
                  <w:left w:w="28" w:type="dxa"/>
                  <w:bottom w:w="28" w:type="dxa"/>
                  <w:right w:w="28" w:type="dxa"/>
                </w:tblCellMar>
              </w:tblPrEx>
              <w:trPr>
                <w:cantSplit/>
                <w:trHeight w:val="340" w:hRule="atLeast"/>
                <w:jc w:val="center"/>
              </w:trPr>
              <w:tc>
                <w:tcPr>
                  <w:tcW w:w="691" w:type="dxa"/>
                  <w:noWrap w:val="0"/>
                  <w:tcMar>
                    <w:top w:w="28" w:type="dxa"/>
                    <w:left w:w="0" w:type="dxa"/>
                    <w:bottom w:w="28" w:type="dxa"/>
                    <w:right w:w="0" w:type="dxa"/>
                  </w:tcMar>
                  <w:vAlign w:val="center"/>
                </w:tcPr>
                <w:p w14:paraId="6CBBEE75">
                  <w:pPr>
                    <w:pageBreakBefore w:val="0"/>
                    <w:kinsoku/>
                    <w:wordWrap/>
                    <w:topLinePunct w:val="0"/>
                    <w:autoSpaceDE w:val="0"/>
                    <w:autoSpaceDN w:val="0"/>
                    <w:bidi w:val="0"/>
                    <w:spacing w:line="280" w:lineRule="exact"/>
                    <w:jc w:val="center"/>
                    <w:rPr>
                      <w:szCs w:val="21"/>
                    </w:rPr>
                  </w:pPr>
                  <w:r>
                    <w:rPr>
                      <w:szCs w:val="21"/>
                    </w:rPr>
                    <w:t>NO</w:t>
                  </w:r>
                  <w:r>
                    <w:rPr>
                      <w:szCs w:val="21"/>
                      <w:vertAlign w:val="subscript"/>
                    </w:rPr>
                    <w:t>2</w:t>
                  </w:r>
                </w:p>
              </w:tc>
              <w:tc>
                <w:tcPr>
                  <w:tcW w:w="3164" w:type="dxa"/>
                  <w:vMerge w:val="continue"/>
                  <w:noWrap w:val="0"/>
                  <w:tcMar>
                    <w:top w:w="28" w:type="dxa"/>
                    <w:left w:w="0" w:type="dxa"/>
                    <w:bottom w:w="28" w:type="dxa"/>
                    <w:right w:w="0" w:type="dxa"/>
                  </w:tcMar>
                  <w:vAlign w:val="center"/>
                </w:tcPr>
                <w:p w14:paraId="7CB5FAE1">
                  <w:pPr>
                    <w:pageBreakBefore w:val="0"/>
                    <w:kinsoku/>
                    <w:wordWrap/>
                    <w:topLinePunct w:val="0"/>
                    <w:autoSpaceDE w:val="0"/>
                    <w:autoSpaceDN w:val="0"/>
                    <w:bidi w:val="0"/>
                    <w:spacing w:line="280" w:lineRule="exact"/>
                    <w:jc w:val="center"/>
                    <w:rPr>
                      <w:szCs w:val="21"/>
                    </w:rPr>
                  </w:pPr>
                </w:p>
              </w:tc>
              <w:tc>
                <w:tcPr>
                  <w:tcW w:w="970" w:type="dxa"/>
                  <w:noWrap w:val="0"/>
                  <w:tcMar>
                    <w:top w:w="28" w:type="dxa"/>
                    <w:left w:w="0" w:type="dxa"/>
                    <w:bottom w:w="28" w:type="dxa"/>
                    <w:right w:w="0" w:type="dxa"/>
                  </w:tcMar>
                  <w:vAlign w:val="center"/>
                </w:tcPr>
                <w:p w14:paraId="377E1F99">
                  <w:pPr>
                    <w:pageBreakBefore w:val="0"/>
                    <w:kinsoku/>
                    <w:wordWrap/>
                    <w:topLinePunct w:val="0"/>
                    <w:autoSpaceDE w:val="0"/>
                    <w:autoSpaceDN w:val="0"/>
                    <w:bidi w:val="0"/>
                    <w:spacing w:line="280" w:lineRule="exact"/>
                    <w:jc w:val="center"/>
                    <w:rPr>
                      <w:szCs w:val="21"/>
                    </w:rPr>
                  </w:pPr>
                  <w:r>
                    <w:rPr>
                      <w:rFonts w:hint="eastAsia"/>
                      <w:szCs w:val="21"/>
                    </w:rPr>
                    <w:t>30.7</w:t>
                  </w:r>
                </w:p>
              </w:tc>
              <w:tc>
                <w:tcPr>
                  <w:tcW w:w="994" w:type="dxa"/>
                  <w:noWrap w:val="0"/>
                  <w:tcMar>
                    <w:top w:w="28" w:type="dxa"/>
                    <w:left w:w="0" w:type="dxa"/>
                    <w:bottom w:w="28" w:type="dxa"/>
                    <w:right w:w="0" w:type="dxa"/>
                  </w:tcMar>
                  <w:vAlign w:val="center"/>
                </w:tcPr>
                <w:p w14:paraId="094AF8CD">
                  <w:pPr>
                    <w:pageBreakBefore w:val="0"/>
                    <w:kinsoku/>
                    <w:wordWrap/>
                    <w:topLinePunct w:val="0"/>
                    <w:autoSpaceDE w:val="0"/>
                    <w:autoSpaceDN w:val="0"/>
                    <w:bidi w:val="0"/>
                    <w:spacing w:line="280" w:lineRule="exact"/>
                    <w:jc w:val="center"/>
                    <w:rPr>
                      <w:szCs w:val="21"/>
                    </w:rPr>
                  </w:pPr>
                  <w:r>
                    <w:rPr>
                      <w:szCs w:val="21"/>
                    </w:rPr>
                    <w:t>40</w:t>
                  </w:r>
                </w:p>
              </w:tc>
              <w:tc>
                <w:tcPr>
                  <w:tcW w:w="1151" w:type="dxa"/>
                  <w:noWrap w:val="0"/>
                  <w:tcMar>
                    <w:top w:w="28" w:type="dxa"/>
                    <w:left w:w="0" w:type="dxa"/>
                    <w:bottom w:w="28" w:type="dxa"/>
                    <w:right w:w="0" w:type="dxa"/>
                  </w:tcMar>
                  <w:vAlign w:val="center"/>
                </w:tcPr>
                <w:p w14:paraId="0B8E1B46">
                  <w:pPr>
                    <w:pageBreakBefore w:val="0"/>
                    <w:kinsoku/>
                    <w:wordWrap/>
                    <w:topLinePunct w:val="0"/>
                    <w:autoSpaceDE w:val="0"/>
                    <w:autoSpaceDN w:val="0"/>
                    <w:bidi w:val="0"/>
                    <w:spacing w:line="280" w:lineRule="exact"/>
                    <w:jc w:val="center"/>
                    <w:rPr>
                      <w:szCs w:val="21"/>
                    </w:rPr>
                  </w:pPr>
                  <w:r>
                    <w:rPr>
                      <w:rFonts w:hint="eastAsia"/>
                      <w:szCs w:val="21"/>
                    </w:rPr>
                    <w:t>70.8</w:t>
                  </w:r>
                </w:p>
              </w:tc>
              <w:tc>
                <w:tcPr>
                  <w:tcW w:w="1420" w:type="dxa"/>
                  <w:noWrap w:val="0"/>
                  <w:tcMar>
                    <w:top w:w="28" w:type="dxa"/>
                    <w:left w:w="0" w:type="dxa"/>
                    <w:bottom w:w="28" w:type="dxa"/>
                    <w:right w:w="0" w:type="dxa"/>
                  </w:tcMar>
                  <w:vAlign w:val="center"/>
                </w:tcPr>
                <w:p w14:paraId="21B6D79B">
                  <w:pPr>
                    <w:pageBreakBefore w:val="0"/>
                    <w:kinsoku/>
                    <w:wordWrap/>
                    <w:topLinePunct w:val="0"/>
                    <w:autoSpaceDE w:val="0"/>
                    <w:autoSpaceDN w:val="0"/>
                    <w:bidi w:val="0"/>
                    <w:spacing w:line="280" w:lineRule="exact"/>
                    <w:jc w:val="center"/>
                    <w:rPr>
                      <w:szCs w:val="21"/>
                    </w:rPr>
                  </w:pPr>
                  <w:r>
                    <w:rPr>
                      <w:szCs w:val="21"/>
                    </w:rPr>
                    <w:t>达标</w:t>
                  </w:r>
                </w:p>
              </w:tc>
            </w:tr>
            <w:tr w14:paraId="30C7BCF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28" w:type="dxa"/>
                  <w:left w:w="28" w:type="dxa"/>
                  <w:bottom w:w="28" w:type="dxa"/>
                  <w:right w:w="28" w:type="dxa"/>
                </w:tblCellMar>
              </w:tblPrEx>
              <w:trPr>
                <w:cantSplit/>
                <w:trHeight w:val="340" w:hRule="atLeast"/>
                <w:jc w:val="center"/>
              </w:trPr>
              <w:tc>
                <w:tcPr>
                  <w:tcW w:w="691" w:type="dxa"/>
                  <w:noWrap w:val="0"/>
                  <w:tcMar>
                    <w:top w:w="28" w:type="dxa"/>
                    <w:left w:w="0" w:type="dxa"/>
                    <w:bottom w:w="28" w:type="dxa"/>
                    <w:right w:w="0" w:type="dxa"/>
                  </w:tcMar>
                  <w:vAlign w:val="center"/>
                </w:tcPr>
                <w:p w14:paraId="790E5296">
                  <w:pPr>
                    <w:pageBreakBefore w:val="0"/>
                    <w:kinsoku/>
                    <w:wordWrap/>
                    <w:topLinePunct w:val="0"/>
                    <w:autoSpaceDE w:val="0"/>
                    <w:autoSpaceDN w:val="0"/>
                    <w:bidi w:val="0"/>
                    <w:spacing w:line="280" w:lineRule="exact"/>
                    <w:jc w:val="center"/>
                    <w:rPr>
                      <w:szCs w:val="21"/>
                    </w:rPr>
                  </w:pPr>
                  <w:r>
                    <w:rPr>
                      <w:szCs w:val="21"/>
                    </w:rPr>
                    <w:t>PM</w:t>
                  </w:r>
                  <w:r>
                    <w:rPr>
                      <w:szCs w:val="21"/>
                      <w:vertAlign w:val="subscript"/>
                    </w:rPr>
                    <w:t>10</w:t>
                  </w:r>
                </w:p>
              </w:tc>
              <w:tc>
                <w:tcPr>
                  <w:tcW w:w="3164" w:type="dxa"/>
                  <w:vMerge w:val="continue"/>
                  <w:noWrap w:val="0"/>
                  <w:tcMar>
                    <w:top w:w="28" w:type="dxa"/>
                    <w:left w:w="0" w:type="dxa"/>
                    <w:bottom w:w="28" w:type="dxa"/>
                    <w:right w:w="0" w:type="dxa"/>
                  </w:tcMar>
                  <w:vAlign w:val="center"/>
                </w:tcPr>
                <w:p w14:paraId="10BFA57E">
                  <w:pPr>
                    <w:pageBreakBefore w:val="0"/>
                    <w:kinsoku/>
                    <w:wordWrap/>
                    <w:topLinePunct w:val="0"/>
                    <w:autoSpaceDE w:val="0"/>
                    <w:autoSpaceDN w:val="0"/>
                    <w:bidi w:val="0"/>
                    <w:spacing w:line="280" w:lineRule="exact"/>
                    <w:jc w:val="center"/>
                    <w:rPr>
                      <w:szCs w:val="21"/>
                    </w:rPr>
                  </w:pPr>
                </w:p>
              </w:tc>
              <w:tc>
                <w:tcPr>
                  <w:tcW w:w="970" w:type="dxa"/>
                  <w:noWrap w:val="0"/>
                  <w:tcMar>
                    <w:top w:w="28" w:type="dxa"/>
                    <w:left w:w="0" w:type="dxa"/>
                    <w:bottom w:w="28" w:type="dxa"/>
                    <w:right w:w="0" w:type="dxa"/>
                  </w:tcMar>
                  <w:vAlign w:val="center"/>
                </w:tcPr>
                <w:p w14:paraId="10A91C16">
                  <w:pPr>
                    <w:pageBreakBefore w:val="0"/>
                    <w:kinsoku/>
                    <w:wordWrap/>
                    <w:topLinePunct w:val="0"/>
                    <w:autoSpaceDE w:val="0"/>
                    <w:autoSpaceDN w:val="0"/>
                    <w:bidi w:val="0"/>
                    <w:spacing w:line="280" w:lineRule="exact"/>
                    <w:jc w:val="center"/>
                    <w:rPr>
                      <w:szCs w:val="21"/>
                    </w:rPr>
                  </w:pPr>
                  <w:r>
                    <w:rPr>
                      <w:rFonts w:hint="eastAsia"/>
                      <w:szCs w:val="21"/>
                    </w:rPr>
                    <w:t>102.5</w:t>
                  </w:r>
                </w:p>
              </w:tc>
              <w:tc>
                <w:tcPr>
                  <w:tcW w:w="994" w:type="dxa"/>
                  <w:noWrap w:val="0"/>
                  <w:tcMar>
                    <w:top w:w="28" w:type="dxa"/>
                    <w:left w:w="0" w:type="dxa"/>
                    <w:bottom w:w="28" w:type="dxa"/>
                    <w:right w:w="0" w:type="dxa"/>
                  </w:tcMar>
                  <w:vAlign w:val="center"/>
                </w:tcPr>
                <w:p w14:paraId="42E9A79C">
                  <w:pPr>
                    <w:pageBreakBefore w:val="0"/>
                    <w:kinsoku/>
                    <w:wordWrap/>
                    <w:topLinePunct w:val="0"/>
                    <w:autoSpaceDE w:val="0"/>
                    <w:autoSpaceDN w:val="0"/>
                    <w:bidi w:val="0"/>
                    <w:spacing w:line="280" w:lineRule="exact"/>
                    <w:jc w:val="center"/>
                    <w:rPr>
                      <w:szCs w:val="21"/>
                    </w:rPr>
                  </w:pPr>
                  <w:r>
                    <w:rPr>
                      <w:szCs w:val="21"/>
                    </w:rPr>
                    <w:t>70</w:t>
                  </w:r>
                </w:p>
              </w:tc>
              <w:tc>
                <w:tcPr>
                  <w:tcW w:w="1151" w:type="dxa"/>
                  <w:noWrap w:val="0"/>
                  <w:tcMar>
                    <w:top w:w="28" w:type="dxa"/>
                    <w:left w:w="0" w:type="dxa"/>
                    <w:bottom w:w="28" w:type="dxa"/>
                    <w:right w:w="0" w:type="dxa"/>
                  </w:tcMar>
                  <w:vAlign w:val="center"/>
                </w:tcPr>
                <w:p w14:paraId="01CD5EDD">
                  <w:pPr>
                    <w:pageBreakBefore w:val="0"/>
                    <w:kinsoku/>
                    <w:wordWrap/>
                    <w:topLinePunct w:val="0"/>
                    <w:autoSpaceDE w:val="0"/>
                    <w:autoSpaceDN w:val="0"/>
                    <w:bidi w:val="0"/>
                    <w:spacing w:line="280" w:lineRule="exact"/>
                    <w:jc w:val="center"/>
                    <w:rPr>
                      <w:b/>
                      <w:bCs/>
                      <w:szCs w:val="21"/>
                    </w:rPr>
                  </w:pPr>
                  <w:r>
                    <w:rPr>
                      <w:rFonts w:hint="eastAsia"/>
                      <w:b/>
                      <w:bCs/>
                      <w:szCs w:val="21"/>
                    </w:rPr>
                    <w:t>146.4</w:t>
                  </w:r>
                </w:p>
              </w:tc>
              <w:tc>
                <w:tcPr>
                  <w:tcW w:w="1420" w:type="dxa"/>
                  <w:noWrap w:val="0"/>
                  <w:tcMar>
                    <w:top w:w="28" w:type="dxa"/>
                    <w:left w:w="0" w:type="dxa"/>
                    <w:bottom w:w="28" w:type="dxa"/>
                    <w:right w:w="0" w:type="dxa"/>
                  </w:tcMar>
                  <w:vAlign w:val="center"/>
                </w:tcPr>
                <w:p w14:paraId="5B3B19A3">
                  <w:pPr>
                    <w:pageBreakBefore w:val="0"/>
                    <w:kinsoku/>
                    <w:wordWrap/>
                    <w:topLinePunct w:val="0"/>
                    <w:autoSpaceDE w:val="0"/>
                    <w:autoSpaceDN w:val="0"/>
                    <w:bidi w:val="0"/>
                    <w:spacing w:line="280" w:lineRule="exact"/>
                    <w:jc w:val="center"/>
                    <w:rPr>
                      <w:szCs w:val="21"/>
                    </w:rPr>
                  </w:pPr>
                  <w:r>
                    <w:rPr>
                      <w:szCs w:val="21"/>
                    </w:rPr>
                    <w:t>超标0.</w:t>
                  </w:r>
                  <w:r>
                    <w:rPr>
                      <w:rFonts w:hint="eastAsia"/>
                      <w:szCs w:val="21"/>
                    </w:rPr>
                    <w:t>464</w:t>
                  </w:r>
                  <w:r>
                    <w:rPr>
                      <w:szCs w:val="21"/>
                    </w:rPr>
                    <w:t>倍</w:t>
                  </w:r>
                </w:p>
              </w:tc>
            </w:tr>
            <w:tr w14:paraId="4CF9DC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28" w:type="dxa"/>
                  <w:left w:w="28" w:type="dxa"/>
                  <w:bottom w:w="28" w:type="dxa"/>
                  <w:right w:w="28" w:type="dxa"/>
                </w:tblCellMar>
              </w:tblPrEx>
              <w:trPr>
                <w:cantSplit/>
                <w:trHeight w:val="340" w:hRule="atLeast"/>
                <w:jc w:val="center"/>
              </w:trPr>
              <w:tc>
                <w:tcPr>
                  <w:tcW w:w="691" w:type="dxa"/>
                  <w:noWrap w:val="0"/>
                  <w:tcMar>
                    <w:top w:w="28" w:type="dxa"/>
                    <w:left w:w="0" w:type="dxa"/>
                    <w:bottom w:w="28" w:type="dxa"/>
                    <w:right w:w="0" w:type="dxa"/>
                  </w:tcMar>
                  <w:vAlign w:val="center"/>
                </w:tcPr>
                <w:p w14:paraId="1510F3B3">
                  <w:pPr>
                    <w:pageBreakBefore w:val="0"/>
                    <w:kinsoku/>
                    <w:wordWrap/>
                    <w:topLinePunct w:val="0"/>
                    <w:autoSpaceDE w:val="0"/>
                    <w:autoSpaceDN w:val="0"/>
                    <w:bidi w:val="0"/>
                    <w:spacing w:line="280" w:lineRule="exact"/>
                    <w:jc w:val="center"/>
                    <w:rPr>
                      <w:szCs w:val="21"/>
                    </w:rPr>
                  </w:pPr>
                  <w:r>
                    <w:rPr>
                      <w:szCs w:val="21"/>
                    </w:rPr>
                    <w:t>PM</w:t>
                  </w:r>
                  <w:r>
                    <w:rPr>
                      <w:szCs w:val="21"/>
                      <w:vertAlign w:val="subscript"/>
                    </w:rPr>
                    <w:t>2.5</w:t>
                  </w:r>
                </w:p>
              </w:tc>
              <w:tc>
                <w:tcPr>
                  <w:tcW w:w="3164" w:type="dxa"/>
                  <w:vMerge w:val="continue"/>
                  <w:noWrap w:val="0"/>
                  <w:tcMar>
                    <w:top w:w="28" w:type="dxa"/>
                    <w:left w:w="0" w:type="dxa"/>
                    <w:bottom w:w="28" w:type="dxa"/>
                    <w:right w:w="0" w:type="dxa"/>
                  </w:tcMar>
                  <w:vAlign w:val="center"/>
                </w:tcPr>
                <w:p w14:paraId="3AE4670C">
                  <w:pPr>
                    <w:pageBreakBefore w:val="0"/>
                    <w:kinsoku/>
                    <w:wordWrap/>
                    <w:topLinePunct w:val="0"/>
                    <w:autoSpaceDE w:val="0"/>
                    <w:autoSpaceDN w:val="0"/>
                    <w:bidi w:val="0"/>
                    <w:spacing w:line="280" w:lineRule="exact"/>
                    <w:jc w:val="center"/>
                    <w:rPr>
                      <w:szCs w:val="21"/>
                    </w:rPr>
                  </w:pPr>
                </w:p>
              </w:tc>
              <w:tc>
                <w:tcPr>
                  <w:tcW w:w="970" w:type="dxa"/>
                  <w:noWrap w:val="0"/>
                  <w:tcMar>
                    <w:top w:w="28" w:type="dxa"/>
                    <w:left w:w="0" w:type="dxa"/>
                    <w:bottom w:w="28" w:type="dxa"/>
                    <w:right w:w="0" w:type="dxa"/>
                  </w:tcMar>
                  <w:vAlign w:val="center"/>
                </w:tcPr>
                <w:p w14:paraId="2E849414">
                  <w:pPr>
                    <w:pageBreakBefore w:val="0"/>
                    <w:kinsoku/>
                    <w:wordWrap/>
                    <w:topLinePunct w:val="0"/>
                    <w:autoSpaceDE w:val="0"/>
                    <w:autoSpaceDN w:val="0"/>
                    <w:bidi w:val="0"/>
                    <w:spacing w:line="280" w:lineRule="exact"/>
                    <w:jc w:val="center"/>
                    <w:rPr>
                      <w:szCs w:val="21"/>
                    </w:rPr>
                  </w:pPr>
                  <w:r>
                    <w:rPr>
                      <w:rFonts w:hint="eastAsia"/>
                      <w:szCs w:val="21"/>
                    </w:rPr>
                    <w:t>37.7</w:t>
                  </w:r>
                </w:p>
              </w:tc>
              <w:tc>
                <w:tcPr>
                  <w:tcW w:w="994" w:type="dxa"/>
                  <w:noWrap w:val="0"/>
                  <w:tcMar>
                    <w:top w:w="28" w:type="dxa"/>
                    <w:left w:w="0" w:type="dxa"/>
                    <w:bottom w:w="28" w:type="dxa"/>
                    <w:right w:w="0" w:type="dxa"/>
                  </w:tcMar>
                  <w:vAlign w:val="center"/>
                </w:tcPr>
                <w:p w14:paraId="3A61C1F1">
                  <w:pPr>
                    <w:pageBreakBefore w:val="0"/>
                    <w:kinsoku/>
                    <w:wordWrap/>
                    <w:topLinePunct w:val="0"/>
                    <w:autoSpaceDE w:val="0"/>
                    <w:autoSpaceDN w:val="0"/>
                    <w:bidi w:val="0"/>
                    <w:spacing w:line="280" w:lineRule="exact"/>
                    <w:jc w:val="center"/>
                    <w:rPr>
                      <w:szCs w:val="21"/>
                    </w:rPr>
                  </w:pPr>
                  <w:r>
                    <w:rPr>
                      <w:szCs w:val="21"/>
                    </w:rPr>
                    <w:t>35</w:t>
                  </w:r>
                </w:p>
              </w:tc>
              <w:tc>
                <w:tcPr>
                  <w:tcW w:w="1151" w:type="dxa"/>
                  <w:noWrap w:val="0"/>
                  <w:tcMar>
                    <w:top w:w="28" w:type="dxa"/>
                    <w:left w:w="0" w:type="dxa"/>
                    <w:bottom w:w="28" w:type="dxa"/>
                    <w:right w:w="0" w:type="dxa"/>
                  </w:tcMar>
                  <w:vAlign w:val="center"/>
                </w:tcPr>
                <w:p w14:paraId="5C8D0FC8">
                  <w:pPr>
                    <w:pageBreakBefore w:val="0"/>
                    <w:kinsoku/>
                    <w:wordWrap/>
                    <w:topLinePunct w:val="0"/>
                    <w:autoSpaceDE w:val="0"/>
                    <w:autoSpaceDN w:val="0"/>
                    <w:bidi w:val="0"/>
                    <w:spacing w:line="280" w:lineRule="exact"/>
                    <w:jc w:val="center"/>
                    <w:rPr>
                      <w:b/>
                      <w:bCs/>
                      <w:szCs w:val="21"/>
                    </w:rPr>
                  </w:pPr>
                  <w:r>
                    <w:rPr>
                      <w:rFonts w:hint="eastAsia"/>
                      <w:b/>
                      <w:bCs/>
                      <w:szCs w:val="21"/>
                    </w:rPr>
                    <w:t>107.7</w:t>
                  </w:r>
                </w:p>
              </w:tc>
              <w:tc>
                <w:tcPr>
                  <w:tcW w:w="1420" w:type="dxa"/>
                  <w:noWrap w:val="0"/>
                  <w:tcMar>
                    <w:top w:w="28" w:type="dxa"/>
                    <w:left w:w="0" w:type="dxa"/>
                    <w:bottom w:w="28" w:type="dxa"/>
                    <w:right w:w="0" w:type="dxa"/>
                  </w:tcMar>
                  <w:vAlign w:val="center"/>
                </w:tcPr>
                <w:p w14:paraId="227B0DE7">
                  <w:pPr>
                    <w:pageBreakBefore w:val="0"/>
                    <w:kinsoku/>
                    <w:wordWrap/>
                    <w:topLinePunct w:val="0"/>
                    <w:autoSpaceDE w:val="0"/>
                    <w:autoSpaceDN w:val="0"/>
                    <w:bidi w:val="0"/>
                    <w:spacing w:line="280" w:lineRule="exact"/>
                    <w:jc w:val="center"/>
                    <w:rPr>
                      <w:szCs w:val="21"/>
                    </w:rPr>
                  </w:pPr>
                  <w:r>
                    <w:rPr>
                      <w:szCs w:val="21"/>
                    </w:rPr>
                    <w:t>超标0.</w:t>
                  </w:r>
                  <w:r>
                    <w:rPr>
                      <w:rFonts w:hint="eastAsia"/>
                      <w:szCs w:val="21"/>
                    </w:rPr>
                    <w:t>077</w:t>
                  </w:r>
                  <w:r>
                    <w:rPr>
                      <w:szCs w:val="21"/>
                    </w:rPr>
                    <w:t>倍</w:t>
                  </w:r>
                </w:p>
              </w:tc>
            </w:tr>
            <w:tr w14:paraId="7C2D89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28" w:type="dxa"/>
                  <w:left w:w="28" w:type="dxa"/>
                  <w:bottom w:w="28" w:type="dxa"/>
                  <w:right w:w="28" w:type="dxa"/>
                </w:tblCellMar>
              </w:tblPrEx>
              <w:trPr>
                <w:cantSplit/>
                <w:trHeight w:val="340" w:hRule="atLeast"/>
                <w:jc w:val="center"/>
              </w:trPr>
              <w:tc>
                <w:tcPr>
                  <w:tcW w:w="691" w:type="dxa"/>
                  <w:noWrap w:val="0"/>
                  <w:tcMar>
                    <w:top w:w="28" w:type="dxa"/>
                    <w:left w:w="0" w:type="dxa"/>
                    <w:bottom w:w="28" w:type="dxa"/>
                    <w:right w:w="0" w:type="dxa"/>
                  </w:tcMar>
                  <w:vAlign w:val="center"/>
                </w:tcPr>
                <w:p w14:paraId="45CCB3B6">
                  <w:pPr>
                    <w:pageBreakBefore w:val="0"/>
                    <w:kinsoku/>
                    <w:wordWrap/>
                    <w:topLinePunct w:val="0"/>
                    <w:autoSpaceDE w:val="0"/>
                    <w:autoSpaceDN w:val="0"/>
                    <w:bidi w:val="0"/>
                    <w:spacing w:line="280" w:lineRule="exact"/>
                    <w:jc w:val="center"/>
                    <w:rPr>
                      <w:szCs w:val="21"/>
                    </w:rPr>
                  </w:pPr>
                  <w:r>
                    <w:rPr>
                      <w:szCs w:val="21"/>
                    </w:rPr>
                    <w:t>CO</w:t>
                  </w:r>
                </w:p>
              </w:tc>
              <w:tc>
                <w:tcPr>
                  <w:tcW w:w="3164" w:type="dxa"/>
                  <w:noWrap w:val="0"/>
                  <w:tcMar>
                    <w:top w:w="28" w:type="dxa"/>
                    <w:left w:w="0" w:type="dxa"/>
                    <w:bottom w:w="28" w:type="dxa"/>
                    <w:right w:w="0" w:type="dxa"/>
                  </w:tcMar>
                  <w:vAlign w:val="center"/>
                </w:tcPr>
                <w:p w14:paraId="41ACFDC3">
                  <w:pPr>
                    <w:pageBreakBefore w:val="0"/>
                    <w:kinsoku/>
                    <w:wordWrap/>
                    <w:topLinePunct w:val="0"/>
                    <w:autoSpaceDE w:val="0"/>
                    <w:autoSpaceDN w:val="0"/>
                    <w:bidi w:val="0"/>
                    <w:spacing w:line="280" w:lineRule="exact"/>
                    <w:jc w:val="center"/>
                    <w:rPr>
                      <w:szCs w:val="21"/>
                    </w:rPr>
                  </w:pPr>
                  <w:r>
                    <w:rPr>
                      <w:szCs w:val="21"/>
                    </w:rPr>
                    <w:t>24小时平均第95百分位数</w:t>
                  </w:r>
                </w:p>
              </w:tc>
              <w:tc>
                <w:tcPr>
                  <w:tcW w:w="970" w:type="dxa"/>
                  <w:noWrap w:val="0"/>
                  <w:tcMar>
                    <w:top w:w="28" w:type="dxa"/>
                    <w:left w:w="0" w:type="dxa"/>
                    <w:bottom w:w="28" w:type="dxa"/>
                    <w:right w:w="0" w:type="dxa"/>
                  </w:tcMar>
                  <w:vAlign w:val="center"/>
                </w:tcPr>
                <w:p w14:paraId="7E48C6C7">
                  <w:pPr>
                    <w:pageBreakBefore w:val="0"/>
                    <w:kinsoku/>
                    <w:wordWrap/>
                    <w:topLinePunct w:val="0"/>
                    <w:autoSpaceDE w:val="0"/>
                    <w:autoSpaceDN w:val="0"/>
                    <w:bidi w:val="0"/>
                    <w:spacing w:line="280" w:lineRule="exact"/>
                    <w:jc w:val="center"/>
                    <w:rPr>
                      <w:szCs w:val="21"/>
                    </w:rPr>
                  </w:pPr>
                  <w:r>
                    <w:rPr>
                      <w:rFonts w:hint="eastAsia"/>
                      <w:szCs w:val="21"/>
                    </w:rPr>
                    <w:t>2500</w:t>
                  </w:r>
                </w:p>
              </w:tc>
              <w:tc>
                <w:tcPr>
                  <w:tcW w:w="994" w:type="dxa"/>
                  <w:noWrap w:val="0"/>
                  <w:tcMar>
                    <w:top w:w="28" w:type="dxa"/>
                    <w:left w:w="0" w:type="dxa"/>
                    <w:bottom w:w="28" w:type="dxa"/>
                    <w:right w:w="0" w:type="dxa"/>
                  </w:tcMar>
                  <w:vAlign w:val="center"/>
                </w:tcPr>
                <w:p w14:paraId="1E8902B1">
                  <w:pPr>
                    <w:pageBreakBefore w:val="0"/>
                    <w:kinsoku/>
                    <w:wordWrap/>
                    <w:topLinePunct w:val="0"/>
                    <w:autoSpaceDE w:val="0"/>
                    <w:autoSpaceDN w:val="0"/>
                    <w:bidi w:val="0"/>
                    <w:spacing w:line="280" w:lineRule="exact"/>
                    <w:jc w:val="center"/>
                    <w:rPr>
                      <w:szCs w:val="21"/>
                    </w:rPr>
                  </w:pPr>
                  <w:r>
                    <w:rPr>
                      <w:szCs w:val="21"/>
                    </w:rPr>
                    <w:t>4000</w:t>
                  </w:r>
                </w:p>
              </w:tc>
              <w:tc>
                <w:tcPr>
                  <w:tcW w:w="1151" w:type="dxa"/>
                  <w:noWrap w:val="0"/>
                  <w:tcMar>
                    <w:top w:w="28" w:type="dxa"/>
                    <w:left w:w="0" w:type="dxa"/>
                    <w:bottom w:w="28" w:type="dxa"/>
                    <w:right w:w="0" w:type="dxa"/>
                  </w:tcMar>
                  <w:vAlign w:val="center"/>
                </w:tcPr>
                <w:p w14:paraId="3C5CDCA4">
                  <w:pPr>
                    <w:pageBreakBefore w:val="0"/>
                    <w:kinsoku/>
                    <w:wordWrap/>
                    <w:topLinePunct w:val="0"/>
                    <w:autoSpaceDE w:val="0"/>
                    <w:autoSpaceDN w:val="0"/>
                    <w:bidi w:val="0"/>
                    <w:spacing w:line="280" w:lineRule="exact"/>
                    <w:jc w:val="center"/>
                    <w:rPr>
                      <w:szCs w:val="21"/>
                    </w:rPr>
                  </w:pPr>
                  <w:r>
                    <w:rPr>
                      <w:rFonts w:hint="eastAsia"/>
                      <w:szCs w:val="21"/>
                    </w:rPr>
                    <w:t>62.5</w:t>
                  </w:r>
                </w:p>
              </w:tc>
              <w:tc>
                <w:tcPr>
                  <w:tcW w:w="1420" w:type="dxa"/>
                  <w:noWrap w:val="0"/>
                  <w:tcMar>
                    <w:top w:w="28" w:type="dxa"/>
                    <w:left w:w="0" w:type="dxa"/>
                    <w:bottom w:w="28" w:type="dxa"/>
                    <w:right w:w="0" w:type="dxa"/>
                  </w:tcMar>
                  <w:vAlign w:val="center"/>
                </w:tcPr>
                <w:p w14:paraId="6E9AE30B">
                  <w:pPr>
                    <w:pageBreakBefore w:val="0"/>
                    <w:kinsoku/>
                    <w:wordWrap/>
                    <w:topLinePunct w:val="0"/>
                    <w:autoSpaceDE w:val="0"/>
                    <w:autoSpaceDN w:val="0"/>
                    <w:bidi w:val="0"/>
                    <w:spacing w:line="280" w:lineRule="exact"/>
                    <w:jc w:val="center"/>
                    <w:rPr>
                      <w:szCs w:val="21"/>
                    </w:rPr>
                  </w:pPr>
                  <w:r>
                    <w:rPr>
                      <w:szCs w:val="21"/>
                    </w:rPr>
                    <w:t>达标</w:t>
                  </w:r>
                </w:p>
              </w:tc>
            </w:tr>
            <w:tr w14:paraId="3877CDE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28" w:type="dxa"/>
                  <w:left w:w="28" w:type="dxa"/>
                  <w:bottom w:w="28" w:type="dxa"/>
                  <w:right w:w="28" w:type="dxa"/>
                </w:tblCellMar>
              </w:tblPrEx>
              <w:trPr>
                <w:cantSplit/>
                <w:trHeight w:val="340" w:hRule="atLeast"/>
                <w:jc w:val="center"/>
              </w:trPr>
              <w:tc>
                <w:tcPr>
                  <w:tcW w:w="691" w:type="dxa"/>
                  <w:noWrap w:val="0"/>
                  <w:tcMar>
                    <w:top w:w="28" w:type="dxa"/>
                    <w:left w:w="0" w:type="dxa"/>
                    <w:bottom w:w="28" w:type="dxa"/>
                    <w:right w:w="0" w:type="dxa"/>
                  </w:tcMar>
                  <w:vAlign w:val="center"/>
                </w:tcPr>
                <w:p w14:paraId="5B5FE1B1">
                  <w:pPr>
                    <w:pageBreakBefore w:val="0"/>
                    <w:kinsoku/>
                    <w:wordWrap/>
                    <w:topLinePunct w:val="0"/>
                    <w:autoSpaceDE w:val="0"/>
                    <w:autoSpaceDN w:val="0"/>
                    <w:bidi w:val="0"/>
                    <w:spacing w:line="280" w:lineRule="exact"/>
                    <w:jc w:val="center"/>
                    <w:rPr>
                      <w:szCs w:val="21"/>
                    </w:rPr>
                  </w:pPr>
                  <w:r>
                    <w:rPr>
                      <w:szCs w:val="21"/>
                    </w:rPr>
                    <w:t>O</w:t>
                  </w:r>
                  <w:r>
                    <w:rPr>
                      <w:szCs w:val="21"/>
                      <w:vertAlign w:val="subscript"/>
                    </w:rPr>
                    <w:t>3</w:t>
                  </w:r>
                </w:p>
              </w:tc>
              <w:tc>
                <w:tcPr>
                  <w:tcW w:w="3164" w:type="dxa"/>
                  <w:noWrap w:val="0"/>
                  <w:tcMar>
                    <w:top w:w="28" w:type="dxa"/>
                    <w:left w:w="0" w:type="dxa"/>
                    <w:bottom w:w="28" w:type="dxa"/>
                    <w:right w:w="0" w:type="dxa"/>
                  </w:tcMar>
                  <w:vAlign w:val="center"/>
                </w:tcPr>
                <w:p w14:paraId="7C8A9F02">
                  <w:pPr>
                    <w:pageBreakBefore w:val="0"/>
                    <w:kinsoku/>
                    <w:wordWrap/>
                    <w:topLinePunct w:val="0"/>
                    <w:autoSpaceDE w:val="0"/>
                    <w:autoSpaceDN w:val="0"/>
                    <w:bidi w:val="0"/>
                    <w:spacing w:line="280" w:lineRule="exact"/>
                    <w:jc w:val="center"/>
                    <w:rPr>
                      <w:szCs w:val="21"/>
                    </w:rPr>
                  </w:pPr>
                  <w:r>
                    <w:rPr>
                      <w:szCs w:val="21"/>
                    </w:rPr>
                    <w:t>最大8小时平均第90百分位数</w:t>
                  </w:r>
                </w:p>
              </w:tc>
              <w:tc>
                <w:tcPr>
                  <w:tcW w:w="970" w:type="dxa"/>
                  <w:noWrap w:val="0"/>
                  <w:tcMar>
                    <w:top w:w="28" w:type="dxa"/>
                    <w:left w:w="0" w:type="dxa"/>
                    <w:bottom w:w="28" w:type="dxa"/>
                    <w:right w:w="0" w:type="dxa"/>
                  </w:tcMar>
                  <w:vAlign w:val="center"/>
                </w:tcPr>
                <w:p w14:paraId="167A739A">
                  <w:pPr>
                    <w:pageBreakBefore w:val="0"/>
                    <w:kinsoku/>
                    <w:wordWrap/>
                    <w:topLinePunct w:val="0"/>
                    <w:autoSpaceDE w:val="0"/>
                    <w:autoSpaceDN w:val="0"/>
                    <w:bidi w:val="0"/>
                    <w:spacing w:line="280" w:lineRule="exact"/>
                    <w:jc w:val="center"/>
                    <w:rPr>
                      <w:szCs w:val="21"/>
                    </w:rPr>
                  </w:pPr>
                  <w:r>
                    <w:rPr>
                      <w:rFonts w:hint="eastAsia"/>
                      <w:szCs w:val="21"/>
                    </w:rPr>
                    <w:t>129</w:t>
                  </w:r>
                </w:p>
              </w:tc>
              <w:tc>
                <w:tcPr>
                  <w:tcW w:w="994" w:type="dxa"/>
                  <w:noWrap w:val="0"/>
                  <w:tcMar>
                    <w:top w:w="28" w:type="dxa"/>
                    <w:left w:w="0" w:type="dxa"/>
                    <w:bottom w:w="28" w:type="dxa"/>
                    <w:right w:w="0" w:type="dxa"/>
                  </w:tcMar>
                  <w:vAlign w:val="center"/>
                </w:tcPr>
                <w:p w14:paraId="3747BC04">
                  <w:pPr>
                    <w:pageBreakBefore w:val="0"/>
                    <w:kinsoku/>
                    <w:wordWrap/>
                    <w:topLinePunct w:val="0"/>
                    <w:autoSpaceDE w:val="0"/>
                    <w:autoSpaceDN w:val="0"/>
                    <w:bidi w:val="0"/>
                    <w:spacing w:line="280" w:lineRule="exact"/>
                    <w:jc w:val="center"/>
                    <w:rPr>
                      <w:szCs w:val="21"/>
                    </w:rPr>
                  </w:pPr>
                  <w:r>
                    <w:rPr>
                      <w:szCs w:val="21"/>
                    </w:rPr>
                    <w:t>160</w:t>
                  </w:r>
                </w:p>
              </w:tc>
              <w:tc>
                <w:tcPr>
                  <w:tcW w:w="1151" w:type="dxa"/>
                  <w:noWrap w:val="0"/>
                  <w:tcMar>
                    <w:top w:w="28" w:type="dxa"/>
                    <w:left w:w="0" w:type="dxa"/>
                    <w:bottom w:w="28" w:type="dxa"/>
                    <w:right w:w="0" w:type="dxa"/>
                  </w:tcMar>
                  <w:vAlign w:val="center"/>
                </w:tcPr>
                <w:p w14:paraId="586D325A">
                  <w:pPr>
                    <w:pageBreakBefore w:val="0"/>
                    <w:kinsoku/>
                    <w:wordWrap/>
                    <w:topLinePunct w:val="0"/>
                    <w:autoSpaceDE w:val="0"/>
                    <w:autoSpaceDN w:val="0"/>
                    <w:bidi w:val="0"/>
                    <w:spacing w:line="280" w:lineRule="exact"/>
                    <w:jc w:val="center"/>
                    <w:rPr>
                      <w:szCs w:val="21"/>
                    </w:rPr>
                  </w:pPr>
                  <w:r>
                    <w:rPr>
                      <w:rFonts w:hint="eastAsia"/>
                      <w:szCs w:val="21"/>
                    </w:rPr>
                    <w:t>80.6</w:t>
                  </w:r>
                </w:p>
              </w:tc>
              <w:tc>
                <w:tcPr>
                  <w:tcW w:w="1420" w:type="dxa"/>
                  <w:noWrap w:val="0"/>
                  <w:tcMar>
                    <w:top w:w="28" w:type="dxa"/>
                    <w:left w:w="0" w:type="dxa"/>
                    <w:bottom w:w="28" w:type="dxa"/>
                    <w:right w:w="0" w:type="dxa"/>
                  </w:tcMar>
                  <w:vAlign w:val="center"/>
                </w:tcPr>
                <w:p w14:paraId="6EABC413">
                  <w:pPr>
                    <w:pageBreakBefore w:val="0"/>
                    <w:kinsoku/>
                    <w:wordWrap/>
                    <w:topLinePunct w:val="0"/>
                    <w:autoSpaceDE w:val="0"/>
                    <w:autoSpaceDN w:val="0"/>
                    <w:bidi w:val="0"/>
                    <w:spacing w:line="280" w:lineRule="exact"/>
                    <w:jc w:val="center"/>
                    <w:rPr>
                      <w:szCs w:val="21"/>
                    </w:rPr>
                  </w:pPr>
                  <w:r>
                    <w:rPr>
                      <w:szCs w:val="21"/>
                    </w:rPr>
                    <w:t>达标</w:t>
                  </w:r>
                </w:p>
              </w:tc>
            </w:tr>
          </w:tbl>
          <w:p w14:paraId="2BF44EB5">
            <w:pPr>
              <w:pageBreakBefore w:val="0"/>
              <w:kinsoku/>
              <w:wordWrap/>
              <w:topLinePunct w:val="0"/>
              <w:autoSpaceDE w:val="0"/>
              <w:autoSpaceDN w:val="0"/>
              <w:bidi w:val="0"/>
              <w:spacing w:line="360" w:lineRule="auto"/>
              <w:ind w:firstLine="480" w:firstLineChars="200"/>
              <w:rPr>
                <w:sz w:val="24"/>
              </w:rPr>
            </w:pPr>
            <w:r>
              <w:rPr>
                <w:sz w:val="24"/>
              </w:rPr>
              <w:t>由上表可知本项目所在区域除PM</w:t>
            </w:r>
            <w:r>
              <w:rPr>
                <w:sz w:val="24"/>
                <w:vertAlign w:val="subscript"/>
              </w:rPr>
              <w:t>10</w:t>
            </w:r>
            <w:r>
              <w:rPr>
                <w:sz w:val="24"/>
              </w:rPr>
              <w:t>、PM</w:t>
            </w:r>
            <w:r>
              <w:rPr>
                <w:sz w:val="24"/>
                <w:vertAlign w:val="subscript"/>
              </w:rPr>
              <w:t>2.5</w:t>
            </w:r>
            <w:r>
              <w:rPr>
                <w:sz w:val="24"/>
              </w:rPr>
              <w:t>外各项基本污染物均能够满足《环境空气质量标准》（GB</w:t>
            </w:r>
            <w:r>
              <w:rPr>
                <w:rFonts w:hint="eastAsia"/>
                <w:sz w:val="24"/>
              </w:rPr>
              <w:t xml:space="preserve"> </w:t>
            </w:r>
            <w:r>
              <w:rPr>
                <w:sz w:val="24"/>
              </w:rPr>
              <w:t>3095-2012）中二级标准限值，属于环境质量不达标区。PM</w:t>
            </w:r>
            <w:r>
              <w:rPr>
                <w:sz w:val="24"/>
                <w:vertAlign w:val="subscript"/>
              </w:rPr>
              <w:t>10</w:t>
            </w:r>
            <w:r>
              <w:rPr>
                <w:sz w:val="24"/>
              </w:rPr>
              <w:t>和PM</w:t>
            </w:r>
            <w:r>
              <w:rPr>
                <w:sz w:val="24"/>
                <w:vertAlign w:val="subscript"/>
              </w:rPr>
              <w:t>2.5</w:t>
            </w:r>
            <w:r>
              <w:rPr>
                <w:sz w:val="24"/>
              </w:rPr>
              <w:t>超标系当地地理及气象因素所致。</w:t>
            </w:r>
          </w:p>
          <w:p w14:paraId="62AA9FD7">
            <w:pPr>
              <w:pageBreakBefore w:val="0"/>
              <w:kinsoku/>
              <w:wordWrap/>
              <w:topLinePunct w:val="0"/>
              <w:autoSpaceDE w:val="0"/>
              <w:autoSpaceDN w:val="0"/>
              <w:bidi w:val="0"/>
              <w:spacing w:line="360" w:lineRule="auto"/>
              <w:ind w:firstLine="482" w:firstLineChars="200"/>
              <w:rPr>
                <w:sz w:val="24"/>
              </w:rPr>
            </w:pPr>
            <w:r>
              <w:rPr>
                <w:b/>
                <w:sz w:val="24"/>
              </w:rPr>
              <w:t>1.2 特征污染物现状评价</w:t>
            </w:r>
          </w:p>
          <w:p w14:paraId="337F0094">
            <w:pPr>
              <w:keepNext w:val="0"/>
              <w:keepLines w:val="0"/>
              <w:pageBreakBefore w:val="0"/>
              <w:widowControl/>
              <w:kinsoku/>
              <w:wordWrap/>
              <w:overflowPunct/>
              <w:topLinePunct w:val="0"/>
              <w:autoSpaceDE w:val="0"/>
              <w:autoSpaceDN w:val="0"/>
              <w:bidi w:val="0"/>
              <w:adjustRightInd/>
              <w:snapToGrid/>
              <w:spacing w:beforeLines="0" w:line="360" w:lineRule="auto"/>
              <w:ind w:firstLine="480" w:firstLineChars="200"/>
              <w:textAlignment w:val="auto"/>
              <w:rPr>
                <w:rFonts w:hint="default" w:ascii="Times New Roman" w:hAnsi="Times New Roman" w:eastAsia="宋体" w:cs="Times New Roman"/>
                <w:b w:val="0"/>
                <w:snapToGrid w:val="0"/>
                <w:color w:val="auto"/>
                <w:kern w:val="0"/>
                <w:sz w:val="24"/>
                <w:szCs w:val="32"/>
                <w:highlight w:val="none"/>
                <w:lang w:val="en-US" w:eastAsia="zh-CN" w:bidi="ar-SA"/>
              </w:rPr>
            </w:pPr>
            <w:r>
              <w:rPr>
                <w:rFonts w:hint="default" w:ascii="Times New Roman" w:hAnsi="Times New Roman" w:cs="Times New Roman"/>
                <w:b w:val="0"/>
                <w:snapToGrid w:val="0"/>
                <w:color w:val="auto"/>
                <w:kern w:val="0"/>
                <w:sz w:val="24"/>
                <w:szCs w:val="32"/>
                <w:highlight w:val="none"/>
                <w:lang w:val="en-US" w:eastAsia="zh-CN" w:bidi="ar-SA"/>
              </w:rPr>
              <w:t>（1）评价因子</w:t>
            </w:r>
          </w:p>
          <w:p w14:paraId="1992EBEB">
            <w:pPr>
              <w:pStyle w:val="18"/>
              <w:pageBreakBefore w:val="0"/>
              <w:kinsoku/>
              <w:wordWrap/>
              <w:topLinePunct w:val="0"/>
              <w:bidi w:val="0"/>
              <w:rPr>
                <w:rFonts w:hint="default" w:ascii="Times New Roman" w:hAnsi="Times New Roman" w:cs="Times New Roman"/>
                <w:b w:val="0"/>
                <w:bCs w:val="0"/>
                <w:color w:val="0000FF"/>
                <w:spacing w:val="0"/>
                <w:kern w:val="0"/>
                <w:sz w:val="24"/>
                <w:highlight w:val="none"/>
                <w:lang w:val="en-US" w:eastAsia="zh-CN"/>
              </w:rPr>
            </w:pPr>
            <w:r>
              <w:rPr>
                <w:rFonts w:hint="eastAsia"/>
                <w:spacing w:val="0"/>
                <w:sz w:val="24"/>
                <w:lang w:val="en-US" w:eastAsia="zh-CN"/>
              </w:rPr>
              <w:t>本项目运营期可能存在荒煤气的无组织排放，主要构成是烷烃类。为确定项目所在区域环境质量现状，本次评价对非甲烷总烃进行补充监测。</w:t>
            </w:r>
          </w:p>
          <w:p w14:paraId="62DE4CA9">
            <w:pPr>
              <w:keepNext w:val="0"/>
              <w:keepLines w:val="0"/>
              <w:pageBreakBefore w:val="0"/>
              <w:widowControl/>
              <w:tabs>
                <w:tab w:val="left" w:pos="0"/>
              </w:tabs>
              <w:kinsoku/>
              <w:wordWrap/>
              <w:overflowPunct/>
              <w:topLinePunct w:val="0"/>
              <w:autoSpaceDE/>
              <w:autoSpaceDN/>
              <w:bidi w:val="0"/>
              <w:adjustRightInd/>
              <w:snapToGrid/>
              <w:spacing w:before="0" w:beforeLines="0" w:line="360" w:lineRule="auto"/>
              <w:ind w:left="0" w:lef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rPr>
              <w:t>）评价标准</w:t>
            </w:r>
          </w:p>
          <w:p w14:paraId="0F2EE460">
            <w:pPr>
              <w:pageBreakBefore w:val="0"/>
              <w:widowControl/>
              <w:tabs>
                <w:tab w:val="left" w:pos="0"/>
              </w:tabs>
              <w:kinsoku/>
              <w:wordWrap/>
              <w:topLinePunct w:val="0"/>
              <w:bidi w:val="0"/>
              <w:adjustRightInd/>
              <w:snapToGrid/>
              <w:spacing w:beforeLines="0" w:line="360" w:lineRule="auto"/>
              <w:ind w:firstLine="480" w:firstLineChars="200"/>
              <w:jc w:val="both"/>
              <w:outlineLvl w:val="9"/>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非甲烷总烃评价标准采用《大气污染物综合排放标准详解》中制定的2.0mg/m</w:t>
            </w:r>
            <w:r>
              <w:rPr>
                <w:rFonts w:hint="default" w:ascii="Times New Roman" w:hAnsi="Times New Roman" w:cs="Times New Roman"/>
                <w:color w:val="auto"/>
                <w:sz w:val="24"/>
                <w:highlight w:val="none"/>
                <w:vertAlign w:val="superscript"/>
                <w:lang w:val="en-US" w:eastAsia="zh-CN"/>
              </w:rPr>
              <w:t>3</w:t>
            </w:r>
            <w:r>
              <w:rPr>
                <w:rFonts w:hint="default" w:ascii="Times New Roman" w:hAnsi="Times New Roman" w:cs="Times New Roman"/>
                <w:color w:val="auto"/>
                <w:sz w:val="24"/>
                <w:highlight w:val="none"/>
                <w:lang w:val="en-US" w:eastAsia="zh-CN"/>
              </w:rPr>
              <w:t>质量标准要求</w:t>
            </w:r>
            <w:r>
              <w:rPr>
                <w:rFonts w:hint="default" w:ascii="Times New Roman" w:hAnsi="Times New Roman" w:eastAsia="宋体" w:cs="Times New Roman"/>
                <w:color w:val="auto"/>
                <w:sz w:val="24"/>
                <w:highlight w:val="none"/>
              </w:rPr>
              <w:t>，其标准详见</w:t>
            </w:r>
            <w:r>
              <w:rPr>
                <w:rFonts w:hint="default" w:ascii="Times New Roman" w:hAnsi="Times New Roman" w:eastAsia="宋体" w:cs="Times New Roman"/>
                <w:color w:val="auto"/>
                <w:sz w:val="24"/>
                <w:highlight w:val="none"/>
                <w:lang w:val="en-US" w:eastAsia="zh-CN"/>
              </w:rPr>
              <w:t>下</w:t>
            </w:r>
            <w:r>
              <w:rPr>
                <w:rFonts w:hint="default" w:ascii="Times New Roman" w:hAnsi="Times New Roman" w:eastAsia="宋体" w:cs="Times New Roman"/>
                <w:color w:val="auto"/>
                <w:sz w:val="24"/>
                <w:highlight w:val="none"/>
              </w:rPr>
              <w:t>表。</w:t>
            </w:r>
          </w:p>
          <w:p w14:paraId="350E5C4F">
            <w:pPr>
              <w:pStyle w:val="25"/>
              <w:pageBreakBefore w:val="0"/>
              <w:kinsoku/>
              <w:wordWrap/>
              <w:topLinePunct w:val="0"/>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表3-</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 xml:space="preserve">  环境空气质量标准</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1467"/>
              <w:gridCol w:w="2646"/>
              <w:gridCol w:w="4277"/>
            </w:tblGrid>
            <w:tr w14:paraId="2753E1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0" w:type="auto"/>
                  <w:tcBorders>
                    <w:tl2br w:val="nil"/>
                    <w:tr2bl w:val="nil"/>
                  </w:tcBorders>
                  <w:noWrap w:val="0"/>
                  <w:vAlign w:val="center"/>
                </w:tcPr>
                <w:p w14:paraId="413A7709">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rPr>
                    <w:t>污染物</w:t>
                  </w:r>
                </w:p>
              </w:tc>
              <w:tc>
                <w:tcPr>
                  <w:tcW w:w="0" w:type="auto"/>
                  <w:tcBorders>
                    <w:tl2br w:val="nil"/>
                    <w:tr2bl w:val="nil"/>
                  </w:tcBorders>
                  <w:noWrap w:val="0"/>
                  <w:vAlign w:val="center"/>
                </w:tcPr>
                <w:p w14:paraId="0EE1FB03">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rPr>
                    <w:t>小时浓度限值(μg/m</w:t>
                  </w:r>
                  <w:r>
                    <w:rPr>
                      <w:rFonts w:hint="default" w:ascii="Times New Roman" w:hAnsi="Times New Roman" w:eastAsia="宋体" w:cs="Times New Roman"/>
                      <w:b/>
                      <w:bCs/>
                      <w:snapToGrid w:val="0"/>
                      <w:color w:val="auto"/>
                      <w:kern w:val="0"/>
                      <w:sz w:val="21"/>
                      <w:szCs w:val="21"/>
                      <w:highlight w:val="none"/>
                      <w:vertAlign w:val="superscript"/>
                      <w:lang w:val="en-US" w:eastAsia="zh-CN"/>
                    </w:rPr>
                    <w:t>3</w:t>
                  </w:r>
                  <w:r>
                    <w:rPr>
                      <w:rFonts w:hint="default" w:ascii="Times New Roman" w:hAnsi="Times New Roman" w:eastAsia="宋体" w:cs="Times New Roman"/>
                      <w:b/>
                      <w:bCs/>
                      <w:snapToGrid w:val="0"/>
                      <w:color w:val="auto"/>
                      <w:kern w:val="0"/>
                      <w:sz w:val="21"/>
                      <w:szCs w:val="21"/>
                      <w:highlight w:val="none"/>
                      <w:vertAlign w:val="baseline"/>
                      <w:lang w:val="en-US" w:eastAsia="zh-CN"/>
                    </w:rPr>
                    <w:t>)</w:t>
                  </w:r>
                </w:p>
              </w:tc>
              <w:tc>
                <w:tcPr>
                  <w:tcW w:w="0" w:type="auto"/>
                  <w:tcBorders>
                    <w:tl2br w:val="nil"/>
                    <w:tr2bl w:val="nil"/>
                  </w:tcBorders>
                  <w:noWrap w:val="0"/>
                  <w:vAlign w:val="center"/>
                </w:tcPr>
                <w:p w14:paraId="6148A633">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cs="Times New Roman"/>
                      <w:b/>
                      <w:bCs/>
                      <w:snapToGrid w:val="0"/>
                      <w:color w:val="auto"/>
                      <w:kern w:val="0"/>
                      <w:sz w:val="21"/>
                      <w:szCs w:val="21"/>
                      <w:highlight w:val="none"/>
                      <w:lang w:val="en-US" w:eastAsia="zh-CN"/>
                    </w:rPr>
                    <w:t>执行标准</w:t>
                  </w:r>
                </w:p>
              </w:tc>
            </w:tr>
            <w:tr w14:paraId="372BFB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0" w:type="auto"/>
                  <w:tcBorders>
                    <w:tl2br w:val="nil"/>
                    <w:tr2bl w:val="nil"/>
                  </w:tcBorders>
                  <w:noWrap w:val="0"/>
                  <w:vAlign w:val="center"/>
                </w:tcPr>
                <w:p w14:paraId="0D6293EE">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非甲烷总烃</w:t>
                  </w:r>
                </w:p>
              </w:tc>
              <w:tc>
                <w:tcPr>
                  <w:tcW w:w="0" w:type="auto"/>
                  <w:tcBorders>
                    <w:tl2br w:val="nil"/>
                    <w:tr2bl w:val="nil"/>
                  </w:tcBorders>
                  <w:noWrap w:val="0"/>
                  <w:vAlign w:val="center"/>
                </w:tcPr>
                <w:p w14:paraId="481C5520">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2000</w:t>
                  </w:r>
                </w:p>
              </w:tc>
              <w:tc>
                <w:tcPr>
                  <w:tcW w:w="0" w:type="auto"/>
                  <w:tcBorders>
                    <w:tl2br w:val="nil"/>
                    <w:tr2bl w:val="nil"/>
                  </w:tcBorders>
                  <w:noWrap w:val="0"/>
                  <w:vAlign w:val="center"/>
                </w:tcPr>
                <w:p w14:paraId="15100D9A">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《大气污染物综合排放标准详解》</w:t>
                  </w:r>
                </w:p>
              </w:tc>
            </w:tr>
          </w:tbl>
          <w:p w14:paraId="1A2806B7">
            <w:pPr>
              <w:keepNext w:val="0"/>
              <w:keepLines w:val="0"/>
              <w:pageBreakBefore w:val="0"/>
              <w:widowControl/>
              <w:tabs>
                <w:tab w:val="left" w:pos="0"/>
              </w:tabs>
              <w:kinsoku/>
              <w:wordWrap/>
              <w:overflowPunct/>
              <w:topLinePunct w:val="0"/>
              <w:autoSpaceDE/>
              <w:autoSpaceDN/>
              <w:bidi w:val="0"/>
              <w:adjustRightInd/>
              <w:snapToGrid/>
              <w:spacing w:before="0" w:beforeLines="0" w:line="360" w:lineRule="auto"/>
              <w:ind w:left="0" w:leftChars="0" w:firstLine="480" w:firstLineChars="200"/>
              <w:jc w:val="both"/>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lang w:val="en-US" w:eastAsia="zh-CN"/>
              </w:rPr>
              <w:t>3</w:t>
            </w:r>
            <w:r>
              <w:rPr>
                <w:rFonts w:hint="default" w:ascii="Times New Roman" w:hAnsi="Times New Roman" w:eastAsia="宋体" w:cs="Times New Roman"/>
                <w:color w:val="auto"/>
                <w:sz w:val="24"/>
                <w:highlight w:val="none"/>
              </w:rPr>
              <w:t>）评价方法</w:t>
            </w:r>
          </w:p>
          <w:p w14:paraId="6B1D629A">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环境空气质量现状采用最大浓度占标率法进行评价。</w:t>
            </w:r>
          </w:p>
          <w:p w14:paraId="2C488E79">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计算公式为：</w:t>
            </w:r>
          </w:p>
          <w:p w14:paraId="7E54037B">
            <w:pPr>
              <w:pageBreakBefore w:val="0"/>
              <w:kinsoku/>
              <w:wordWrap/>
              <w:topLinePunct w:val="0"/>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object>
                <v:shape id="_x0000_i1027" o:spt="75" type="#_x0000_t75" style="height:36.5pt;width:85pt;" o:ole="t" filled="f" o:preferrelative="t" stroked="f" coordsize="21600,21600">
                  <v:path/>
                  <v:fill on="f" focussize="0,0"/>
                  <v:stroke on="f"/>
                  <v:imagedata r:id="rId19" o:title=""/>
                  <o:lock v:ext="edit" aspectratio="t"/>
                  <w10:wrap type="none"/>
                  <w10:anchorlock/>
                </v:shape>
                <o:OLEObject Type="Embed" ProgID="Equation.3" ShapeID="_x0000_i1027" DrawAspect="Content" ObjectID="_1468075727" r:id="rId18">
                  <o:LockedField>false</o:LockedField>
                </o:OLEObject>
              </w:object>
            </w:r>
          </w:p>
          <w:p w14:paraId="33CF4C21">
            <w:pPr>
              <w:keepNext w:val="0"/>
              <w:keepLines w:val="0"/>
              <w:pageBreakBefore w:val="0"/>
              <w:widowControl w:val="0"/>
              <w:kinsoku/>
              <w:wordWrap/>
              <w:overflowPunct/>
              <w:topLinePunct w:val="0"/>
              <w:autoSpaceDE/>
              <w:autoSpaceDN/>
              <w:bidi w:val="0"/>
              <w:adjustRightInd/>
              <w:snapToGrid/>
              <w:spacing w:beforeLines="0" w:line="360" w:lineRule="auto"/>
              <w:ind w:firstLine="480"/>
              <w:textAlignment w:val="auto"/>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snapToGrid w:val="0"/>
                <w:color w:val="auto"/>
                <w:kern w:val="0"/>
                <w:sz w:val="24"/>
                <w:szCs w:val="24"/>
                <w:highlight w:val="none"/>
              </w:rPr>
              <w:t>式中：P</w:t>
            </w:r>
            <w:r>
              <w:rPr>
                <w:rFonts w:hint="default" w:ascii="Times New Roman" w:hAnsi="Times New Roman" w:eastAsia="宋体" w:cs="Times New Roman"/>
                <w:snapToGrid w:val="0"/>
                <w:color w:val="auto"/>
                <w:kern w:val="0"/>
                <w:sz w:val="24"/>
                <w:szCs w:val="24"/>
                <w:highlight w:val="none"/>
                <w:vertAlign w:val="subscript"/>
              </w:rPr>
              <w:t>i</w:t>
            </w:r>
            <w:r>
              <w:rPr>
                <w:rFonts w:hint="default" w:ascii="Times New Roman" w:hAnsi="Times New Roman" w:eastAsia="宋体" w:cs="Times New Roman"/>
                <w:snapToGrid w:val="0"/>
                <w:color w:val="auto"/>
                <w:kern w:val="0"/>
                <w:sz w:val="24"/>
                <w:szCs w:val="24"/>
                <w:highlight w:val="none"/>
              </w:rPr>
              <w:t>——污染物i的空气质量浓度占标率，%；</w:t>
            </w:r>
          </w:p>
          <w:p w14:paraId="194A0027">
            <w:pPr>
              <w:keepNext w:val="0"/>
              <w:keepLines w:val="0"/>
              <w:pageBreakBefore w:val="0"/>
              <w:widowControl w:val="0"/>
              <w:kinsoku/>
              <w:wordWrap/>
              <w:overflowPunct/>
              <w:topLinePunct w:val="0"/>
              <w:autoSpaceDE/>
              <w:autoSpaceDN/>
              <w:bidi w:val="0"/>
              <w:adjustRightInd/>
              <w:snapToGrid/>
              <w:spacing w:beforeLines="0" w:line="360" w:lineRule="auto"/>
              <w:ind w:firstLine="1200" w:firstLineChars="500"/>
              <w:textAlignment w:val="auto"/>
              <w:rPr>
                <w:rFonts w:hint="default" w:ascii="Times New Roman" w:hAnsi="Times New Roman" w:eastAsia="宋体" w:cs="Times New Roman"/>
                <w:snapToGrid w:val="0"/>
                <w:color w:val="auto"/>
                <w:kern w:val="0"/>
                <w:sz w:val="24"/>
                <w:szCs w:val="24"/>
                <w:highlight w:val="none"/>
              </w:rPr>
            </w:pPr>
            <w:r>
              <w:rPr>
                <w:rFonts w:hint="default" w:ascii="Times New Roman" w:hAnsi="Times New Roman" w:eastAsia="宋体" w:cs="Times New Roman"/>
                <w:snapToGrid w:val="0"/>
                <w:color w:val="auto"/>
                <w:kern w:val="0"/>
                <w:sz w:val="24"/>
                <w:szCs w:val="24"/>
                <w:highlight w:val="none"/>
              </w:rPr>
              <w:t>C</w:t>
            </w:r>
            <w:r>
              <w:rPr>
                <w:rFonts w:hint="default" w:ascii="Times New Roman" w:hAnsi="Times New Roman" w:eastAsia="宋体" w:cs="Times New Roman"/>
                <w:snapToGrid w:val="0"/>
                <w:color w:val="auto"/>
                <w:kern w:val="0"/>
                <w:sz w:val="24"/>
                <w:szCs w:val="24"/>
                <w:highlight w:val="none"/>
                <w:vertAlign w:val="subscript"/>
              </w:rPr>
              <w:t>i</w:t>
            </w:r>
            <w:r>
              <w:rPr>
                <w:rFonts w:hint="default" w:ascii="Times New Roman" w:hAnsi="Times New Roman" w:eastAsia="宋体" w:cs="Times New Roman"/>
                <w:snapToGrid w:val="0"/>
                <w:color w:val="auto"/>
                <w:kern w:val="0"/>
                <w:sz w:val="24"/>
                <w:szCs w:val="24"/>
                <w:highlight w:val="none"/>
              </w:rPr>
              <w:t>——污染物i的实测结果（μg/m</w:t>
            </w:r>
            <w:r>
              <w:rPr>
                <w:rFonts w:hint="default" w:ascii="Times New Roman" w:hAnsi="Times New Roman" w:eastAsia="宋体" w:cs="Times New Roman"/>
                <w:snapToGrid w:val="0"/>
                <w:color w:val="auto"/>
                <w:kern w:val="0"/>
                <w:sz w:val="24"/>
                <w:szCs w:val="24"/>
                <w:highlight w:val="none"/>
                <w:vertAlign w:val="superscript"/>
              </w:rPr>
              <w:t>3</w:t>
            </w:r>
            <w:r>
              <w:rPr>
                <w:rFonts w:hint="default" w:ascii="Times New Roman" w:hAnsi="Times New Roman" w:eastAsia="宋体" w:cs="Times New Roman"/>
                <w:snapToGrid w:val="0"/>
                <w:color w:val="auto"/>
                <w:kern w:val="0"/>
                <w:sz w:val="24"/>
                <w:szCs w:val="24"/>
                <w:highlight w:val="none"/>
              </w:rPr>
              <w:t>）；</w:t>
            </w:r>
          </w:p>
          <w:p w14:paraId="5B7693FD">
            <w:pPr>
              <w:keepNext/>
              <w:keepLines/>
              <w:pageBreakBefore w:val="0"/>
              <w:kinsoku/>
              <w:wordWrap/>
              <w:topLinePunct w:val="0"/>
              <w:bidi w:val="0"/>
              <w:spacing w:beforeLines="0" w:line="360" w:lineRule="auto"/>
              <w:ind w:firstLine="1200" w:firstLineChars="500"/>
              <w:jc w:val="both"/>
              <w:outlineLvl w:val="9"/>
              <w:rPr>
                <w:rFonts w:hint="default" w:ascii="Times New Roman" w:hAnsi="Times New Roman" w:cs="Times New Roman"/>
                <w:b w:val="0"/>
                <w:bCs w:val="0"/>
                <w:color w:val="auto"/>
                <w:sz w:val="24"/>
                <w:szCs w:val="24"/>
                <w:lang w:val="en-US" w:eastAsia="zh-CN"/>
              </w:rPr>
            </w:pPr>
            <w:r>
              <w:rPr>
                <w:rFonts w:hint="default" w:ascii="Times New Roman" w:hAnsi="Times New Roman" w:eastAsia="宋体" w:cs="Times New Roman"/>
                <w:b w:val="0"/>
                <w:bCs w:val="0"/>
                <w:snapToGrid w:val="0"/>
                <w:color w:val="auto"/>
                <w:kern w:val="0"/>
                <w:sz w:val="24"/>
                <w:szCs w:val="24"/>
                <w:highlight w:val="none"/>
              </w:rPr>
              <w:t>C</w:t>
            </w:r>
            <w:r>
              <w:rPr>
                <w:rFonts w:hint="default" w:ascii="Times New Roman" w:hAnsi="Times New Roman" w:eastAsia="宋体" w:cs="Times New Roman"/>
                <w:b w:val="0"/>
                <w:bCs w:val="0"/>
                <w:snapToGrid w:val="0"/>
                <w:color w:val="auto"/>
                <w:kern w:val="0"/>
                <w:sz w:val="24"/>
                <w:szCs w:val="24"/>
                <w:highlight w:val="none"/>
                <w:vertAlign w:val="subscript"/>
              </w:rPr>
              <w:t>oi</w:t>
            </w:r>
            <w:r>
              <w:rPr>
                <w:rFonts w:hint="default" w:ascii="Times New Roman" w:hAnsi="Times New Roman" w:eastAsia="宋体" w:cs="Times New Roman"/>
                <w:b w:val="0"/>
                <w:bCs w:val="0"/>
                <w:snapToGrid w:val="0"/>
                <w:color w:val="auto"/>
                <w:kern w:val="0"/>
                <w:sz w:val="24"/>
                <w:szCs w:val="24"/>
                <w:highlight w:val="none"/>
              </w:rPr>
              <w:t>——污染物i的评价标准（μg/m</w:t>
            </w:r>
            <w:r>
              <w:rPr>
                <w:rFonts w:hint="default" w:ascii="Times New Roman" w:hAnsi="Times New Roman" w:eastAsia="宋体" w:cs="Times New Roman"/>
                <w:b w:val="0"/>
                <w:bCs w:val="0"/>
                <w:snapToGrid w:val="0"/>
                <w:color w:val="auto"/>
                <w:kern w:val="0"/>
                <w:sz w:val="24"/>
                <w:szCs w:val="24"/>
                <w:highlight w:val="none"/>
                <w:vertAlign w:val="superscript"/>
              </w:rPr>
              <w:t>3</w:t>
            </w:r>
            <w:r>
              <w:rPr>
                <w:rFonts w:hint="default" w:ascii="Times New Roman" w:hAnsi="Times New Roman" w:eastAsia="宋体" w:cs="Times New Roman"/>
                <w:b w:val="0"/>
                <w:bCs w:val="0"/>
                <w:snapToGrid w:val="0"/>
                <w:color w:val="auto"/>
                <w:kern w:val="0"/>
                <w:sz w:val="24"/>
                <w:szCs w:val="24"/>
                <w:highlight w:val="none"/>
              </w:rPr>
              <w:t>）。</w:t>
            </w:r>
          </w:p>
          <w:p w14:paraId="26867EA2">
            <w:pPr>
              <w:pageBreakBefore w:val="0"/>
              <w:kinsoku/>
              <w:wordWrap/>
              <w:topLinePunct w:val="0"/>
              <w:bidi w:val="0"/>
              <w:spacing w:beforeLines="0" w:line="360" w:lineRule="auto"/>
              <w:ind w:firstLine="480" w:firstLineChars="200"/>
              <w:jc w:val="both"/>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snapToGrid/>
                <w:color w:val="auto"/>
                <w:kern w:val="2"/>
                <w:sz w:val="24"/>
                <w:szCs w:val="24"/>
                <w:highlight w:val="none"/>
                <w:lang w:val="en-US" w:eastAsia="zh-CN" w:bidi="ar-SA"/>
              </w:rPr>
              <w:t>监测及评价结果</w:t>
            </w:r>
          </w:p>
          <w:p w14:paraId="6E61D2F3">
            <w:pPr>
              <w:pageBreakBefore w:val="0"/>
              <w:kinsoku/>
              <w:wordWrap/>
              <w:topLinePunct w:val="0"/>
              <w:bidi w:val="0"/>
              <w:spacing w:beforeLines="0"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本次评价于2024年7月</w:t>
            </w:r>
            <w:r>
              <w:rPr>
                <w:rFonts w:hint="eastAsia" w:ascii="Times New Roman" w:hAnsi="Times New Roman" w:cs="Times New Roman"/>
                <w:color w:val="auto"/>
                <w:sz w:val="24"/>
                <w:lang w:val="en-US" w:eastAsia="zh-CN"/>
              </w:rPr>
              <w:t>19</w:t>
            </w:r>
            <w:r>
              <w:rPr>
                <w:rFonts w:hint="default" w:ascii="Times New Roman" w:hAnsi="Times New Roman" w:cs="Times New Roman"/>
                <w:color w:val="auto"/>
                <w:sz w:val="24"/>
                <w:lang w:val="en-US" w:eastAsia="zh-CN"/>
              </w:rPr>
              <w:t>日</w:t>
            </w:r>
            <w:r>
              <w:rPr>
                <w:rFonts w:hint="default" w:ascii="Times New Roman" w:hAnsi="Times New Roman" w:cs="Times New Roman"/>
                <w:color w:val="auto"/>
                <w:lang w:val="en-US" w:eastAsia="zh-CN"/>
              </w:rPr>
              <w:t>至</w:t>
            </w:r>
            <w:r>
              <w:rPr>
                <w:rFonts w:hint="default" w:ascii="Times New Roman" w:hAnsi="Times New Roman" w:cs="Times New Roman"/>
                <w:color w:val="auto"/>
                <w:sz w:val="24"/>
                <w:lang w:val="en-US" w:eastAsia="zh-CN"/>
              </w:rPr>
              <w:t>7月</w:t>
            </w:r>
            <w:r>
              <w:rPr>
                <w:rFonts w:hint="eastAsia" w:ascii="Times New Roman" w:hAnsi="Times New Roman" w:cs="Times New Roman"/>
                <w:color w:val="auto"/>
                <w:sz w:val="24"/>
                <w:lang w:val="en-US" w:eastAsia="zh-CN"/>
              </w:rPr>
              <w:t>21</w:t>
            </w:r>
            <w:r>
              <w:rPr>
                <w:rFonts w:hint="default" w:ascii="Times New Roman" w:hAnsi="Times New Roman" w:cs="Times New Roman"/>
                <w:color w:val="auto"/>
                <w:sz w:val="24"/>
                <w:lang w:val="en-US" w:eastAsia="zh-CN"/>
              </w:rPr>
              <w:t>日对</w:t>
            </w:r>
            <w:r>
              <w:rPr>
                <w:rFonts w:hint="eastAsia" w:ascii="Times New Roman" w:hAnsi="Times New Roman" w:cs="Times New Roman"/>
                <w:color w:val="auto"/>
                <w:sz w:val="24"/>
                <w:lang w:val="en-US" w:eastAsia="zh-CN"/>
              </w:rPr>
              <w:t>项目选址</w:t>
            </w:r>
            <w:r>
              <w:rPr>
                <w:rFonts w:hint="default" w:ascii="Times New Roman" w:hAnsi="Times New Roman" w:cs="Times New Roman"/>
                <w:color w:val="auto"/>
                <w:sz w:val="24"/>
                <w:lang w:val="en-US" w:eastAsia="zh-CN"/>
              </w:rPr>
              <w:t>的下风向进行监测，监测结果见下表。</w:t>
            </w:r>
          </w:p>
          <w:p w14:paraId="1B4E4E0B">
            <w:pPr>
              <w:pStyle w:val="25"/>
              <w:pageBreakBefore w:val="0"/>
              <w:kinsoku/>
              <w:wordWrap/>
              <w:topLinePunct w:val="0"/>
              <w:bidi w:val="0"/>
              <w:rPr>
                <w:rFonts w:hint="default" w:ascii="Times New Roman" w:hAnsi="Times New Roman" w:cs="Times New Roman"/>
                <w:color w:val="auto"/>
                <w:szCs w:val="24"/>
                <w:lang w:val="en-US" w:eastAsia="zh-CN"/>
              </w:rPr>
            </w:pPr>
            <w:r>
              <w:rPr>
                <w:rFonts w:hint="default" w:ascii="Times New Roman" w:hAnsi="Times New Roman" w:cs="Times New Roman"/>
                <w:color w:val="auto"/>
                <w:lang w:val="en-US" w:eastAsia="zh-CN"/>
              </w:rPr>
              <w:t>表3</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 xml:space="preserve">  监测结果一览表</w:t>
            </w:r>
          </w:p>
          <w:tbl>
            <w:tblPr>
              <w:tblStyle w:val="13"/>
              <w:tblW w:w="8390" w:type="dxa"/>
              <w:jc w:val="center"/>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033"/>
              <w:gridCol w:w="1148"/>
              <w:gridCol w:w="1269"/>
              <w:gridCol w:w="1758"/>
              <w:gridCol w:w="1033"/>
              <w:gridCol w:w="1116"/>
              <w:gridCol w:w="1033"/>
            </w:tblGrid>
            <w:tr w14:paraId="6D9FCF1A">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PrEx>
              <w:trPr>
                <w:cantSplit/>
                <w:trHeight w:val="340" w:hRule="atLeast"/>
                <w:jc w:val="center"/>
              </w:trPr>
              <w:tc>
                <w:tcPr>
                  <w:tcW w:w="0" w:type="auto"/>
                  <w:tcBorders>
                    <w:tl2br w:val="nil"/>
                    <w:tr2bl w:val="nil"/>
                  </w:tcBorders>
                  <w:noWrap w:val="0"/>
                  <w:vAlign w:val="center"/>
                </w:tcPr>
                <w:p w14:paraId="31751739">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rPr>
                    <w:t>监测点位</w:t>
                  </w:r>
                </w:p>
              </w:tc>
              <w:tc>
                <w:tcPr>
                  <w:tcW w:w="0" w:type="auto"/>
                  <w:tcBorders>
                    <w:tl2br w:val="nil"/>
                    <w:tr2bl w:val="nil"/>
                  </w:tcBorders>
                  <w:noWrap w:val="0"/>
                  <w:vAlign w:val="center"/>
                </w:tcPr>
                <w:p w14:paraId="759DD3C8">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rPr>
                    <w:t>监测时间</w:t>
                  </w:r>
                </w:p>
              </w:tc>
              <w:tc>
                <w:tcPr>
                  <w:tcW w:w="0" w:type="auto"/>
                  <w:tcBorders>
                    <w:tl2br w:val="nil"/>
                    <w:tr2bl w:val="nil"/>
                  </w:tcBorders>
                  <w:noWrap w:val="0"/>
                  <w:vAlign w:val="center"/>
                </w:tcPr>
                <w:p w14:paraId="48EE2C21">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cs="Times New Roman"/>
                      <w:b/>
                      <w:bCs/>
                      <w:snapToGrid w:val="0"/>
                      <w:color w:val="auto"/>
                      <w:kern w:val="0"/>
                      <w:sz w:val="21"/>
                      <w:szCs w:val="21"/>
                      <w:highlight w:val="none"/>
                      <w:lang w:val="en-US" w:eastAsia="zh-CN"/>
                    </w:rPr>
                    <w:t>污染物</w:t>
                  </w:r>
                </w:p>
              </w:tc>
              <w:tc>
                <w:tcPr>
                  <w:tcW w:w="0" w:type="auto"/>
                  <w:tcBorders>
                    <w:tl2br w:val="nil"/>
                    <w:tr2bl w:val="nil"/>
                  </w:tcBorders>
                  <w:noWrap w:val="0"/>
                  <w:vAlign w:val="center"/>
                </w:tcPr>
                <w:p w14:paraId="043B7401">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rPr>
                    <w:t>监测结果</w:t>
                  </w:r>
                  <w:r>
                    <w:rPr>
                      <w:rFonts w:hint="default" w:ascii="Times New Roman" w:hAnsi="Times New Roman" w:cs="Times New Roman"/>
                      <w:b/>
                      <w:bCs/>
                      <w:snapToGrid w:val="0"/>
                      <w:color w:val="auto"/>
                      <w:kern w:val="0"/>
                      <w:sz w:val="21"/>
                      <w:szCs w:val="21"/>
                      <w:highlight w:val="none"/>
                      <w:lang w:val="en-US" w:eastAsia="zh-CN"/>
                    </w:rPr>
                    <w:t>最大值</w:t>
                  </w:r>
                </w:p>
                <w:p w14:paraId="1345A7C1">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rPr>
                    <w:t>(μg/m</w:t>
                  </w:r>
                  <w:r>
                    <w:rPr>
                      <w:rFonts w:hint="default" w:ascii="Times New Roman" w:hAnsi="Times New Roman" w:eastAsia="宋体" w:cs="Times New Roman"/>
                      <w:b/>
                      <w:bCs/>
                      <w:snapToGrid w:val="0"/>
                      <w:color w:val="auto"/>
                      <w:kern w:val="0"/>
                      <w:sz w:val="21"/>
                      <w:szCs w:val="21"/>
                      <w:highlight w:val="none"/>
                      <w:vertAlign w:val="superscript"/>
                      <w:lang w:val="en-US" w:eastAsia="zh-CN"/>
                    </w:rPr>
                    <w:t>3</w:t>
                  </w:r>
                  <w:r>
                    <w:rPr>
                      <w:rFonts w:hint="default" w:ascii="Times New Roman" w:hAnsi="Times New Roman" w:eastAsia="宋体" w:cs="Times New Roman"/>
                      <w:b/>
                      <w:bCs/>
                      <w:snapToGrid w:val="0"/>
                      <w:color w:val="auto"/>
                      <w:kern w:val="0"/>
                      <w:sz w:val="21"/>
                      <w:szCs w:val="21"/>
                      <w:highlight w:val="none"/>
                      <w:lang w:val="en-US" w:eastAsia="zh-CN"/>
                    </w:rPr>
                    <w:t>)</w:t>
                  </w:r>
                </w:p>
              </w:tc>
              <w:tc>
                <w:tcPr>
                  <w:tcW w:w="0" w:type="auto"/>
                  <w:tcBorders>
                    <w:tl2br w:val="nil"/>
                    <w:tr2bl w:val="nil"/>
                  </w:tcBorders>
                  <w:noWrap w:val="0"/>
                  <w:vAlign w:val="center"/>
                </w:tcPr>
                <w:p w14:paraId="75AAC8A1">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b/>
                      <w:bCs/>
                      <w:snapToGrid w:val="0"/>
                      <w:color w:val="auto"/>
                      <w:kern w:val="0"/>
                      <w:sz w:val="21"/>
                      <w:szCs w:val="21"/>
                      <w:highlight w:val="none"/>
                      <w:lang w:val="en-US" w:eastAsia="zh-CN"/>
                    </w:rPr>
                  </w:pPr>
                  <w:r>
                    <w:rPr>
                      <w:rFonts w:hint="default" w:ascii="Times New Roman" w:hAnsi="Times New Roman" w:cs="Times New Roman"/>
                      <w:b/>
                      <w:bCs/>
                      <w:snapToGrid w:val="0"/>
                      <w:color w:val="auto"/>
                      <w:kern w:val="0"/>
                      <w:sz w:val="21"/>
                      <w:szCs w:val="21"/>
                      <w:highlight w:val="none"/>
                      <w:lang w:val="en-US" w:eastAsia="zh-CN"/>
                    </w:rPr>
                    <w:t>质量标准</w:t>
                  </w:r>
                </w:p>
                <w:p w14:paraId="5EB6220A">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b/>
                      <w:bCs/>
                      <w:snapToGrid w:val="0"/>
                      <w:color w:val="auto"/>
                      <w:kern w:val="0"/>
                      <w:sz w:val="21"/>
                      <w:szCs w:val="21"/>
                      <w:highlight w:val="none"/>
                      <w:lang w:val="en-US" w:eastAsia="zh-CN"/>
                    </w:rPr>
                  </w:pPr>
                  <w:r>
                    <w:rPr>
                      <w:rFonts w:hint="default" w:ascii="Times New Roman" w:hAnsi="Times New Roman" w:cs="Times New Roman"/>
                      <w:b/>
                      <w:bCs/>
                      <w:snapToGrid w:val="0"/>
                      <w:color w:val="auto"/>
                      <w:kern w:val="0"/>
                      <w:sz w:val="21"/>
                      <w:szCs w:val="21"/>
                      <w:highlight w:val="none"/>
                      <w:lang w:val="en-US" w:eastAsia="zh-CN"/>
                    </w:rPr>
                    <w:t>(</w:t>
                  </w:r>
                  <w:r>
                    <w:rPr>
                      <w:rFonts w:hint="default" w:ascii="Times New Roman" w:hAnsi="Times New Roman" w:eastAsia="宋体" w:cs="Times New Roman"/>
                      <w:b/>
                      <w:bCs/>
                      <w:snapToGrid w:val="0"/>
                      <w:color w:val="auto"/>
                      <w:kern w:val="0"/>
                      <w:sz w:val="21"/>
                      <w:szCs w:val="21"/>
                      <w:highlight w:val="none"/>
                      <w:lang w:val="en-US" w:eastAsia="zh-CN"/>
                    </w:rPr>
                    <w:t>μg/m</w:t>
                  </w:r>
                  <w:r>
                    <w:rPr>
                      <w:rFonts w:hint="default" w:ascii="Times New Roman" w:hAnsi="Times New Roman" w:eastAsia="宋体" w:cs="Times New Roman"/>
                      <w:b/>
                      <w:bCs/>
                      <w:snapToGrid w:val="0"/>
                      <w:color w:val="auto"/>
                      <w:kern w:val="0"/>
                      <w:sz w:val="21"/>
                      <w:szCs w:val="21"/>
                      <w:highlight w:val="none"/>
                      <w:vertAlign w:val="superscript"/>
                      <w:lang w:val="en-US" w:eastAsia="zh-CN"/>
                    </w:rPr>
                    <w:t>3</w:t>
                  </w:r>
                  <w:r>
                    <w:rPr>
                      <w:rFonts w:hint="default" w:ascii="Times New Roman" w:hAnsi="Times New Roman" w:cs="Times New Roman"/>
                      <w:b/>
                      <w:bCs/>
                      <w:snapToGrid w:val="0"/>
                      <w:color w:val="auto"/>
                      <w:kern w:val="0"/>
                      <w:sz w:val="21"/>
                      <w:szCs w:val="21"/>
                      <w:highlight w:val="none"/>
                      <w:lang w:val="en-US" w:eastAsia="zh-CN"/>
                    </w:rPr>
                    <w:t>)</w:t>
                  </w:r>
                </w:p>
              </w:tc>
              <w:tc>
                <w:tcPr>
                  <w:tcW w:w="0" w:type="auto"/>
                  <w:tcBorders>
                    <w:tl2br w:val="nil"/>
                    <w:tr2bl w:val="nil"/>
                  </w:tcBorders>
                  <w:noWrap w:val="0"/>
                  <w:vAlign w:val="center"/>
                </w:tcPr>
                <w:p w14:paraId="51096591">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rPr>
                    <w:t>质量浓度</w:t>
                  </w:r>
                </w:p>
                <w:p w14:paraId="7A6FB90D">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rPr>
                    <w:t>占标率</w:t>
                  </w:r>
                </w:p>
              </w:tc>
              <w:tc>
                <w:tcPr>
                  <w:tcW w:w="0" w:type="auto"/>
                  <w:tcBorders>
                    <w:tl2br w:val="nil"/>
                    <w:tr2bl w:val="nil"/>
                  </w:tcBorders>
                  <w:noWrap w:val="0"/>
                  <w:vAlign w:val="center"/>
                </w:tcPr>
                <w:p w14:paraId="35320D7B">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snapToGrid w:val="0"/>
                      <w:color w:val="auto"/>
                      <w:kern w:val="0"/>
                      <w:sz w:val="21"/>
                      <w:szCs w:val="21"/>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rPr>
                    <w:t>达标情况</w:t>
                  </w:r>
                </w:p>
              </w:tc>
            </w:tr>
            <w:tr w14:paraId="5AB3B54D">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0" w:type="auto"/>
                  <w:vMerge w:val="restart"/>
                  <w:tcBorders>
                    <w:tl2br w:val="nil"/>
                    <w:tr2bl w:val="nil"/>
                  </w:tcBorders>
                  <w:noWrap w:val="0"/>
                  <w:vAlign w:val="center"/>
                </w:tcPr>
                <w:p w14:paraId="3F31B2D3">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项目选址</w:t>
                  </w:r>
                </w:p>
                <w:p w14:paraId="028CD8FE">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color w:val="auto"/>
                      <w:sz w:val="21"/>
                      <w:szCs w:val="21"/>
                      <w:highlight w:val="none"/>
                      <w:vertAlign w:val="baseline"/>
                      <w:lang w:val="en-US" w:eastAsia="zh-CN"/>
                    </w:rPr>
                    <w:t>下风向1#</w:t>
                  </w:r>
                </w:p>
              </w:tc>
              <w:tc>
                <w:tcPr>
                  <w:tcW w:w="0" w:type="auto"/>
                  <w:tcBorders>
                    <w:tl2br w:val="nil"/>
                    <w:tr2bl w:val="nil"/>
                  </w:tcBorders>
                  <w:noWrap w:val="0"/>
                  <w:vAlign w:val="center"/>
                </w:tcPr>
                <w:p w14:paraId="79CAAD70">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2024.07.</w:t>
                  </w:r>
                  <w:r>
                    <w:rPr>
                      <w:rFonts w:hint="eastAsia" w:ascii="Times New Roman" w:hAnsi="Times New Roman" w:cs="Times New Roman"/>
                      <w:snapToGrid w:val="0"/>
                      <w:color w:val="auto"/>
                      <w:kern w:val="0"/>
                      <w:sz w:val="21"/>
                      <w:szCs w:val="21"/>
                      <w:highlight w:val="none"/>
                      <w:lang w:val="en-US" w:eastAsia="zh-CN"/>
                    </w:rPr>
                    <w:t>19</w:t>
                  </w:r>
                </w:p>
              </w:tc>
              <w:tc>
                <w:tcPr>
                  <w:tcW w:w="0" w:type="auto"/>
                  <w:vMerge w:val="restart"/>
                  <w:tcBorders>
                    <w:tl2br w:val="nil"/>
                    <w:tr2bl w:val="nil"/>
                  </w:tcBorders>
                  <w:noWrap w:val="0"/>
                  <w:vAlign w:val="center"/>
                </w:tcPr>
                <w:p w14:paraId="286138F8">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非甲烷总烃</w:t>
                  </w:r>
                </w:p>
              </w:tc>
              <w:tc>
                <w:tcPr>
                  <w:tcW w:w="0" w:type="auto"/>
                  <w:tcBorders>
                    <w:tl2br w:val="nil"/>
                    <w:tr2bl w:val="nil"/>
                  </w:tcBorders>
                  <w:noWrap w:val="0"/>
                  <w:vAlign w:val="center"/>
                </w:tcPr>
                <w:p w14:paraId="5DCDAAFF">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50</w:t>
                  </w:r>
                  <w:r>
                    <w:rPr>
                      <w:rFonts w:hint="default" w:ascii="Times New Roman" w:hAnsi="Times New Roman" w:cs="Times New Roman"/>
                      <w:snapToGrid w:val="0"/>
                      <w:color w:val="auto"/>
                      <w:kern w:val="0"/>
                      <w:sz w:val="21"/>
                      <w:szCs w:val="21"/>
                      <w:highlight w:val="none"/>
                      <w:lang w:val="en-US" w:eastAsia="zh-CN"/>
                    </w:rPr>
                    <w:t>0</w:t>
                  </w:r>
                </w:p>
              </w:tc>
              <w:tc>
                <w:tcPr>
                  <w:tcW w:w="0" w:type="auto"/>
                  <w:vMerge w:val="restart"/>
                  <w:tcBorders>
                    <w:tl2br w:val="nil"/>
                    <w:tr2bl w:val="nil"/>
                  </w:tcBorders>
                  <w:noWrap w:val="0"/>
                  <w:vAlign w:val="center"/>
                </w:tcPr>
                <w:p w14:paraId="68F9E033">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2000</w:t>
                  </w:r>
                </w:p>
              </w:tc>
              <w:tc>
                <w:tcPr>
                  <w:tcW w:w="1117" w:type="dxa"/>
                  <w:tcBorders>
                    <w:tl2br w:val="nil"/>
                    <w:tr2bl w:val="nil"/>
                  </w:tcBorders>
                  <w:noWrap w:val="0"/>
                  <w:vAlign w:val="center"/>
                </w:tcPr>
                <w:p w14:paraId="1FA8473C">
                  <w:pPr>
                    <w:keepNext w:val="0"/>
                    <w:keepLines w:val="0"/>
                    <w:pageBreakBefore w:val="0"/>
                    <w:widowControl/>
                    <w:suppressLineNumbers w:val="0"/>
                    <w:kinsoku/>
                    <w:wordWrap/>
                    <w:overflowPunct/>
                    <w:topLinePunct w:val="0"/>
                    <w:bidi w:val="0"/>
                    <w:adjustRightInd/>
                    <w:snapToGrid/>
                    <w:spacing w:line="280" w:lineRule="exact"/>
                    <w:ind w:firstLine="0" w:firstLineChars="0"/>
                    <w:jc w:val="center"/>
                    <w:textAlignment w:val="center"/>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5.0</w:t>
                  </w:r>
                  <w:r>
                    <w:rPr>
                      <w:rFonts w:hint="default" w:ascii="Times New Roman" w:hAnsi="Times New Roman" w:eastAsia="宋体" w:cs="Times New Roman"/>
                      <w:i w:val="0"/>
                      <w:iCs w:val="0"/>
                      <w:color w:val="000000"/>
                      <w:kern w:val="0"/>
                      <w:sz w:val="21"/>
                      <w:szCs w:val="21"/>
                      <w:u w:val="none"/>
                      <w:lang w:val="en-US" w:eastAsia="zh-CN" w:bidi="ar"/>
                    </w:rPr>
                    <w:t>0%</w:t>
                  </w:r>
                </w:p>
              </w:tc>
              <w:tc>
                <w:tcPr>
                  <w:tcW w:w="0" w:type="auto"/>
                  <w:tcBorders>
                    <w:tl2br w:val="nil"/>
                    <w:tr2bl w:val="nil"/>
                  </w:tcBorders>
                  <w:noWrap w:val="0"/>
                  <w:vAlign w:val="center"/>
                </w:tcPr>
                <w:p w14:paraId="185E95F8">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达标</w:t>
                  </w:r>
                </w:p>
              </w:tc>
            </w:tr>
            <w:tr w14:paraId="444269A3">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0" w:type="auto"/>
                  <w:vMerge w:val="continue"/>
                  <w:tcBorders>
                    <w:tl2br w:val="nil"/>
                    <w:tr2bl w:val="nil"/>
                  </w:tcBorders>
                  <w:noWrap w:val="0"/>
                  <w:vAlign w:val="center"/>
                </w:tcPr>
                <w:p w14:paraId="4F64BF5C">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highlight w:val="none"/>
                      <w:vertAlign w:val="baseline"/>
                      <w:lang w:val="en-US" w:eastAsia="zh-CN"/>
                    </w:rPr>
                  </w:pPr>
                </w:p>
              </w:tc>
              <w:tc>
                <w:tcPr>
                  <w:tcW w:w="0" w:type="auto"/>
                  <w:tcBorders>
                    <w:tl2br w:val="nil"/>
                    <w:tr2bl w:val="nil"/>
                  </w:tcBorders>
                  <w:noWrap w:val="0"/>
                  <w:vAlign w:val="center"/>
                </w:tcPr>
                <w:p w14:paraId="2C32496F">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2024.07.2</w:t>
                  </w:r>
                  <w:r>
                    <w:rPr>
                      <w:rFonts w:hint="eastAsia" w:ascii="Times New Roman" w:hAnsi="Times New Roman" w:cs="Times New Roman"/>
                      <w:snapToGrid w:val="0"/>
                      <w:color w:val="auto"/>
                      <w:kern w:val="0"/>
                      <w:sz w:val="21"/>
                      <w:szCs w:val="21"/>
                      <w:highlight w:val="none"/>
                      <w:lang w:val="en-US" w:eastAsia="zh-CN"/>
                    </w:rPr>
                    <w:t>0</w:t>
                  </w:r>
                </w:p>
              </w:tc>
              <w:tc>
                <w:tcPr>
                  <w:tcW w:w="0" w:type="auto"/>
                  <w:vMerge w:val="continue"/>
                  <w:tcBorders>
                    <w:tl2br w:val="nil"/>
                    <w:tr2bl w:val="nil"/>
                  </w:tcBorders>
                  <w:noWrap w:val="0"/>
                  <w:vAlign w:val="center"/>
                </w:tcPr>
                <w:p w14:paraId="6A202C63">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kern w:val="0"/>
                      <w:sz w:val="21"/>
                      <w:szCs w:val="21"/>
                      <w:highlight w:val="none"/>
                      <w:lang w:val="en-US" w:eastAsia="zh-CN"/>
                    </w:rPr>
                  </w:pPr>
                </w:p>
              </w:tc>
              <w:tc>
                <w:tcPr>
                  <w:tcW w:w="0" w:type="auto"/>
                  <w:tcBorders>
                    <w:tl2br w:val="nil"/>
                    <w:tr2bl w:val="nil"/>
                  </w:tcBorders>
                  <w:noWrap w:val="0"/>
                  <w:vAlign w:val="center"/>
                </w:tcPr>
                <w:p w14:paraId="47B049BC">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57</w:t>
                  </w:r>
                  <w:r>
                    <w:rPr>
                      <w:rFonts w:hint="default" w:ascii="Times New Roman" w:hAnsi="Times New Roman" w:cs="Times New Roman"/>
                      <w:snapToGrid w:val="0"/>
                      <w:color w:val="auto"/>
                      <w:kern w:val="0"/>
                      <w:sz w:val="21"/>
                      <w:szCs w:val="21"/>
                      <w:highlight w:val="none"/>
                      <w:lang w:val="en-US" w:eastAsia="zh-CN"/>
                    </w:rPr>
                    <w:t>0</w:t>
                  </w:r>
                </w:p>
              </w:tc>
              <w:tc>
                <w:tcPr>
                  <w:tcW w:w="0" w:type="auto"/>
                  <w:vMerge w:val="continue"/>
                  <w:tcBorders>
                    <w:tl2br w:val="nil"/>
                    <w:tr2bl w:val="nil"/>
                  </w:tcBorders>
                  <w:noWrap w:val="0"/>
                  <w:vAlign w:val="center"/>
                </w:tcPr>
                <w:p w14:paraId="16754784">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kern w:val="0"/>
                      <w:sz w:val="21"/>
                      <w:szCs w:val="21"/>
                      <w:highlight w:val="none"/>
                      <w:lang w:val="en-US" w:eastAsia="zh-CN"/>
                    </w:rPr>
                  </w:pPr>
                </w:p>
              </w:tc>
              <w:tc>
                <w:tcPr>
                  <w:tcW w:w="1117" w:type="dxa"/>
                  <w:tcBorders>
                    <w:tl2br w:val="nil"/>
                    <w:tr2bl w:val="nil"/>
                  </w:tcBorders>
                  <w:noWrap w:val="0"/>
                  <w:vAlign w:val="center"/>
                </w:tcPr>
                <w:p w14:paraId="76D1DF66">
                  <w:pPr>
                    <w:keepNext w:val="0"/>
                    <w:keepLines w:val="0"/>
                    <w:pageBreakBefore w:val="0"/>
                    <w:widowControl/>
                    <w:suppressLineNumbers w:val="0"/>
                    <w:kinsoku/>
                    <w:wordWrap/>
                    <w:overflowPunct/>
                    <w:topLinePunct w:val="0"/>
                    <w:bidi w:val="0"/>
                    <w:adjustRightInd/>
                    <w:snapToGrid/>
                    <w:spacing w:line="280" w:lineRule="exact"/>
                    <w:ind w:firstLine="0" w:firstLineChars="0"/>
                    <w:jc w:val="center"/>
                    <w:textAlignment w:val="center"/>
                    <w:rPr>
                      <w:rFonts w:hint="default" w:ascii="Times New Roman" w:hAnsi="Times New Roman" w:cs="Times New Roman"/>
                      <w:snapToGrid w:val="0"/>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8.5</w:t>
                  </w:r>
                  <w:r>
                    <w:rPr>
                      <w:rFonts w:hint="default" w:ascii="Times New Roman" w:hAnsi="Times New Roman" w:eastAsia="宋体" w:cs="Times New Roman"/>
                      <w:i w:val="0"/>
                      <w:iCs w:val="0"/>
                      <w:color w:val="000000"/>
                      <w:kern w:val="0"/>
                      <w:sz w:val="21"/>
                      <w:szCs w:val="21"/>
                      <w:u w:val="none"/>
                      <w:lang w:val="en-US" w:eastAsia="zh-CN" w:bidi="ar"/>
                    </w:rPr>
                    <w:t>0%</w:t>
                  </w:r>
                </w:p>
              </w:tc>
              <w:tc>
                <w:tcPr>
                  <w:tcW w:w="0" w:type="auto"/>
                  <w:tcBorders>
                    <w:tl2br w:val="nil"/>
                    <w:tr2bl w:val="nil"/>
                  </w:tcBorders>
                  <w:noWrap w:val="0"/>
                  <w:vAlign w:val="center"/>
                </w:tcPr>
                <w:p w14:paraId="4A00CAB8">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达标</w:t>
                  </w:r>
                </w:p>
              </w:tc>
            </w:tr>
            <w:tr w14:paraId="40BC043C">
              <w:tblPrEx>
                <w:tblBorders>
                  <w:top w:val="single" w:color="auto" w:sz="12" w:space="0"/>
                  <w:left w:val="none" w:color="auto" w:sz="0" w:space="0"/>
                  <w:bottom w:val="single" w:color="000000"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0" w:type="auto"/>
                  <w:vMerge w:val="continue"/>
                  <w:tcBorders>
                    <w:tl2br w:val="nil"/>
                    <w:tr2bl w:val="nil"/>
                  </w:tcBorders>
                  <w:noWrap w:val="0"/>
                  <w:vAlign w:val="center"/>
                </w:tcPr>
                <w:p w14:paraId="0DF363D5">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color w:val="auto"/>
                      <w:sz w:val="21"/>
                      <w:szCs w:val="21"/>
                      <w:highlight w:val="none"/>
                      <w:vertAlign w:val="baseline"/>
                      <w:lang w:val="en-US" w:eastAsia="zh-CN"/>
                    </w:rPr>
                  </w:pPr>
                </w:p>
              </w:tc>
              <w:tc>
                <w:tcPr>
                  <w:tcW w:w="0" w:type="auto"/>
                  <w:tcBorders>
                    <w:tl2br w:val="nil"/>
                    <w:tr2bl w:val="nil"/>
                  </w:tcBorders>
                  <w:noWrap w:val="0"/>
                  <w:vAlign w:val="center"/>
                </w:tcPr>
                <w:p w14:paraId="7E453958">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2024.07.2</w:t>
                  </w:r>
                  <w:r>
                    <w:rPr>
                      <w:rFonts w:hint="eastAsia" w:ascii="Times New Roman" w:hAnsi="Times New Roman" w:cs="Times New Roman"/>
                      <w:snapToGrid w:val="0"/>
                      <w:color w:val="auto"/>
                      <w:kern w:val="0"/>
                      <w:sz w:val="21"/>
                      <w:szCs w:val="21"/>
                      <w:highlight w:val="none"/>
                      <w:lang w:val="en-US" w:eastAsia="zh-CN"/>
                    </w:rPr>
                    <w:t>1</w:t>
                  </w:r>
                </w:p>
              </w:tc>
              <w:tc>
                <w:tcPr>
                  <w:tcW w:w="0" w:type="auto"/>
                  <w:vMerge w:val="continue"/>
                  <w:tcBorders>
                    <w:tl2br w:val="nil"/>
                    <w:tr2bl w:val="nil"/>
                  </w:tcBorders>
                  <w:noWrap w:val="0"/>
                  <w:vAlign w:val="center"/>
                </w:tcPr>
                <w:p w14:paraId="51D9CF4E">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kern w:val="0"/>
                      <w:sz w:val="21"/>
                      <w:szCs w:val="21"/>
                      <w:highlight w:val="none"/>
                      <w:lang w:val="en-US" w:eastAsia="zh-CN"/>
                    </w:rPr>
                  </w:pPr>
                </w:p>
              </w:tc>
              <w:tc>
                <w:tcPr>
                  <w:tcW w:w="0" w:type="auto"/>
                  <w:tcBorders>
                    <w:tl2br w:val="nil"/>
                    <w:tr2bl w:val="nil"/>
                  </w:tcBorders>
                  <w:noWrap w:val="0"/>
                  <w:vAlign w:val="center"/>
                </w:tcPr>
                <w:p w14:paraId="57FC97F4">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5</w:t>
                  </w:r>
                  <w:r>
                    <w:rPr>
                      <w:rFonts w:hint="eastAsia" w:ascii="Times New Roman" w:hAnsi="Times New Roman" w:cs="Times New Roman"/>
                      <w:snapToGrid w:val="0"/>
                      <w:color w:val="auto"/>
                      <w:kern w:val="0"/>
                      <w:sz w:val="21"/>
                      <w:szCs w:val="21"/>
                      <w:highlight w:val="none"/>
                      <w:lang w:val="en-US" w:eastAsia="zh-CN"/>
                    </w:rPr>
                    <w:t>8</w:t>
                  </w:r>
                  <w:r>
                    <w:rPr>
                      <w:rFonts w:hint="default" w:ascii="Times New Roman" w:hAnsi="Times New Roman" w:cs="Times New Roman"/>
                      <w:snapToGrid w:val="0"/>
                      <w:color w:val="auto"/>
                      <w:kern w:val="0"/>
                      <w:sz w:val="21"/>
                      <w:szCs w:val="21"/>
                      <w:highlight w:val="none"/>
                      <w:lang w:val="en-US" w:eastAsia="zh-CN"/>
                    </w:rPr>
                    <w:t>0</w:t>
                  </w:r>
                </w:p>
              </w:tc>
              <w:tc>
                <w:tcPr>
                  <w:tcW w:w="0" w:type="auto"/>
                  <w:vMerge w:val="continue"/>
                  <w:tcBorders>
                    <w:tl2br w:val="nil"/>
                    <w:tr2bl w:val="nil"/>
                  </w:tcBorders>
                  <w:noWrap w:val="0"/>
                  <w:vAlign w:val="center"/>
                </w:tcPr>
                <w:p w14:paraId="02B59E0F">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kern w:val="0"/>
                      <w:sz w:val="21"/>
                      <w:szCs w:val="21"/>
                      <w:highlight w:val="none"/>
                      <w:lang w:val="en-US" w:eastAsia="zh-CN"/>
                    </w:rPr>
                  </w:pPr>
                </w:p>
              </w:tc>
              <w:tc>
                <w:tcPr>
                  <w:tcW w:w="1117" w:type="dxa"/>
                  <w:tcBorders>
                    <w:tl2br w:val="nil"/>
                    <w:tr2bl w:val="nil"/>
                  </w:tcBorders>
                  <w:noWrap w:val="0"/>
                  <w:vAlign w:val="center"/>
                </w:tcPr>
                <w:p w14:paraId="3D9323A5">
                  <w:pPr>
                    <w:keepNext w:val="0"/>
                    <w:keepLines w:val="0"/>
                    <w:pageBreakBefore w:val="0"/>
                    <w:widowControl/>
                    <w:suppressLineNumbers w:val="0"/>
                    <w:kinsoku/>
                    <w:wordWrap/>
                    <w:overflowPunct/>
                    <w:topLinePunct w:val="0"/>
                    <w:bidi w:val="0"/>
                    <w:adjustRightInd/>
                    <w:snapToGrid/>
                    <w:spacing w:line="280" w:lineRule="exact"/>
                    <w:ind w:firstLine="0" w:firstLineChars="0"/>
                    <w:jc w:val="center"/>
                    <w:textAlignment w:val="center"/>
                    <w:rPr>
                      <w:rFonts w:hint="default" w:ascii="Times New Roman" w:hAnsi="Times New Roman" w:cs="Times New Roman"/>
                      <w:snapToGrid w:val="0"/>
                      <w:color w:val="auto"/>
                      <w:kern w:val="0"/>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9</w:t>
                  </w:r>
                  <w:r>
                    <w:rPr>
                      <w:rFonts w:hint="default" w:ascii="Times New Roman" w:hAnsi="Times New Roman" w:eastAsia="宋体" w:cs="Times New Roman"/>
                      <w:i w:val="0"/>
                      <w:iCs w:val="0"/>
                      <w:color w:val="000000"/>
                      <w:kern w:val="0"/>
                      <w:sz w:val="21"/>
                      <w:szCs w:val="21"/>
                      <w:u w:val="none"/>
                      <w:lang w:val="en-US" w:eastAsia="zh-CN" w:bidi="ar"/>
                    </w:rPr>
                    <w:t>.00%</w:t>
                  </w:r>
                </w:p>
              </w:tc>
              <w:tc>
                <w:tcPr>
                  <w:tcW w:w="0" w:type="auto"/>
                  <w:tcBorders>
                    <w:tl2br w:val="nil"/>
                    <w:tr2bl w:val="nil"/>
                  </w:tcBorders>
                  <w:noWrap w:val="0"/>
                  <w:vAlign w:val="center"/>
                </w:tcPr>
                <w:p w14:paraId="77680E5F">
                  <w:pPr>
                    <w:pageBreakBefore w:val="0"/>
                    <w:widowControl w:val="0"/>
                    <w:kinsoku/>
                    <w:wordWrap/>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达标</w:t>
                  </w:r>
                </w:p>
              </w:tc>
            </w:tr>
          </w:tbl>
          <w:p w14:paraId="3A1C8DE4">
            <w:pPr>
              <w:pageBreakBefore w:val="0"/>
              <w:kinsoku/>
              <w:wordWrap/>
              <w:topLinePunct w:val="0"/>
              <w:autoSpaceDE w:val="0"/>
              <w:autoSpaceDN w:val="0"/>
              <w:bidi w:val="0"/>
              <w:spacing w:line="360" w:lineRule="auto"/>
              <w:ind w:firstLine="480" w:firstLineChars="200"/>
              <w:rPr>
                <w:rStyle w:val="24"/>
                <w:rFonts w:hint="eastAsia"/>
                <w:spacing w:val="0"/>
                <w:sz w:val="24"/>
                <w:lang w:val="en-US" w:eastAsia="zh-CN"/>
              </w:rPr>
            </w:pPr>
            <w:r>
              <w:rPr>
                <w:rFonts w:hint="default" w:ascii="Times New Roman" w:hAnsi="Times New Roman" w:cs="Times New Roman"/>
                <w:color w:val="auto"/>
                <w:sz w:val="24"/>
                <w:szCs w:val="24"/>
                <w:lang w:val="en-US" w:eastAsia="zh-CN"/>
              </w:rPr>
              <w:t>由上表可知，项目所在区域大气环境非甲烷总烃质量浓度达标。</w:t>
            </w:r>
          </w:p>
          <w:p w14:paraId="7E22384D">
            <w:pPr>
              <w:pageBreakBefore w:val="0"/>
              <w:kinsoku/>
              <w:wordWrap/>
              <w:topLinePunct w:val="0"/>
              <w:autoSpaceDE w:val="0"/>
              <w:autoSpaceDN w:val="0"/>
              <w:bidi w:val="0"/>
              <w:spacing w:line="360" w:lineRule="auto"/>
              <w:ind w:firstLine="482" w:firstLineChars="200"/>
              <w:rPr>
                <w:kern w:val="0"/>
                <w:sz w:val="24"/>
              </w:rPr>
            </w:pPr>
            <w:r>
              <w:rPr>
                <w:b/>
                <w:bCs/>
                <w:kern w:val="0"/>
                <w:sz w:val="24"/>
              </w:rPr>
              <w:t>2 地表水环境</w:t>
            </w:r>
          </w:p>
          <w:p w14:paraId="5EF3A183">
            <w:pPr>
              <w:pageBreakBefore w:val="0"/>
              <w:kinsoku/>
              <w:wordWrap/>
              <w:topLinePunct w:val="0"/>
              <w:autoSpaceDE w:val="0"/>
              <w:autoSpaceDN w:val="0"/>
              <w:bidi w:val="0"/>
              <w:spacing w:line="360" w:lineRule="auto"/>
              <w:ind w:firstLine="480" w:firstLineChars="200"/>
              <w:rPr>
                <w:kern w:val="0"/>
                <w:sz w:val="24"/>
              </w:rPr>
            </w:pPr>
            <w:r>
              <w:rPr>
                <w:kern w:val="0"/>
                <w:sz w:val="24"/>
              </w:rPr>
              <w:t>本项目所在区域周边无地表水体，因此不对地表水环境质量现状进行评价。</w:t>
            </w:r>
          </w:p>
          <w:p w14:paraId="4146E00A">
            <w:pPr>
              <w:pageBreakBefore w:val="0"/>
              <w:kinsoku/>
              <w:wordWrap/>
              <w:topLinePunct w:val="0"/>
              <w:autoSpaceDE w:val="0"/>
              <w:autoSpaceDN w:val="0"/>
              <w:bidi w:val="0"/>
              <w:spacing w:line="360" w:lineRule="auto"/>
              <w:ind w:firstLine="482" w:firstLineChars="200"/>
              <w:rPr>
                <w:kern w:val="0"/>
                <w:sz w:val="24"/>
              </w:rPr>
            </w:pPr>
            <w:r>
              <w:rPr>
                <w:b/>
                <w:bCs/>
                <w:kern w:val="0"/>
                <w:sz w:val="24"/>
              </w:rPr>
              <w:t>3 声环境</w:t>
            </w:r>
          </w:p>
          <w:p w14:paraId="56546B7A">
            <w:pPr>
              <w:pageBreakBefore w:val="0"/>
              <w:kinsoku/>
              <w:wordWrap/>
              <w:topLinePunct w:val="0"/>
              <w:autoSpaceDE w:val="0"/>
              <w:autoSpaceDN w:val="0"/>
              <w:bidi w:val="0"/>
              <w:spacing w:line="360" w:lineRule="auto"/>
              <w:ind w:firstLine="480" w:firstLineChars="200"/>
              <w:rPr>
                <w:kern w:val="0"/>
                <w:sz w:val="24"/>
              </w:rPr>
            </w:pPr>
            <w:r>
              <w:rPr>
                <w:rFonts w:hint="eastAsia"/>
                <w:sz w:val="24"/>
              </w:rPr>
              <w:t>根据现场调查，项目厂区周边</w:t>
            </w:r>
            <w:r>
              <w:rPr>
                <w:sz w:val="24"/>
              </w:rPr>
              <w:t>50m范围内</w:t>
            </w:r>
            <w:r>
              <w:rPr>
                <w:rFonts w:hint="eastAsia"/>
                <w:sz w:val="24"/>
              </w:rPr>
              <w:t>无居民区等声环境敏感目标，</w:t>
            </w:r>
            <w:r>
              <w:rPr>
                <w:sz w:val="24"/>
              </w:rPr>
              <w:t>根据《建设项目环境影响报告表编制技术指南（污染影响类）（试行）》中相关要求，</w:t>
            </w:r>
            <w:r>
              <w:rPr>
                <w:rFonts w:hint="eastAsia"/>
                <w:sz w:val="24"/>
              </w:rPr>
              <w:t>不进行声环境质量现状评价</w:t>
            </w:r>
            <w:r>
              <w:rPr>
                <w:sz w:val="24"/>
              </w:rPr>
              <w:t>。</w:t>
            </w:r>
          </w:p>
          <w:p w14:paraId="29D07704">
            <w:pPr>
              <w:pageBreakBefore w:val="0"/>
              <w:kinsoku/>
              <w:wordWrap/>
              <w:topLinePunct w:val="0"/>
              <w:autoSpaceDE w:val="0"/>
              <w:autoSpaceDN w:val="0"/>
              <w:bidi w:val="0"/>
              <w:spacing w:line="360" w:lineRule="auto"/>
              <w:ind w:firstLine="482" w:firstLineChars="200"/>
              <w:rPr>
                <w:kern w:val="0"/>
                <w:sz w:val="24"/>
              </w:rPr>
            </w:pPr>
            <w:r>
              <w:rPr>
                <w:b/>
                <w:bCs/>
                <w:kern w:val="0"/>
                <w:sz w:val="24"/>
              </w:rPr>
              <w:t>4 生态环境</w:t>
            </w:r>
          </w:p>
          <w:p w14:paraId="4E04693A">
            <w:pPr>
              <w:pageBreakBefore w:val="0"/>
              <w:kinsoku/>
              <w:wordWrap/>
              <w:topLinePunct w:val="0"/>
              <w:bidi w:val="0"/>
              <w:spacing w:line="360" w:lineRule="auto"/>
              <w:ind w:firstLine="480" w:firstLineChars="200"/>
              <w:rPr>
                <w:rFonts w:hint="default" w:eastAsia="宋体"/>
                <w:sz w:val="24"/>
                <w:lang w:val="en-US" w:eastAsia="zh-CN"/>
              </w:rPr>
            </w:pPr>
            <w:r>
              <w:rPr>
                <w:sz w:val="24"/>
              </w:rPr>
              <w:t>本项目</w:t>
            </w:r>
            <w:r>
              <w:rPr>
                <w:rFonts w:hint="eastAsia"/>
                <w:sz w:val="24"/>
                <w:lang w:val="en-US" w:eastAsia="zh-CN"/>
              </w:rPr>
              <w:t>选址</w:t>
            </w:r>
            <w:r>
              <w:rPr>
                <w:sz w:val="24"/>
              </w:rPr>
              <w:t>位于</w:t>
            </w:r>
            <w:r>
              <w:rPr>
                <w:rFonts w:hint="eastAsia"/>
                <w:kern w:val="0"/>
                <w:sz w:val="24"/>
              </w:rPr>
              <w:t>新疆圣雄能源股份有限公司同心工业园</w:t>
            </w:r>
            <w:r>
              <w:rPr>
                <w:rFonts w:hint="eastAsia"/>
                <w:bCs/>
                <w:sz w:val="24"/>
              </w:rPr>
              <w:t>内</w:t>
            </w:r>
            <w:r>
              <w:rPr>
                <w:rFonts w:hint="eastAsia"/>
                <w:bCs/>
                <w:sz w:val="24"/>
                <w:lang w:eastAsia="zh-CN"/>
              </w:rPr>
              <w:t>，</w:t>
            </w:r>
            <w:r>
              <w:rPr>
                <w:rFonts w:hint="eastAsia"/>
                <w:bCs/>
                <w:sz w:val="24"/>
                <w:lang w:val="en-US" w:eastAsia="zh-CN"/>
              </w:rPr>
              <w:t>根据《建设项目环境影响报告表编制技术指南（污染影响类）（试行）》，本项目可不进行生态现状调查。</w:t>
            </w:r>
          </w:p>
          <w:p w14:paraId="386B3C8B">
            <w:pPr>
              <w:pageBreakBefore w:val="0"/>
              <w:kinsoku/>
              <w:wordWrap/>
              <w:topLinePunct w:val="0"/>
              <w:autoSpaceDE w:val="0"/>
              <w:autoSpaceDN w:val="0"/>
              <w:bidi w:val="0"/>
              <w:spacing w:line="360" w:lineRule="auto"/>
              <w:ind w:firstLine="482" w:firstLineChars="200"/>
              <w:rPr>
                <w:rFonts w:hint="default"/>
                <w:bCs/>
                <w:sz w:val="24"/>
                <w:lang w:val="en-US" w:eastAsia="zh-CN"/>
              </w:rPr>
            </w:pPr>
            <w:r>
              <w:rPr>
                <w:rFonts w:hint="eastAsia"/>
                <w:b/>
                <w:bCs/>
                <w:sz w:val="24"/>
                <w:lang w:val="en-US" w:eastAsia="zh-CN"/>
              </w:rPr>
              <w:t>5 电磁辐射</w:t>
            </w:r>
          </w:p>
          <w:p w14:paraId="278E109D">
            <w:pPr>
              <w:pageBreakBefore w:val="0"/>
              <w:kinsoku/>
              <w:wordWrap/>
              <w:topLinePunct w:val="0"/>
              <w:autoSpaceDE w:val="0"/>
              <w:autoSpaceDN w:val="0"/>
              <w:bidi w:val="0"/>
              <w:spacing w:line="360" w:lineRule="auto"/>
              <w:ind w:firstLine="480" w:firstLineChars="200"/>
              <w:rPr>
                <w:rFonts w:hint="default"/>
                <w:bCs/>
                <w:sz w:val="24"/>
                <w:lang w:val="en-US" w:eastAsia="zh-CN"/>
              </w:rPr>
            </w:pPr>
            <w:r>
              <w:rPr>
                <w:rFonts w:hint="eastAsia"/>
                <w:bCs/>
                <w:sz w:val="24"/>
                <w:lang w:val="en-US" w:eastAsia="zh-CN"/>
              </w:rPr>
              <w:t>本项目建设内容不涉及电磁辐射类别，不开展监测与评价</w:t>
            </w:r>
          </w:p>
          <w:p w14:paraId="5F694AF6">
            <w:pPr>
              <w:pageBreakBefore w:val="0"/>
              <w:kinsoku/>
              <w:wordWrap/>
              <w:topLinePunct w:val="0"/>
              <w:autoSpaceDE w:val="0"/>
              <w:autoSpaceDN w:val="0"/>
              <w:bidi w:val="0"/>
              <w:spacing w:line="360" w:lineRule="auto"/>
              <w:ind w:firstLine="482" w:firstLineChars="200"/>
              <w:rPr>
                <w:kern w:val="0"/>
                <w:sz w:val="24"/>
              </w:rPr>
            </w:pPr>
            <w:r>
              <w:rPr>
                <w:rFonts w:hint="eastAsia"/>
                <w:b/>
                <w:bCs/>
                <w:kern w:val="0"/>
                <w:sz w:val="24"/>
                <w:lang w:val="en-US" w:eastAsia="zh-CN"/>
              </w:rPr>
              <w:t>6</w:t>
            </w:r>
            <w:r>
              <w:rPr>
                <w:b/>
                <w:bCs/>
                <w:kern w:val="0"/>
                <w:sz w:val="24"/>
              </w:rPr>
              <w:t xml:space="preserve"> 地下水、土壤环境</w:t>
            </w:r>
          </w:p>
          <w:p w14:paraId="26F2D92E">
            <w:pPr>
              <w:pageBreakBefore w:val="0"/>
              <w:kinsoku/>
              <w:wordWrap/>
              <w:topLinePunct w:val="0"/>
              <w:autoSpaceDE w:val="0"/>
              <w:autoSpaceDN w:val="0"/>
              <w:bidi w:val="0"/>
              <w:spacing w:line="360" w:lineRule="auto"/>
              <w:ind w:firstLine="482" w:firstLineChars="200"/>
              <w:rPr>
                <w:kern w:val="0"/>
                <w:sz w:val="24"/>
              </w:rPr>
            </w:pPr>
            <w:r>
              <w:rPr>
                <w:rFonts w:hint="eastAsia"/>
                <w:b/>
                <w:bCs/>
                <w:kern w:val="0"/>
                <w:sz w:val="24"/>
                <w:lang w:eastAsia="zh-CN"/>
              </w:rPr>
              <w:t>6</w:t>
            </w:r>
            <w:r>
              <w:rPr>
                <w:b/>
                <w:bCs/>
                <w:kern w:val="0"/>
                <w:sz w:val="24"/>
              </w:rPr>
              <w:t>.1 地下水环境</w:t>
            </w:r>
          </w:p>
          <w:p w14:paraId="0ABCE27E">
            <w:pPr>
              <w:pageBreakBefore w:val="0"/>
              <w:kinsoku/>
              <w:wordWrap/>
              <w:topLinePunct w:val="0"/>
              <w:autoSpaceDE w:val="0"/>
              <w:autoSpaceDN w:val="0"/>
              <w:bidi w:val="0"/>
              <w:spacing w:line="360" w:lineRule="auto"/>
              <w:ind w:firstLine="480" w:firstLineChars="200"/>
              <w:rPr>
                <w:kern w:val="0"/>
                <w:sz w:val="24"/>
              </w:rPr>
            </w:pPr>
            <w:r>
              <w:rPr>
                <w:kern w:val="0"/>
                <w:sz w:val="24"/>
              </w:rPr>
              <w:t>（1）等级判定</w:t>
            </w:r>
          </w:p>
          <w:p w14:paraId="018F64AC">
            <w:pPr>
              <w:pageBreakBefore w:val="0"/>
              <w:kinsoku/>
              <w:wordWrap/>
              <w:topLinePunct w:val="0"/>
              <w:autoSpaceDE w:val="0"/>
              <w:autoSpaceDN w:val="0"/>
              <w:bidi w:val="0"/>
              <w:spacing w:line="360" w:lineRule="auto"/>
              <w:ind w:firstLine="480" w:firstLineChars="200"/>
              <w:rPr>
                <w:kern w:val="0"/>
                <w:sz w:val="24"/>
              </w:rPr>
            </w:pPr>
            <w:r>
              <w:rPr>
                <w:kern w:val="0"/>
                <w:sz w:val="24"/>
              </w:rPr>
              <w:t>对照《环境影响评价技术导则 地下水环境》</w:t>
            </w:r>
            <w:r>
              <w:rPr>
                <w:sz w:val="24"/>
              </w:rPr>
              <w:t>（</w:t>
            </w:r>
            <w:r>
              <w:rPr>
                <w:kern w:val="0"/>
                <w:sz w:val="24"/>
              </w:rPr>
              <w:t>HJ 610-2016）附录A，本项目属于“基本化学原料制造”，报告表地下水环境影响评价类别为</w:t>
            </w:r>
            <w:r>
              <w:rPr>
                <w:rFonts w:eastAsia="微软雅黑"/>
                <w:kern w:val="0"/>
                <w:sz w:val="24"/>
              </w:rPr>
              <w:t>Ⅲ</w:t>
            </w:r>
            <w:r>
              <w:rPr>
                <w:kern w:val="0"/>
                <w:sz w:val="24"/>
              </w:rPr>
              <w:t>类。</w:t>
            </w:r>
          </w:p>
          <w:p w14:paraId="5D9EC5A3">
            <w:pPr>
              <w:pageBreakBefore w:val="0"/>
              <w:kinsoku/>
              <w:wordWrap/>
              <w:topLinePunct w:val="0"/>
              <w:autoSpaceDE w:val="0"/>
              <w:autoSpaceDN w:val="0"/>
              <w:bidi w:val="0"/>
              <w:spacing w:line="360" w:lineRule="auto"/>
              <w:ind w:firstLine="480" w:firstLineChars="200"/>
              <w:rPr>
                <w:kern w:val="0"/>
                <w:sz w:val="24"/>
              </w:rPr>
            </w:pPr>
            <w:r>
              <w:rPr>
                <w:kern w:val="0"/>
                <w:sz w:val="24"/>
              </w:rPr>
              <w:t>由于项目选址不涉及集中式饮用水水源准保护区、补给径流区，不属于未划定准保护区的</w:t>
            </w:r>
            <w:r>
              <w:rPr>
                <w:rFonts w:hint="eastAsia"/>
                <w:kern w:val="0"/>
                <w:sz w:val="24"/>
              </w:rPr>
              <w:t>集中</w:t>
            </w:r>
            <w:r>
              <w:rPr>
                <w:kern w:val="0"/>
                <w:sz w:val="24"/>
              </w:rPr>
              <w:t>式饮用水水源，其保护区以外的补给径流区，不属于分散式饮用水水源地，不属于特殊地下水资源保护区及分布区，因此地下水环境敏感程度为不敏感。</w:t>
            </w:r>
          </w:p>
          <w:p w14:paraId="15B8876D">
            <w:pPr>
              <w:pageBreakBefore w:val="0"/>
              <w:kinsoku/>
              <w:wordWrap/>
              <w:topLinePunct w:val="0"/>
              <w:autoSpaceDE w:val="0"/>
              <w:autoSpaceDN w:val="0"/>
              <w:bidi w:val="0"/>
              <w:spacing w:line="360" w:lineRule="auto"/>
              <w:ind w:firstLine="480" w:firstLineChars="200"/>
              <w:rPr>
                <w:kern w:val="0"/>
                <w:sz w:val="24"/>
              </w:rPr>
            </w:pPr>
            <w:r>
              <w:rPr>
                <w:kern w:val="0"/>
                <w:sz w:val="24"/>
              </w:rPr>
              <w:t>根据《环境影响评价技术导则 地下水环境》</w:t>
            </w:r>
            <w:r>
              <w:rPr>
                <w:sz w:val="24"/>
              </w:rPr>
              <w:t>（</w:t>
            </w:r>
            <w:r>
              <w:rPr>
                <w:kern w:val="0"/>
                <w:sz w:val="24"/>
              </w:rPr>
              <w:t>HJ 610-2016）表2判断本项目地下水评价等级，详见</w:t>
            </w:r>
            <w:r>
              <w:rPr>
                <w:rFonts w:hint="eastAsia"/>
                <w:kern w:val="0"/>
                <w:sz w:val="24"/>
                <w:lang w:val="en-US" w:eastAsia="zh-CN"/>
              </w:rPr>
              <w:t>下</w:t>
            </w:r>
            <w:r>
              <w:rPr>
                <w:kern w:val="0"/>
                <w:sz w:val="24"/>
              </w:rPr>
              <w:t>表。</w:t>
            </w:r>
          </w:p>
          <w:p w14:paraId="69ADD5C1">
            <w:pPr>
              <w:pageBreakBefore w:val="0"/>
              <w:kinsoku/>
              <w:wordWrap/>
              <w:topLinePunct w:val="0"/>
              <w:autoSpaceDE w:val="0"/>
              <w:autoSpaceDN w:val="0"/>
              <w:bidi w:val="0"/>
              <w:spacing w:line="360" w:lineRule="auto"/>
              <w:jc w:val="center"/>
              <w:rPr>
                <w:kern w:val="0"/>
                <w:sz w:val="24"/>
              </w:rPr>
            </w:pPr>
            <w:r>
              <w:rPr>
                <w:rFonts w:eastAsia="黑体"/>
                <w:kern w:val="0"/>
                <w:szCs w:val="21"/>
              </w:rPr>
              <w:t>表3-</w:t>
            </w:r>
            <w:r>
              <w:rPr>
                <w:rFonts w:hint="eastAsia" w:eastAsia="黑体"/>
                <w:kern w:val="0"/>
                <w:szCs w:val="21"/>
                <w:lang w:val="en-US" w:eastAsia="zh-CN"/>
              </w:rPr>
              <w:t>4</w:t>
            </w:r>
            <w:r>
              <w:rPr>
                <w:rFonts w:eastAsia="黑体"/>
                <w:kern w:val="0"/>
                <w:szCs w:val="21"/>
              </w:rPr>
              <w:t xml:space="preserve">  评价工作等级分级表</w:t>
            </w:r>
          </w:p>
          <w:tbl>
            <w:tblPr>
              <w:tblStyle w:val="14"/>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28" w:type="dxa"/>
                <w:left w:w="28" w:type="dxa"/>
                <w:bottom w:w="28" w:type="dxa"/>
                <w:right w:w="28" w:type="dxa"/>
              </w:tblCellMar>
            </w:tblPr>
            <w:tblGrid>
              <w:gridCol w:w="2097"/>
              <w:gridCol w:w="2097"/>
              <w:gridCol w:w="2098"/>
              <w:gridCol w:w="2098"/>
            </w:tblGrid>
            <w:tr w14:paraId="5B1AB4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150" w:type="dxa"/>
                  <w:noWrap w:val="0"/>
                  <w:vAlign w:val="center"/>
                </w:tcPr>
                <w:p w14:paraId="7444D6C2">
                  <w:pPr>
                    <w:pageBreakBefore w:val="0"/>
                    <w:kinsoku/>
                    <w:wordWrap/>
                    <w:topLinePunct w:val="0"/>
                    <w:autoSpaceDE w:val="0"/>
                    <w:autoSpaceDN w:val="0"/>
                    <w:bidi w:val="0"/>
                    <w:spacing w:line="280" w:lineRule="exact"/>
                    <w:jc w:val="center"/>
                    <w:rPr>
                      <w:b/>
                      <w:bCs/>
                      <w:kern w:val="0"/>
                      <w:szCs w:val="21"/>
                    </w:rPr>
                  </w:pPr>
                  <w:r>
                    <w:rPr>
                      <w:b/>
                      <w:bCs/>
                      <w:kern w:val="0"/>
                      <w:szCs w:val="21"/>
                    </w:rPr>
                    <w:t>项目类别</w:t>
                  </w:r>
                </w:p>
                <w:p w14:paraId="66A5A2CD">
                  <w:pPr>
                    <w:pageBreakBefore w:val="0"/>
                    <w:kinsoku/>
                    <w:wordWrap/>
                    <w:topLinePunct w:val="0"/>
                    <w:autoSpaceDE w:val="0"/>
                    <w:autoSpaceDN w:val="0"/>
                    <w:bidi w:val="0"/>
                    <w:spacing w:line="280" w:lineRule="exact"/>
                    <w:jc w:val="center"/>
                    <w:rPr>
                      <w:b/>
                      <w:bCs/>
                      <w:kern w:val="0"/>
                      <w:szCs w:val="21"/>
                    </w:rPr>
                  </w:pPr>
                  <w:r>
                    <w:rPr>
                      <w:b/>
                      <w:bCs/>
                      <w:kern w:val="0"/>
                      <w:szCs w:val="21"/>
                    </w:rPr>
                    <w:t>环境敏感程度</w:t>
                  </w:r>
                </w:p>
              </w:tc>
              <w:tc>
                <w:tcPr>
                  <w:tcW w:w="2150" w:type="dxa"/>
                  <w:noWrap w:val="0"/>
                  <w:vAlign w:val="center"/>
                </w:tcPr>
                <w:p w14:paraId="1D6E74EE">
                  <w:pPr>
                    <w:pageBreakBefore w:val="0"/>
                    <w:kinsoku/>
                    <w:wordWrap/>
                    <w:topLinePunct w:val="0"/>
                    <w:autoSpaceDE w:val="0"/>
                    <w:autoSpaceDN w:val="0"/>
                    <w:bidi w:val="0"/>
                    <w:spacing w:line="280" w:lineRule="exact"/>
                    <w:jc w:val="center"/>
                    <w:rPr>
                      <w:b/>
                      <w:bCs/>
                      <w:kern w:val="0"/>
                      <w:szCs w:val="21"/>
                    </w:rPr>
                  </w:pPr>
                  <w:r>
                    <w:rPr>
                      <w:rFonts w:eastAsia="微软雅黑"/>
                      <w:b/>
                      <w:bCs/>
                      <w:kern w:val="0"/>
                      <w:szCs w:val="21"/>
                    </w:rPr>
                    <w:t>Ⅰ</w:t>
                  </w:r>
                  <w:r>
                    <w:rPr>
                      <w:b/>
                      <w:bCs/>
                      <w:kern w:val="0"/>
                      <w:szCs w:val="21"/>
                    </w:rPr>
                    <w:t>类项目</w:t>
                  </w:r>
                </w:p>
              </w:tc>
              <w:tc>
                <w:tcPr>
                  <w:tcW w:w="2150" w:type="dxa"/>
                  <w:noWrap w:val="0"/>
                  <w:vAlign w:val="center"/>
                </w:tcPr>
                <w:p w14:paraId="13CBE337">
                  <w:pPr>
                    <w:pageBreakBefore w:val="0"/>
                    <w:kinsoku/>
                    <w:wordWrap/>
                    <w:topLinePunct w:val="0"/>
                    <w:autoSpaceDE w:val="0"/>
                    <w:autoSpaceDN w:val="0"/>
                    <w:bidi w:val="0"/>
                    <w:spacing w:line="280" w:lineRule="exact"/>
                    <w:jc w:val="center"/>
                    <w:rPr>
                      <w:b/>
                      <w:bCs/>
                      <w:kern w:val="0"/>
                      <w:szCs w:val="21"/>
                    </w:rPr>
                  </w:pPr>
                  <w:r>
                    <w:rPr>
                      <w:rFonts w:eastAsia="微软雅黑"/>
                      <w:b/>
                      <w:bCs/>
                      <w:kern w:val="0"/>
                      <w:szCs w:val="21"/>
                    </w:rPr>
                    <w:t>Ⅱ</w:t>
                  </w:r>
                  <w:r>
                    <w:rPr>
                      <w:b/>
                      <w:bCs/>
                      <w:kern w:val="0"/>
                      <w:szCs w:val="21"/>
                    </w:rPr>
                    <w:t>类项目</w:t>
                  </w:r>
                </w:p>
              </w:tc>
              <w:tc>
                <w:tcPr>
                  <w:tcW w:w="2150" w:type="dxa"/>
                  <w:noWrap w:val="0"/>
                  <w:vAlign w:val="center"/>
                </w:tcPr>
                <w:p w14:paraId="009BAD96">
                  <w:pPr>
                    <w:pageBreakBefore w:val="0"/>
                    <w:kinsoku/>
                    <w:wordWrap/>
                    <w:topLinePunct w:val="0"/>
                    <w:autoSpaceDE w:val="0"/>
                    <w:autoSpaceDN w:val="0"/>
                    <w:bidi w:val="0"/>
                    <w:spacing w:line="280" w:lineRule="exact"/>
                    <w:jc w:val="center"/>
                    <w:rPr>
                      <w:b/>
                      <w:bCs/>
                      <w:kern w:val="0"/>
                      <w:szCs w:val="21"/>
                    </w:rPr>
                  </w:pPr>
                  <w:r>
                    <w:rPr>
                      <w:rFonts w:eastAsia="微软雅黑"/>
                      <w:b/>
                      <w:bCs/>
                      <w:kern w:val="0"/>
                      <w:szCs w:val="21"/>
                    </w:rPr>
                    <w:t>Ⅲ</w:t>
                  </w:r>
                  <w:r>
                    <w:rPr>
                      <w:b/>
                      <w:bCs/>
                      <w:kern w:val="0"/>
                      <w:szCs w:val="21"/>
                    </w:rPr>
                    <w:t>类项目</w:t>
                  </w:r>
                </w:p>
              </w:tc>
            </w:tr>
            <w:tr w14:paraId="088626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150" w:type="dxa"/>
                  <w:noWrap w:val="0"/>
                  <w:vAlign w:val="center"/>
                </w:tcPr>
                <w:p w14:paraId="2D201677">
                  <w:pPr>
                    <w:pageBreakBefore w:val="0"/>
                    <w:kinsoku/>
                    <w:wordWrap/>
                    <w:topLinePunct w:val="0"/>
                    <w:autoSpaceDE w:val="0"/>
                    <w:autoSpaceDN w:val="0"/>
                    <w:bidi w:val="0"/>
                    <w:spacing w:line="280" w:lineRule="exact"/>
                    <w:jc w:val="center"/>
                    <w:rPr>
                      <w:kern w:val="0"/>
                      <w:szCs w:val="21"/>
                    </w:rPr>
                  </w:pPr>
                  <w:r>
                    <w:rPr>
                      <w:kern w:val="0"/>
                      <w:szCs w:val="21"/>
                    </w:rPr>
                    <w:t>敏感</w:t>
                  </w:r>
                </w:p>
              </w:tc>
              <w:tc>
                <w:tcPr>
                  <w:tcW w:w="2150" w:type="dxa"/>
                  <w:noWrap w:val="0"/>
                  <w:vAlign w:val="center"/>
                </w:tcPr>
                <w:p w14:paraId="021956C9">
                  <w:pPr>
                    <w:pageBreakBefore w:val="0"/>
                    <w:kinsoku/>
                    <w:wordWrap/>
                    <w:topLinePunct w:val="0"/>
                    <w:autoSpaceDE w:val="0"/>
                    <w:autoSpaceDN w:val="0"/>
                    <w:bidi w:val="0"/>
                    <w:spacing w:line="280" w:lineRule="exact"/>
                    <w:jc w:val="center"/>
                    <w:rPr>
                      <w:kern w:val="0"/>
                      <w:szCs w:val="21"/>
                    </w:rPr>
                  </w:pPr>
                  <w:r>
                    <w:rPr>
                      <w:kern w:val="0"/>
                      <w:szCs w:val="21"/>
                    </w:rPr>
                    <w:t>一</w:t>
                  </w:r>
                </w:p>
              </w:tc>
              <w:tc>
                <w:tcPr>
                  <w:tcW w:w="2150" w:type="dxa"/>
                  <w:noWrap w:val="0"/>
                  <w:vAlign w:val="center"/>
                </w:tcPr>
                <w:p w14:paraId="74D3CC63">
                  <w:pPr>
                    <w:pageBreakBefore w:val="0"/>
                    <w:kinsoku/>
                    <w:wordWrap/>
                    <w:topLinePunct w:val="0"/>
                    <w:autoSpaceDE w:val="0"/>
                    <w:autoSpaceDN w:val="0"/>
                    <w:bidi w:val="0"/>
                    <w:spacing w:line="280" w:lineRule="exact"/>
                    <w:jc w:val="center"/>
                    <w:rPr>
                      <w:kern w:val="0"/>
                      <w:szCs w:val="21"/>
                    </w:rPr>
                  </w:pPr>
                  <w:r>
                    <w:rPr>
                      <w:kern w:val="0"/>
                      <w:szCs w:val="21"/>
                    </w:rPr>
                    <w:t>一</w:t>
                  </w:r>
                </w:p>
              </w:tc>
              <w:tc>
                <w:tcPr>
                  <w:tcW w:w="2150" w:type="dxa"/>
                  <w:noWrap w:val="0"/>
                  <w:vAlign w:val="center"/>
                </w:tcPr>
                <w:p w14:paraId="462EC852">
                  <w:pPr>
                    <w:pageBreakBefore w:val="0"/>
                    <w:kinsoku/>
                    <w:wordWrap/>
                    <w:topLinePunct w:val="0"/>
                    <w:autoSpaceDE w:val="0"/>
                    <w:autoSpaceDN w:val="0"/>
                    <w:bidi w:val="0"/>
                    <w:spacing w:line="280" w:lineRule="exact"/>
                    <w:jc w:val="center"/>
                    <w:rPr>
                      <w:kern w:val="0"/>
                      <w:szCs w:val="21"/>
                    </w:rPr>
                  </w:pPr>
                  <w:r>
                    <w:rPr>
                      <w:kern w:val="0"/>
                      <w:szCs w:val="21"/>
                    </w:rPr>
                    <w:t>二</w:t>
                  </w:r>
                </w:p>
              </w:tc>
            </w:tr>
            <w:tr w14:paraId="35A893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150" w:type="dxa"/>
                  <w:noWrap w:val="0"/>
                  <w:vAlign w:val="center"/>
                </w:tcPr>
                <w:p w14:paraId="50059EF6">
                  <w:pPr>
                    <w:pageBreakBefore w:val="0"/>
                    <w:kinsoku/>
                    <w:wordWrap/>
                    <w:topLinePunct w:val="0"/>
                    <w:autoSpaceDE w:val="0"/>
                    <w:autoSpaceDN w:val="0"/>
                    <w:bidi w:val="0"/>
                    <w:spacing w:line="280" w:lineRule="exact"/>
                    <w:jc w:val="center"/>
                    <w:rPr>
                      <w:kern w:val="0"/>
                      <w:szCs w:val="21"/>
                    </w:rPr>
                  </w:pPr>
                  <w:r>
                    <w:rPr>
                      <w:kern w:val="0"/>
                      <w:szCs w:val="21"/>
                    </w:rPr>
                    <w:t>较敏感</w:t>
                  </w:r>
                </w:p>
              </w:tc>
              <w:tc>
                <w:tcPr>
                  <w:tcW w:w="2150" w:type="dxa"/>
                  <w:noWrap w:val="0"/>
                  <w:vAlign w:val="center"/>
                </w:tcPr>
                <w:p w14:paraId="6EF1B6FE">
                  <w:pPr>
                    <w:pageBreakBefore w:val="0"/>
                    <w:kinsoku/>
                    <w:wordWrap/>
                    <w:topLinePunct w:val="0"/>
                    <w:autoSpaceDE w:val="0"/>
                    <w:autoSpaceDN w:val="0"/>
                    <w:bidi w:val="0"/>
                    <w:spacing w:line="280" w:lineRule="exact"/>
                    <w:jc w:val="center"/>
                    <w:rPr>
                      <w:kern w:val="0"/>
                      <w:szCs w:val="21"/>
                    </w:rPr>
                  </w:pPr>
                  <w:r>
                    <w:rPr>
                      <w:kern w:val="0"/>
                      <w:szCs w:val="21"/>
                    </w:rPr>
                    <w:t>一</w:t>
                  </w:r>
                </w:p>
              </w:tc>
              <w:tc>
                <w:tcPr>
                  <w:tcW w:w="2150" w:type="dxa"/>
                  <w:noWrap w:val="0"/>
                  <w:vAlign w:val="center"/>
                </w:tcPr>
                <w:p w14:paraId="0C87D951">
                  <w:pPr>
                    <w:pageBreakBefore w:val="0"/>
                    <w:kinsoku/>
                    <w:wordWrap/>
                    <w:topLinePunct w:val="0"/>
                    <w:autoSpaceDE w:val="0"/>
                    <w:autoSpaceDN w:val="0"/>
                    <w:bidi w:val="0"/>
                    <w:spacing w:line="280" w:lineRule="exact"/>
                    <w:jc w:val="center"/>
                    <w:rPr>
                      <w:kern w:val="0"/>
                      <w:szCs w:val="21"/>
                    </w:rPr>
                  </w:pPr>
                  <w:r>
                    <w:rPr>
                      <w:kern w:val="0"/>
                      <w:szCs w:val="21"/>
                    </w:rPr>
                    <w:t>二</w:t>
                  </w:r>
                </w:p>
              </w:tc>
              <w:tc>
                <w:tcPr>
                  <w:tcW w:w="2150" w:type="dxa"/>
                  <w:noWrap w:val="0"/>
                  <w:vAlign w:val="center"/>
                </w:tcPr>
                <w:p w14:paraId="073D4DB2">
                  <w:pPr>
                    <w:pageBreakBefore w:val="0"/>
                    <w:kinsoku/>
                    <w:wordWrap/>
                    <w:topLinePunct w:val="0"/>
                    <w:autoSpaceDE w:val="0"/>
                    <w:autoSpaceDN w:val="0"/>
                    <w:bidi w:val="0"/>
                    <w:spacing w:line="280" w:lineRule="exact"/>
                    <w:jc w:val="center"/>
                    <w:rPr>
                      <w:kern w:val="0"/>
                      <w:szCs w:val="21"/>
                    </w:rPr>
                  </w:pPr>
                  <w:r>
                    <w:rPr>
                      <w:kern w:val="0"/>
                      <w:szCs w:val="21"/>
                    </w:rPr>
                    <w:t>三</w:t>
                  </w:r>
                </w:p>
              </w:tc>
            </w:tr>
            <w:tr w14:paraId="2817A2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150" w:type="dxa"/>
                  <w:noWrap w:val="0"/>
                  <w:vAlign w:val="center"/>
                </w:tcPr>
                <w:p w14:paraId="67A9E92A">
                  <w:pPr>
                    <w:pageBreakBefore w:val="0"/>
                    <w:kinsoku/>
                    <w:wordWrap/>
                    <w:topLinePunct w:val="0"/>
                    <w:autoSpaceDE w:val="0"/>
                    <w:autoSpaceDN w:val="0"/>
                    <w:bidi w:val="0"/>
                    <w:spacing w:line="280" w:lineRule="exact"/>
                    <w:jc w:val="center"/>
                    <w:rPr>
                      <w:kern w:val="0"/>
                      <w:szCs w:val="21"/>
                    </w:rPr>
                  </w:pPr>
                  <w:r>
                    <w:rPr>
                      <w:kern w:val="0"/>
                      <w:szCs w:val="21"/>
                    </w:rPr>
                    <w:t>不敏感</w:t>
                  </w:r>
                </w:p>
              </w:tc>
              <w:tc>
                <w:tcPr>
                  <w:tcW w:w="2150" w:type="dxa"/>
                  <w:noWrap w:val="0"/>
                  <w:vAlign w:val="center"/>
                </w:tcPr>
                <w:p w14:paraId="3A27A799">
                  <w:pPr>
                    <w:pageBreakBefore w:val="0"/>
                    <w:kinsoku/>
                    <w:wordWrap/>
                    <w:topLinePunct w:val="0"/>
                    <w:autoSpaceDE w:val="0"/>
                    <w:autoSpaceDN w:val="0"/>
                    <w:bidi w:val="0"/>
                    <w:spacing w:line="280" w:lineRule="exact"/>
                    <w:jc w:val="center"/>
                    <w:rPr>
                      <w:kern w:val="0"/>
                      <w:szCs w:val="21"/>
                    </w:rPr>
                  </w:pPr>
                  <w:r>
                    <w:rPr>
                      <w:kern w:val="0"/>
                      <w:szCs w:val="21"/>
                    </w:rPr>
                    <w:t>二</w:t>
                  </w:r>
                </w:p>
              </w:tc>
              <w:tc>
                <w:tcPr>
                  <w:tcW w:w="2150" w:type="dxa"/>
                  <w:noWrap w:val="0"/>
                  <w:vAlign w:val="center"/>
                </w:tcPr>
                <w:p w14:paraId="65171D85">
                  <w:pPr>
                    <w:pageBreakBefore w:val="0"/>
                    <w:kinsoku/>
                    <w:wordWrap/>
                    <w:topLinePunct w:val="0"/>
                    <w:autoSpaceDE w:val="0"/>
                    <w:autoSpaceDN w:val="0"/>
                    <w:bidi w:val="0"/>
                    <w:spacing w:line="280" w:lineRule="exact"/>
                    <w:jc w:val="center"/>
                    <w:rPr>
                      <w:kern w:val="0"/>
                      <w:szCs w:val="21"/>
                    </w:rPr>
                  </w:pPr>
                  <w:r>
                    <w:rPr>
                      <w:kern w:val="0"/>
                      <w:szCs w:val="21"/>
                    </w:rPr>
                    <w:t>三</w:t>
                  </w:r>
                </w:p>
              </w:tc>
              <w:tc>
                <w:tcPr>
                  <w:tcW w:w="2150" w:type="dxa"/>
                  <w:noWrap w:val="0"/>
                  <w:vAlign w:val="center"/>
                </w:tcPr>
                <w:p w14:paraId="065A5758">
                  <w:pPr>
                    <w:pageBreakBefore w:val="0"/>
                    <w:kinsoku/>
                    <w:wordWrap/>
                    <w:topLinePunct w:val="0"/>
                    <w:autoSpaceDE w:val="0"/>
                    <w:autoSpaceDN w:val="0"/>
                    <w:bidi w:val="0"/>
                    <w:spacing w:line="280" w:lineRule="exact"/>
                    <w:jc w:val="center"/>
                    <w:rPr>
                      <w:kern w:val="0"/>
                      <w:szCs w:val="21"/>
                    </w:rPr>
                  </w:pPr>
                  <w:r>
                    <w:rPr>
                      <w:kern w:val="0"/>
                      <w:szCs w:val="21"/>
                    </w:rPr>
                    <w:t>三</w:t>
                  </w:r>
                </w:p>
              </w:tc>
            </w:tr>
          </w:tbl>
          <w:p w14:paraId="4F072B13">
            <w:pPr>
              <w:pageBreakBefore w:val="0"/>
              <w:kinsoku/>
              <w:wordWrap/>
              <w:topLinePunct w:val="0"/>
              <w:autoSpaceDE w:val="0"/>
              <w:autoSpaceDN w:val="0"/>
              <w:bidi w:val="0"/>
              <w:spacing w:line="360" w:lineRule="auto"/>
              <w:ind w:firstLine="480" w:firstLineChars="200"/>
              <w:rPr>
                <w:kern w:val="0"/>
                <w:sz w:val="24"/>
              </w:rPr>
            </w:pPr>
            <w:r>
              <w:rPr>
                <w:kern w:val="0"/>
                <w:sz w:val="24"/>
              </w:rPr>
              <w:t>由上表可知，本项目地下水评价等级为三级，因此需对地下水开展监测。</w:t>
            </w:r>
          </w:p>
          <w:p w14:paraId="5A4B3A30">
            <w:pPr>
              <w:pageBreakBefore w:val="0"/>
              <w:kinsoku/>
              <w:wordWrap/>
              <w:topLinePunct w:val="0"/>
              <w:autoSpaceDE w:val="0"/>
              <w:autoSpaceDN w:val="0"/>
              <w:bidi w:val="0"/>
              <w:spacing w:line="360" w:lineRule="auto"/>
              <w:ind w:firstLine="480" w:firstLineChars="200"/>
              <w:rPr>
                <w:sz w:val="24"/>
              </w:rPr>
            </w:pPr>
            <w:r>
              <w:rPr>
                <w:sz w:val="24"/>
              </w:rPr>
              <w:t>新疆圣雄能源股份有限公司委托新疆恒泰职业环境检测评价有限公司对项目所在区域地下水环境进行监测。结合现场勘查选定项目</w:t>
            </w:r>
            <w:r>
              <w:rPr>
                <w:rFonts w:hint="eastAsia"/>
                <w:sz w:val="24"/>
              </w:rPr>
              <w:t>周边三口地下水机井</w:t>
            </w:r>
            <w:r>
              <w:rPr>
                <w:sz w:val="24"/>
              </w:rPr>
              <w:t>作为地下水水质监测点，监测点位见</w:t>
            </w:r>
            <w:r>
              <w:rPr>
                <w:rFonts w:hint="eastAsia"/>
                <w:sz w:val="24"/>
                <w:lang w:val="en-US" w:eastAsia="zh-CN"/>
              </w:rPr>
              <w:t>下</w:t>
            </w:r>
            <w:r>
              <w:rPr>
                <w:rFonts w:hint="eastAsia"/>
                <w:sz w:val="24"/>
              </w:rPr>
              <w:t>表，</w:t>
            </w:r>
            <w:r>
              <w:rPr>
                <w:sz w:val="24"/>
              </w:rPr>
              <w:t>附图</w:t>
            </w:r>
            <w:r>
              <w:rPr>
                <w:rFonts w:hint="eastAsia"/>
                <w:sz w:val="24"/>
              </w:rPr>
              <w:t>9</w:t>
            </w:r>
            <w:r>
              <w:rPr>
                <w:sz w:val="24"/>
              </w:rPr>
              <w:t>。</w:t>
            </w:r>
          </w:p>
          <w:p w14:paraId="5D4428C3">
            <w:pPr>
              <w:pageBreakBefore w:val="0"/>
              <w:kinsoku/>
              <w:wordWrap/>
              <w:topLinePunct w:val="0"/>
              <w:bidi w:val="0"/>
              <w:spacing w:line="360" w:lineRule="auto"/>
              <w:jc w:val="center"/>
              <w:outlineLvl w:val="8"/>
              <w:rPr>
                <w:rFonts w:eastAsia="黑体"/>
                <w:szCs w:val="21"/>
              </w:rPr>
            </w:pPr>
            <w:r>
              <w:rPr>
                <w:rFonts w:eastAsia="黑体"/>
                <w:szCs w:val="21"/>
              </w:rPr>
              <w:t>表3-</w:t>
            </w:r>
            <w:r>
              <w:rPr>
                <w:rFonts w:hint="eastAsia" w:eastAsia="黑体"/>
                <w:szCs w:val="21"/>
                <w:lang w:val="en-US" w:eastAsia="zh-CN"/>
              </w:rPr>
              <w:t>5</w:t>
            </w:r>
            <w:r>
              <w:rPr>
                <w:rFonts w:eastAsia="黑体"/>
                <w:szCs w:val="21"/>
              </w:rPr>
              <w:t xml:space="preserve">  </w:t>
            </w:r>
            <w:r>
              <w:rPr>
                <w:rFonts w:hint="eastAsia" w:eastAsia="黑体"/>
                <w:szCs w:val="21"/>
              </w:rPr>
              <w:t>地下水监测点位</w:t>
            </w:r>
            <w:r>
              <w:rPr>
                <w:rFonts w:eastAsia="黑体"/>
                <w:szCs w:val="21"/>
              </w:rPr>
              <w:t>一览表</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88"/>
              <w:gridCol w:w="2454"/>
              <w:gridCol w:w="5448"/>
            </w:tblGrid>
            <w:tr w14:paraId="25FCFC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8" w:type="dxa"/>
                  <w:noWrap w:val="0"/>
                  <w:tcMar>
                    <w:top w:w="28" w:type="dxa"/>
                    <w:left w:w="28" w:type="dxa"/>
                    <w:bottom w:w="28" w:type="dxa"/>
                    <w:right w:w="28" w:type="dxa"/>
                  </w:tcMar>
                  <w:vAlign w:val="center"/>
                </w:tcPr>
                <w:p w14:paraId="2A090FBD">
                  <w:pPr>
                    <w:pageBreakBefore w:val="0"/>
                    <w:kinsoku/>
                    <w:wordWrap/>
                    <w:topLinePunct w:val="0"/>
                    <w:autoSpaceDE w:val="0"/>
                    <w:autoSpaceDN w:val="0"/>
                    <w:bidi w:val="0"/>
                    <w:spacing w:line="280" w:lineRule="exact"/>
                    <w:jc w:val="center"/>
                    <w:textAlignment w:val="center"/>
                    <w:rPr>
                      <w:b/>
                      <w:bCs/>
                      <w:szCs w:val="21"/>
                    </w:rPr>
                  </w:pPr>
                  <w:r>
                    <w:rPr>
                      <w:b/>
                      <w:bCs/>
                      <w:szCs w:val="21"/>
                    </w:rPr>
                    <w:t>序号</w:t>
                  </w:r>
                </w:p>
              </w:tc>
              <w:tc>
                <w:tcPr>
                  <w:tcW w:w="2454" w:type="dxa"/>
                  <w:noWrap w:val="0"/>
                  <w:tcMar>
                    <w:top w:w="28" w:type="dxa"/>
                    <w:left w:w="28" w:type="dxa"/>
                    <w:bottom w:w="28" w:type="dxa"/>
                    <w:right w:w="28" w:type="dxa"/>
                  </w:tcMar>
                  <w:vAlign w:val="center"/>
                </w:tcPr>
                <w:p w14:paraId="717EE73F">
                  <w:pPr>
                    <w:pageBreakBefore w:val="0"/>
                    <w:kinsoku/>
                    <w:wordWrap/>
                    <w:topLinePunct w:val="0"/>
                    <w:autoSpaceDE w:val="0"/>
                    <w:autoSpaceDN w:val="0"/>
                    <w:bidi w:val="0"/>
                    <w:spacing w:line="280" w:lineRule="exact"/>
                    <w:jc w:val="center"/>
                    <w:textAlignment w:val="center"/>
                    <w:rPr>
                      <w:b/>
                      <w:bCs/>
                      <w:szCs w:val="21"/>
                    </w:rPr>
                  </w:pPr>
                  <w:r>
                    <w:rPr>
                      <w:b/>
                      <w:bCs/>
                      <w:szCs w:val="21"/>
                    </w:rPr>
                    <w:t>名称</w:t>
                  </w:r>
                  <w:r>
                    <w:rPr>
                      <w:rFonts w:hint="eastAsia"/>
                      <w:b/>
                      <w:bCs/>
                      <w:szCs w:val="21"/>
                    </w:rPr>
                    <w:t>及坐标</w:t>
                  </w:r>
                </w:p>
              </w:tc>
              <w:tc>
                <w:tcPr>
                  <w:tcW w:w="5448" w:type="dxa"/>
                  <w:noWrap w:val="0"/>
                  <w:tcMar>
                    <w:top w:w="28" w:type="dxa"/>
                    <w:left w:w="28" w:type="dxa"/>
                    <w:bottom w:w="28" w:type="dxa"/>
                    <w:right w:w="28" w:type="dxa"/>
                  </w:tcMar>
                  <w:vAlign w:val="center"/>
                </w:tcPr>
                <w:p w14:paraId="7271966D">
                  <w:pPr>
                    <w:pageBreakBefore w:val="0"/>
                    <w:kinsoku/>
                    <w:wordWrap/>
                    <w:topLinePunct w:val="0"/>
                    <w:autoSpaceDE w:val="0"/>
                    <w:autoSpaceDN w:val="0"/>
                    <w:bidi w:val="0"/>
                    <w:spacing w:line="280" w:lineRule="exact"/>
                    <w:jc w:val="center"/>
                    <w:textAlignment w:val="center"/>
                    <w:rPr>
                      <w:b/>
                      <w:bCs/>
                      <w:szCs w:val="21"/>
                    </w:rPr>
                  </w:pPr>
                  <w:r>
                    <w:rPr>
                      <w:b/>
                      <w:bCs/>
                      <w:szCs w:val="21"/>
                    </w:rPr>
                    <w:t>监测因子</w:t>
                  </w:r>
                </w:p>
              </w:tc>
            </w:tr>
            <w:tr w14:paraId="19DB83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8" w:type="dxa"/>
                  <w:noWrap w:val="0"/>
                  <w:tcMar>
                    <w:top w:w="28" w:type="dxa"/>
                    <w:left w:w="28" w:type="dxa"/>
                    <w:bottom w:w="28" w:type="dxa"/>
                    <w:right w:w="28" w:type="dxa"/>
                  </w:tcMar>
                  <w:vAlign w:val="center"/>
                </w:tcPr>
                <w:p w14:paraId="1988BBF1">
                  <w:pPr>
                    <w:pageBreakBefore w:val="0"/>
                    <w:kinsoku/>
                    <w:wordWrap/>
                    <w:topLinePunct w:val="0"/>
                    <w:autoSpaceDE w:val="0"/>
                    <w:autoSpaceDN w:val="0"/>
                    <w:bidi w:val="0"/>
                    <w:spacing w:line="280" w:lineRule="exact"/>
                    <w:jc w:val="center"/>
                    <w:textAlignment w:val="center"/>
                    <w:rPr>
                      <w:szCs w:val="21"/>
                    </w:rPr>
                  </w:pPr>
                  <w:r>
                    <w:rPr>
                      <w:szCs w:val="21"/>
                    </w:rPr>
                    <w:t>1</w:t>
                  </w:r>
                </w:p>
              </w:tc>
              <w:tc>
                <w:tcPr>
                  <w:tcW w:w="2454" w:type="dxa"/>
                  <w:noWrap w:val="0"/>
                  <w:tcMar>
                    <w:top w:w="28" w:type="dxa"/>
                    <w:left w:w="28" w:type="dxa"/>
                    <w:bottom w:w="28" w:type="dxa"/>
                    <w:right w:w="28" w:type="dxa"/>
                  </w:tcMar>
                  <w:vAlign w:val="center"/>
                </w:tcPr>
                <w:p w14:paraId="7CFE2DA1">
                  <w:pPr>
                    <w:pageBreakBefore w:val="0"/>
                    <w:widowControl/>
                    <w:kinsoku/>
                    <w:wordWrap/>
                    <w:topLinePunct w:val="0"/>
                    <w:bidi w:val="0"/>
                    <w:spacing w:line="28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3号井采样口</w:t>
                  </w:r>
                </w:p>
              </w:tc>
              <w:tc>
                <w:tcPr>
                  <w:tcW w:w="5448" w:type="dxa"/>
                  <w:vMerge w:val="restart"/>
                  <w:noWrap w:val="0"/>
                  <w:tcMar>
                    <w:top w:w="28" w:type="dxa"/>
                    <w:left w:w="28" w:type="dxa"/>
                    <w:bottom w:w="28" w:type="dxa"/>
                    <w:right w:w="28" w:type="dxa"/>
                  </w:tcMar>
                  <w:vAlign w:val="center"/>
                </w:tcPr>
                <w:p w14:paraId="14BED131">
                  <w:pPr>
                    <w:pageBreakBefore w:val="0"/>
                    <w:kinsoku/>
                    <w:wordWrap/>
                    <w:topLinePunct w:val="0"/>
                    <w:autoSpaceDE w:val="0"/>
                    <w:autoSpaceDN w:val="0"/>
                    <w:bidi w:val="0"/>
                    <w:spacing w:line="280" w:lineRule="exact"/>
                    <w:jc w:val="center"/>
                    <w:textAlignment w:val="center"/>
                    <w:rPr>
                      <w:szCs w:val="21"/>
                    </w:rPr>
                  </w:pPr>
                  <w:r>
                    <w:rPr>
                      <w:szCs w:val="21"/>
                    </w:rPr>
                    <w:t>pH</w:t>
                  </w:r>
                  <w:r>
                    <w:rPr>
                      <w:rFonts w:hint="eastAsia"/>
                      <w:szCs w:val="21"/>
                    </w:rPr>
                    <w:t>、</w:t>
                  </w:r>
                  <w:r>
                    <w:rPr>
                      <w:szCs w:val="21"/>
                    </w:rPr>
                    <w:t>总硬度</w:t>
                  </w:r>
                  <w:r>
                    <w:rPr>
                      <w:rFonts w:hint="eastAsia"/>
                      <w:szCs w:val="21"/>
                    </w:rPr>
                    <w:t>、</w:t>
                  </w:r>
                  <w:r>
                    <w:rPr>
                      <w:szCs w:val="21"/>
                    </w:rPr>
                    <w:t>溶解性总固体</w:t>
                  </w:r>
                  <w:r>
                    <w:rPr>
                      <w:rFonts w:hint="eastAsia"/>
                      <w:szCs w:val="21"/>
                    </w:rPr>
                    <w:t>、</w:t>
                  </w:r>
                  <w:r>
                    <w:rPr>
                      <w:szCs w:val="21"/>
                    </w:rPr>
                    <w:t>硫酸盐</w:t>
                  </w:r>
                  <w:r>
                    <w:rPr>
                      <w:rFonts w:hint="eastAsia"/>
                      <w:szCs w:val="21"/>
                    </w:rPr>
                    <w:t>、</w:t>
                  </w:r>
                  <w:r>
                    <w:rPr>
                      <w:szCs w:val="21"/>
                    </w:rPr>
                    <w:t>氯化物</w:t>
                  </w:r>
                  <w:r>
                    <w:rPr>
                      <w:rFonts w:hint="eastAsia"/>
                      <w:szCs w:val="21"/>
                    </w:rPr>
                    <w:t>、</w:t>
                  </w:r>
                  <w:r>
                    <w:rPr>
                      <w:szCs w:val="21"/>
                    </w:rPr>
                    <w:t>铁</w:t>
                  </w:r>
                  <w:r>
                    <w:rPr>
                      <w:rFonts w:hint="eastAsia"/>
                      <w:szCs w:val="21"/>
                    </w:rPr>
                    <w:t>、</w:t>
                  </w:r>
                  <w:r>
                    <w:rPr>
                      <w:szCs w:val="21"/>
                    </w:rPr>
                    <w:t>锰</w:t>
                  </w:r>
                  <w:r>
                    <w:rPr>
                      <w:rFonts w:hint="eastAsia"/>
                      <w:szCs w:val="21"/>
                    </w:rPr>
                    <w:t>、</w:t>
                  </w:r>
                  <w:r>
                    <w:rPr>
                      <w:szCs w:val="21"/>
                    </w:rPr>
                    <w:t>铜</w:t>
                  </w:r>
                  <w:r>
                    <w:rPr>
                      <w:rFonts w:hint="eastAsia"/>
                      <w:szCs w:val="21"/>
                    </w:rPr>
                    <w:t>、</w:t>
                  </w:r>
                  <w:r>
                    <w:rPr>
                      <w:szCs w:val="21"/>
                    </w:rPr>
                    <w:t>锌</w:t>
                  </w:r>
                  <w:r>
                    <w:rPr>
                      <w:rFonts w:hint="eastAsia"/>
                      <w:szCs w:val="21"/>
                    </w:rPr>
                    <w:t>、</w:t>
                  </w:r>
                  <w:r>
                    <w:rPr>
                      <w:szCs w:val="21"/>
                    </w:rPr>
                    <w:t>铝</w:t>
                  </w:r>
                  <w:r>
                    <w:rPr>
                      <w:rFonts w:hint="eastAsia"/>
                      <w:szCs w:val="21"/>
                    </w:rPr>
                    <w:t>、</w:t>
                  </w:r>
                  <w:r>
                    <w:rPr>
                      <w:szCs w:val="21"/>
                    </w:rPr>
                    <w:t>挥发性酚类</w:t>
                  </w:r>
                  <w:r>
                    <w:rPr>
                      <w:rFonts w:hint="eastAsia"/>
                      <w:szCs w:val="21"/>
                    </w:rPr>
                    <w:t>、</w:t>
                  </w:r>
                  <w:r>
                    <w:rPr>
                      <w:szCs w:val="21"/>
                    </w:rPr>
                    <w:t>阴离子表面活性剂</w:t>
                  </w:r>
                  <w:r>
                    <w:rPr>
                      <w:rFonts w:hint="eastAsia"/>
                      <w:szCs w:val="21"/>
                    </w:rPr>
                    <w:t>、</w:t>
                  </w:r>
                  <w:r>
                    <w:rPr>
                      <w:szCs w:val="21"/>
                    </w:rPr>
                    <w:t>耗氧量</w:t>
                  </w:r>
                  <w:r>
                    <w:rPr>
                      <w:rFonts w:hint="eastAsia"/>
                      <w:szCs w:val="21"/>
                    </w:rPr>
                    <w:t>、</w:t>
                  </w:r>
                  <w:r>
                    <w:rPr>
                      <w:szCs w:val="21"/>
                    </w:rPr>
                    <w:t>氨氮</w:t>
                  </w:r>
                  <w:r>
                    <w:rPr>
                      <w:rFonts w:hint="eastAsia"/>
                      <w:szCs w:val="21"/>
                    </w:rPr>
                    <w:t>、</w:t>
                  </w:r>
                  <w:r>
                    <w:rPr>
                      <w:szCs w:val="21"/>
                    </w:rPr>
                    <w:t>硫化物</w:t>
                  </w:r>
                  <w:r>
                    <w:rPr>
                      <w:rFonts w:hint="eastAsia"/>
                      <w:szCs w:val="21"/>
                    </w:rPr>
                    <w:t>、</w:t>
                  </w:r>
                  <w:r>
                    <w:rPr>
                      <w:szCs w:val="21"/>
                    </w:rPr>
                    <w:t>钠</w:t>
                  </w:r>
                  <w:r>
                    <w:rPr>
                      <w:rFonts w:hint="eastAsia"/>
                      <w:szCs w:val="21"/>
                    </w:rPr>
                    <w:t>、</w:t>
                  </w:r>
                  <w:r>
                    <w:rPr>
                      <w:szCs w:val="21"/>
                    </w:rPr>
                    <w:t>总大肠菌群</w:t>
                  </w:r>
                  <w:r>
                    <w:rPr>
                      <w:rFonts w:hint="eastAsia"/>
                      <w:szCs w:val="21"/>
                    </w:rPr>
                    <w:t>、</w:t>
                  </w:r>
                  <w:r>
                    <w:rPr>
                      <w:szCs w:val="21"/>
                    </w:rPr>
                    <w:t>菌落总数</w:t>
                  </w:r>
                  <w:r>
                    <w:rPr>
                      <w:rFonts w:hint="eastAsia"/>
                      <w:szCs w:val="21"/>
                    </w:rPr>
                    <w:t>、</w:t>
                  </w:r>
                  <w:r>
                    <w:rPr>
                      <w:szCs w:val="21"/>
                    </w:rPr>
                    <w:t>亚硝酸盐</w:t>
                  </w:r>
                  <w:r>
                    <w:rPr>
                      <w:rFonts w:hint="eastAsia"/>
                      <w:szCs w:val="21"/>
                    </w:rPr>
                    <w:t>、</w:t>
                  </w:r>
                  <w:r>
                    <w:rPr>
                      <w:szCs w:val="21"/>
                    </w:rPr>
                    <w:t>硝酸盐</w:t>
                  </w:r>
                  <w:r>
                    <w:rPr>
                      <w:rFonts w:hint="eastAsia"/>
                      <w:szCs w:val="21"/>
                    </w:rPr>
                    <w:t>、</w:t>
                  </w:r>
                  <w:r>
                    <w:rPr>
                      <w:szCs w:val="21"/>
                    </w:rPr>
                    <w:t>氰化物</w:t>
                  </w:r>
                  <w:r>
                    <w:rPr>
                      <w:rFonts w:hint="eastAsia"/>
                      <w:szCs w:val="21"/>
                    </w:rPr>
                    <w:t>、</w:t>
                  </w:r>
                  <w:r>
                    <w:rPr>
                      <w:szCs w:val="21"/>
                    </w:rPr>
                    <w:t>氟化物</w:t>
                  </w:r>
                  <w:r>
                    <w:rPr>
                      <w:rFonts w:hint="eastAsia"/>
                      <w:szCs w:val="21"/>
                    </w:rPr>
                    <w:t>、</w:t>
                  </w:r>
                  <w:r>
                    <w:rPr>
                      <w:szCs w:val="21"/>
                    </w:rPr>
                    <w:t>碘化物</w:t>
                  </w:r>
                  <w:r>
                    <w:rPr>
                      <w:rFonts w:hint="eastAsia"/>
                      <w:szCs w:val="21"/>
                    </w:rPr>
                    <w:t>、</w:t>
                  </w:r>
                  <w:r>
                    <w:rPr>
                      <w:szCs w:val="21"/>
                    </w:rPr>
                    <w:t>汞</w:t>
                  </w:r>
                  <w:r>
                    <w:rPr>
                      <w:rFonts w:hint="eastAsia"/>
                      <w:szCs w:val="21"/>
                    </w:rPr>
                    <w:t>、</w:t>
                  </w:r>
                  <w:r>
                    <w:rPr>
                      <w:szCs w:val="21"/>
                    </w:rPr>
                    <w:t>砷</w:t>
                  </w:r>
                  <w:r>
                    <w:rPr>
                      <w:rFonts w:hint="eastAsia"/>
                      <w:szCs w:val="21"/>
                    </w:rPr>
                    <w:t>、</w:t>
                  </w:r>
                  <w:r>
                    <w:rPr>
                      <w:szCs w:val="21"/>
                    </w:rPr>
                    <w:t>硒</w:t>
                  </w:r>
                  <w:r>
                    <w:rPr>
                      <w:rFonts w:hint="eastAsia"/>
                      <w:szCs w:val="21"/>
                    </w:rPr>
                    <w:t>、</w:t>
                  </w:r>
                  <w:r>
                    <w:rPr>
                      <w:szCs w:val="21"/>
                    </w:rPr>
                    <w:t>镉</w:t>
                  </w:r>
                  <w:r>
                    <w:rPr>
                      <w:rFonts w:hint="eastAsia"/>
                      <w:szCs w:val="21"/>
                    </w:rPr>
                    <w:t>、</w:t>
                  </w:r>
                  <w:r>
                    <w:rPr>
                      <w:szCs w:val="21"/>
                    </w:rPr>
                    <w:t>铬</w:t>
                  </w:r>
                  <w:r>
                    <w:rPr>
                      <w:rFonts w:hint="eastAsia"/>
                      <w:szCs w:val="21"/>
                    </w:rPr>
                    <w:t>（</w:t>
                  </w:r>
                  <w:r>
                    <w:rPr>
                      <w:szCs w:val="21"/>
                    </w:rPr>
                    <w:t>六价)</w:t>
                  </w:r>
                  <w:r>
                    <w:rPr>
                      <w:rFonts w:hint="eastAsia"/>
                      <w:szCs w:val="21"/>
                    </w:rPr>
                    <w:t>、</w:t>
                  </w:r>
                  <w:r>
                    <w:rPr>
                      <w:szCs w:val="21"/>
                    </w:rPr>
                    <w:t>铅</w:t>
                  </w:r>
                  <w:r>
                    <w:rPr>
                      <w:rFonts w:hint="eastAsia"/>
                      <w:szCs w:val="21"/>
                    </w:rPr>
                    <w:t>、</w:t>
                  </w:r>
                  <w:r>
                    <w:rPr>
                      <w:szCs w:val="21"/>
                    </w:rPr>
                    <w:t>三氯甲烷</w:t>
                  </w:r>
                  <w:r>
                    <w:rPr>
                      <w:rFonts w:hint="eastAsia"/>
                      <w:szCs w:val="21"/>
                    </w:rPr>
                    <w:t>、</w:t>
                  </w:r>
                  <w:r>
                    <w:rPr>
                      <w:szCs w:val="21"/>
                    </w:rPr>
                    <w:t>四氯化碳</w:t>
                  </w:r>
                  <w:r>
                    <w:rPr>
                      <w:rFonts w:hint="eastAsia"/>
                      <w:szCs w:val="21"/>
                    </w:rPr>
                    <w:t>、</w:t>
                  </w:r>
                  <w:r>
                    <w:rPr>
                      <w:szCs w:val="21"/>
                    </w:rPr>
                    <w:t>苯</w:t>
                  </w:r>
                  <w:r>
                    <w:rPr>
                      <w:rFonts w:hint="eastAsia"/>
                      <w:szCs w:val="21"/>
                    </w:rPr>
                    <w:t>、</w:t>
                  </w:r>
                  <w:r>
                    <w:rPr>
                      <w:szCs w:val="21"/>
                    </w:rPr>
                    <w:t>甲苯及K</w:t>
                  </w:r>
                  <w:r>
                    <w:rPr>
                      <w:szCs w:val="21"/>
                      <w:vertAlign w:val="superscript"/>
                    </w:rPr>
                    <w:t>+</w:t>
                  </w:r>
                  <w:r>
                    <w:rPr>
                      <w:szCs w:val="21"/>
                    </w:rPr>
                    <w:t>、Ca</w:t>
                  </w:r>
                  <w:r>
                    <w:rPr>
                      <w:szCs w:val="21"/>
                      <w:vertAlign w:val="superscript"/>
                    </w:rPr>
                    <w:t>2+</w:t>
                  </w:r>
                  <w:r>
                    <w:rPr>
                      <w:szCs w:val="21"/>
                    </w:rPr>
                    <w:t>、Na</w:t>
                  </w:r>
                  <w:r>
                    <w:rPr>
                      <w:szCs w:val="21"/>
                      <w:vertAlign w:val="superscript"/>
                    </w:rPr>
                    <w:t>+</w:t>
                  </w:r>
                  <w:r>
                    <w:rPr>
                      <w:szCs w:val="21"/>
                    </w:rPr>
                    <w:t>、Mg</w:t>
                  </w:r>
                  <w:r>
                    <w:rPr>
                      <w:szCs w:val="21"/>
                      <w:vertAlign w:val="superscript"/>
                    </w:rPr>
                    <w:t>2+</w:t>
                  </w:r>
                  <w:r>
                    <w:rPr>
                      <w:szCs w:val="21"/>
                    </w:rPr>
                    <w:t>、CO</w:t>
                  </w:r>
                  <w:r>
                    <w:rPr>
                      <w:szCs w:val="21"/>
                      <w:vertAlign w:val="subscript"/>
                    </w:rPr>
                    <w:t>3</w:t>
                  </w:r>
                  <w:r>
                    <w:rPr>
                      <w:szCs w:val="21"/>
                      <w:vertAlign w:val="superscript"/>
                    </w:rPr>
                    <w:t>2-</w:t>
                  </w:r>
                  <w:r>
                    <w:rPr>
                      <w:szCs w:val="21"/>
                    </w:rPr>
                    <w:t>、HCO</w:t>
                  </w:r>
                  <w:r>
                    <w:rPr>
                      <w:szCs w:val="21"/>
                      <w:vertAlign w:val="subscript"/>
                    </w:rPr>
                    <w:t>3</w:t>
                  </w:r>
                  <w:r>
                    <w:rPr>
                      <w:szCs w:val="21"/>
                      <w:vertAlign w:val="superscript"/>
                    </w:rPr>
                    <w:t>-</w:t>
                  </w:r>
                  <w:r>
                    <w:rPr>
                      <w:szCs w:val="21"/>
                    </w:rPr>
                    <w:t>、Cl</w:t>
                  </w:r>
                  <w:r>
                    <w:rPr>
                      <w:szCs w:val="21"/>
                      <w:vertAlign w:val="superscript"/>
                    </w:rPr>
                    <w:t>-</w:t>
                  </w:r>
                  <w:r>
                    <w:rPr>
                      <w:szCs w:val="21"/>
                    </w:rPr>
                    <w:t>、SO</w:t>
                  </w:r>
                  <w:r>
                    <w:rPr>
                      <w:szCs w:val="21"/>
                      <w:vertAlign w:val="subscript"/>
                    </w:rPr>
                    <w:t>4</w:t>
                  </w:r>
                  <w:r>
                    <w:rPr>
                      <w:szCs w:val="21"/>
                      <w:vertAlign w:val="superscript"/>
                    </w:rPr>
                    <w:t>2-</w:t>
                  </w:r>
                </w:p>
              </w:tc>
            </w:tr>
            <w:tr w14:paraId="43FDFA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8" w:type="dxa"/>
                  <w:noWrap w:val="0"/>
                  <w:tcMar>
                    <w:top w:w="28" w:type="dxa"/>
                    <w:left w:w="28" w:type="dxa"/>
                    <w:bottom w:w="28" w:type="dxa"/>
                    <w:right w:w="28" w:type="dxa"/>
                  </w:tcMar>
                  <w:vAlign w:val="center"/>
                </w:tcPr>
                <w:p w14:paraId="158116B0">
                  <w:pPr>
                    <w:pageBreakBefore w:val="0"/>
                    <w:kinsoku/>
                    <w:wordWrap/>
                    <w:topLinePunct w:val="0"/>
                    <w:bidi w:val="0"/>
                    <w:spacing w:line="280" w:lineRule="exact"/>
                    <w:jc w:val="center"/>
                    <w:textAlignment w:val="center"/>
                    <w:rPr>
                      <w:szCs w:val="21"/>
                    </w:rPr>
                  </w:pPr>
                  <w:r>
                    <w:rPr>
                      <w:szCs w:val="21"/>
                    </w:rPr>
                    <w:t>2</w:t>
                  </w:r>
                </w:p>
              </w:tc>
              <w:tc>
                <w:tcPr>
                  <w:tcW w:w="2454" w:type="dxa"/>
                  <w:noWrap w:val="0"/>
                  <w:tcMar>
                    <w:top w:w="28" w:type="dxa"/>
                    <w:left w:w="28" w:type="dxa"/>
                    <w:bottom w:w="28" w:type="dxa"/>
                    <w:right w:w="28" w:type="dxa"/>
                  </w:tcMar>
                  <w:vAlign w:val="center"/>
                </w:tcPr>
                <w:p w14:paraId="57E4B5BE">
                  <w:pPr>
                    <w:pageBreakBefore w:val="0"/>
                    <w:kinsoku/>
                    <w:wordWrap/>
                    <w:topLinePunct w:val="0"/>
                    <w:bidi w:val="0"/>
                    <w:spacing w:line="280" w:lineRule="exact"/>
                    <w:jc w:val="center"/>
                    <w:textAlignment w:val="center"/>
                    <w:rPr>
                      <w:rFonts w:hint="default" w:ascii="Times New Roman" w:hAnsi="Times New Roman" w:cs="Times New Roman"/>
                      <w:szCs w:val="21"/>
                    </w:rPr>
                  </w:pPr>
                  <w:r>
                    <w:rPr>
                      <w:rFonts w:hint="default" w:ascii="Times New Roman" w:hAnsi="Times New Roman" w:cs="Times New Roman"/>
                      <w:szCs w:val="21"/>
                      <w:lang w:val="en-US" w:eastAsia="zh-CN"/>
                    </w:rPr>
                    <w:t>5号井采样口</w:t>
                  </w:r>
                </w:p>
              </w:tc>
              <w:tc>
                <w:tcPr>
                  <w:tcW w:w="5448" w:type="dxa"/>
                  <w:vMerge w:val="continue"/>
                  <w:noWrap w:val="0"/>
                  <w:tcMar>
                    <w:top w:w="28" w:type="dxa"/>
                    <w:left w:w="28" w:type="dxa"/>
                    <w:bottom w:w="28" w:type="dxa"/>
                    <w:right w:w="28" w:type="dxa"/>
                  </w:tcMar>
                  <w:vAlign w:val="center"/>
                </w:tcPr>
                <w:p w14:paraId="6864AEDC">
                  <w:pPr>
                    <w:pageBreakBefore w:val="0"/>
                    <w:kinsoku/>
                    <w:wordWrap/>
                    <w:topLinePunct w:val="0"/>
                    <w:bidi w:val="0"/>
                    <w:spacing w:line="280" w:lineRule="exact"/>
                    <w:jc w:val="center"/>
                    <w:textAlignment w:val="center"/>
                    <w:rPr>
                      <w:szCs w:val="21"/>
                    </w:rPr>
                  </w:pPr>
                </w:p>
              </w:tc>
            </w:tr>
            <w:tr w14:paraId="2A24A6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88" w:type="dxa"/>
                  <w:noWrap w:val="0"/>
                  <w:tcMar>
                    <w:top w:w="28" w:type="dxa"/>
                    <w:left w:w="28" w:type="dxa"/>
                    <w:bottom w:w="28" w:type="dxa"/>
                    <w:right w:w="28" w:type="dxa"/>
                  </w:tcMar>
                  <w:vAlign w:val="center"/>
                </w:tcPr>
                <w:p w14:paraId="25867EB9">
                  <w:pPr>
                    <w:pageBreakBefore w:val="0"/>
                    <w:kinsoku/>
                    <w:wordWrap/>
                    <w:topLinePunct w:val="0"/>
                    <w:bidi w:val="0"/>
                    <w:spacing w:line="280" w:lineRule="exact"/>
                    <w:jc w:val="center"/>
                    <w:textAlignment w:val="center"/>
                    <w:rPr>
                      <w:szCs w:val="21"/>
                    </w:rPr>
                  </w:pPr>
                  <w:r>
                    <w:rPr>
                      <w:szCs w:val="21"/>
                    </w:rPr>
                    <w:t>3</w:t>
                  </w:r>
                </w:p>
              </w:tc>
              <w:tc>
                <w:tcPr>
                  <w:tcW w:w="2454" w:type="dxa"/>
                  <w:noWrap w:val="0"/>
                  <w:tcMar>
                    <w:top w:w="28" w:type="dxa"/>
                    <w:left w:w="28" w:type="dxa"/>
                    <w:bottom w:w="28" w:type="dxa"/>
                    <w:right w:w="28" w:type="dxa"/>
                  </w:tcMar>
                  <w:vAlign w:val="center"/>
                </w:tcPr>
                <w:p w14:paraId="2264E888">
                  <w:pPr>
                    <w:pageBreakBefore w:val="0"/>
                    <w:kinsoku/>
                    <w:wordWrap/>
                    <w:topLinePunct w:val="0"/>
                    <w:bidi w:val="0"/>
                    <w:spacing w:line="280" w:lineRule="exact"/>
                    <w:jc w:val="center"/>
                    <w:textAlignment w:val="center"/>
                    <w:rPr>
                      <w:rFonts w:hint="default" w:ascii="Times New Roman" w:hAnsi="Times New Roman" w:cs="Times New Roman"/>
                      <w:szCs w:val="21"/>
                    </w:rPr>
                  </w:pPr>
                  <w:r>
                    <w:rPr>
                      <w:rFonts w:hint="default" w:ascii="Times New Roman" w:hAnsi="Times New Roman" w:cs="Times New Roman"/>
                      <w:szCs w:val="21"/>
                      <w:lang w:val="en-US" w:eastAsia="zh-CN"/>
                    </w:rPr>
                    <w:t>6号井采样口</w:t>
                  </w:r>
                </w:p>
              </w:tc>
              <w:tc>
                <w:tcPr>
                  <w:tcW w:w="5448" w:type="dxa"/>
                  <w:vMerge w:val="continue"/>
                  <w:noWrap w:val="0"/>
                  <w:tcMar>
                    <w:top w:w="28" w:type="dxa"/>
                    <w:left w:w="28" w:type="dxa"/>
                    <w:bottom w:w="28" w:type="dxa"/>
                    <w:right w:w="28" w:type="dxa"/>
                  </w:tcMar>
                  <w:vAlign w:val="center"/>
                </w:tcPr>
                <w:p w14:paraId="57812855">
                  <w:pPr>
                    <w:pageBreakBefore w:val="0"/>
                    <w:kinsoku/>
                    <w:wordWrap/>
                    <w:topLinePunct w:val="0"/>
                    <w:bidi w:val="0"/>
                    <w:spacing w:line="280" w:lineRule="exact"/>
                    <w:jc w:val="center"/>
                    <w:textAlignment w:val="center"/>
                    <w:rPr>
                      <w:szCs w:val="21"/>
                    </w:rPr>
                  </w:pPr>
                </w:p>
              </w:tc>
            </w:tr>
          </w:tbl>
          <w:p w14:paraId="0C2CA29D">
            <w:pPr>
              <w:pageBreakBefore w:val="0"/>
              <w:kinsoku/>
              <w:wordWrap/>
              <w:topLinePunct w:val="0"/>
              <w:bidi w:val="0"/>
              <w:spacing w:line="360" w:lineRule="auto"/>
              <w:ind w:firstLine="480" w:firstLineChars="200"/>
              <w:rPr>
                <w:sz w:val="24"/>
              </w:rPr>
            </w:pPr>
            <w:r>
              <w:rPr>
                <w:sz w:val="24"/>
              </w:rPr>
              <w:t>（2）监测项目及分析方法</w:t>
            </w:r>
          </w:p>
          <w:p w14:paraId="68E0F8A6">
            <w:pPr>
              <w:pageBreakBefore w:val="0"/>
              <w:kinsoku/>
              <w:wordWrap/>
              <w:topLinePunct w:val="0"/>
              <w:bidi w:val="0"/>
              <w:spacing w:line="360" w:lineRule="auto"/>
              <w:ind w:firstLine="480" w:firstLineChars="200"/>
              <w:rPr>
                <w:sz w:val="24"/>
              </w:rPr>
            </w:pPr>
            <w:r>
              <w:rPr>
                <w:sz w:val="24"/>
              </w:rPr>
              <w:t>本项目监测因子为《地下水质量标准》（GB/T 14848-2017）pH、总硬度、溶解性总固体、硫酸盐、氯化物、铁、锰、铜、锌、铝、挥发性酚类、阴离子表面活性剂、耗氧量、氨氮、硫化物、钠、总大肠菌群、菌落总数、亚硝酸盐、硝酸盐、氰化物、氟化物、碘化物、汞、砷、硒、镉、铬</w:t>
            </w:r>
            <w:r>
              <w:rPr>
                <w:rFonts w:hint="eastAsia"/>
                <w:sz w:val="24"/>
              </w:rPr>
              <w:t>（</w:t>
            </w:r>
            <w:r>
              <w:rPr>
                <w:sz w:val="24"/>
              </w:rPr>
              <w:t>六价)、铅、三氯甲烷、四氯化碳、苯、甲苯及K</w:t>
            </w:r>
            <w:r>
              <w:rPr>
                <w:sz w:val="24"/>
                <w:vertAlign w:val="superscript"/>
              </w:rPr>
              <w:t>+</w:t>
            </w:r>
            <w:r>
              <w:rPr>
                <w:sz w:val="24"/>
              </w:rPr>
              <w:t>、Ca</w:t>
            </w:r>
            <w:r>
              <w:rPr>
                <w:sz w:val="24"/>
                <w:vertAlign w:val="superscript"/>
              </w:rPr>
              <w:t>2+</w:t>
            </w:r>
            <w:r>
              <w:rPr>
                <w:sz w:val="24"/>
              </w:rPr>
              <w:t>、Na</w:t>
            </w:r>
            <w:r>
              <w:rPr>
                <w:sz w:val="24"/>
                <w:vertAlign w:val="superscript"/>
              </w:rPr>
              <w:t>+</w:t>
            </w:r>
            <w:r>
              <w:rPr>
                <w:sz w:val="24"/>
              </w:rPr>
              <w:t>、Mg</w:t>
            </w:r>
            <w:r>
              <w:rPr>
                <w:sz w:val="24"/>
                <w:vertAlign w:val="superscript"/>
              </w:rPr>
              <w:t>2+</w:t>
            </w:r>
            <w:r>
              <w:rPr>
                <w:sz w:val="24"/>
              </w:rPr>
              <w:t>、CO</w:t>
            </w:r>
            <w:r>
              <w:rPr>
                <w:sz w:val="24"/>
                <w:vertAlign w:val="subscript"/>
              </w:rPr>
              <w:t>3</w:t>
            </w:r>
            <w:r>
              <w:rPr>
                <w:sz w:val="24"/>
                <w:vertAlign w:val="superscript"/>
              </w:rPr>
              <w:t>2-</w:t>
            </w:r>
            <w:r>
              <w:rPr>
                <w:sz w:val="24"/>
              </w:rPr>
              <w:t>、HCO</w:t>
            </w:r>
            <w:r>
              <w:rPr>
                <w:sz w:val="24"/>
                <w:vertAlign w:val="superscript"/>
              </w:rPr>
              <w:t>3-</w:t>
            </w:r>
            <w:r>
              <w:rPr>
                <w:sz w:val="24"/>
              </w:rPr>
              <w:t>、Cl</w:t>
            </w:r>
            <w:r>
              <w:rPr>
                <w:sz w:val="24"/>
                <w:vertAlign w:val="superscript"/>
              </w:rPr>
              <w:t>-</w:t>
            </w:r>
            <w:r>
              <w:rPr>
                <w:sz w:val="24"/>
              </w:rPr>
              <w:t>、SO</w:t>
            </w:r>
            <w:r>
              <w:rPr>
                <w:sz w:val="24"/>
                <w:vertAlign w:val="subscript"/>
              </w:rPr>
              <w:t>4</w:t>
            </w:r>
            <w:r>
              <w:rPr>
                <w:sz w:val="24"/>
                <w:vertAlign w:val="superscript"/>
              </w:rPr>
              <w:t>2-</w:t>
            </w:r>
            <w:r>
              <w:rPr>
                <w:sz w:val="24"/>
              </w:rPr>
              <w:t>。</w:t>
            </w:r>
          </w:p>
          <w:p w14:paraId="2FDD372E">
            <w:pPr>
              <w:pageBreakBefore w:val="0"/>
              <w:kinsoku/>
              <w:wordWrap/>
              <w:topLinePunct w:val="0"/>
              <w:bidi w:val="0"/>
              <w:spacing w:line="360" w:lineRule="auto"/>
              <w:ind w:firstLine="480" w:firstLineChars="200"/>
              <w:rPr>
                <w:sz w:val="24"/>
              </w:rPr>
            </w:pPr>
            <w:r>
              <w:rPr>
                <w:sz w:val="24"/>
              </w:rPr>
              <w:t>分析方法：采样分析方法依照国家生态环境局《环境水质监测质量保证手册》与《水和废水监测分析方法》的规定进行。</w:t>
            </w:r>
          </w:p>
          <w:p w14:paraId="5045416E">
            <w:pPr>
              <w:pageBreakBefore w:val="0"/>
              <w:kinsoku/>
              <w:wordWrap/>
              <w:topLinePunct w:val="0"/>
              <w:bidi w:val="0"/>
              <w:spacing w:line="360" w:lineRule="auto"/>
              <w:ind w:firstLine="480" w:firstLineChars="200"/>
              <w:rPr>
                <w:sz w:val="24"/>
              </w:rPr>
            </w:pPr>
            <w:r>
              <w:rPr>
                <w:sz w:val="24"/>
              </w:rPr>
              <w:t>（3）评价标准及方法</w:t>
            </w:r>
          </w:p>
          <w:p w14:paraId="7072ADBF">
            <w:pPr>
              <w:pageBreakBefore w:val="0"/>
              <w:kinsoku/>
              <w:wordWrap/>
              <w:topLinePunct w:val="0"/>
              <w:bidi w:val="0"/>
              <w:spacing w:line="360" w:lineRule="auto"/>
              <w:ind w:firstLine="480" w:firstLineChars="200"/>
              <w:rPr>
                <w:sz w:val="24"/>
              </w:rPr>
            </w:pPr>
            <w:r>
              <w:rPr>
                <w:sz w:val="24"/>
              </w:rPr>
              <w:t>评价标准：本次评价采用《地下水质量标准》（GB/T 14848-2017）中Ⅲ类标准。</w:t>
            </w:r>
          </w:p>
          <w:p w14:paraId="0F0ED3D6">
            <w:pPr>
              <w:pageBreakBefore w:val="0"/>
              <w:kinsoku/>
              <w:wordWrap/>
              <w:topLinePunct w:val="0"/>
              <w:bidi w:val="0"/>
              <w:spacing w:line="360" w:lineRule="auto"/>
              <w:ind w:firstLine="480" w:firstLineChars="200"/>
              <w:rPr>
                <w:sz w:val="24"/>
              </w:rPr>
            </w:pPr>
            <w:r>
              <w:rPr>
                <w:sz w:val="24"/>
              </w:rPr>
              <w:t>评价方法：标准指数法。</w:t>
            </w:r>
          </w:p>
          <w:p w14:paraId="3D57D878">
            <w:pPr>
              <w:pageBreakBefore w:val="0"/>
              <w:kinsoku/>
              <w:wordWrap/>
              <w:topLinePunct w:val="0"/>
              <w:bidi w:val="0"/>
              <w:spacing w:line="360" w:lineRule="auto"/>
              <w:ind w:firstLine="480" w:firstLineChars="200"/>
              <w:rPr>
                <w:sz w:val="24"/>
              </w:rPr>
            </w:pPr>
            <w:r>
              <w:rPr>
                <w:rFonts w:hint="eastAsia"/>
                <w:sz w:val="24"/>
              </w:rPr>
              <w:t>对于评价标准为定值的水质因子，标准指数计算方法公式如下：</w:t>
            </w:r>
          </w:p>
          <w:p w14:paraId="4870D6EF">
            <w:pPr>
              <w:pageBreakBefore w:val="0"/>
              <w:kinsoku/>
              <w:wordWrap/>
              <w:topLinePunct w:val="0"/>
              <w:bidi w:val="0"/>
              <w:spacing w:line="360" w:lineRule="auto"/>
              <w:ind w:firstLine="480" w:firstLineChars="200"/>
              <w:rPr>
                <w:rFonts w:hint="eastAsia"/>
                <w:sz w:val="24"/>
              </w:rPr>
            </w:pPr>
            <m:oMathPara>
              <m:oMath>
                <m:sSub>
                  <m:sSubPr>
                    <m:ctrlPr>
                      <w:rPr>
                        <w:rFonts w:hint="default" w:ascii="Cambria Math" w:hAnsi="Cambria Math" w:cs="Times New Roman"/>
                        <w:i/>
                        <w:color w:val="auto"/>
                        <w:sz w:val="24"/>
                        <w:szCs w:val="24"/>
                      </w:rPr>
                    </m:ctrlPr>
                  </m:sSubPr>
                  <m:e>
                    <m:r>
                      <m:rPr/>
                      <w:rPr>
                        <w:rFonts w:hint="default" w:ascii="Cambria Math" w:hAnsi="Cambria Math" w:cs="Times New Roman"/>
                        <w:color w:val="auto"/>
                        <w:sz w:val="24"/>
                        <w:szCs w:val="24"/>
                        <w:lang w:val="en-US" w:eastAsia="zh-CN"/>
                      </w:rPr>
                      <m:t>P</m:t>
                    </m:r>
                    <m:ctrlPr>
                      <w:rPr>
                        <w:rFonts w:hint="default" w:ascii="Cambria Math" w:hAnsi="Cambria Math" w:cs="Times New Roman"/>
                        <w:i/>
                        <w:color w:val="auto"/>
                        <w:sz w:val="24"/>
                        <w:szCs w:val="24"/>
                      </w:rPr>
                    </m:ctrlPr>
                  </m:e>
                  <m:sub>
                    <m:r>
                      <m:rPr/>
                      <w:rPr>
                        <w:rFonts w:hint="default" w:ascii="Cambria Math" w:hAnsi="Cambria Math" w:cs="Times New Roman"/>
                        <w:color w:val="auto"/>
                        <w:sz w:val="24"/>
                        <w:szCs w:val="24"/>
                        <w:lang w:val="en-US" w:eastAsia="zh-CN"/>
                      </w:rPr>
                      <m:t>i</m:t>
                    </m:r>
                    <m:ctrlPr>
                      <w:rPr>
                        <w:rFonts w:hint="default" w:ascii="Cambria Math" w:hAnsi="Cambria Math" w:cs="Times New Roman"/>
                        <w:i/>
                        <w:color w:val="auto"/>
                        <w:sz w:val="24"/>
                        <w:szCs w:val="24"/>
                      </w:rPr>
                    </m:ctrlPr>
                  </m:sub>
                </m:sSub>
                <m:r>
                  <m:rPr/>
                  <w:rPr>
                    <w:rFonts w:hint="default" w:ascii="Cambria Math" w:hAnsi="Cambria Math" w:cs="Times New Roman"/>
                    <w:color w:val="auto"/>
                    <w:sz w:val="24"/>
                    <w:szCs w:val="24"/>
                    <w:lang w:val="en-US" w:eastAsia="zh-CN"/>
                  </w:rPr>
                  <m:t>=</m:t>
                </m:r>
                <m:f>
                  <m:fPr>
                    <m:type m:val="lin"/>
                    <m:ctrlPr>
                      <w:rPr>
                        <w:rFonts w:hint="default" w:ascii="Cambria Math" w:hAnsi="Cambria Math" w:cs="Times New Roman"/>
                        <w:i/>
                        <w:color w:val="auto"/>
                        <w:sz w:val="24"/>
                        <w:szCs w:val="24"/>
                        <w:lang w:val="en-US" w:eastAsia="zh-CN"/>
                      </w:rPr>
                    </m:ctrlPr>
                  </m:fPr>
                  <m:num>
                    <m:sSub>
                      <m:sSubPr>
                        <m:ctrlPr>
                          <w:rPr>
                            <w:rFonts w:hint="default" w:ascii="Cambria Math" w:hAnsi="Cambria Math" w:cs="Times New Roman"/>
                            <w:i/>
                            <w:color w:val="auto"/>
                            <w:sz w:val="24"/>
                            <w:szCs w:val="24"/>
                            <w:lang w:val="en-US" w:eastAsia="zh-CN"/>
                          </w:rPr>
                        </m:ctrlPr>
                      </m:sSubPr>
                      <m:e>
                        <m:r>
                          <m:rPr/>
                          <w:rPr>
                            <w:rFonts w:hint="default" w:ascii="Cambria Math" w:hAnsi="Cambria Math" w:cs="Times New Roman"/>
                            <w:color w:val="auto"/>
                            <w:sz w:val="24"/>
                            <w:szCs w:val="24"/>
                            <w:lang w:val="en-US" w:eastAsia="zh-CN"/>
                          </w:rPr>
                          <m:t>C</m:t>
                        </m:r>
                        <m:ctrlPr>
                          <w:rPr>
                            <w:rFonts w:hint="default" w:ascii="Cambria Math" w:hAnsi="Cambria Math" w:cs="Times New Roman"/>
                            <w:i/>
                            <w:color w:val="auto"/>
                            <w:sz w:val="24"/>
                            <w:szCs w:val="24"/>
                            <w:lang w:val="en-US" w:eastAsia="zh-CN"/>
                          </w:rPr>
                        </m:ctrlPr>
                      </m:e>
                      <m:sub>
                        <m:r>
                          <m:rPr/>
                          <w:rPr>
                            <w:rFonts w:hint="default" w:ascii="Cambria Math" w:hAnsi="Cambria Math" w:cs="Times New Roman"/>
                            <w:color w:val="auto"/>
                            <w:sz w:val="24"/>
                            <w:szCs w:val="24"/>
                            <w:lang w:val="en-US" w:eastAsia="zh-CN"/>
                          </w:rPr>
                          <m:t>i</m:t>
                        </m:r>
                        <m:ctrlPr>
                          <w:rPr>
                            <w:rFonts w:hint="default" w:ascii="Cambria Math" w:hAnsi="Cambria Math" w:cs="Times New Roman"/>
                            <w:i/>
                            <w:color w:val="auto"/>
                            <w:sz w:val="24"/>
                            <w:szCs w:val="24"/>
                            <w:lang w:val="en-US" w:eastAsia="zh-CN"/>
                          </w:rPr>
                        </m:ctrlPr>
                      </m:sub>
                    </m:sSub>
                    <m:ctrlPr>
                      <w:rPr>
                        <w:rFonts w:hint="default" w:ascii="Cambria Math" w:hAnsi="Cambria Math" w:cs="Times New Roman"/>
                        <w:i/>
                        <w:color w:val="auto"/>
                        <w:sz w:val="24"/>
                        <w:szCs w:val="24"/>
                        <w:lang w:val="en-US" w:eastAsia="zh-CN"/>
                      </w:rPr>
                    </m:ctrlPr>
                  </m:num>
                  <m:den>
                    <m:sSub>
                      <m:sSubPr>
                        <m:ctrlPr>
                          <w:rPr>
                            <w:rFonts w:hint="default" w:ascii="Cambria Math" w:hAnsi="Cambria Math" w:cs="Times New Roman"/>
                            <w:i/>
                            <w:color w:val="auto"/>
                            <w:sz w:val="24"/>
                            <w:szCs w:val="24"/>
                            <w:lang w:val="en-US" w:eastAsia="zh-CN"/>
                          </w:rPr>
                        </m:ctrlPr>
                      </m:sSubPr>
                      <m:e>
                        <m:r>
                          <m:rPr/>
                          <w:rPr>
                            <w:rFonts w:hint="default" w:ascii="Cambria Math" w:hAnsi="Cambria Math" w:cs="Times New Roman"/>
                            <w:color w:val="auto"/>
                            <w:sz w:val="24"/>
                            <w:szCs w:val="24"/>
                            <w:lang w:val="en-US" w:eastAsia="zh-CN"/>
                          </w:rPr>
                          <m:t>C</m:t>
                        </m:r>
                        <m:ctrlPr>
                          <w:rPr>
                            <w:rFonts w:hint="default" w:ascii="Cambria Math" w:hAnsi="Cambria Math" w:cs="Times New Roman"/>
                            <w:i/>
                            <w:color w:val="auto"/>
                            <w:sz w:val="24"/>
                            <w:szCs w:val="24"/>
                            <w:lang w:val="en-US" w:eastAsia="zh-CN"/>
                          </w:rPr>
                        </m:ctrlPr>
                      </m:e>
                      <m:sub>
                        <m:r>
                          <m:rPr/>
                          <w:rPr>
                            <w:rFonts w:hint="default" w:ascii="Cambria Math" w:hAnsi="Cambria Math" w:cs="Times New Roman"/>
                            <w:color w:val="auto"/>
                            <w:sz w:val="24"/>
                            <w:szCs w:val="24"/>
                            <w:lang w:val="en-US" w:eastAsia="zh-CN"/>
                          </w:rPr>
                          <m:t>si</m:t>
                        </m:r>
                        <m:ctrlPr>
                          <w:rPr>
                            <w:rFonts w:hint="default" w:ascii="Cambria Math" w:hAnsi="Cambria Math" w:cs="Times New Roman"/>
                            <w:i/>
                            <w:color w:val="auto"/>
                            <w:sz w:val="24"/>
                            <w:szCs w:val="24"/>
                            <w:lang w:val="en-US" w:eastAsia="zh-CN"/>
                          </w:rPr>
                        </m:ctrlPr>
                      </m:sub>
                    </m:sSub>
                    <m:ctrlPr>
                      <w:rPr>
                        <w:rFonts w:hint="default" w:ascii="Cambria Math" w:hAnsi="Cambria Math" w:cs="Times New Roman"/>
                        <w:i/>
                        <w:color w:val="auto"/>
                        <w:sz w:val="24"/>
                        <w:szCs w:val="24"/>
                        <w:lang w:val="en-US" w:eastAsia="zh-CN"/>
                      </w:rPr>
                    </m:ctrlPr>
                  </m:den>
                </m:f>
              </m:oMath>
            </m:oMathPara>
          </w:p>
          <w:p w14:paraId="2712B42B">
            <w:pPr>
              <w:pageBreakBefore w:val="0"/>
              <w:kinsoku/>
              <w:wordWrap/>
              <w:topLinePunct w:val="0"/>
              <w:bidi w:val="0"/>
              <w:spacing w:line="360" w:lineRule="auto"/>
              <w:ind w:firstLine="480" w:firstLineChars="200"/>
              <w:rPr>
                <w:rFonts w:hint="eastAsia"/>
                <w:sz w:val="24"/>
              </w:rPr>
            </w:pPr>
            <w:r>
              <w:rPr>
                <w:rFonts w:hint="eastAsia"/>
                <w:sz w:val="24"/>
              </w:rPr>
              <w:t>式中：P</w:t>
            </w:r>
            <w:r>
              <w:rPr>
                <w:rFonts w:hint="eastAsia"/>
                <w:sz w:val="24"/>
                <w:vertAlign w:val="subscript"/>
              </w:rPr>
              <w:t>i</w:t>
            </w:r>
            <w:r>
              <w:rPr>
                <w:rFonts w:hint="eastAsia"/>
                <w:sz w:val="24"/>
              </w:rPr>
              <w:t>——第i个水质因子的标准指数，无量纲；</w:t>
            </w:r>
          </w:p>
          <w:p w14:paraId="16FBE759">
            <w:pPr>
              <w:pageBreakBefore w:val="0"/>
              <w:kinsoku/>
              <w:wordWrap/>
              <w:topLinePunct w:val="0"/>
              <w:bidi w:val="0"/>
              <w:spacing w:line="360" w:lineRule="auto"/>
              <w:ind w:firstLine="1200" w:firstLineChars="500"/>
              <w:rPr>
                <w:rFonts w:hint="eastAsia"/>
                <w:sz w:val="24"/>
              </w:rPr>
            </w:pPr>
            <w:r>
              <w:rPr>
                <w:rFonts w:hint="eastAsia"/>
                <w:sz w:val="24"/>
              </w:rPr>
              <w:t>C</w:t>
            </w:r>
            <w:r>
              <w:rPr>
                <w:rFonts w:hint="eastAsia"/>
                <w:sz w:val="24"/>
                <w:vertAlign w:val="subscript"/>
              </w:rPr>
              <w:t>i</w:t>
            </w:r>
            <w:r>
              <w:rPr>
                <w:rFonts w:hint="eastAsia"/>
                <w:sz w:val="24"/>
              </w:rPr>
              <w:t>——第i个水质因子的监测浓度值，mg/L；</w:t>
            </w:r>
          </w:p>
          <w:p w14:paraId="6973C568">
            <w:pPr>
              <w:pageBreakBefore w:val="0"/>
              <w:kinsoku/>
              <w:wordWrap/>
              <w:topLinePunct w:val="0"/>
              <w:bidi w:val="0"/>
              <w:spacing w:line="360" w:lineRule="auto"/>
              <w:ind w:firstLine="1200" w:firstLineChars="500"/>
              <w:rPr>
                <w:sz w:val="24"/>
              </w:rPr>
            </w:pPr>
            <w:r>
              <w:rPr>
                <w:rFonts w:hint="eastAsia"/>
                <w:sz w:val="24"/>
              </w:rPr>
              <w:t>C</w:t>
            </w:r>
            <w:r>
              <w:rPr>
                <w:rFonts w:hint="eastAsia"/>
                <w:sz w:val="24"/>
                <w:vertAlign w:val="subscript"/>
              </w:rPr>
              <w:t>si</w:t>
            </w:r>
            <w:r>
              <w:rPr>
                <w:rFonts w:hint="eastAsia"/>
                <w:sz w:val="24"/>
              </w:rPr>
              <w:t>——第i个水质因子的标准浓度值，mg/L。</w:t>
            </w:r>
          </w:p>
          <w:p w14:paraId="69B8B414">
            <w:pPr>
              <w:pageBreakBefore w:val="0"/>
              <w:kinsoku/>
              <w:wordWrap/>
              <w:topLinePunct w:val="0"/>
              <w:bidi w:val="0"/>
              <w:spacing w:line="360" w:lineRule="auto"/>
              <w:ind w:firstLine="480" w:firstLineChars="200"/>
              <w:rPr>
                <w:sz w:val="24"/>
              </w:rPr>
            </w:pPr>
            <w:r>
              <w:rPr>
                <w:rFonts w:hint="eastAsia"/>
                <w:sz w:val="24"/>
              </w:rPr>
              <w:t>pH标准指数计算公式如下：</w:t>
            </w:r>
          </w:p>
          <w:p w14:paraId="4ED35111">
            <w:pPr>
              <w:pageBreakBefore w:val="0"/>
              <w:kinsoku/>
              <w:wordWrap/>
              <w:topLinePunct w:val="0"/>
              <w:bidi w:val="0"/>
              <w:spacing w:line="360" w:lineRule="auto"/>
              <w:jc w:val="center"/>
              <w:rPr>
                <w:sz w:val="24"/>
              </w:rPr>
            </w:pPr>
            <m:oMath>
              <m:sSub>
                <m:sSubPr>
                  <m:ctrlPr>
                    <w:rPr>
                      <w:rFonts w:hint="default" w:ascii="Cambria Math" w:hAnsi="Cambria Math" w:cs="Times New Roman"/>
                      <w:i/>
                      <w:color w:val="auto"/>
                      <w:sz w:val="24"/>
                      <w:szCs w:val="24"/>
                    </w:rPr>
                  </m:ctrlPr>
                </m:sSubPr>
                <m:e>
                  <m:r>
                    <m:rPr/>
                    <w:rPr>
                      <w:rFonts w:hint="default" w:ascii="Cambria Math" w:hAnsi="Cambria Math" w:cs="Times New Roman"/>
                      <w:color w:val="auto"/>
                      <w:sz w:val="24"/>
                      <w:szCs w:val="24"/>
                      <w:lang w:val="en-US" w:eastAsia="zh-CN"/>
                    </w:rPr>
                    <m:t>P</m:t>
                  </m:r>
                  <m:ctrlPr>
                    <w:rPr>
                      <w:rFonts w:hint="default" w:ascii="Cambria Math" w:hAnsi="Cambria Math" w:cs="Times New Roman"/>
                      <w:i/>
                      <w:color w:val="auto"/>
                      <w:sz w:val="24"/>
                      <w:szCs w:val="24"/>
                    </w:rPr>
                  </m:ctrlPr>
                </m:e>
                <m:sub>
                  <m:r>
                    <m:rPr/>
                    <w:rPr>
                      <w:rFonts w:hint="default" w:ascii="Cambria Math" w:hAnsi="Cambria Math" w:cs="Times New Roman"/>
                      <w:color w:val="auto"/>
                      <w:sz w:val="24"/>
                      <w:szCs w:val="24"/>
                      <w:lang w:val="en-US" w:eastAsia="zh-CN"/>
                    </w:rPr>
                    <m:t>pH</m:t>
                  </m:r>
                  <m:ctrlPr>
                    <w:rPr>
                      <w:rFonts w:hint="default" w:ascii="Cambria Math" w:hAnsi="Cambria Math" w:cs="Times New Roman"/>
                      <w:i/>
                      <w:color w:val="auto"/>
                      <w:sz w:val="24"/>
                      <w:szCs w:val="24"/>
                    </w:rPr>
                  </m:ctrlPr>
                </m:sub>
              </m:sSub>
              <m:r>
                <m:rPr/>
                <w:rPr>
                  <w:rFonts w:hint="default" w:ascii="Cambria Math" w:hAnsi="Cambria Math" w:cs="Times New Roman"/>
                  <w:color w:val="auto"/>
                  <w:sz w:val="24"/>
                  <w:szCs w:val="24"/>
                  <w:lang w:val="en-US" w:eastAsia="zh-CN"/>
                </w:rPr>
                <m:t>=</m:t>
              </m:r>
              <m:f>
                <m:fPr>
                  <m:ctrlPr>
                    <w:rPr>
                      <w:rFonts w:hint="default" w:ascii="Cambria Math" w:hAnsi="Cambria Math" w:cs="Times New Roman"/>
                      <w:i/>
                      <w:color w:val="auto"/>
                      <w:sz w:val="24"/>
                      <w:szCs w:val="24"/>
                      <w:lang w:val="en-US" w:eastAsia="zh-CN"/>
                    </w:rPr>
                  </m:ctrlPr>
                </m:fPr>
                <m:num>
                  <m:r>
                    <m:rPr/>
                    <w:rPr>
                      <w:rFonts w:hint="default" w:ascii="Cambria Math" w:hAnsi="Cambria Math" w:cs="Times New Roman"/>
                      <w:color w:val="auto"/>
                      <w:sz w:val="24"/>
                      <w:szCs w:val="24"/>
                      <w:lang w:val="en-US" w:eastAsia="zh-CN"/>
                    </w:rPr>
                    <m:t>7.0−pH</m:t>
                  </m:r>
                  <m:ctrlPr>
                    <w:rPr>
                      <w:rFonts w:hint="default" w:ascii="Cambria Math" w:hAnsi="Cambria Math" w:cs="Times New Roman"/>
                      <w:i/>
                      <w:color w:val="auto"/>
                      <w:sz w:val="24"/>
                      <w:szCs w:val="24"/>
                      <w:lang w:val="en-US" w:eastAsia="zh-CN"/>
                    </w:rPr>
                  </m:ctrlPr>
                </m:num>
                <m:den>
                  <m:r>
                    <m:rPr/>
                    <w:rPr>
                      <w:rFonts w:hint="default" w:ascii="Cambria Math" w:hAnsi="Cambria Math" w:cs="Times New Roman"/>
                      <w:color w:val="auto"/>
                      <w:sz w:val="24"/>
                      <w:szCs w:val="24"/>
                      <w:lang w:val="en-US" w:eastAsia="zh-CN"/>
                    </w:rPr>
                    <m:t>7.0−</m:t>
                  </m:r>
                  <m:sSub>
                    <m:sSubPr>
                      <m:ctrlPr>
                        <w:rPr>
                          <w:rFonts w:hint="default" w:ascii="Cambria Math" w:hAnsi="Cambria Math" w:cs="Times New Roman"/>
                          <w:i/>
                          <w:color w:val="auto"/>
                          <w:sz w:val="24"/>
                          <w:szCs w:val="24"/>
                          <w:lang w:val="en-US" w:eastAsia="zh-CN"/>
                        </w:rPr>
                      </m:ctrlPr>
                    </m:sSubPr>
                    <m:e>
                      <m:r>
                        <m:rPr/>
                        <w:rPr>
                          <w:rFonts w:hint="default" w:ascii="Cambria Math" w:hAnsi="Cambria Math" w:cs="Times New Roman"/>
                          <w:color w:val="auto"/>
                          <w:sz w:val="24"/>
                          <w:szCs w:val="24"/>
                          <w:lang w:val="en-US" w:eastAsia="zh-CN"/>
                        </w:rPr>
                        <m:t>pH</m:t>
                      </m:r>
                      <m:ctrlPr>
                        <w:rPr>
                          <w:rFonts w:hint="default" w:ascii="Cambria Math" w:hAnsi="Cambria Math" w:cs="Times New Roman"/>
                          <w:i/>
                          <w:color w:val="auto"/>
                          <w:sz w:val="24"/>
                          <w:szCs w:val="24"/>
                          <w:lang w:val="en-US" w:eastAsia="zh-CN"/>
                        </w:rPr>
                      </m:ctrlPr>
                    </m:e>
                    <m:sub>
                      <m:r>
                        <m:rPr/>
                        <w:rPr>
                          <w:rFonts w:hint="default" w:ascii="Cambria Math" w:hAnsi="Cambria Math" w:cs="Times New Roman"/>
                          <w:color w:val="auto"/>
                          <w:sz w:val="24"/>
                          <w:szCs w:val="24"/>
                          <w:lang w:val="en-US" w:eastAsia="zh-CN"/>
                        </w:rPr>
                        <m:t>sd</m:t>
                      </m:r>
                      <m:ctrlPr>
                        <w:rPr>
                          <w:rFonts w:hint="default" w:ascii="Cambria Math" w:hAnsi="Cambria Math" w:cs="Times New Roman"/>
                          <w:i/>
                          <w:color w:val="auto"/>
                          <w:sz w:val="24"/>
                          <w:szCs w:val="24"/>
                          <w:lang w:val="en-US" w:eastAsia="zh-CN"/>
                        </w:rPr>
                      </m:ctrlPr>
                    </m:sub>
                  </m:sSub>
                  <m:ctrlPr>
                    <w:rPr>
                      <w:rFonts w:hint="default" w:ascii="Cambria Math" w:hAnsi="Cambria Math" w:cs="Times New Roman"/>
                      <w:i/>
                      <w:color w:val="auto"/>
                      <w:sz w:val="24"/>
                      <w:szCs w:val="24"/>
                      <w:lang w:val="en-US" w:eastAsia="zh-CN"/>
                    </w:rPr>
                  </m:ctrlPr>
                </m:den>
              </m:f>
            </m:oMath>
            <w:r>
              <w:rPr>
                <w:rFonts w:hint="eastAsia" w:hAnsi="Cambria Math"/>
                <w:sz w:val="24"/>
              </w:rPr>
              <w:t xml:space="preserve">    pH≤7时</w:t>
            </w:r>
          </w:p>
          <w:p w14:paraId="5259F7DD">
            <w:pPr>
              <w:pageBreakBefore w:val="0"/>
              <w:kinsoku/>
              <w:wordWrap/>
              <w:topLinePunct w:val="0"/>
              <w:bidi w:val="0"/>
              <w:spacing w:line="360" w:lineRule="auto"/>
              <w:jc w:val="center"/>
              <w:rPr>
                <w:sz w:val="24"/>
              </w:rPr>
            </w:pPr>
            <m:oMath>
              <m:sSub>
                <m:sSubPr>
                  <m:ctrlPr>
                    <w:rPr>
                      <w:rFonts w:hint="default" w:ascii="Cambria Math" w:hAnsi="Cambria Math" w:cs="Times New Roman"/>
                      <w:i/>
                      <w:color w:val="auto"/>
                      <w:sz w:val="24"/>
                      <w:szCs w:val="24"/>
                    </w:rPr>
                  </m:ctrlPr>
                </m:sSubPr>
                <m:e>
                  <m:r>
                    <m:rPr/>
                    <w:rPr>
                      <w:rFonts w:hint="default" w:ascii="Cambria Math" w:hAnsi="Cambria Math" w:cs="Times New Roman"/>
                      <w:color w:val="auto"/>
                      <w:sz w:val="24"/>
                      <w:szCs w:val="24"/>
                      <w:lang w:val="en-US" w:eastAsia="zh-CN"/>
                    </w:rPr>
                    <m:t>P</m:t>
                  </m:r>
                  <m:ctrlPr>
                    <w:rPr>
                      <w:rFonts w:hint="default" w:ascii="Cambria Math" w:hAnsi="Cambria Math" w:cs="Times New Roman"/>
                      <w:i/>
                      <w:color w:val="auto"/>
                      <w:sz w:val="24"/>
                      <w:szCs w:val="24"/>
                    </w:rPr>
                  </m:ctrlPr>
                </m:e>
                <m:sub>
                  <m:r>
                    <m:rPr/>
                    <w:rPr>
                      <w:rFonts w:hint="default" w:ascii="Cambria Math" w:hAnsi="Cambria Math" w:cs="Times New Roman"/>
                      <w:color w:val="auto"/>
                      <w:sz w:val="24"/>
                      <w:szCs w:val="24"/>
                      <w:lang w:val="en-US" w:eastAsia="zh-CN"/>
                    </w:rPr>
                    <m:t>pH</m:t>
                  </m:r>
                  <m:ctrlPr>
                    <w:rPr>
                      <w:rFonts w:hint="default" w:ascii="Cambria Math" w:hAnsi="Cambria Math" w:cs="Times New Roman"/>
                      <w:i/>
                      <w:color w:val="auto"/>
                      <w:sz w:val="24"/>
                      <w:szCs w:val="24"/>
                    </w:rPr>
                  </m:ctrlPr>
                </m:sub>
              </m:sSub>
              <m:r>
                <m:rPr/>
                <w:rPr>
                  <w:rFonts w:hint="default" w:ascii="Cambria Math" w:hAnsi="Cambria Math" w:cs="Times New Roman"/>
                  <w:color w:val="auto"/>
                  <w:sz w:val="24"/>
                  <w:szCs w:val="24"/>
                  <w:lang w:val="en-US" w:eastAsia="zh-CN"/>
                </w:rPr>
                <m:t>=</m:t>
              </m:r>
              <m:f>
                <m:fPr>
                  <m:ctrlPr>
                    <w:rPr>
                      <w:rFonts w:hint="default" w:ascii="Cambria Math" w:hAnsi="Cambria Math" w:cs="Times New Roman"/>
                      <w:i/>
                      <w:color w:val="auto"/>
                      <w:sz w:val="24"/>
                      <w:szCs w:val="24"/>
                      <w:lang w:val="en-US" w:eastAsia="zh-CN"/>
                    </w:rPr>
                  </m:ctrlPr>
                </m:fPr>
                <m:num>
                  <m:r>
                    <m:rPr/>
                    <w:rPr>
                      <w:rFonts w:hint="default" w:ascii="Cambria Math" w:hAnsi="Cambria Math" w:cs="Times New Roman"/>
                      <w:color w:val="auto"/>
                      <w:sz w:val="24"/>
                      <w:szCs w:val="24"/>
                      <w:lang w:val="en-US" w:eastAsia="zh-CN"/>
                    </w:rPr>
                    <m:t>pH−7.0</m:t>
                  </m:r>
                  <m:ctrlPr>
                    <w:rPr>
                      <w:rFonts w:hint="default" w:ascii="Cambria Math" w:hAnsi="Cambria Math" w:cs="Times New Roman"/>
                      <w:i/>
                      <w:color w:val="auto"/>
                      <w:sz w:val="24"/>
                      <w:szCs w:val="24"/>
                      <w:lang w:val="en-US" w:eastAsia="zh-CN"/>
                    </w:rPr>
                  </m:ctrlPr>
                </m:num>
                <m:den>
                  <m:sSub>
                    <m:sSubPr>
                      <m:ctrlPr>
                        <w:rPr>
                          <w:rFonts w:hint="default" w:ascii="Cambria Math" w:hAnsi="Cambria Math" w:cs="Times New Roman"/>
                          <w:i/>
                          <w:color w:val="auto"/>
                          <w:sz w:val="24"/>
                          <w:szCs w:val="24"/>
                          <w:lang w:val="en-US" w:eastAsia="zh-CN"/>
                        </w:rPr>
                      </m:ctrlPr>
                    </m:sSubPr>
                    <m:e>
                      <m:r>
                        <m:rPr/>
                        <w:rPr>
                          <w:rFonts w:hint="default" w:ascii="Cambria Math" w:hAnsi="Cambria Math" w:cs="Times New Roman"/>
                          <w:color w:val="auto"/>
                          <w:sz w:val="24"/>
                          <w:szCs w:val="24"/>
                          <w:lang w:val="en-US" w:eastAsia="zh-CN"/>
                        </w:rPr>
                        <m:t>pH</m:t>
                      </m:r>
                      <m:ctrlPr>
                        <w:rPr>
                          <w:rFonts w:hint="default" w:ascii="Cambria Math" w:hAnsi="Cambria Math" w:cs="Times New Roman"/>
                          <w:i/>
                          <w:color w:val="auto"/>
                          <w:sz w:val="24"/>
                          <w:szCs w:val="24"/>
                          <w:lang w:val="en-US" w:eastAsia="zh-CN"/>
                        </w:rPr>
                      </m:ctrlPr>
                    </m:e>
                    <m:sub>
                      <m:r>
                        <m:rPr/>
                        <w:rPr>
                          <w:rFonts w:hint="default" w:ascii="Cambria Math" w:hAnsi="Cambria Math" w:cs="Times New Roman"/>
                          <w:color w:val="auto"/>
                          <w:sz w:val="24"/>
                          <w:szCs w:val="24"/>
                          <w:lang w:val="en-US" w:eastAsia="zh-CN"/>
                        </w:rPr>
                        <m:t>su</m:t>
                      </m:r>
                      <m:ctrlPr>
                        <w:rPr>
                          <w:rFonts w:hint="default" w:ascii="Cambria Math" w:hAnsi="Cambria Math" w:cs="Times New Roman"/>
                          <w:i/>
                          <w:color w:val="auto"/>
                          <w:sz w:val="24"/>
                          <w:szCs w:val="24"/>
                          <w:lang w:val="en-US" w:eastAsia="zh-CN"/>
                        </w:rPr>
                      </m:ctrlPr>
                    </m:sub>
                  </m:sSub>
                  <m:r>
                    <m:rPr/>
                    <w:rPr>
                      <w:rFonts w:hint="default" w:ascii="Cambria Math" w:hAnsi="Cambria Math" w:cs="Times New Roman"/>
                      <w:color w:val="auto"/>
                      <w:sz w:val="24"/>
                      <w:szCs w:val="24"/>
                      <w:lang w:val="en-US" w:eastAsia="zh-CN"/>
                    </w:rPr>
                    <m:t>−7.0</m:t>
                  </m:r>
                  <m:ctrlPr>
                    <w:rPr>
                      <w:rFonts w:hint="default" w:ascii="Cambria Math" w:hAnsi="Cambria Math" w:cs="Times New Roman"/>
                      <w:i/>
                      <w:color w:val="auto"/>
                      <w:sz w:val="24"/>
                      <w:szCs w:val="24"/>
                      <w:lang w:val="en-US" w:eastAsia="zh-CN"/>
                    </w:rPr>
                  </m:ctrlPr>
                </m:den>
              </m:f>
            </m:oMath>
            <w:r>
              <w:rPr>
                <w:rFonts w:hint="eastAsia" w:hAnsi="Cambria Math"/>
                <w:sz w:val="24"/>
              </w:rPr>
              <w:t xml:space="preserve">    pH＞7时</w:t>
            </w:r>
          </w:p>
          <w:p w14:paraId="0F0F4028">
            <w:pPr>
              <w:pageBreakBefore w:val="0"/>
              <w:kinsoku/>
              <w:wordWrap/>
              <w:topLinePunct w:val="0"/>
              <w:bidi w:val="0"/>
              <w:spacing w:line="360" w:lineRule="auto"/>
              <w:ind w:firstLine="480" w:firstLineChars="200"/>
              <w:rPr>
                <w:rFonts w:hint="eastAsia"/>
                <w:sz w:val="24"/>
              </w:rPr>
            </w:pPr>
            <w:r>
              <w:rPr>
                <w:rFonts w:hint="eastAsia"/>
                <w:sz w:val="24"/>
              </w:rPr>
              <w:t>式中：P</w:t>
            </w:r>
            <w:r>
              <w:rPr>
                <w:rFonts w:hint="eastAsia"/>
                <w:sz w:val="24"/>
                <w:vertAlign w:val="subscript"/>
              </w:rPr>
              <w:t>pH</w:t>
            </w:r>
            <w:r>
              <w:rPr>
                <w:rFonts w:hint="eastAsia"/>
                <w:sz w:val="24"/>
              </w:rPr>
              <w:t>——pH的标准指数，无量纲；</w:t>
            </w:r>
          </w:p>
          <w:p w14:paraId="5DDDDBE1">
            <w:pPr>
              <w:pageBreakBefore w:val="0"/>
              <w:kinsoku/>
              <w:wordWrap/>
              <w:topLinePunct w:val="0"/>
              <w:bidi w:val="0"/>
              <w:spacing w:line="360" w:lineRule="auto"/>
              <w:ind w:firstLine="1200" w:firstLineChars="500"/>
              <w:rPr>
                <w:rFonts w:hint="eastAsia"/>
                <w:sz w:val="24"/>
              </w:rPr>
            </w:pPr>
            <w:r>
              <w:rPr>
                <w:rFonts w:hint="eastAsia"/>
                <w:sz w:val="24"/>
              </w:rPr>
              <w:t>pH——pH监测值；</w:t>
            </w:r>
          </w:p>
          <w:p w14:paraId="721B0932">
            <w:pPr>
              <w:pageBreakBefore w:val="0"/>
              <w:kinsoku/>
              <w:wordWrap/>
              <w:topLinePunct w:val="0"/>
              <w:bidi w:val="0"/>
              <w:spacing w:line="360" w:lineRule="auto"/>
              <w:ind w:firstLine="1200" w:firstLineChars="500"/>
              <w:rPr>
                <w:rFonts w:hint="eastAsia"/>
                <w:sz w:val="24"/>
              </w:rPr>
            </w:pPr>
            <w:r>
              <w:rPr>
                <w:rFonts w:hint="eastAsia"/>
                <w:sz w:val="24"/>
              </w:rPr>
              <w:t>pH</w:t>
            </w:r>
            <w:r>
              <w:rPr>
                <w:rFonts w:hint="eastAsia"/>
                <w:sz w:val="24"/>
                <w:vertAlign w:val="subscript"/>
              </w:rPr>
              <w:t>su</w:t>
            </w:r>
            <w:r>
              <w:rPr>
                <w:rFonts w:hint="eastAsia"/>
                <w:sz w:val="24"/>
              </w:rPr>
              <w:t>——标准中pH的上限值；</w:t>
            </w:r>
          </w:p>
          <w:p w14:paraId="3B440B87">
            <w:pPr>
              <w:pageBreakBefore w:val="0"/>
              <w:kinsoku/>
              <w:wordWrap/>
              <w:topLinePunct w:val="0"/>
              <w:bidi w:val="0"/>
              <w:spacing w:line="360" w:lineRule="auto"/>
              <w:ind w:firstLine="1200" w:firstLineChars="500"/>
              <w:rPr>
                <w:sz w:val="24"/>
              </w:rPr>
            </w:pPr>
            <w:r>
              <w:rPr>
                <w:rFonts w:hint="eastAsia"/>
                <w:sz w:val="24"/>
              </w:rPr>
              <w:t>pH</w:t>
            </w:r>
            <w:r>
              <w:rPr>
                <w:rFonts w:hint="eastAsia"/>
                <w:sz w:val="24"/>
                <w:vertAlign w:val="subscript"/>
              </w:rPr>
              <w:t>sd</w:t>
            </w:r>
            <w:r>
              <w:rPr>
                <w:rFonts w:hint="eastAsia"/>
                <w:sz w:val="24"/>
              </w:rPr>
              <w:t>——标准中pH的下限值。</w:t>
            </w:r>
          </w:p>
          <w:p w14:paraId="1FD2F83C">
            <w:pPr>
              <w:pageBreakBefore w:val="0"/>
              <w:kinsoku/>
              <w:wordWrap/>
              <w:topLinePunct w:val="0"/>
              <w:bidi w:val="0"/>
              <w:spacing w:line="360" w:lineRule="auto"/>
              <w:ind w:firstLine="480" w:firstLineChars="200"/>
              <w:rPr>
                <w:sz w:val="24"/>
              </w:rPr>
            </w:pPr>
            <w:r>
              <w:rPr>
                <w:sz w:val="24"/>
              </w:rPr>
              <w:t>（4）监测及评价结果分析</w:t>
            </w:r>
          </w:p>
          <w:p w14:paraId="5B452C74">
            <w:pPr>
              <w:pageBreakBefore w:val="0"/>
              <w:kinsoku/>
              <w:wordWrap/>
              <w:topLinePunct w:val="0"/>
              <w:autoSpaceDE w:val="0"/>
              <w:autoSpaceDN w:val="0"/>
              <w:bidi w:val="0"/>
              <w:spacing w:line="360" w:lineRule="auto"/>
              <w:ind w:firstLine="480" w:firstLineChars="200"/>
              <w:rPr>
                <w:sz w:val="24"/>
              </w:rPr>
            </w:pPr>
            <w:r>
              <w:rPr>
                <w:sz w:val="24"/>
              </w:rPr>
              <w:t>地下水水质监测数据以及评价结果见</w:t>
            </w:r>
            <w:r>
              <w:rPr>
                <w:rFonts w:hint="eastAsia"/>
                <w:sz w:val="24"/>
                <w:lang w:val="en-US" w:eastAsia="zh-CN"/>
              </w:rPr>
              <w:t>下</w:t>
            </w:r>
            <w:r>
              <w:rPr>
                <w:sz w:val="24"/>
              </w:rPr>
              <w:t>表。</w:t>
            </w:r>
          </w:p>
          <w:p w14:paraId="2DD5D4CB">
            <w:pPr>
              <w:pageBreakBefore w:val="0"/>
              <w:kinsoku/>
              <w:wordWrap/>
              <w:topLinePunct w:val="0"/>
              <w:bidi w:val="0"/>
              <w:spacing w:line="360" w:lineRule="auto"/>
              <w:jc w:val="center"/>
              <w:outlineLvl w:val="8"/>
              <w:rPr>
                <w:rFonts w:eastAsia="黑体"/>
                <w:szCs w:val="21"/>
              </w:rPr>
            </w:pPr>
            <w:bookmarkStart w:id="7" w:name="_Toc28393_WPSOffice_Level2"/>
            <w:bookmarkStart w:id="8" w:name="_Toc11223_WPSOffice_Level2"/>
            <w:r>
              <w:rPr>
                <w:rFonts w:eastAsia="黑体"/>
                <w:szCs w:val="21"/>
              </w:rPr>
              <w:t>表3-</w:t>
            </w:r>
            <w:r>
              <w:rPr>
                <w:rFonts w:hint="eastAsia" w:eastAsia="黑体"/>
                <w:szCs w:val="21"/>
                <w:lang w:val="en-US" w:eastAsia="zh-CN"/>
              </w:rPr>
              <w:t>6</w:t>
            </w:r>
            <w:r>
              <w:rPr>
                <w:rFonts w:eastAsia="黑体"/>
                <w:szCs w:val="21"/>
              </w:rPr>
              <w:t xml:space="preserve">  项目区地下水水质监测数据分析表</w:t>
            </w:r>
            <w:bookmarkEnd w:id="7"/>
            <w:bookmarkEnd w:id="8"/>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18"/>
              <w:gridCol w:w="2540"/>
              <w:gridCol w:w="724"/>
              <w:gridCol w:w="998"/>
              <w:gridCol w:w="573"/>
              <w:gridCol w:w="998"/>
              <w:gridCol w:w="573"/>
              <w:gridCol w:w="998"/>
              <w:gridCol w:w="568"/>
            </w:tblGrid>
            <w:tr w14:paraId="6E8C74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3F3C8404">
                  <w:pPr>
                    <w:pageBreakBefore w:val="0"/>
                    <w:kinsoku/>
                    <w:wordWrap/>
                    <w:topLinePunct w:val="0"/>
                    <w:bidi w:val="0"/>
                    <w:spacing w:line="280" w:lineRule="exact"/>
                    <w:contextualSpacing/>
                    <w:jc w:val="center"/>
                    <w:rPr>
                      <w:b/>
                      <w:bCs/>
                      <w:spacing w:val="-6"/>
                      <w:szCs w:val="21"/>
                    </w:rPr>
                  </w:pPr>
                  <w:r>
                    <w:rPr>
                      <w:b/>
                      <w:bCs/>
                      <w:spacing w:val="-6"/>
                      <w:szCs w:val="21"/>
                    </w:rPr>
                    <w:t>序号</w:t>
                  </w:r>
                </w:p>
              </w:tc>
              <w:tc>
                <w:tcPr>
                  <w:tcW w:w="0" w:type="auto"/>
                  <w:noWrap w:val="0"/>
                  <w:vAlign w:val="center"/>
                </w:tcPr>
                <w:p w14:paraId="42E8E7EA">
                  <w:pPr>
                    <w:pageBreakBefore w:val="0"/>
                    <w:kinsoku/>
                    <w:wordWrap/>
                    <w:topLinePunct w:val="0"/>
                    <w:bidi w:val="0"/>
                    <w:spacing w:line="280" w:lineRule="exact"/>
                    <w:contextualSpacing/>
                    <w:jc w:val="center"/>
                    <w:rPr>
                      <w:b/>
                      <w:bCs/>
                      <w:spacing w:val="-6"/>
                      <w:szCs w:val="21"/>
                    </w:rPr>
                  </w:pPr>
                  <w:r>
                    <w:rPr>
                      <w:b/>
                      <w:bCs/>
                      <w:spacing w:val="-6"/>
                      <w:szCs w:val="21"/>
                    </w:rPr>
                    <w:t>项目</w:t>
                  </w:r>
                </w:p>
              </w:tc>
              <w:tc>
                <w:tcPr>
                  <w:tcW w:w="0" w:type="auto"/>
                  <w:noWrap w:val="0"/>
                  <w:vAlign w:val="center"/>
                </w:tcPr>
                <w:p w14:paraId="7F226C0F">
                  <w:pPr>
                    <w:pageBreakBefore w:val="0"/>
                    <w:kinsoku/>
                    <w:wordWrap/>
                    <w:topLinePunct w:val="0"/>
                    <w:bidi w:val="0"/>
                    <w:spacing w:line="280" w:lineRule="exact"/>
                    <w:contextualSpacing/>
                    <w:jc w:val="center"/>
                    <w:rPr>
                      <w:b/>
                      <w:bCs/>
                      <w:spacing w:val="-6"/>
                      <w:szCs w:val="21"/>
                    </w:rPr>
                  </w:pPr>
                  <w:r>
                    <w:rPr>
                      <w:b/>
                      <w:bCs/>
                      <w:spacing w:val="-6"/>
                      <w:szCs w:val="21"/>
                    </w:rPr>
                    <w:t>标准值</w:t>
                  </w:r>
                </w:p>
                <w:p w14:paraId="5A1C5D3D">
                  <w:pPr>
                    <w:pageBreakBefore w:val="0"/>
                    <w:kinsoku/>
                    <w:wordWrap/>
                    <w:topLinePunct w:val="0"/>
                    <w:bidi w:val="0"/>
                    <w:spacing w:line="280" w:lineRule="exact"/>
                    <w:contextualSpacing/>
                    <w:jc w:val="center"/>
                    <w:rPr>
                      <w:b/>
                      <w:bCs/>
                      <w:spacing w:val="-6"/>
                      <w:szCs w:val="21"/>
                    </w:rPr>
                  </w:pPr>
                  <w:r>
                    <w:rPr>
                      <w:b/>
                      <w:bCs/>
                      <w:spacing w:val="-6"/>
                      <w:szCs w:val="21"/>
                    </w:rPr>
                    <w:t>(mg/</w:t>
                  </w:r>
                  <w:r>
                    <w:rPr>
                      <w:rFonts w:hint="eastAsia"/>
                      <w:b/>
                      <w:bCs/>
                      <w:spacing w:val="-6"/>
                      <w:szCs w:val="21"/>
                      <w:lang w:val="en-US" w:eastAsia="zh-CN"/>
                    </w:rPr>
                    <w:t>L</w:t>
                  </w:r>
                  <w:r>
                    <w:rPr>
                      <w:b/>
                      <w:bCs/>
                      <w:spacing w:val="-6"/>
                      <w:szCs w:val="21"/>
                    </w:rPr>
                    <w:t>)</w:t>
                  </w:r>
                </w:p>
              </w:tc>
              <w:tc>
                <w:tcPr>
                  <w:tcW w:w="0" w:type="auto"/>
                  <w:noWrap/>
                  <w:vAlign w:val="center"/>
                </w:tcPr>
                <w:p w14:paraId="732B0137">
                  <w:pPr>
                    <w:pageBreakBefore w:val="0"/>
                    <w:kinsoku/>
                    <w:wordWrap/>
                    <w:topLinePunct w:val="0"/>
                    <w:bidi w:val="0"/>
                    <w:spacing w:line="280" w:lineRule="exact"/>
                    <w:contextualSpacing/>
                    <w:jc w:val="center"/>
                    <w:rPr>
                      <w:b/>
                      <w:bCs/>
                      <w:spacing w:val="-6"/>
                      <w:szCs w:val="21"/>
                    </w:rPr>
                  </w:pPr>
                  <w:r>
                    <w:rPr>
                      <w:b/>
                      <w:bCs/>
                      <w:spacing w:val="-6"/>
                      <w:szCs w:val="21"/>
                    </w:rPr>
                    <w:t>1#监测值</w:t>
                  </w:r>
                </w:p>
                <w:p w14:paraId="5D1D041E">
                  <w:pPr>
                    <w:pageBreakBefore w:val="0"/>
                    <w:kinsoku/>
                    <w:wordWrap/>
                    <w:topLinePunct w:val="0"/>
                    <w:bidi w:val="0"/>
                    <w:spacing w:line="280" w:lineRule="exact"/>
                    <w:contextualSpacing/>
                    <w:jc w:val="center"/>
                    <w:rPr>
                      <w:b/>
                      <w:bCs/>
                      <w:spacing w:val="-6"/>
                      <w:szCs w:val="21"/>
                    </w:rPr>
                  </w:pPr>
                  <w:r>
                    <w:rPr>
                      <w:b/>
                      <w:bCs/>
                      <w:spacing w:val="-6"/>
                      <w:szCs w:val="21"/>
                    </w:rPr>
                    <w:t>(mg/L)</w:t>
                  </w:r>
                </w:p>
              </w:tc>
              <w:tc>
                <w:tcPr>
                  <w:tcW w:w="0" w:type="auto"/>
                  <w:noWrap/>
                  <w:vAlign w:val="center"/>
                </w:tcPr>
                <w:p w14:paraId="1AC6EB56">
                  <w:pPr>
                    <w:pageBreakBefore w:val="0"/>
                    <w:kinsoku/>
                    <w:wordWrap/>
                    <w:topLinePunct w:val="0"/>
                    <w:bidi w:val="0"/>
                    <w:spacing w:line="280" w:lineRule="exact"/>
                    <w:contextualSpacing/>
                    <w:jc w:val="center"/>
                    <w:rPr>
                      <w:b/>
                      <w:bCs/>
                      <w:spacing w:val="-6"/>
                      <w:szCs w:val="21"/>
                    </w:rPr>
                  </w:pPr>
                  <w:r>
                    <w:rPr>
                      <w:b/>
                      <w:bCs/>
                      <w:spacing w:val="-6"/>
                      <w:szCs w:val="21"/>
                    </w:rPr>
                    <w:t>1#Pi</w:t>
                  </w:r>
                </w:p>
              </w:tc>
              <w:tc>
                <w:tcPr>
                  <w:tcW w:w="0" w:type="auto"/>
                  <w:noWrap/>
                  <w:vAlign w:val="center"/>
                </w:tcPr>
                <w:p w14:paraId="6B7B136E">
                  <w:pPr>
                    <w:pageBreakBefore w:val="0"/>
                    <w:kinsoku/>
                    <w:wordWrap/>
                    <w:topLinePunct w:val="0"/>
                    <w:bidi w:val="0"/>
                    <w:spacing w:line="280" w:lineRule="exact"/>
                    <w:contextualSpacing/>
                    <w:jc w:val="center"/>
                    <w:rPr>
                      <w:b/>
                      <w:bCs/>
                      <w:spacing w:val="-6"/>
                      <w:szCs w:val="21"/>
                    </w:rPr>
                  </w:pPr>
                  <w:r>
                    <w:rPr>
                      <w:rFonts w:hint="eastAsia"/>
                      <w:b/>
                      <w:bCs/>
                      <w:spacing w:val="-6"/>
                      <w:szCs w:val="21"/>
                    </w:rPr>
                    <w:t>2</w:t>
                  </w:r>
                  <w:r>
                    <w:rPr>
                      <w:b/>
                      <w:bCs/>
                      <w:spacing w:val="-6"/>
                      <w:szCs w:val="21"/>
                    </w:rPr>
                    <w:t>#监测值</w:t>
                  </w:r>
                </w:p>
                <w:p w14:paraId="0F2C3DFC">
                  <w:pPr>
                    <w:pageBreakBefore w:val="0"/>
                    <w:kinsoku/>
                    <w:wordWrap/>
                    <w:topLinePunct w:val="0"/>
                    <w:bidi w:val="0"/>
                    <w:spacing w:line="280" w:lineRule="exact"/>
                    <w:contextualSpacing/>
                    <w:jc w:val="center"/>
                    <w:rPr>
                      <w:b/>
                      <w:bCs/>
                      <w:spacing w:val="-6"/>
                      <w:szCs w:val="21"/>
                    </w:rPr>
                  </w:pPr>
                  <w:r>
                    <w:rPr>
                      <w:b/>
                      <w:bCs/>
                      <w:spacing w:val="-6"/>
                      <w:szCs w:val="21"/>
                    </w:rPr>
                    <w:t>(mg/L)</w:t>
                  </w:r>
                </w:p>
              </w:tc>
              <w:tc>
                <w:tcPr>
                  <w:tcW w:w="0" w:type="auto"/>
                  <w:noWrap/>
                  <w:vAlign w:val="center"/>
                </w:tcPr>
                <w:p w14:paraId="369DDF24">
                  <w:pPr>
                    <w:pageBreakBefore w:val="0"/>
                    <w:kinsoku/>
                    <w:wordWrap/>
                    <w:topLinePunct w:val="0"/>
                    <w:bidi w:val="0"/>
                    <w:spacing w:line="280" w:lineRule="exact"/>
                    <w:contextualSpacing/>
                    <w:jc w:val="center"/>
                    <w:rPr>
                      <w:b/>
                      <w:bCs/>
                      <w:spacing w:val="-6"/>
                      <w:szCs w:val="21"/>
                    </w:rPr>
                  </w:pPr>
                  <w:r>
                    <w:rPr>
                      <w:rFonts w:hint="eastAsia"/>
                      <w:b/>
                      <w:bCs/>
                      <w:spacing w:val="-6"/>
                      <w:szCs w:val="21"/>
                    </w:rPr>
                    <w:t>2#</w:t>
                  </w:r>
                  <w:r>
                    <w:rPr>
                      <w:b/>
                      <w:bCs/>
                      <w:spacing w:val="-6"/>
                      <w:szCs w:val="21"/>
                    </w:rPr>
                    <w:t>Pi</w:t>
                  </w:r>
                </w:p>
              </w:tc>
              <w:tc>
                <w:tcPr>
                  <w:tcW w:w="0" w:type="auto"/>
                  <w:noWrap/>
                  <w:vAlign w:val="center"/>
                </w:tcPr>
                <w:p w14:paraId="5732E273">
                  <w:pPr>
                    <w:pageBreakBefore w:val="0"/>
                    <w:kinsoku/>
                    <w:wordWrap/>
                    <w:topLinePunct w:val="0"/>
                    <w:bidi w:val="0"/>
                    <w:spacing w:line="280" w:lineRule="exact"/>
                    <w:contextualSpacing/>
                    <w:jc w:val="center"/>
                    <w:rPr>
                      <w:b/>
                      <w:bCs/>
                      <w:spacing w:val="-6"/>
                      <w:szCs w:val="21"/>
                    </w:rPr>
                  </w:pPr>
                  <w:r>
                    <w:rPr>
                      <w:rFonts w:hint="eastAsia"/>
                      <w:b/>
                      <w:bCs/>
                      <w:spacing w:val="-6"/>
                      <w:szCs w:val="21"/>
                    </w:rPr>
                    <w:t>3</w:t>
                  </w:r>
                  <w:r>
                    <w:rPr>
                      <w:b/>
                      <w:bCs/>
                      <w:spacing w:val="-6"/>
                      <w:szCs w:val="21"/>
                    </w:rPr>
                    <w:t>#监测值</w:t>
                  </w:r>
                </w:p>
                <w:p w14:paraId="22F93469">
                  <w:pPr>
                    <w:pageBreakBefore w:val="0"/>
                    <w:kinsoku/>
                    <w:wordWrap/>
                    <w:topLinePunct w:val="0"/>
                    <w:bidi w:val="0"/>
                    <w:spacing w:line="280" w:lineRule="exact"/>
                    <w:contextualSpacing/>
                    <w:jc w:val="center"/>
                    <w:rPr>
                      <w:b/>
                      <w:bCs/>
                      <w:spacing w:val="-6"/>
                      <w:szCs w:val="21"/>
                    </w:rPr>
                  </w:pPr>
                  <w:r>
                    <w:rPr>
                      <w:b/>
                      <w:bCs/>
                      <w:spacing w:val="-6"/>
                      <w:szCs w:val="21"/>
                    </w:rPr>
                    <w:t>(mg/L)</w:t>
                  </w:r>
                </w:p>
              </w:tc>
              <w:tc>
                <w:tcPr>
                  <w:tcW w:w="0" w:type="auto"/>
                  <w:noWrap/>
                  <w:vAlign w:val="center"/>
                </w:tcPr>
                <w:p w14:paraId="4999EE47">
                  <w:pPr>
                    <w:pageBreakBefore w:val="0"/>
                    <w:kinsoku/>
                    <w:wordWrap/>
                    <w:topLinePunct w:val="0"/>
                    <w:bidi w:val="0"/>
                    <w:spacing w:line="280" w:lineRule="exact"/>
                    <w:contextualSpacing/>
                    <w:jc w:val="center"/>
                    <w:rPr>
                      <w:b/>
                      <w:bCs/>
                      <w:spacing w:val="-6"/>
                      <w:szCs w:val="21"/>
                    </w:rPr>
                  </w:pPr>
                  <w:r>
                    <w:rPr>
                      <w:rFonts w:hint="eastAsia"/>
                      <w:b/>
                      <w:bCs/>
                      <w:spacing w:val="-6"/>
                      <w:szCs w:val="21"/>
                    </w:rPr>
                    <w:t>3#</w:t>
                  </w:r>
                  <w:r>
                    <w:rPr>
                      <w:b/>
                      <w:bCs/>
                      <w:spacing w:val="-6"/>
                      <w:szCs w:val="21"/>
                    </w:rPr>
                    <w:t>Pi</w:t>
                  </w:r>
                </w:p>
              </w:tc>
            </w:tr>
            <w:tr w14:paraId="363C52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14B2DB12">
                  <w:pPr>
                    <w:pageBreakBefore w:val="0"/>
                    <w:kinsoku/>
                    <w:wordWrap/>
                    <w:topLinePunct w:val="0"/>
                    <w:bidi w:val="0"/>
                    <w:spacing w:line="280" w:lineRule="exact"/>
                    <w:contextualSpacing/>
                    <w:jc w:val="center"/>
                    <w:rPr>
                      <w:spacing w:val="-6"/>
                      <w:szCs w:val="21"/>
                    </w:rPr>
                  </w:pPr>
                  <w:r>
                    <w:rPr>
                      <w:rFonts w:hint="eastAsia"/>
                      <w:spacing w:val="-6"/>
                      <w:szCs w:val="21"/>
                    </w:rPr>
                    <w:t>1</w:t>
                  </w:r>
                </w:p>
              </w:tc>
              <w:tc>
                <w:tcPr>
                  <w:tcW w:w="0" w:type="auto"/>
                  <w:noWrap w:val="0"/>
                  <w:vAlign w:val="center"/>
                </w:tcPr>
                <w:p w14:paraId="67BE0673">
                  <w:pPr>
                    <w:pageBreakBefore w:val="0"/>
                    <w:kinsoku/>
                    <w:wordWrap/>
                    <w:topLinePunct w:val="0"/>
                    <w:bidi w:val="0"/>
                    <w:spacing w:line="280" w:lineRule="exact"/>
                    <w:contextualSpacing/>
                    <w:jc w:val="center"/>
                    <w:rPr>
                      <w:rFonts w:hint="eastAsia"/>
                      <w:spacing w:val="-6"/>
                      <w:szCs w:val="21"/>
                    </w:rPr>
                  </w:pPr>
                  <w:r>
                    <w:rPr>
                      <w:spacing w:val="-6"/>
                      <w:szCs w:val="21"/>
                    </w:rPr>
                    <w:t>pH</w:t>
                  </w:r>
                  <w:r>
                    <w:rPr>
                      <w:rFonts w:hint="eastAsia"/>
                      <w:spacing w:val="-6"/>
                      <w:szCs w:val="21"/>
                      <w:lang w:val="en-US" w:eastAsia="zh-CN"/>
                    </w:rPr>
                    <w:t>(</w:t>
                  </w:r>
                  <w:r>
                    <w:rPr>
                      <w:spacing w:val="-6"/>
                      <w:szCs w:val="21"/>
                    </w:rPr>
                    <w:t>无量纲</w:t>
                  </w:r>
                  <w:r>
                    <w:rPr>
                      <w:rFonts w:hint="eastAsia"/>
                      <w:spacing w:val="-6"/>
                      <w:szCs w:val="21"/>
                    </w:rPr>
                    <w:t>)</w:t>
                  </w:r>
                </w:p>
              </w:tc>
              <w:tc>
                <w:tcPr>
                  <w:tcW w:w="0" w:type="auto"/>
                  <w:noWrap w:val="0"/>
                  <w:vAlign w:val="center"/>
                </w:tcPr>
                <w:p w14:paraId="4F3066E9">
                  <w:pPr>
                    <w:pageBreakBefore w:val="0"/>
                    <w:kinsoku/>
                    <w:wordWrap/>
                    <w:topLinePunct w:val="0"/>
                    <w:bidi w:val="0"/>
                    <w:spacing w:line="280" w:lineRule="exact"/>
                    <w:contextualSpacing/>
                    <w:jc w:val="center"/>
                    <w:rPr>
                      <w:spacing w:val="-6"/>
                      <w:szCs w:val="21"/>
                    </w:rPr>
                  </w:pPr>
                  <w:r>
                    <w:rPr>
                      <w:spacing w:val="-6"/>
                      <w:szCs w:val="21"/>
                    </w:rPr>
                    <w:t>6.5～8.5</w:t>
                  </w:r>
                </w:p>
              </w:tc>
              <w:tc>
                <w:tcPr>
                  <w:tcW w:w="0" w:type="auto"/>
                  <w:noWrap/>
                  <w:vAlign w:val="center"/>
                </w:tcPr>
                <w:p w14:paraId="4ADE0C57">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7.3</w:t>
                  </w:r>
                </w:p>
              </w:tc>
              <w:tc>
                <w:tcPr>
                  <w:tcW w:w="0" w:type="auto"/>
                  <w:noWrap/>
                  <w:vAlign w:val="center"/>
                </w:tcPr>
                <w:p w14:paraId="28AEAE12">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0.2</w:t>
                  </w:r>
                </w:p>
              </w:tc>
              <w:tc>
                <w:tcPr>
                  <w:tcW w:w="0" w:type="auto"/>
                  <w:noWrap/>
                  <w:vAlign w:val="center"/>
                </w:tcPr>
                <w:p w14:paraId="1AC437E7">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7.1</w:t>
                  </w:r>
                </w:p>
              </w:tc>
              <w:tc>
                <w:tcPr>
                  <w:tcW w:w="0" w:type="auto"/>
                  <w:noWrap/>
                  <w:vAlign w:val="center"/>
                </w:tcPr>
                <w:p w14:paraId="2CD5D62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0.0667</w:t>
                  </w:r>
                </w:p>
              </w:tc>
              <w:tc>
                <w:tcPr>
                  <w:tcW w:w="0" w:type="auto"/>
                  <w:noWrap/>
                  <w:vAlign w:val="center"/>
                </w:tcPr>
                <w:p w14:paraId="01112E91">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7.4</w:t>
                  </w:r>
                </w:p>
              </w:tc>
              <w:tc>
                <w:tcPr>
                  <w:tcW w:w="0" w:type="auto"/>
                  <w:noWrap/>
                  <w:vAlign w:val="center"/>
                </w:tcPr>
                <w:p w14:paraId="1BDF80B3">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0.2667</w:t>
                  </w:r>
                </w:p>
              </w:tc>
            </w:tr>
            <w:tr w14:paraId="031058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5FC9E218">
                  <w:pPr>
                    <w:pageBreakBefore w:val="0"/>
                    <w:kinsoku/>
                    <w:wordWrap/>
                    <w:topLinePunct w:val="0"/>
                    <w:bidi w:val="0"/>
                    <w:spacing w:line="280" w:lineRule="exact"/>
                    <w:contextualSpacing/>
                    <w:jc w:val="center"/>
                    <w:rPr>
                      <w:spacing w:val="-6"/>
                      <w:szCs w:val="21"/>
                    </w:rPr>
                  </w:pPr>
                  <w:r>
                    <w:rPr>
                      <w:rFonts w:hint="eastAsia"/>
                      <w:spacing w:val="-6"/>
                      <w:szCs w:val="21"/>
                    </w:rPr>
                    <w:t>2</w:t>
                  </w:r>
                </w:p>
              </w:tc>
              <w:tc>
                <w:tcPr>
                  <w:tcW w:w="0" w:type="auto"/>
                  <w:noWrap w:val="0"/>
                  <w:vAlign w:val="center"/>
                </w:tcPr>
                <w:p w14:paraId="0F74C9C0">
                  <w:pPr>
                    <w:pageBreakBefore w:val="0"/>
                    <w:kinsoku/>
                    <w:wordWrap/>
                    <w:topLinePunct w:val="0"/>
                    <w:bidi w:val="0"/>
                    <w:spacing w:line="280" w:lineRule="exact"/>
                    <w:contextualSpacing/>
                    <w:jc w:val="center"/>
                    <w:rPr>
                      <w:spacing w:val="-6"/>
                      <w:szCs w:val="21"/>
                    </w:rPr>
                  </w:pPr>
                  <w:r>
                    <w:rPr>
                      <w:spacing w:val="-6"/>
                      <w:szCs w:val="21"/>
                    </w:rPr>
                    <w:t>总硬度</w:t>
                  </w:r>
                  <w:r>
                    <w:rPr>
                      <w:rFonts w:hint="eastAsia"/>
                      <w:spacing w:val="-6"/>
                      <w:szCs w:val="21"/>
                      <w:lang w:val="en-US" w:eastAsia="zh-CN"/>
                    </w:rPr>
                    <w:t>(</w:t>
                  </w:r>
                  <w:r>
                    <w:rPr>
                      <w:spacing w:val="-6"/>
                      <w:szCs w:val="21"/>
                    </w:rPr>
                    <w:t>以CaCO</w:t>
                  </w:r>
                  <w:r>
                    <w:rPr>
                      <w:spacing w:val="-6"/>
                      <w:szCs w:val="21"/>
                      <w:vertAlign w:val="subscript"/>
                    </w:rPr>
                    <w:t>3</w:t>
                  </w:r>
                  <w:r>
                    <w:rPr>
                      <w:rFonts w:hint="eastAsia"/>
                      <w:spacing w:val="-6"/>
                      <w:szCs w:val="21"/>
                    </w:rPr>
                    <w:t>)</w:t>
                  </w:r>
                  <w:r>
                    <w:rPr>
                      <w:spacing w:val="-6"/>
                      <w:szCs w:val="21"/>
                    </w:rPr>
                    <w:t>计</w:t>
                  </w:r>
                </w:p>
              </w:tc>
              <w:tc>
                <w:tcPr>
                  <w:tcW w:w="0" w:type="auto"/>
                  <w:noWrap w:val="0"/>
                  <w:vAlign w:val="center"/>
                </w:tcPr>
                <w:p w14:paraId="11B50812">
                  <w:pPr>
                    <w:pageBreakBefore w:val="0"/>
                    <w:kinsoku/>
                    <w:wordWrap/>
                    <w:topLinePunct w:val="0"/>
                    <w:bidi w:val="0"/>
                    <w:spacing w:line="280" w:lineRule="exact"/>
                    <w:contextualSpacing/>
                    <w:jc w:val="center"/>
                    <w:rPr>
                      <w:spacing w:val="-6"/>
                      <w:szCs w:val="21"/>
                    </w:rPr>
                  </w:pPr>
                  <w:r>
                    <w:rPr>
                      <w:spacing w:val="-6"/>
                      <w:szCs w:val="21"/>
                    </w:rPr>
                    <w:t>≤450</w:t>
                  </w:r>
                </w:p>
              </w:tc>
              <w:tc>
                <w:tcPr>
                  <w:tcW w:w="0" w:type="auto"/>
                  <w:noWrap/>
                  <w:vAlign w:val="center"/>
                </w:tcPr>
                <w:p w14:paraId="68AB4E44">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270</w:t>
                  </w:r>
                </w:p>
              </w:tc>
              <w:tc>
                <w:tcPr>
                  <w:tcW w:w="0" w:type="auto"/>
                  <w:noWrap/>
                  <w:vAlign w:val="center"/>
                </w:tcPr>
                <w:p w14:paraId="502FCEC5">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0.6</w:t>
                  </w:r>
                </w:p>
              </w:tc>
              <w:tc>
                <w:tcPr>
                  <w:tcW w:w="0" w:type="auto"/>
                  <w:noWrap/>
                  <w:vAlign w:val="center"/>
                </w:tcPr>
                <w:p w14:paraId="36B2A41C">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196</w:t>
                  </w:r>
                </w:p>
              </w:tc>
              <w:tc>
                <w:tcPr>
                  <w:tcW w:w="0" w:type="auto"/>
                  <w:noWrap/>
                  <w:vAlign w:val="center"/>
                </w:tcPr>
                <w:p w14:paraId="4A1678E5">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0.4356</w:t>
                  </w:r>
                </w:p>
              </w:tc>
              <w:tc>
                <w:tcPr>
                  <w:tcW w:w="0" w:type="auto"/>
                  <w:noWrap/>
                  <w:vAlign w:val="center"/>
                </w:tcPr>
                <w:p w14:paraId="68D80C8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351</w:t>
                  </w:r>
                </w:p>
              </w:tc>
              <w:tc>
                <w:tcPr>
                  <w:tcW w:w="0" w:type="auto"/>
                  <w:noWrap/>
                  <w:vAlign w:val="center"/>
                </w:tcPr>
                <w:p w14:paraId="74E4A97E">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0.78</w:t>
                  </w:r>
                </w:p>
              </w:tc>
            </w:tr>
            <w:tr w14:paraId="3174B7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445151BA">
                  <w:pPr>
                    <w:pageBreakBefore w:val="0"/>
                    <w:kinsoku/>
                    <w:wordWrap/>
                    <w:topLinePunct w:val="0"/>
                    <w:bidi w:val="0"/>
                    <w:spacing w:line="280" w:lineRule="exact"/>
                    <w:contextualSpacing/>
                    <w:jc w:val="center"/>
                    <w:rPr>
                      <w:spacing w:val="-6"/>
                      <w:szCs w:val="21"/>
                    </w:rPr>
                  </w:pPr>
                  <w:r>
                    <w:rPr>
                      <w:rFonts w:hint="eastAsia"/>
                      <w:spacing w:val="-6"/>
                      <w:szCs w:val="21"/>
                    </w:rPr>
                    <w:t>3</w:t>
                  </w:r>
                </w:p>
              </w:tc>
              <w:tc>
                <w:tcPr>
                  <w:tcW w:w="0" w:type="auto"/>
                  <w:noWrap w:val="0"/>
                  <w:vAlign w:val="center"/>
                </w:tcPr>
                <w:p w14:paraId="42B5B6CF">
                  <w:pPr>
                    <w:pageBreakBefore w:val="0"/>
                    <w:kinsoku/>
                    <w:wordWrap/>
                    <w:topLinePunct w:val="0"/>
                    <w:bidi w:val="0"/>
                    <w:spacing w:line="280" w:lineRule="exact"/>
                    <w:contextualSpacing/>
                    <w:jc w:val="center"/>
                    <w:rPr>
                      <w:spacing w:val="-6"/>
                      <w:szCs w:val="21"/>
                    </w:rPr>
                  </w:pPr>
                  <w:r>
                    <w:rPr>
                      <w:spacing w:val="-6"/>
                      <w:szCs w:val="21"/>
                    </w:rPr>
                    <w:t>溶解性总固体</w:t>
                  </w:r>
                </w:p>
              </w:tc>
              <w:tc>
                <w:tcPr>
                  <w:tcW w:w="0" w:type="auto"/>
                  <w:noWrap w:val="0"/>
                  <w:vAlign w:val="center"/>
                </w:tcPr>
                <w:p w14:paraId="618FC83F">
                  <w:pPr>
                    <w:pageBreakBefore w:val="0"/>
                    <w:kinsoku/>
                    <w:wordWrap/>
                    <w:topLinePunct w:val="0"/>
                    <w:bidi w:val="0"/>
                    <w:spacing w:line="280" w:lineRule="exact"/>
                    <w:contextualSpacing/>
                    <w:jc w:val="center"/>
                    <w:rPr>
                      <w:spacing w:val="-6"/>
                      <w:szCs w:val="21"/>
                    </w:rPr>
                  </w:pPr>
                  <w:r>
                    <w:rPr>
                      <w:spacing w:val="-6"/>
                      <w:szCs w:val="21"/>
                    </w:rPr>
                    <w:t>≤1000</w:t>
                  </w:r>
                </w:p>
              </w:tc>
              <w:tc>
                <w:tcPr>
                  <w:tcW w:w="0" w:type="auto"/>
                  <w:noWrap/>
                  <w:vAlign w:val="center"/>
                </w:tcPr>
                <w:p w14:paraId="2FDAB154">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360</w:t>
                  </w:r>
                </w:p>
              </w:tc>
              <w:tc>
                <w:tcPr>
                  <w:tcW w:w="0" w:type="auto"/>
                  <w:noWrap/>
                  <w:vAlign w:val="center"/>
                </w:tcPr>
                <w:p w14:paraId="7B0CAA02">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0.36</w:t>
                  </w:r>
                </w:p>
              </w:tc>
              <w:tc>
                <w:tcPr>
                  <w:tcW w:w="0" w:type="auto"/>
                  <w:noWrap/>
                  <w:vAlign w:val="center"/>
                </w:tcPr>
                <w:p w14:paraId="66D93BC0">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330</w:t>
                  </w:r>
                </w:p>
              </w:tc>
              <w:tc>
                <w:tcPr>
                  <w:tcW w:w="0" w:type="auto"/>
                  <w:noWrap/>
                  <w:vAlign w:val="center"/>
                </w:tcPr>
                <w:p w14:paraId="11A6F5C5">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0.33</w:t>
                  </w:r>
                </w:p>
              </w:tc>
              <w:tc>
                <w:tcPr>
                  <w:tcW w:w="0" w:type="auto"/>
                  <w:noWrap/>
                  <w:vAlign w:val="center"/>
                </w:tcPr>
                <w:p w14:paraId="4849CD0C">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265</w:t>
                  </w:r>
                </w:p>
              </w:tc>
              <w:tc>
                <w:tcPr>
                  <w:tcW w:w="0" w:type="auto"/>
                  <w:noWrap/>
                  <w:vAlign w:val="center"/>
                </w:tcPr>
                <w:p w14:paraId="35FFE5CA">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0.265</w:t>
                  </w:r>
                </w:p>
              </w:tc>
            </w:tr>
            <w:tr w14:paraId="0661BB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0579AC48">
                  <w:pPr>
                    <w:pageBreakBefore w:val="0"/>
                    <w:kinsoku/>
                    <w:wordWrap/>
                    <w:topLinePunct w:val="0"/>
                    <w:bidi w:val="0"/>
                    <w:spacing w:line="280" w:lineRule="exact"/>
                    <w:contextualSpacing/>
                    <w:jc w:val="center"/>
                    <w:rPr>
                      <w:spacing w:val="-6"/>
                      <w:szCs w:val="21"/>
                    </w:rPr>
                  </w:pPr>
                  <w:r>
                    <w:rPr>
                      <w:rFonts w:hint="eastAsia"/>
                      <w:spacing w:val="-6"/>
                      <w:szCs w:val="21"/>
                    </w:rPr>
                    <w:t>4</w:t>
                  </w:r>
                </w:p>
              </w:tc>
              <w:tc>
                <w:tcPr>
                  <w:tcW w:w="0" w:type="auto"/>
                  <w:noWrap w:val="0"/>
                  <w:vAlign w:val="center"/>
                </w:tcPr>
                <w:p w14:paraId="7AC645B2">
                  <w:pPr>
                    <w:pageBreakBefore w:val="0"/>
                    <w:kinsoku/>
                    <w:wordWrap/>
                    <w:topLinePunct w:val="0"/>
                    <w:bidi w:val="0"/>
                    <w:spacing w:line="280" w:lineRule="exact"/>
                    <w:contextualSpacing/>
                    <w:jc w:val="center"/>
                    <w:rPr>
                      <w:spacing w:val="-6"/>
                      <w:szCs w:val="21"/>
                    </w:rPr>
                  </w:pPr>
                  <w:r>
                    <w:rPr>
                      <w:spacing w:val="-6"/>
                      <w:szCs w:val="21"/>
                    </w:rPr>
                    <w:t>硫酸盐</w:t>
                  </w:r>
                </w:p>
              </w:tc>
              <w:tc>
                <w:tcPr>
                  <w:tcW w:w="0" w:type="auto"/>
                  <w:noWrap w:val="0"/>
                  <w:vAlign w:val="center"/>
                </w:tcPr>
                <w:p w14:paraId="27102892">
                  <w:pPr>
                    <w:pageBreakBefore w:val="0"/>
                    <w:kinsoku/>
                    <w:wordWrap/>
                    <w:topLinePunct w:val="0"/>
                    <w:bidi w:val="0"/>
                    <w:spacing w:line="280" w:lineRule="exact"/>
                    <w:contextualSpacing/>
                    <w:jc w:val="center"/>
                    <w:rPr>
                      <w:spacing w:val="-6"/>
                      <w:szCs w:val="21"/>
                    </w:rPr>
                  </w:pPr>
                  <w:r>
                    <w:rPr>
                      <w:spacing w:val="-6"/>
                      <w:szCs w:val="21"/>
                    </w:rPr>
                    <w:t>≤250</w:t>
                  </w:r>
                </w:p>
              </w:tc>
              <w:tc>
                <w:tcPr>
                  <w:tcW w:w="0" w:type="auto"/>
                  <w:noWrap/>
                  <w:vAlign w:val="center"/>
                </w:tcPr>
                <w:p w14:paraId="533E06E1">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93.9</w:t>
                  </w:r>
                </w:p>
              </w:tc>
              <w:tc>
                <w:tcPr>
                  <w:tcW w:w="0" w:type="auto"/>
                  <w:noWrap/>
                  <w:vAlign w:val="center"/>
                </w:tcPr>
                <w:p w14:paraId="61FBBB21">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0.3756</w:t>
                  </w:r>
                </w:p>
              </w:tc>
              <w:tc>
                <w:tcPr>
                  <w:tcW w:w="0" w:type="auto"/>
                  <w:noWrap/>
                  <w:vAlign w:val="center"/>
                </w:tcPr>
                <w:p w14:paraId="25465622">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94.6</w:t>
                  </w:r>
                </w:p>
              </w:tc>
              <w:tc>
                <w:tcPr>
                  <w:tcW w:w="0" w:type="auto"/>
                  <w:noWrap/>
                  <w:vAlign w:val="center"/>
                </w:tcPr>
                <w:p w14:paraId="14314D06">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0.3784</w:t>
                  </w:r>
                </w:p>
              </w:tc>
              <w:tc>
                <w:tcPr>
                  <w:tcW w:w="0" w:type="auto"/>
                  <w:noWrap/>
                  <w:vAlign w:val="center"/>
                </w:tcPr>
                <w:p w14:paraId="03269D67">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52.1</w:t>
                  </w:r>
                </w:p>
              </w:tc>
              <w:tc>
                <w:tcPr>
                  <w:tcW w:w="0" w:type="auto"/>
                  <w:noWrap/>
                  <w:vAlign w:val="center"/>
                </w:tcPr>
                <w:p w14:paraId="565A06B3">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0.2084</w:t>
                  </w:r>
                </w:p>
              </w:tc>
            </w:tr>
            <w:tr w14:paraId="1FCC16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3E318227">
                  <w:pPr>
                    <w:pageBreakBefore w:val="0"/>
                    <w:kinsoku/>
                    <w:wordWrap/>
                    <w:topLinePunct w:val="0"/>
                    <w:bidi w:val="0"/>
                    <w:spacing w:line="280" w:lineRule="exact"/>
                    <w:contextualSpacing/>
                    <w:jc w:val="center"/>
                    <w:rPr>
                      <w:spacing w:val="-6"/>
                      <w:szCs w:val="21"/>
                    </w:rPr>
                  </w:pPr>
                  <w:r>
                    <w:rPr>
                      <w:rFonts w:hint="eastAsia"/>
                      <w:spacing w:val="-6"/>
                      <w:szCs w:val="21"/>
                    </w:rPr>
                    <w:t>5</w:t>
                  </w:r>
                </w:p>
              </w:tc>
              <w:tc>
                <w:tcPr>
                  <w:tcW w:w="0" w:type="auto"/>
                  <w:noWrap w:val="0"/>
                  <w:vAlign w:val="center"/>
                </w:tcPr>
                <w:p w14:paraId="64E7B578">
                  <w:pPr>
                    <w:pageBreakBefore w:val="0"/>
                    <w:kinsoku/>
                    <w:wordWrap/>
                    <w:topLinePunct w:val="0"/>
                    <w:bidi w:val="0"/>
                    <w:spacing w:line="280" w:lineRule="exact"/>
                    <w:contextualSpacing/>
                    <w:jc w:val="center"/>
                    <w:rPr>
                      <w:spacing w:val="-6"/>
                      <w:szCs w:val="21"/>
                    </w:rPr>
                  </w:pPr>
                  <w:r>
                    <w:rPr>
                      <w:spacing w:val="-6"/>
                      <w:szCs w:val="21"/>
                    </w:rPr>
                    <w:t>氯化物</w:t>
                  </w:r>
                </w:p>
              </w:tc>
              <w:tc>
                <w:tcPr>
                  <w:tcW w:w="0" w:type="auto"/>
                  <w:noWrap w:val="0"/>
                  <w:vAlign w:val="center"/>
                </w:tcPr>
                <w:p w14:paraId="3B4422F7">
                  <w:pPr>
                    <w:pageBreakBefore w:val="0"/>
                    <w:kinsoku/>
                    <w:wordWrap/>
                    <w:topLinePunct w:val="0"/>
                    <w:bidi w:val="0"/>
                    <w:spacing w:line="280" w:lineRule="exact"/>
                    <w:contextualSpacing/>
                    <w:jc w:val="center"/>
                    <w:rPr>
                      <w:spacing w:val="-6"/>
                      <w:szCs w:val="21"/>
                    </w:rPr>
                  </w:pPr>
                  <w:r>
                    <w:rPr>
                      <w:spacing w:val="-6"/>
                      <w:szCs w:val="21"/>
                    </w:rPr>
                    <w:t>≤250</w:t>
                  </w:r>
                </w:p>
              </w:tc>
              <w:tc>
                <w:tcPr>
                  <w:tcW w:w="0" w:type="auto"/>
                  <w:noWrap/>
                  <w:vAlign w:val="center"/>
                </w:tcPr>
                <w:p w14:paraId="0D41CEBE">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50.8</w:t>
                  </w:r>
                </w:p>
              </w:tc>
              <w:tc>
                <w:tcPr>
                  <w:tcW w:w="0" w:type="auto"/>
                  <w:noWrap/>
                  <w:vAlign w:val="center"/>
                </w:tcPr>
                <w:p w14:paraId="39DA2857">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0.2032</w:t>
                  </w:r>
                </w:p>
              </w:tc>
              <w:tc>
                <w:tcPr>
                  <w:tcW w:w="0" w:type="auto"/>
                  <w:noWrap/>
                  <w:vAlign w:val="center"/>
                </w:tcPr>
                <w:p w14:paraId="6C0FAFA0">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50.3</w:t>
                  </w:r>
                </w:p>
              </w:tc>
              <w:tc>
                <w:tcPr>
                  <w:tcW w:w="0" w:type="auto"/>
                  <w:noWrap/>
                  <w:vAlign w:val="center"/>
                </w:tcPr>
                <w:p w14:paraId="0A33E7D9">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0.2012</w:t>
                  </w:r>
                </w:p>
              </w:tc>
              <w:tc>
                <w:tcPr>
                  <w:tcW w:w="0" w:type="auto"/>
                  <w:noWrap/>
                  <w:vAlign w:val="center"/>
                </w:tcPr>
                <w:p w14:paraId="55B9FE30">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44.9</w:t>
                  </w:r>
                </w:p>
              </w:tc>
              <w:tc>
                <w:tcPr>
                  <w:tcW w:w="0" w:type="auto"/>
                  <w:noWrap/>
                  <w:vAlign w:val="center"/>
                </w:tcPr>
                <w:p w14:paraId="6E9D702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0.1796</w:t>
                  </w:r>
                </w:p>
              </w:tc>
            </w:tr>
            <w:tr w14:paraId="25C88D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1D68AD34">
                  <w:pPr>
                    <w:pageBreakBefore w:val="0"/>
                    <w:kinsoku/>
                    <w:wordWrap/>
                    <w:topLinePunct w:val="0"/>
                    <w:bidi w:val="0"/>
                    <w:spacing w:line="280" w:lineRule="exact"/>
                    <w:contextualSpacing/>
                    <w:jc w:val="center"/>
                    <w:rPr>
                      <w:spacing w:val="-6"/>
                      <w:szCs w:val="21"/>
                    </w:rPr>
                  </w:pPr>
                  <w:r>
                    <w:rPr>
                      <w:rFonts w:hint="eastAsia"/>
                      <w:spacing w:val="-6"/>
                      <w:szCs w:val="21"/>
                    </w:rPr>
                    <w:t>6</w:t>
                  </w:r>
                </w:p>
              </w:tc>
              <w:tc>
                <w:tcPr>
                  <w:tcW w:w="0" w:type="auto"/>
                  <w:noWrap w:val="0"/>
                  <w:vAlign w:val="center"/>
                </w:tcPr>
                <w:p w14:paraId="0913B47C">
                  <w:pPr>
                    <w:pageBreakBefore w:val="0"/>
                    <w:kinsoku/>
                    <w:wordWrap/>
                    <w:topLinePunct w:val="0"/>
                    <w:bidi w:val="0"/>
                    <w:spacing w:line="280" w:lineRule="exact"/>
                    <w:contextualSpacing/>
                    <w:jc w:val="center"/>
                    <w:rPr>
                      <w:spacing w:val="-6"/>
                      <w:szCs w:val="21"/>
                    </w:rPr>
                  </w:pPr>
                  <w:r>
                    <w:rPr>
                      <w:spacing w:val="-6"/>
                      <w:szCs w:val="21"/>
                    </w:rPr>
                    <w:t>铁</w:t>
                  </w:r>
                </w:p>
              </w:tc>
              <w:tc>
                <w:tcPr>
                  <w:tcW w:w="0" w:type="auto"/>
                  <w:noWrap w:val="0"/>
                  <w:vAlign w:val="center"/>
                </w:tcPr>
                <w:p w14:paraId="30983048">
                  <w:pPr>
                    <w:pageBreakBefore w:val="0"/>
                    <w:kinsoku/>
                    <w:wordWrap/>
                    <w:topLinePunct w:val="0"/>
                    <w:bidi w:val="0"/>
                    <w:spacing w:line="280" w:lineRule="exact"/>
                    <w:contextualSpacing/>
                    <w:jc w:val="center"/>
                    <w:rPr>
                      <w:spacing w:val="-6"/>
                      <w:szCs w:val="21"/>
                    </w:rPr>
                  </w:pPr>
                  <w:r>
                    <w:rPr>
                      <w:spacing w:val="-6"/>
                      <w:szCs w:val="21"/>
                    </w:rPr>
                    <w:t>≤0.3</w:t>
                  </w:r>
                </w:p>
              </w:tc>
              <w:tc>
                <w:tcPr>
                  <w:tcW w:w="0" w:type="auto"/>
                  <w:noWrap/>
                  <w:vAlign w:val="center"/>
                </w:tcPr>
                <w:p w14:paraId="657CC0F7">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&lt;0.03</w:t>
                  </w:r>
                </w:p>
              </w:tc>
              <w:tc>
                <w:tcPr>
                  <w:tcW w:w="0" w:type="auto"/>
                  <w:noWrap/>
                  <w:vAlign w:val="center"/>
                </w:tcPr>
                <w:p w14:paraId="17B7331D">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w:t>
                  </w:r>
                </w:p>
              </w:tc>
              <w:tc>
                <w:tcPr>
                  <w:tcW w:w="0" w:type="auto"/>
                  <w:noWrap/>
                  <w:vAlign w:val="center"/>
                </w:tcPr>
                <w:p w14:paraId="5D67682A">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&lt;0.03</w:t>
                  </w:r>
                </w:p>
              </w:tc>
              <w:tc>
                <w:tcPr>
                  <w:tcW w:w="0" w:type="auto"/>
                  <w:noWrap/>
                  <w:vAlign w:val="center"/>
                </w:tcPr>
                <w:p w14:paraId="5D042DB6">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w:t>
                  </w:r>
                </w:p>
              </w:tc>
              <w:tc>
                <w:tcPr>
                  <w:tcW w:w="0" w:type="auto"/>
                  <w:noWrap/>
                  <w:vAlign w:val="center"/>
                </w:tcPr>
                <w:p w14:paraId="1458DE04">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&lt;0.03</w:t>
                  </w:r>
                </w:p>
              </w:tc>
              <w:tc>
                <w:tcPr>
                  <w:tcW w:w="0" w:type="auto"/>
                  <w:noWrap/>
                  <w:vAlign w:val="center"/>
                </w:tcPr>
                <w:p w14:paraId="2637AF0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w:t>
                  </w:r>
                </w:p>
              </w:tc>
            </w:tr>
            <w:tr w14:paraId="040C2B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3C23A1B4">
                  <w:pPr>
                    <w:pageBreakBefore w:val="0"/>
                    <w:kinsoku/>
                    <w:wordWrap/>
                    <w:topLinePunct w:val="0"/>
                    <w:bidi w:val="0"/>
                    <w:spacing w:line="280" w:lineRule="exact"/>
                    <w:contextualSpacing/>
                    <w:jc w:val="center"/>
                    <w:rPr>
                      <w:spacing w:val="-6"/>
                      <w:szCs w:val="21"/>
                    </w:rPr>
                  </w:pPr>
                  <w:r>
                    <w:rPr>
                      <w:rFonts w:hint="eastAsia"/>
                      <w:spacing w:val="-6"/>
                      <w:szCs w:val="21"/>
                    </w:rPr>
                    <w:t>7</w:t>
                  </w:r>
                </w:p>
              </w:tc>
              <w:tc>
                <w:tcPr>
                  <w:tcW w:w="0" w:type="auto"/>
                  <w:noWrap w:val="0"/>
                  <w:vAlign w:val="center"/>
                </w:tcPr>
                <w:p w14:paraId="4C4352BF">
                  <w:pPr>
                    <w:pageBreakBefore w:val="0"/>
                    <w:kinsoku/>
                    <w:wordWrap/>
                    <w:topLinePunct w:val="0"/>
                    <w:bidi w:val="0"/>
                    <w:spacing w:line="280" w:lineRule="exact"/>
                    <w:contextualSpacing/>
                    <w:jc w:val="center"/>
                    <w:rPr>
                      <w:spacing w:val="-6"/>
                      <w:szCs w:val="21"/>
                    </w:rPr>
                  </w:pPr>
                  <w:r>
                    <w:rPr>
                      <w:spacing w:val="-6"/>
                      <w:szCs w:val="21"/>
                    </w:rPr>
                    <w:t>锰</w:t>
                  </w:r>
                </w:p>
              </w:tc>
              <w:tc>
                <w:tcPr>
                  <w:tcW w:w="0" w:type="auto"/>
                  <w:noWrap w:val="0"/>
                  <w:vAlign w:val="center"/>
                </w:tcPr>
                <w:p w14:paraId="5943A79F">
                  <w:pPr>
                    <w:pageBreakBefore w:val="0"/>
                    <w:kinsoku/>
                    <w:wordWrap/>
                    <w:topLinePunct w:val="0"/>
                    <w:bidi w:val="0"/>
                    <w:spacing w:line="280" w:lineRule="exact"/>
                    <w:contextualSpacing/>
                    <w:jc w:val="center"/>
                    <w:rPr>
                      <w:spacing w:val="-6"/>
                      <w:szCs w:val="21"/>
                    </w:rPr>
                  </w:pPr>
                  <w:r>
                    <w:rPr>
                      <w:spacing w:val="-6"/>
                      <w:szCs w:val="21"/>
                    </w:rPr>
                    <w:t>≤0.10</w:t>
                  </w:r>
                </w:p>
              </w:tc>
              <w:tc>
                <w:tcPr>
                  <w:tcW w:w="0" w:type="auto"/>
                  <w:noWrap/>
                  <w:vAlign w:val="center"/>
                </w:tcPr>
                <w:p w14:paraId="2388403F">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&lt;0.01</w:t>
                  </w:r>
                </w:p>
              </w:tc>
              <w:tc>
                <w:tcPr>
                  <w:tcW w:w="0" w:type="auto"/>
                  <w:noWrap/>
                  <w:vAlign w:val="center"/>
                </w:tcPr>
                <w:p w14:paraId="31B932DC">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w:t>
                  </w:r>
                </w:p>
              </w:tc>
              <w:tc>
                <w:tcPr>
                  <w:tcW w:w="0" w:type="auto"/>
                  <w:noWrap/>
                  <w:vAlign w:val="center"/>
                </w:tcPr>
                <w:p w14:paraId="23055211">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&lt;0.01</w:t>
                  </w:r>
                </w:p>
              </w:tc>
              <w:tc>
                <w:tcPr>
                  <w:tcW w:w="0" w:type="auto"/>
                  <w:noWrap/>
                  <w:vAlign w:val="center"/>
                </w:tcPr>
                <w:p w14:paraId="3659B0E7">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w:t>
                  </w:r>
                </w:p>
              </w:tc>
              <w:tc>
                <w:tcPr>
                  <w:tcW w:w="0" w:type="auto"/>
                  <w:noWrap/>
                  <w:vAlign w:val="center"/>
                </w:tcPr>
                <w:p w14:paraId="381FD457">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&lt;0.01</w:t>
                  </w:r>
                </w:p>
              </w:tc>
              <w:tc>
                <w:tcPr>
                  <w:tcW w:w="0" w:type="auto"/>
                  <w:noWrap/>
                  <w:vAlign w:val="center"/>
                </w:tcPr>
                <w:p w14:paraId="24EBA11B">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w:t>
                  </w:r>
                </w:p>
              </w:tc>
            </w:tr>
            <w:tr w14:paraId="02ADE1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5E472903">
                  <w:pPr>
                    <w:pageBreakBefore w:val="0"/>
                    <w:kinsoku/>
                    <w:wordWrap/>
                    <w:topLinePunct w:val="0"/>
                    <w:bidi w:val="0"/>
                    <w:spacing w:line="280" w:lineRule="exact"/>
                    <w:contextualSpacing/>
                    <w:jc w:val="center"/>
                    <w:rPr>
                      <w:spacing w:val="-6"/>
                      <w:szCs w:val="21"/>
                    </w:rPr>
                  </w:pPr>
                  <w:r>
                    <w:rPr>
                      <w:rFonts w:hint="eastAsia"/>
                      <w:spacing w:val="-6"/>
                      <w:szCs w:val="21"/>
                    </w:rPr>
                    <w:t>8</w:t>
                  </w:r>
                </w:p>
              </w:tc>
              <w:tc>
                <w:tcPr>
                  <w:tcW w:w="0" w:type="auto"/>
                  <w:noWrap w:val="0"/>
                  <w:vAlign w:val="center"/>
                </w:tcPr>
                <w:p w14:paraId="74214187">
                  <w:pPr>
                    <w:pageBreakBefore w:val="0"/>
                    <w:kinsoku/>
                    <w:wordWrap/>
                    <w:topLinePunct w:val="0"/>
                    <w:bidi w:val="0"/>
                    <w:spacing w:line="280" w:lineRule="exact"/>
                    <w:contextualSpacing/>
                    <w:jc w:val="center"/>
                    <w:rPr>
                      <w:spacing w:val="-6"/>
                      <w:szCs w:val="21"/>
                    </w:rPr>
                  </w:pPr>
                  <w:r>
                    <w:rPr>
                      <w:spacing w:val="-6"/>
                      <w:szCs w:val="21"/>
                    </w:rPr>
                    <w:t>铜</w:t>
                  </w:r>
                </w:p>
              </w:tc>
              <w:tc>
                <w:tcPr>
                  <w:tcW w:w="0" w:type="auto"/>
                  <w:noWrap w:val="0"/>
                  <w:vAlign w:val="center"/>
                </w:tcPr>
                <w:p w14:paraId="3CE2EDAE">
                  <w:pPr>
                    <w:pageBreakBefore w:val="0"/>
                    <w:kinsoku/>
                    <w:wordWrap/>
                    <w:topLinePunct w:val="0"/>
                    <w:bidi w:val="0"/>
                    <w:spacing w:line="280" w:lineRule="exact"/>
                    <w:contextualSpacing/>
                    <w:jc w:val="center"/>
                    <w:rPr>
                      <w:spacing w:val="-6"/>
                      <w:szCs w:val="21"/>
                    </w:rPr>
                  </w:pPr>
                  <w:r>
                    <w:rPr>
                      <w:spacing w:val="-6"/>
                      <w:szCs w:val="21"/>
                    </w:rPr>
                    <w:t>≤1.00</w:t>
                  </w:r>
                </w:p>
              </w:tc>
              <w:tc>
                <w:tcPr>
                  <w:tcW w:w="0" w:type="auto"/>
                  <w:noWrap/>
                  <w:vAlign w:val="center"/>
                </w:tcPr>
                <w:p w14:paraId="5977C59B">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&lt;0.05</w:t>
                  </w:r>
                </w:p>
              </w:tc>
              <w:tc>
                <w:tcPr>
                  <w:tcW w:w="0" w:type="auto"/>
                  <w:noWrap/>
                  <w:vAlign w:val="center"/>
                </w:tcPr>
                <w:p w14:paraId="2516A1D5">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0.05</w:t>
                  </w:r>
                </w:p>
              </w:tc>
              <w:tc>
                <w:tcPr>
                  <w:tcW w:w="0" w:type="auto"/>
                  <w:noWrap/>
                  <w:vAlign w:val="center"/>
                </w:tcPr>
                <w:p w14:paraId="0335BDFC">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&lt;0.05</w:t>
                  </w:r>
                </w:p>
              </w:tc>
              <w:tc>
                <w:tcPr>
                  <w:tcW w:w="0" w:type="auto"/>
                  <w:noWrap/>
                  <w:vAlign w:val="center"/>
                </w:tcPr>
                <w:p w14:paraId="23456A3E">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0.05</w:t>
                  </w:r>
                </w:p>
              </w:tc>
              <w:tc>
                <w:tcPr>
                  <w:tcW w:w="0" w:type="auto"/>
                  <w:noWrap/>
                  <w:vAlign w:val="center"/>
                </w:tcPr>
                <w:p w14:paraId="0523D7FC">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&lt;0.05</w:t>
                  </w:r>
                </w:p>
              </w:tc>
              <w:tc>
                <w:tcPr>
                  <w:tcW w:w="0" w:type="auto"/>
                  <w:noWrap/>
                  <w:vAlign w:val="center"/>
                </w:tcPr>
                <w:p w14:paraId="69515C73">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0.05</w:t>
                  </w:r>
                </w:p>
              </w:tc>
            </w:tr>
            <w:tr w14:paraId="48639E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357E123D">
                  <w:pPr>
                    <w:pageBreakBefore w:val="0"/>
                    <w:kinsoku/>
                    <w:wordWrap/>
                    <w:topLinePunct w:val="0"/>
                    <w:bidi w:val="0"/>
                    <w:spacing w:line="280" w:lineRule="exact"/>
                    <w:contextualSpacing/>
                    <w:jc w:val="center"/>
                    <w:rPr>
                      <w:spacing w:val="-6"/>
                      <w:szCs w:val="21"/>
                    </w:rPr>
                  </w:pPr>
                  <w:r>
                    <w:rPr>
                      <w:rFonts w:hint="eastAsia"/>
                      <w:spacing w:val="-6"/>
                      <w:szCs w:val="21"/>
                    </w:rPr>
                    <w:t>9</w:t>
                  </w:r>
                </w:p>
              </w:tc>
              <w:tc>
                <w:tcPr>
                  <w:tcW w:w="0" w:type="auto"/>
                  <w:noWrap w:val="0"/>
                  <w:vAlign w:val="center"/>
                </w:tcPr>
                <w:p w14:paraId="3E2D6DF1">
                  <w:pPr>
                    <w:pageBreakBefore w:val="0"/>
                    <w:kinsoku/>
                    <w:wordWrap/>
                    <w:topLinePunct w:val="0"/>
                    <w:bidi w:val="0"/>
                    <w:spacing w:line="280" w:lineRule="exact"/>
                    <w:contextualSpacing/>
                    <w:jc w:val="center"/>
                    <w:rPr>
                      <w:spacing w:val="-6"/>
                      <w:szCs w:val="21"/>
                    </w:rPr>
                  </w:pPr>
                  <w:r>
                    <w:rPr>
                      <w:spacing w:val="-6"/>
                      <w:szCs w:val="21"/>
                    </w:rPr>
                    <w:t>锌</w:t>
                  </w:r>
                </w:p>
              </w:tc>
              <w:tc>
                <w:tcPr>
                  <w:tcW w:w="0" w:type="auto"/>
                  <w:noWrap w:val="0"/>
                  <w:vAlign w:val="center"/>
                </w:tcPr>
                <w:p w14:paraId="6C8B7DAB">
                  <w:pPr>
                    <w:pageBreakBefore w:val="0"/>
                    <w:kinsoku/>
                    <w:wordWrap/>
                    <w:topLinePunct w:val="0"/>
                    <w:bidi w:val="0"/>
                    <w:spacing w:line="280" w:lineRule="exact"/>
                    <w:contextualSpacing/>
                    <w:jc w:val="center"/>
                    <w:rPr>
                      <w:spacing w:val="-6"/>
                      <w:szCs w:val="21"/>
                    </w:rPr>
                  </w:pPr>
                  <w:r>
                    <w:rPr>
                      <w:spacing w:val="-6"/>
                      <w:szCs w:val="21"/>
                    </w:rPr>
                    <w:t>≤1.00</w:t>
                  </w:r>
                </w:p>
              </w:tc>
              <w:tc>
                <w:tcPr>
                  <w:tcW w:w="0" w:type="auto"/>
                  <w:noWrap/>
                  <w:vAlign w:val="center"/>
                </w:tcPr>
                <w:p w14:paraId="0D13C906">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&lt;0.05</w:t>
                  </w:r>
                </w:p>
              </w:tc>
              <w:tc>
                <w:tcPr>
                  <w:tcW w:w="0" w:type="auto"/>
                  <w:noWrap/>
                  <w:vAlign w:val="center"/>
                </w:tcPr>
                <w:p w14:paraId="0793B6D7">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0.05</w:t>
                  </w:r>
                </w:p>
              </w:tc>
              <w:tc>
                <w:tcPr>
                  <w:tcW w:w="0" w:type="auto"/>
                  <w:noWrap/>
                  <w:vAlign w:val="center"/>
                </w:tcPr>
                <w:p w14:paraId="21F1FE29">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&lt;0.05</w:t>
                  </w:r>
                </w:p>
              </w:tc>
              <w:tc>
                <w:tcPr>
                  <w:tcW w:w="0" w:type="auto"/>
                  <w:noWrap/>
                  <w:vAlign w:val="center"/>
                </w:tcPr>
                <w:p w14:paraId="519083CA">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0.05</w:t>
                  </w:r>
                </w:p>
              </w:tc>
              <w:tc>
                <w:tcPr>
                  <w:tcW w:w="0" w:type="auto"/>
                  <w:noWrap/>
                  <w:vAlign w:val="center"/>
                </w:tcPr>
                <w:p w14:paraId="0F02BFCD">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&lt;0.05</w:t>
                  </w:r>
                </w:p>
              </w:tc>
              <w:tc>
                <w:tcPr>
                  <w:tcW w:w="0" w:type="auto"/>
                  <w:noWrap/>
                  <w:vAlign w:val="center"/>
                </w:tcPr>
                <w:p w14:paraId="5B2340B4">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0.05</w:t>
                  </w:r>
                </w:p>
              </w:tc>
            </w:tr>
            <w:tr w14:paraId="5EC666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42A8652F">
                  <w:pPr>
                    <w:pageBreakBefore w:val="0"/>
                    <w:kinsoku/>
                    <w:wordWrap/>
                    <w:topLinePunct w:val="0"/>
                    <w:bidi w:val="0"/>
                    <w:spacing w:line="280" w:lineRule="exact"/>
                    <w:contextualSpacing/>
                    <w:jc w:val="center"/>
                    <w:rPr>
                      <w:spacing w:val="-6"/>
                      <w:szCs w:val="21"/>
                    </w:rPr>
                  </w:pPr>
                  <w:r>
                    <w:rPr>
                      <w:rFonts w:hint="eastAsia"/>
                      <w:spacing w:val="-6"/>
                      <w:szCs w:val="21"/>
                    </w:rPr>
                    <w:t>10</w:t>
                  </w:r>
                </w:p>
              </w:tc>
              <w:tc>
                <w:tcPr>
                  <w:tcW w:w="0" w:type="auto"/>
                  <w:noWrap w:val="0"/>
                  <w:vAlign w:val="center"/>
                </w:tcPr>
                <w:p w14:paraId="3D2A60EB">
                  <w:pPr>
                    <w:pageBreakBefore w:val="0"/>
                    <w:kinsoku/>
                    <w:wordWrap/>
                    <w:topLinePunct w:val="0"/>
                    <w:bidi w:val="0"/>
                    <w:spacing w:line="280" w:lineRule="exact"/>
                    <w:contextualSpacing/>
                    <w:jc w:val="center"/>
                    <w:rPr>
                      <w:spacing w:val="-6"/>
                      <w:szCs w:val="21"/>
                    </w:rPr>
                  </w:pPr>
                  <w:r>
                    <w:rPr>
                      <w:spacing w:val="-6"/>
                      <w:szCs w:val="21"/>
                    </w:rPr>
                    <w:t>铝</w:t>
                  </w:r>
                </w:p>
              </w:tc>
              <w:tc>
                <w:tcPr>
                  <w:tcW w:w="0" w:type="auto"/>
                  <w:noWrap w:val="0"/>
                  <w:vAlign w:val="center"/>
                </w:tcPr>
                <w:p w14:paraId="47393BDA">
                  <w:pPr>
                    <w:pageBreakBefore w:val="0"/>
                    <w:kinsoku/>
                    <w:wordWrap/>
                    <w:topLinePunct w:val="0"/>
                    <w:bidi w:val="0"/>
                    <w:spacing w:line="280" w:lineRule="exact"/>
                    <w:contextualSpacing/>
                    <w:jc w:val="center"/>
                    <w:rPr>
                      <w:spacing w:val="-6"/>
                      <w:szCs w:val="21"/>
                    </w:rPr>
                  </w:pPr>
                  <w:r>
                    <w:rPr>
                      <w:spacing w:val="-6"/>
                      <w:szCs w:val="21"/>
                    </w:rPr>
                    <w:t>≤0.20</w:t>
                  </w:r>
                </w:p>
              </w:tc>
              <w:tc>
                <w:tcPr>
                  <w:tcW w:w="0" w:type="auto"/>
                  <w:noWrap/>
                  <w:vAlign w:val="center"/>
                </w:tcPr>
                <w:p w14:paraId="4DDC8230">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&lt;0.02</w:t>
                  </w:r>
                </w:p>
              </w:tc>
              <w:tc>
                <w:tcPr>
                  <w:tcW w:w="0" w:type="auto"/>
                  <w:noWrap/>
                  <w:vAlign w:val="center"/>
                </w:tcPr>
                <w:p w14:paraId="4E74BC47">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w:t>
                  </w:r>
                </w:p>
              </w:tc>
              <w:tc>
                <w:tcPr>
                  <w:tcW w:w="0" w:type="auto"/>
                  <w:noWrap/>
                  <w:vAlign w:val="center"/>
                </w:tcPr>
                <w:p w14:paraId="4B4BF595">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&lt;0.02</w:t>
                  </w:r>
                </w:p>
              </w:tc>
              <w:tc>
                <w:tcPr>
                  <w:tcW w:w="0" w:type="auto"/>
                  <w:noWrap/>
                  <w:vAlign w:val="center"/>
                </w:tcPr>
                <w:p w14:paraId="587A402A">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w:t>
                  </w:r>
                </w:p>
              </w:tc>
              <w:tc>
                <w:tcPr>
                  <w:tcW w:w="0" w:type="auto"/>
                  <w:noWrap/>
                  <w:vAlign w:val="center"/>
                </w:tcPr>
                <w:p w14:paraId="2C610EAC">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&lt;0.02</w:t>
                  </w:r>
                </w:p>
              </w:tc>
              <w:tc>
                <w:tcPr>
                  <w:tcW w:w="0" w:type="auto"/>
                  <w:noWrap/>
                  <w:vAlign w:val="center"/>
                </w:tcPr>
                <w:p w14:paraId="201C95C0">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w:t>
                  </w:r>
                </w:p>
              </w:tc>
            </w:tr>
            <w:tr w14:paraId="520469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67F14844">
                  <w:pPr>
                    <w:pageBreakBefore w:val="0"/>
                    <w:kinsoku/>
                    <w:wordWrap/>
                    <w:topLinePunct w:val="0"/>
                    <w:bidi w:val="0"/>
                    <w:spacing w:line="280" w:lineRule="exact"/>
                    <w:contextualSpacing/>
                    <w:jc w:val="center"/>
                    <w:rPr>
                      <w:spacing w:val="-6"/>
                      <w:szCs w:val="21"/>
                    </w:rPr>
                  </w:pPr>
                  <w:r>
                    <w:rPr>
                      <w:rFonts w:hint="eastAsia"/>
                      <w:spacing w:val="-6"/>
                      <w:szCs w:val="21"/>
                    </w:rPr>
                    <w:t>11</w:t>
                  </w:r>
                </w:p>
              </w:tc>
              <w:tc>
                <w:tcPr>
                  <w:tcW w:w="0" w:type="auto"/>
                  <w:noWrap w:val="0"/>
                  <w:vAlign w:val="center"/>
                </w:tcPr>
                <w:p w14:paraId="35BDA1A8">
                  <w:pPr>
                    <w:pageBreakBefore w:val="0"/>
                    <w:kinsoku/>
                    <w:wordWrap/>
                    <w:topLinePunct w:val="0"/>
                    <w:bidi w:val="0"/>
                    <w:spacing w:line="280" w:lineRule="exact"/>
                    <w:contextualSpacing/>
                    <w:jc w:val="center"/>
                    <w:rPr>
                      <w:spacing w:val="-6"/>
                      <w:szCs w:val="21"/>
                    </w:rPr>
                  </w:pPr>
                  <w:r>
                    <w:rPr>
                      <w:spacing w:val="-6"/>
                      <w:szCs w:val="21"/>
                    </w:rPr>
                    <w:t>挥发性酚类</w:t>
                  </w:r>
                  <w:r>
                    <w:rPr>
                      <w:rFonts w:hint="eastAsia"/>
                      <w:spacing w:val="-6"/>
                      <w:szCs w:val="21"/>
                      <w:lang w:val="en-US" w:eastAsia="zh-CN"/>
                    </w:rPr>
                    <w:t>(</w:t>
                  </w:r>
                  <w:r>
                    <w:rPr>
                      <w:spacing w:val="-6"/>
                      <w:szCs w:val="21"/>
                    </w:rPr>
                    <w:t>以苯酚计</w:t>
                  </w:r>
                  <w:r>
                    <w:rPr>
                      <w:rFonts w:hint="eastAsia"/>
                      <w:spacing w:val="-6"/>
                      <w:szCs w:val="21"/>
                    </w:rPr>
                    <w:t>)</w:t>
                  </w:r>
                </w:p>
              </w:tc>
              <w:tc>
                <w:tcPr>
                  <w:tcW w:w="0" w:type="auto"/>
                  <w:noWrap w:val="0"/>
                  <w:vAlign w:val="center"/>
                </w:tcPr>
                <w:p w14:paraId="70B17334">
                  <w:pPr>
                    <w:pageBreakBefore w:val="0"/>
                    <w:kinsoku/>
                    <w:wordWrap/>
                    <w:topLinePunct w:val="0"/>
                    <w:bidi w:val="0"/>
                    <w:spacing w:line="280" w:lineRule="exact"/>
                    <w:contextualSpacing/>
                    <w:jc w:val="center"/>
                    <w:rPr>
                      <w:spacing w:val="-6"/>
                      <w:szCs w:val="21"/>
                    </w:rPr>
                  </w:pPr>
                  <w:r>
                    <w:rPr>
                      <w:spacing w:val="-6"/>
                      <w:szCs w:val="21"/>
                    </w:rPr>
                    <w:t>≤0.002</w:t>
                  </w:r>
                </w:p>
              </w:tc>
              <w:tc>
                <w:tcPr>
                  <w:tcW w:w="0" w:type="auto"/>
                  <w:noWrap/>
                  <w:vAlign w:val="center"/>
                </w:tcPr>
                <w:p w14:paraId="347DC479">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&lt;0.0003</w:t>
                  </w:r>
                </w:p>
              </w:tc>
              <w:tc>
                <w:tcPr>
                  <w:tcW w:w="0" w:type="auto"/>
                  <w:noWrap/>
                  <w:vAlign w:val="center"/>
                </w:tcPr>
                <w:p w14:paraId="031D2F61">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0.15</w:t>
                  </w:r>
                </w:p>
              </w:tc>
              <w:tc>
                <w:tcPr>
                  <w:tcW w:w="0" w:type="auto"/>
                  <w:noWrap/>
                  <w:vAlign w:val="center"/>
                </w:tcPr>
                <w:p w14:paraId="61ECFFA4">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&lt;0.0003</w:t>
                  </w:r>
                </w:p>
              </w:tc>
              <w:tc>
                <w:tcPr>
                  <w:tcW w:w="0" w:type="auto"/>
                  <w:noWrap/>
                  <w:vAlign w:val="center"/>
                </w:tcPr>
                <w:p w14:paraId="26684216">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0.15</w:t>
                  </w:r>
                </w:p>
              </w:tc>
              <w:tc>
                <w:tcPr>
                  <w:tcW w:w="0" w:type="auto"/>
                  <w:noWrap/>
                  <w:vAlign w:val="center"/>
                </w:tcPr>
                <w:p w14:paraId="6A32EBE2">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&lt;0.0003</w:t>
                  </w:r>
                </w:p>
              </w:tc>
              <w:tc>
                <w:tcPr>
                  <w:tcW w:w="0" w:type="auto"/>
                  <w:noWrap/>
                  <w:vAlign w:val="center"/>
                </w:tcPr>
                <w:p w14:paraId="743314E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0.15</w:t>
                  </w:r>
                </w:p>
              </w:tc>
            </w:tr>
            <w:tr w14:paraId="63DC53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6814D915">
                  <w:pPr>
                    <w:pageBreakBefore w:val="0"/>
                    <w:kinsoku/>
                    <w:wordWrap/>
                    <w:topLinePunct w:val="0"/>
                    <w:bidi w:val="0"/>
                    <w:spacing w:line="280" w:lineRule="exact"/>
                    <w:contextualSpacing/>
                    <w:jc w:val="center"/>
                    <w:rPr>
                      <w:spacing w:val="-6"/>
                      <w:szCs w:val="21"/>
                    </w:rPr>
                  </w:pPr>
                  <w:r>
                    <w:rPr>
                      <w:rFonts w:hint="eastAsia"/>
                      <w:spacing w:val="-6"/>
                      <w:szCs w:val="21"/>
                    </w:rPr>
                    <w:t>12</w:t>
                  </w:r>
                </w:p>
              </w:tc>
              <w:tc>
                <w:tcPr>
                  <w:tcW w:w="0" w:type="auto"/>
                  <w:noWrap w:val="0"/>
                  <w:vAlign w:val="center"/>
                </w:tcPr>
                <w:p w14:paraId="2EF387C4">
                  <w:pPr>
                    <w:pageBreakBefore w:val="0"/>
                    <w:kinsoku/>
                    <w:wordWrap/>
                    <w:topLinePunct w:val="0"/>
                    <w:bidi w:val="0"/>
                    <w:spacing w:line="280" w:lineRule="exact"/>
                    <w:contextualSpacing/>
                    <w:jc w:val="center"/>
                    <w:rPr>
                      <w:spacing w:val="-6"/>
                      <w:szCs w:val="21"/>
                    </w:rPr>
                  </w:pPr>
                  <w:r>
                    <w:rPr>
                      <w:spacing w:val="-6"/>
                      <w:szCs w:val="21"/>
                    </w:rPr>
                    <w:t>阴离子表面活性剂</w:t>
                  </w:r>
                </w:p>
              </w:tc>
              <w:tc>
                <w:tcPr>
                  <w:tcW w:w="0" w:type="auto"/>
                  <w:noWrap w:val="0"/>
                  <w:vAlign w:val="center"/>
                </w:tcPr>
                <w:p w14:paraId="6E5323BE">
                  <w:pPr>
                    <w:pageBreakBefore w:val="0"/>
                    <w:kinsoku/>
                    <w:wordWrap/>
                    <w:topLinePunct w:val="0"/>
                    <w:bidi w:val="0"/>
                    <w:spacing w:line="280" w:lineRule="exact"/>
                    <w:contextualSpacing/>
                    <w:jc w:val="center"/>
                    <w:rPr>
                      <w:spacing w:val="-6"/>
                      <w:szCs w:val="21"/>
                    </w:rPr>
                  </w:pPr>
                  <w:r>
                    <w:rPr>
                      <w:spacing w:val="-6"/>
                      <w:szCs w:val="21"/>
                    </w:rPr>
                    <w:t>≤0.3</w:t>
                  </w:r>
                </w:p>
              </w:tc>
              <w:tc>
                <w:tcPr>
                  <w:tcW w:w="0" w:type="auto"/>
                  <w:noWrap/>
                  <w:vAlign w:val="center"/>
                </w:tcPr>
                <w:p w14:paraId="56B1D50D">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&lt;0.05</w:t>
                  </w:r>
                </w:p>
              </w:tc>
              <w:tc>
                <w:tcPr>
                  <w:tcW w:w="0" w:type="auto"/>
                  <w:noWrap/>
                  <w:vAlign w:val="center"/>
                </w:tcPr>
                <w:p w14:paraId="517EC232">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0.1667</w:t>
                  </w:r>
                </w:p>
              </w:tc>
              <w:tc>
                <w:tcPr>
                  <w:tcW w:w="0" w:type="auto"/>
                  <w:noWrap/>
                  <w:vAlign w:val="center"/>
                </w:tcPr>
                <w:p w14:paraId="1690BA5B">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&lt;0.05</w:t>
                  </w:r>
                </w:p>
              </w:tc>
              <w:tc>
                <w:tcPr>
                  <w:tcW w:w="0" w:type="auto"/>
                  <w:noWrap/>
                  <w:vAlign w:val="center"/>
                </w:tcPr>
                <w:p w14:paraId="681DAAA6">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0.1667</w:t>
                  </w:r>
                </w:p>
              </w:tc>
              <w:tc>
                <w:tcPr>
                  <w:tcW w:w="0" w:type="auto"/>
                  <w:noWrap/>
                  <w:vAlign w:val="center"/>
                </w:tcPr>
                <w:p w14:paraId="14AB1269">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&lt;0.05</w:t>
                  </w:r>
                </w:p>
              </w:tc>
              <w:tc>
                <w:tcPr>
                  <w:tcW w:w="0" w:type="auto"/>
                  <w:noWrap/>
                  <w:vAlign w:val="center"/>
                </w:tcPr>
                <w:p w14:paraId="71EA99DA">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0.1667</w:t>
                  </w:r>
                </w:p>
              </w:tc>
            </w:tr>
            <w:tr w14:paraId="2ED50A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64D7993E">
                  <w:pPr>
                    <w:pageBreakBefore w:val="0"/>
                    <w:kinsoku/>
                    <w:wordWrap/>
                    <w:topLinePunct w:val="0"/>
                    <w:bidi w:val="0"/>
                    <w:spacing w:line="280" w:lineRule="exact"/>
                    <w:contextualSpacing/>
                    <w:jc w:val="center"/>
                    <w:rPr>
                      <w:spacing w:val="-6"/>
                      <w:szCs w:val="21"/>
                    </w:rPr>
                  </w:pPr>
                  <w:r>
                    <w:rPr>
                      <w:rFonts w:hint="eastAsia"/>
                      <w:spacing w:val="-6"/>
                      <w:szCs w:val="21"/>
                    </w:rPr>
                    <w:t>13</w:t>
                  </w:r>
                </w:p>
              </w:tc>
              <w:tc>
                <w:tcPr>
                  <w:tcW w:w="0" w:type="auto"/>
                  <w:noWrap w:val="0"/>
                  <w:vAlign w:val="center"/>
                </w:tcPr>
                <w:p w14:paraId="4D8AB200">
                  <w:pPr>
                    <w:pageBreakBefore w:val="0"/>
                    <w:kinsoku/>
                    <w:wordWrap/>
                    <w:topLinePunct w:val="0"/>
                    <w:bidi w:val="0"/>
                    <w:spacing w:line="280" w:lineRule="exact"/>
                    <w:contextualSpacing/>
                    <w:jc w:val="center"/>
                    <w:rPr>
                      <w:spacing w:val="-6"/>
                      <w:szCs w:val="21"/>
                    </w:rPr>
                  </w:pPr>
                  <w:r>
                    <w:rPr>
                      <w:spacing w:val="-6"/>
                      <w:szCs w:val="21"/>
                    </w:rPr>
                    <w:t>耗氧量</w:t>
                  </w:r>
                  <w:r>
                    <w:rPr>
                      <w:rFonts w:hint="eastAsia"/>
                      <w:spacing w:val="-6"/>
                      <w:szCs w:val="21"/>
                      <w:lang w:val="en-US" w:eastAsia="zh-CN"/>
                    </w:rPr>
                    <w:t>(</w:t>
                  </w:r>
                  <w:r>
                    <w:rPr>
                      <w:spacing w:val="-6"/>
                      <w:szCs w:val="21"/>
                    </w:rPr>
                    <w:t>COD</w:t>
                  </w:r>
                  <w:r>
                    <w:rPr>
                      <w:spacing w:val="-6"/>
                      <w:szCs w:val="21"/>
                      <w:vertAlign w:val="subscript"/>
                    </w:rPr>
                    <w:t>Mn</w:t>
                  </w:r>
                  <w:r>
                    <w:rPr>
                      <w:spacing w:val="-6"/>
                      <w:szCs w:val="21"/>
                    </w:rPr>
                    <w:t>法</w:t>
                  </w:r>
                  <w:r>
                    <w:rPr>
                      <w:rFonts w:hint="eastAsia"/>
                      <w:spacing w:val="-6"/>
                      <w:szCs w:val="21"/>
                      <w:lang w:eastAsia="zh-CN"/>
                    </w:rPr>
                    <w:t>，</w:t>
                  </w:r>
                  <w:r>
                    <w:rPr>
                      <w:spacing w:val="-6"/>
                      <w:szCs w:val="21"/>
                    </w:rPr>
                    <w:t>以O</w:t>
                  </w:r>
                  <w:r>
                    <w:rPr>
                      <w:spacing w:val="-6"/>
                      <w:szCs w:val="21"/>
                      <w:vertAlign w:val="subscript"/>
                    </w:rPr>
                    <w:t>2</w:t>
                  </w:r>
                  <w:r>
                    <w:rPr>
                      <w:spacing w:val="-6"/>
                      <w:szCs w:val="21"/>
                    </w:rPr>
                    <w:t>计</w:t>
                  </w:r>
                  <w:r>
                    <w:rPr>
                      <w:rFonts w:hint="eastAsia"/>
                      <w:spacing w:val="-6"/>
                      <w:szCs w:val="21"/>
                    </w:rPr>
                    <w:t>)</w:t>
                  </w:r>
                </w:p>
              </w:tc>
              <w:tc>
                <w:tcPr>
                  <w:tcW w:w="0" w:type="auto"/>
                  <w:noWrap w:val="0"/>
                  <w:vAlign w:val="center"/>
                </w:tcPr>
                <w:p w14:paraId="6089B7BF">
                  <w:pPr>
                    <w:pageBreakBefore w:val="0"/>
                    <w:kinsoku/>
                    <w:wordWrap/>
                    <w:topLinePunct w:val="0"/>
                    <w:bidi w:val="0"/>
                    <w:spacing w:line="280" w:lineRule="exact"/>
                    <w:contextualSpacing/>
                    <w:jc w:val="center"/>
                    <w:rPr>
                      <w:spacing w:val="-6"/>
                      <w:szCs w:val="21"/>
                    </w:rPr>
                  </w:pPr>
                  <w:r>
                    <w:rPr>
                      <w:spacing w:val="-6"/>
                      <w:szCs w:val="21"/>
                    </w:rPr>
                    <w:t>≤3.0</w:t>
                  </w:r>
                </w:p>
              </w:tc>
              <w:tc>
                <w:tcPr>
                  <w:tcW w:w="0" w:type="auto"/>
                  <w:noWrap/>
                  <w:vAlign w:val="center"/>
                </w:tcPr>
                <w:p w14:paraId="6A802E0D">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0.52</w:t>
                  </w:r>
                </w:p>
              </w:tc>
              <w:tc>
                <w:tcPr>
                  <w:tcW w:w="0" w:type="auto"/>
                  <w:noWrap/>
                  <w:vAlign w:val="center"/>
                </w:tcPr>
                <w:p w14:paraId="2A2C8084">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0.1733</w:t>
                  </w:r>
                </w:p>
              </w:tc>
              <w:tc>
                <w:tcPr>
                  <w:tcW w:w="0" w:type="auto"/>
                  <w:noWrap/>
                  <w:vAlign w:val="center"/>
                </w:tcPr>
                <w:p w14:paraId="37651352">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0.59</w:t>
                  </w:r>
                </w:p>
              </w:tc>
              <w:tc>
                <w:tcPr>
                  <w:tcW w:w="0" w:type="auto"/>
                  <w:noWrap/>
                  <w:vAlign w:val="center"/>
                </w:tcPr>
                <w:p w14:paraId="271B62C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0.1967</w:t>
                  </w:r>
                </w:p>
              </w:tc>
              <w:tc>
                <w:tcPr>
                  <w:tcW w:w="0" w:type="auto"/>
                  <w:noWrap/>
                  <w:vAlign w:val="center"/>
                </w:tcPr>
                <w:p w14:paraId="392528A5">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0.49</w:t>
                  </w:r>
                </w:p>
              </w:tc>
              <w:tc>
                <w:tcPr>
                  <w:tcW w:w="0" w:type="auto"/>
                  <w:noWrap/>
                  <w:vAlign w:val="center"/>
                </w:tcPr>
                <w:p w14:paraId="7D8967F6">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0.1633</w:t>
                  </w:r>
                </w:p>
              </w:tc>
            </w:tr>
            <w:tr w14:paraId="14D286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37AE0C6C">
                  <w:pPr>
                    <w:pageBreakBefore w:val="0"/>
                    <w:kinsoku/>
                    <w:wordWrap/>
                    <w:topLinePunct w:val="0"/>
                    <w:bidi w:val="0"/>
                    <w:spacing w:line="280" w:lineRule="exact"/>
                    <w:contextualSpacing/>
                    <w:jc w:val="center"/>
                    <w:rPr>
                      <w:spacing w:val="-6"/>
                      <w:szCs w:val="21"/>
                    </w:rPr>
                  </w:pPr>
                  <w:r>
                    <w:rPr>
                      <w:rFonts w:hint="eastAsia"/>
                      <w:spacing w:val="-6"/>
                      <w:szCs w:val="21"/>
                    </w:rPr>
                    <w:t>14</w:t>
                  </w:r>
                </w:p>
              </w:tc>
              <w:tc>
                <w:tcPr>
                  <w:tcW w:w="0" w:type="auto"/>
                  <w:noWrap w:val="0"/>
                  <w:vAlign w:val="center"/>
                </w:tcPr>
                <w:p w14:paraId="0BD9E7AD">
                  <w:pPr>
                    <w:pageBreakBefore w:val="0"/>
                    <w:kinsoku/>
                    <w:wordWrap/>
                    <w:topLinePunct w:val="0"/>
                    <w:bidi w:val="0"/>
                    <w:spacing w:line="280" w:lineRule="exact"/>
                    <w:contextualSpacing/>
                    <w:jc w:val="center"/>
                    <w:rPr>
                      <w:spacing w:val="-6"/>
                      <w:szCs w:val="21"/>
                    </w:rPr>
                  </w:pPr>
                  <w:r>
                    <w:rPr>
                      <w:spacing w:val="-6"/>
                      <w:szCs w:val="21"/>
                    </w:rPr>
                    <w:t>氨氮</w:t>
                  </w:r>
                  <w:r>
                    <w:rPr>
                      <w:rFonts w:hint="eastAsia"/>
                      <w:spacing w:val="-6"/>
                      <w:szCs w:val="21"/>
                      <w:lang w:val="en-US" w:eastAsia="zh-CN"/>
                    </w:rPr>
                    <w:t>(</w:t>
                  </w:r>
                  <w:r>
                    <w:rPr>
                      <w:spacing w:val="-6"/>
                      <w:szCs w:val="21"/>
                    </w:rPr>
                    <w:t>以N计</w:t>
                  </w:r>
                  <w:r>
                    <w:rPr>
                      <w:rFonts w:hint="eastAsia"/>
                      <w:spacing w:val="-6"/>
                      <w:szCs w:val="21"/>
                    </w:rPr>
                    <w:t>)</w:t>
                  </w:r>
                </w:p>
              </w:tc>
              <w:tc>
                <w:tcPr>
                  <w:tcW w:w="0" w:type="auto"/>
                  <w:noWrap w:val="0"/>
                  <w:vAlign w:val="center"/>
                </w:tcPr>
                <w:p w14:paraId="2BD8AE88">
                  <w:pPr>
                    <w:pageBreakBefore w:val="0"/>
                    <w:kinsoku/>
                    <w:wordWrap/>
                    <w:topLinePunct w:val="0"/>
                    <w:bidi w:val="0"/>
                    <w:spacing w:line="280" w:lineRule="exact"/>
                    <w:contextualSpacing/>
                    <w:jc w:val="center"/>
                    <w:rPr>
                      <w:spacing w:val="-6"/>
                      <w:szCs w:val="21"/>
                    </w:rPr>
                  </w:pPr>
                  <w:r>
                    <w:rPr>
                      <w:spacing w:val="-6"/>
                      <w:szCs w:val="21"/>
                    </w:rPr>
                    <w:t>≤0.50</w:t>
                  </w:r>
                </w:p>
              </w:tc>
              <w:tc>
                <w:tcPr>
                  <w:tcW w:w="0" w:type="auto"/>
                  <w:noWrap/>
                  <w:vAlign w:val="center"/>
                </w:tcPr>
                <w:p w14:paraId="4DFDFC72">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&lt;0.025</w:t>
                  </w:r>
                </w:p>
              </w:tc>
              <w:tc>
                <w:tcPr>
                  <w:tcW w:w="0" w:type="auto"/>
                  <w:noWrap/>
                  <w:vAlign w:val="center"/>
                </w:tcPr>
                <w:p w14:paraId="37E95C61">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0.05</w:t>
                  </w:r>
                </w:p>
              </w:tc>
              <w:tc>
                <w:tcPr>
                  <w:tcW w:w="0" w:type="auto"/>
                  <w:noWrap/>
                  <w:vAlign w:val="center"/>
                </w:tcPr>
                <w:p w14:paraId="2C2BA961">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0.053</w:t>
                  </w:r>
                </w:p>
              </w:tc>
              <w:tc>
                <w:tcPr>
                  <w:tcW w:w="0" w:type="auto"/>
                  <w:noWrap/>
                  <w:vAlign w:val="center"/>
                </w:tcPr>
                <w:p w14:paraId="6AB6BD19">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0.106</w:t>
                  </w:r>
                </w:p>
              </w:tc>
              <w:tc>
                <w:tcPr>
                  <w:tcW w:w="0" w:type="auto"/>
                  <w:noWrap/>
                  <w:vAlign w:val="center"/>
                </w:tcPr>
                <w:p w14:paraId="50ED9441">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&lt;0.025</w:t>
                  </w:r>
                </w:p>
              </w:tc>
              <w:tc>
                <w:tcPr>
                  <w:tcW w:w="0" w:type="auto"/>
                  <w:noWrap/>
                  <w:vAlign w:val="center"/>
                </w:tcPr>
                <w:p w14:paraId="04E946AD">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0.05</w:t>
                  </w:r>
                </w:p>
              </w:tc>
            </w:tr>
            <w:tr w14:paraId="74029A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05B52853">
                  <w:pPr>
                    <w:pageBreakBefore w:val="0"/>
                    <w:kinsoku/>
                    <w:wordWrap/>
                    <w:topLinePunct w:val="0"/>
                    <w:bidi w:val="0"/>
                    <w:spacing w:line="280" w:lineRule="exact"/>
                    <w:contextualSpacing/>
                    <w:jc w:val="center"/>
                    <w:rPr>
                      <w:spacing w:val="-6"/>
                      <w:szCs w:val="21"/>
                    </w:rPr>
                  </w:pPr>
                  <w:r>
                    <w:rPr>
                      <w:rFonts w:hint="eastAsia"/>
                      <w:spacing w:val="-6"/>
                      <w:szCs w:val="21"/>
                    </w:rPr>
                    <w:t>15</w:t>
                  </w:r>
                </w:p>
              </w:tc>
              <w:tc>
                <w:tcPr>
                  <w:tcW w:w="0" w:type="auto"/>
                  <w:noWrap w:val="0"/>
                  <w:vAlign w:val="center"/>
                </w:tcPr>
                <w:p w14:paraId="00F02A24">
                  <w:pPr>
                    <w:pageBreakBefore w:val="0"/>
                    <w:kinsoku/>
                    <w:wordWrap/>
                    <w:topLinePunct w:val="0"/>
                    <w:bidi w:val="0"/>
                    <w:spacing w:line="280" w:lineRule="exact"/>
                    <w:contextualSpacing/>
                    <w:jc w:val="center"/>
                    <w:rPr>
                      <w:spacing w:val="-6"/>
                      <w:szCs w:val="21"/>
                    </w:rPr>
                  </w:pPr>
                  <w:r>
                    <w:rPr>
                      <w:spacing w:val="-6"/>
                      <w:szCs w:val="21"/>
                    </w:rPr>
                    <w:t>硫化物</w:t>
                  </w:r>
                </w:p>
              </w:tc>
              <w:tc>
                <w:tcPr>
                  <w:tcW w:w="0" w:type="auto"/>
                  <w:noWrap w:val="0"/>
                  <w:vAlign w:val="center"/>
                </w:tcPr>
                <w:p w14:paraId="0A0703E2">
                  <w:pPr>
                    <w:pageBreakBefore w:val="0"/>
                    <w:kinsoku/>
                    <w:wordWrap/>
                    <w:topLinePunct w:val="0"/>
                    <w:bidi w:val="0"/>
                    <w:spacing w:line="280" w:lineRule="exact"/>
                    <w:contextualSpacing/>
                    <w:jc w:val="center"/>
                    <w:rPr>
                      <w:spacing w:val="-6"/>
                      <w:szCs w:val="21"/>
                    </w:rPr>
                  </w:pPr>
                  <w:r>
                    <w:rPr>
                      <w:spacing w:val="-6"/>
                      <w:szCs w:val="21"/>
                    </w:rPr>
                    <w:t>≤0.02</w:t>
                  </w:r>
                </w:p>
              </w:tc>
              <w:tc>
                <w:tcPr>
                  <w:tcW w:w="0" w:type="auto"/>
                  <w:noWrap/>
                  <w:vAlign w:val="center"/>
                </w:tcPr>
                <w:p w14:paraId="4E55B234">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&lt;0.003</w:t>
                  </w:r>
                </w:p>
              </w:tc>
              <w:tc>
                <w:tcPr>
                  <w:tcW w:w="0" w:type="auto"/>
                  <w:noWrap/>
                  <w:vAlign w:val="center"/>
                </w:tcPr>
                <w:p w14:paraId="5092559C">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0.15</w:t>
                  </w:r>
                </w:p>
              </w:tc>
              <w:tc>
                <w:tcPr>
                  <w:tcW w:w="0" w:type="auto"/>
                  <w:noWrap/>
                  <w:vAlign w:val="center"/>
                </w:tcPr>
                <w:p w14:paraId="33B66728">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&lt;0.003</w:t>
                  </w:r>
                </w:p>
              </w:tc>
              <w:tc>
                <w:tcPr>
                  <w:tcW w:w="0" w:type="auto"/>
                  <w:noWrap/>
                  <w:vAlign w:val="center"/>
                </w:tcPr>
                <w:p w14:paraId="294E5FE5">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0.15</w:t>
                  </w:r>
                </w:p>
              </w:tc>
              <w:tc>
                <w:tcPr>
                  <w:tcW w:w="0" w:type="auto"/>
                  <w:noWrap/>
                  <w:vAlign w:val="center"/>
                </w:tcPr>
                <w:p w14:paraId="3C13D9F4">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&lt;0.003</w:t>
                  </w:r>
                </w:p>
              </w:tc>
              <w:tc>
                <w:tcPr>
                  <w:tcW w:w="0" w:type="auto"/>
                  <w:noWrap/>
                  <w:vAlign w:val="center"/>
                </w:tcPr>
                <w:p w14:paraId="7B59998E">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0.15</w:t>
                  </w:r>
                </w:p>
              </w:tc>
            </w:tr>
            <w:tr w14:paraId="54CD59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6A6F93B9">
                  <w:pPr>
                    <w:pageBreakBefore w:val="0"/>
                    <w:kinsoku/>
                    <w:wordWrap/>
                    <w:topLinePunct w:val="0"/>
                    <w:bidi w:val="0"/>
                    <w:spacing w:line="280" w:lineRule="exact"/>
                    <w:contextualSpacing/>
                    <w:jc w:val="center"/>
                    <w:rPr>
                      <w:spacing w:val="-6"/>
                      <w:szCs w:val="21"/>
                    </w:rPr>
                  </w:pPr>
                  <w:r>
                    <w:rPr>
                      <w:rFonts w:hint="eastAsia"/>
                      <w:spacing w:val="-6"/>
                      <w:szCs w:val="21"/>
                    </w:rPr>
                    <w:t>16</w:t>
                  </w:r>
                </w:p>
              </w:tc>
              <w:tc>
                <w:tcPr>
                  <w:tcW w:w="0" w:type="auto"/>
                  <w:noWrap w:val="0"/>
                  <w:vAlign w:val="center"/>
                </w:tcPr>
                <w:p w14:paraId="3AB5BF44">
                  <w:pPr>
                    <w:pageBreakBefore w:val="0"/>
                    <w:kinsoku/>
                    <w:wordWrap/>
                    <w:topLinePunct w:val="0"/>
                    <w:bidi w:val="0"/>
                    <w:spacing w:line="280" w:lineRule="exact"/>
                    <w:contextualSpacing/>
                    <w:jc w:val="center"/>
                    <w:rPr>
                      <w:spacing w:val="-6"/>
                      <w:szCs w:val="21"/>
                    </w:rPr>
                  </w:pPr>
                  <w:r>
                    <w:rPr>
                      <w:spacing w:val="-6"/>
                      <w:szCs w:val="21"/>
                    </w:rPr>
                    <w:t>钠</w:t>
                  </w:r>
                </w:p>
              </w:tc>
              <w:tc>
                <w:tcPr>
                  <w:tcW w:w="0" w:type="auto"/>
                  <w:noWrap w:val="0"/>
                  <w:vAlign w:val="center"/>
                </w:tcPr>
                <w:p w14:paraId="14F2270B">
                  <w:pPr>
                    <w:pageBreakBefore w:val="0"/>
                    <w:kinsoku/>
                    <w:wordWrap/>
                    <w:topLinePunct w:val="0"/>
                    <w:bidi w:val="0"/>
                    <w:spacing w:line="280" w:lineRule="exact"/>
                    <w:contextualSpacing/>
                    <w:jc w:val="center"/>
                    <w:rPr>
                      <w:spacing w:val="-6"/>
                      <w:szCs w:val="21"/>
                    </w:rPr>
                  </w:pPr>
                  <w:r>
                    <w:rPr>
                      <w:spacing w:val="-6"/>
                      <w:szCs w:val="21"/>
                    </w:rPr>
                    <w:t>≤200</w:t>
                  </w:r>
                </w:p>
              </w:tc>
              <w:tc>
                <w:tcPr>
                  <w:tcW w:w="0" w:type="auto"/>
                  <w:noWrap/>
                  <w:vAlign w:val="center"/>
                </w:tcPr>
                <w:p w14:paraId="5C00C3E5">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38.8</w:t>
                  </w:r>
                </w:p>
              </w:tc>
              <w:tc>
                <w:tcPr>
                  <w:tcW w:w="0" w:type="auto"/>
                  <w:noWrap/>
                  <w:vAlign w:val="center"/>
                </w:tcPr>
                <w:p w14:paraId="61558395">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0.194</w:t>
                  </w:r>
                </w:p>
              </w:tc>
              <w:tc>
                <w:tcPr>
                  <w:tcW w:w="0" w:type="auto"/>
                  <w:noWrap/>
                  <w:vAlign w:val="center"/>
                </w:tcPr>
                <w:p w14:paraId="108C548B">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33.7</w:t>
                  </w:r>
                </w:p>
              </w:tc>
              <w:tc>
                <w:tcPr>
                  <w:tcW w:w="0" w:type="auto"/>
                  <w:noWrap/>
                  <w:vAlign w:val="center"/>
                </w:tcPr>
                <w:p w14:paraId="056E4B5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0.1685</w:t>
                  </w:r>
                </w:p>
              </w:tc>
              <w:tc>
                <w:tcPr>
                  <w:tcW w:w="0" w:type="auto"/>
                  <w:noWrap/>
                  <w:vAlign w:val="center"/>
                </w:tcPr>
                <w:p w14:paraId="68CBEC21">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13.1</w:t>
                  </w:r>
                </w:p>
              </w:tc>
              <w:tc>
                <w:tcPr>
                  <w:tcW w:w="0" w:type="auto"/>
                  <w:noWrap/>
                  <w:vAlign w:val="center"/>
                </w:tcPr>
                <w:p w14:paraId="2991CC43">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0.0655</w:t>
                  </w:r>
                </w:p>
              </w:tc>
            </w:tr>
            <w:tr w14:paraId="507AFF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58FD536E">
                  <w:pPr>
                    <w:pageBreakBefore w:val="0"/>
                    <w:kinsoku/>
                    <w:wordWrap/>
                    <w:topLinePunct w:val="0"/>
                    <w:bidi w:val="0"/>
                    <w:spacing w:line="280" w:lineRule="exact"/>
                    <w:contextualSpacing/>
                    <w:jc w:val="center"/>
                    <w:rPr>
                      <w:spacing w:val="-6"/>
                      <w:szCs w:val="21"/>
                    </w:rPr>
                  </w:pPr>
                  <w:r>
                    <w:rPr>
                      <w:rFonts w:hint="eastAsia"/>
                      <w:spacing w:val="-6"/>
                      <w:szCs w:val="21"/>
                    </w:rPr>
                    <w:t>17</w:t>
                  </w:r>
                </w:p>
              </w:tc>
              <w:tc>
                <w:tcPr>
                  <w:tcW w:w="0" w:type="auto"/>
                  <w:noWrap w:val="0"/>
                  <w:vAlign w:val="center"/>
                </w:tcPr>
                <w:p w14:paraId="0BD7615F">
                  <w:pPr>
                    <w:pageBreakBefore w:val="0"/>
                    <w:kinsoku/>
                    <w:wordWrap/>
                    <w:topLinePunct w:val="0"/>
                    <w:bidi w:val="0"/>
                    <w:spacing w:line="280" w:lineRule="exact"/>
                    <w:contextualSpacing/>
                    <w:jc w:val="center"/>
                    <w:rPr>
                      <w:spacing w:val="-6"/>
                      <w:szCs w:val="21"/>
                    </w:rPr>
                  </w:pPr>
                  <w:r>
                    <w:rPr>
                      <w:spacing w:val="-6"/>
                      <w:szCs w:val="21"/>
                    </w:rPr>
                    <w:t>总大肠菌群</w:t>
                  </w:r>
                  <w:r>
                    <w:rPr>
                      <w:rFonts w:hint="eastAsia"/>
                      <w:spacing w:val="-6"/>
                      <w:szCs w:val="21"/>
                      <w:lang w:val="en-US" w:eastAsia="zh-CN"/>
                    </w:rPr>
                    <w:t>(</w:t>
                  </w:r>
                  <w:r>
                    <w:rPr>
                      <w:spacing w:val="-6"/>
                      <w:szCs w:val="21"/>
                    </w:rPr>
                    <w:t>MPN/100mL</w:t>
                  </w:r>
                  <w:r>
                    <w:rPr>
                      <w:rFonts w:hint="eastAsia"/>
                      <w:spacing w:val="-6"/>
                      <w:szCs w:val="21"/>
                    </w:rPr>
                    <w:t>)</w:t>
                  </w:r>
                </w:p>
              </w:tc>
              <w:tc>
                <w:tcPr>
                  <w:tcW w:w="0" w:type="auto"/>
                  <w:noWrap w:val="0"/>
                  <w:vAlign w:val="center"/>
                </w:tcPr>
                <w:p w14:paraId="41583E7A">
                  <w:pPr>
                    <w:pageBreakBefore w:val="0"/>
                    <w:kinsoku/>
                    <w:wordWrap/>
                    <w:topLinePunct w:val="0"/>
                    <w:bidi w:val="0"/>
                    <w:spacing w:line="280" w:lineRule="exact"/>
                    <w:contextualSpacing/>
                    <w:jc w:val="center"/>
                    <w:rPr>
                      <w:spacing w:val="-6"/>
                      <w:szCs w:val="21"/>
                    </w:rPr>
                  </w:pPr>
                  <w:r>
                    <w:rPr>
                      <w:spacing w:val="-6"/>
                      <w:szCs w:val="21"/>
                    </w:rPr>
                    <w:t>≤3.0</w:t>
                  </w:r>
                </w:p>
              </w:tc>
              <w:tc>
                <w:tcPr>
                  <w:tcW w:w="0" w:type="auto"/>
                  <w:noWrap/>
                  <w:vAlign w:val="center"/>
                </w:tcPr>
                <w:p w14:paraId="784E0A21">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&lt;1</w:t>
                  </w:r>
                </w:p>
              </w:tc>
              <w:tc>
                <w:tcPr>
                  <w:tcW w:w="0" w:type="auto"/>
                  <w:noWrap/>
                  <w:vAlign w:val="center"/>
                </w:tcPr>
                <w:p w14:paraId="5D085EA1">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0.3333</w:t>
                  </w:r>
                </w:p>
              </w:tc>
              <w:tc>
                <w:tcPr>
                  <w:tcW w:w="0" w:type="auto"/>
                  <w:noWrap/>
                  <w:vAlign w:val="center"/>
                </w:tcPr>
                <w:p w14:paraId="43BEFB36">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24</w:t>
                  </w:r>
                </w:p>
              </w:tc>
              <w:tc>
                <w:tcPr>
                  <w:tcW w:w="0" w:type="auto"/>
                  <w:noWrap/>
                  <w:vAlign w:val="center"/>
                </w:tcPr>
                <w:p w14:paraId="37150E33">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b/>
                      <w:bCs/>
                      <w:spacing w:val="-6"/>
                      <w:szCs w:val="21"/>
                      <w:lang w:val="en-US" w:eastAsia="zh-CN"/>
                    </w:rPr>
                    <w:t>8</w:t>
                  </w:r>
                </w:p>
              </w:tc>
              <w:tc>
                <w:tcPr>
                  <w:tcW w:w="0" w:type="auto"/>
                  <w:noWrap/>
                  <w:vAlign w:val="center"/>
                </w:tcPr>
                <w:p w14:paraId="420B85B3">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&lt;1</w:t>
                  </w:r>
                </w:p>
              </w:tc>
              <w:tc>
                <w:tcPr>
                  <w:tcW w:w="0" w:type="auto"/>
                  <w:noWrap/>
                  <w:vAlign w:val="center"/>
                </w:tcPr>
                <w:p w14:paraId="5320B2A9">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0.3333</w:t>
                  </w:r>
                </w:p>
              </w:tc>
            </w:tr>
            <w:tr w14:paraId="14F658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434F79E2">
                  <w:pPr>
                    <w:pageBreakBefore w:val="0"/>
                    <w:kinsoku/>
                    <w:wordWrap/>
                    <w:topLinePunct w:val="0"/>
                    <w:bidi w:val="0"/>
                    <w:spacing w:line="280" w:lineRule="exact"/>
                    <w:contextualSpacing/>
                    <w:jc w:val="center"/>
                    <w:rPr>
                      <w:spacing w:val="-6"/>
                      <w:szCs w:val="21"/>
                    </w:rPr>
                  </w:pPr>
                  <w:r>
                    <w:rPr>
                      <w:rFonts w:hint="eastAsia"/>
                      <w:spacing w:val="-6"/>
                      <w:szCs w:val="21"/>
                    </w:rPr>
                    <w:t>18</w:t>
                  </w:r>
                </w:p>
              </w:tc>
              <w:tc>
                <w:tcPr>
                  <w:tcW w:w="0" w:type="auto"/>
                  <w:noWrap w:val="0"/>
                  <w:vAlign w:val="center"/>
                </w:tcPr>
                <w:p w14:paraId="3C42FF81">
                  <w:pPr>
                    <w:pageBreakBefore w:val="0"/>
                    <w:kinsoku/>
                    <w:wordWrap/>
                    <w:topLinePunct w:val="0"/>
                    <w:bidi w:val="0"/>
                    <w:spacing w:line="280" w:lineRule="exact"/>
                    <w:contextualSpacing/>
                    <w:jc w:val="center"/>
                    <w:rPr>
                      <w:spacing w:val="-6"/>
                      <w:szCs w:val="21"/>
                    </w:rPr>
                  </w:pPr>
                  <w:r>
                    <w:rPr>
                      <w:spacing w:val="-6"/>
                      <w:szCs w:val="21"/>
                    </w:rPr>
                    <w:t>菌落总数</w:t>
                  </w:r>
                  <w:r>
                    <w:rPr>
                      <w:rFonts w:hint="eastAsia"/>
                      <w:spacing w:val="-6"/>
                      <w:szCs w:val="21"/>
                      <w:lang w:val="en-US" w:eastAsia="zh-CN"/>
                    </w:rPr>
                    <w:t>(</w:t>
                  </w:r>
                  <w:r>
                    <w:rPr>
                      <w:spacing w:val="-6"/>
                      <w:szCs w:val="21"/>
                    </w:rPr>
                    <w:t>CFU/mL</w:t>
                  </w:r>
                  <w:r>
                    <w:rPr>
                      <w:rFonts w:hint="eastAsia"/>
                      <w:spacing w:val="-6"/>
                      <w:szCs w:val="21"/>
                    </w:rPr>
                    <w:t>)</w:t>
                  </w:r>
                </w:p>
              </w:tc>
              <w:tc>
                <w:tcPr>
                  <w:tcW w:w="0" w:type="auto"/>
                  <w:noWrap w:val="0"/>
                  <w:vAlign w:val="center"/>
                </w:tcPr>
                <w:p w14:paraId="3FFE87A2">
                  <w:pPr>
                    <w:pageBreakBefore w:val="0"/>
                    <w:kinsoku/>
                    <w:wordWrap/>
                    <w:topLinePunct w:val="0"/>
                    <w:bidi w:val="0"/>
                    <w:spacing w:line="280" w:lineRule="exact"/>
                    <w:contextualSpacing/>
                    <w:jc w:val="center"/>
                    <w:rPr>
                      <w:spacing w:val="-6"/>
                      <w:szCs w:val="21"/>
                    </w:rPr>
                  </w:pPr>
                  <w:r>
                    <w:rPr>
                      <w:spacing w:val="-6"/>
                      <w:szCs w:val="21"/>
                    </w:rPr>
                    <w:t>≤100</w:t>
                  </w:r>
                </w:p>
              </w:tc>
              <w:tc>
                <w:tcPr>
                  <w:tcW w:w="0" w:type="auto"/>
                  <w:noWrap/>
                  <w:vAlign w:val="center"/>
                </w:tcPr>
                <w:p w14:paraId="79DE2FAC">
                  <w:pPr>
                    <w:pageBreakBefore w:val="0"/>
                    <w:kinsoku/>
                    <w:wordWrap/>
                    <w:topLinePunct w:val="0"/>
                    <w:bidi w:val="0"/>
                    <w:spacing w:line="280" w:lineRule="exact"/>
                    <w:jc w:val="center"/>
                    <w:rPr>
                      <w:rFonts w:hint="eastAsia" w:eastAsia="宋体"/>
                      <w:spacing w:val="-6"/>
                      <w:szCs w:val="21"/>
                      <w:lang w:val="en-US" w:eastAsia="zh-CN"/>
                    </w:rPr>
                  </w:pPr>
                  <w:r>
                    <w:rPr>
                      <w:rFonts w:hint="eastAsia"/>
                      <w:spacing w:val="-6"/>
                      <w:szCs w:val="21"/>
                      <w:lang w:val="en-US" w:eastAsia="zh-CN"/>
                    </w:rPr>
                    <w:t>6</w:t>
                  </w:r>
                </w:p>
              </w:tc>
              <w:tc>
                <w:tcPr>
                  <w:tcW w:w="0" w:type="auto"/>
                  <w:noWrap/>
                  <w:vAlign w:val="center"/>
                </w:tcPr>
                <w:p w14:paraId="35E16680">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0.06</w:t>
                  </w:r>
                </w:p>
              </w:tc>
              <w:tc>
                <w:tcPr>
                  <w:tcW w:w="0" w:type="auto"/>
                  <w:noWrap/>
                  <w:vAlign w:val="center"/>
                </w:tcPr>
                <w:p w14:paraId="2E6794F3">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11</w:t>
                  </w:r>
                </w:p>
              </w:tc>
              <w:tc>
                <w:tcPr>
                  <w:tcW w:w="0" w:type="auto"/>
                  <w:noWrap/>
                  <w:vAlign w:val="center"/>
                </w:tcPr>
                <w:p w14:paraId="6CA7E43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0.11</w:t>
                  </w:r>
                </w:p>
              </w:tc>
              <w:tc>
                <w:tcPr>
                  <w:tcW w:w="0" w:type="auto"/>
                  <w:noWrap/>
                  <w:vAlign w:val="center"/>
                </w:tcPr>
                <w:p w14:paraId="29BB2DD2">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3</w:t>
                  </w:r>
                </w:p>
              </w:tc>
              <w:tc>
                <w:tcPr>
                  <w:tcW w:w="0" w:type="auto"/>
                  <w:noWrap/>
                  <w:vAlign w:val="center"/>
                </w:tcPr>
                <w:p w14:paraId="270351F5">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0.03</w:t>
                  </w:r>
                </w:p>
              </w:tc>
            </w:tr>
            <w:tr w14:paraId="448D1C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46BDCCF2">
                  <w:pPr>
                    <w:pageBreakBefore w:val="0"/>
                    <w:kinsoku/>
                    <w:wordWrap/>
                    <w:topLinePunct w:val="0"/>
                    <w:bidi w:val="0"/>
                    <w:spacing w:line="280" w:lineRule="exact"/>
                    <w:contextualSpacing/>
                    <w:jc w:val="center"/>
                    <w:rPr>
                      <w:spacing w:val="-6"/>
                      <w:szCs w:val="21"/>
                    </w:rPr>
                  </w:pPr>
                  <w:r>
                    <w:rPr>
                      <w:rFonts w:hint="eastAsia"/>
                      <w:spacing w:val="-6"/>
                      <w:szCs w:val="21"/>
                    </w:rPr>
                    <w:t>19</w:t>
                  </w:r>
                </w:p>
              </w:tc>
              <w:tc>
                <w:tcPr>
                  <w:tcW w:w="0" w:type="auto"/>
                  <w:noWrap w:val="0"/>
                  <w:vAlign w:val="center"/>
                </w:tcPr>
                <w:p w14:paraId="3D002595">
                  <w:pPr>
                    <w:pageBreakBefore w:val="0"/>
                    <w:kinsoku/>
                    <w:wordWrap/>
                    <w:topLinePunct w:val="0"/>
                    <w:bidi w:val="0"/>
                    <w:spacing w:line="280" w:lineRule="exact"/>
                    <w:contextualSpacing/>
                    <w:jc w:val="center"/>
                    <w:rPr>
                      <w:spacing w:val="-6"/>
                      <w:szCs w:val="21"/>
                    </w:rPr>
                  </w:pPr>
                  <w:r>
                    <w:rPr>
                      <w:spacing w:val="-6"/>
                      <w:szCs w:val="21"/>
                    </w:rPr>
                    <w:t>亚硝酸盐</w:t>
                  </w:r>
                  <w:r>
                    <w:rPr>
                      <w:rFonts w:hint="eastAsia"/>
                      <w:spacing w:val="-6"/>
                      <w:szCs w:val="21"/>
                      <w:lang w:val="en-US" w:eastAsia="zh-CN"/>
                    </w:rPr>
                    <w:t>(</w:t>
                  </w:r>
                  <w:r>
                    <w:rPr>
                      <w:spacing w:val="-6"/>
                      <w:szCs w:val="21"/>
                    </w:rPr>
                    <w:t>以N计</w:t>
                  </w:r>
                  <w:r>
                    <w:rPr>
                      <w:rFonts w:hint="eastAsia"/>
                      <w:spacing w:val="-6"/>
                      <w:szCs w:val="21"/>
                    </w:rPr>
                    <w:t>)</w:t>
                  </w:r>
                </w:p>
              </w:tc>
              <w:tc>
                <w:tcPr>
                  <w:tcW w:w="0" w:type="auto"/>
                  <w:noWrap w:val="0"/>
                  <w:vAlign w:val="center"/>
                </w:tcPr>
                <w:p w14:paraId="38E32BF4">
                  <w:pPr>
                    <w:pageBreakBefore w:val="0"/>
                    <w:kinsoku/>
                    <w:wordWrap/>
                    <w:topLinePunct w:val="0"/>
                    <w:bidi w:val="0"/>
                    <w:spacing w:line="280" w:lineRule="exact"/>
                    <w:contextualSpacing/>
                    <w:jc w:val="center"/>
                    <w:rPr>
                      <w:spacing w:val="-6"/>
                      <w:szCs w:val="21"/>
                    </w:rPr>
                  </w:pPr>
                  <w:r>
                    <w:rPr>
                      <w:spacing w:val="-6"/>
                      <w:szCs w:val="21"/>
                    </w:rPr>
                    <w:t>≤1.00</w:t>
                  </w:r>
                </w:p>
              </w:tc>
              <w:tc>
                <w:tcPr>
                  <w:tcW w:w="0" w:type="auto"/>
                  <w:noWrap/>
                  <w:vAlign w:val="center"/>
                </w:tcPr>
                <w:p w14:paraId="4EED08CF">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&lt;0.016</w:t>
                  </w:r>
                </w:p>
              </w:tc>
              <w:tc>
                <w:tcPr>
                  <w:tcW w:w="0" w:type="auto"/>
                  <w:noWrap/>
                  <w:vAlign w:val="center"/>
                </w:tcPr>
                <w:p w14:paraId="5665717E">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0.016</w:t>
                  </w:r>
                </w:p>
              </w:tc>
              <w:tc>
                <w:tcPr>
                  <w:tcW w:w="0" w:type="auto"/>
                  <w:noWrap/>
                  <w:vAlign w:val="center"/>
                </w:tcPr>
                <w:p w14:paraId="381015C3">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&lt;0.016</w:t>
                  </w:r>
                </w:p>
              </w:tc>
              <w:tc>
                <w:tcPr>
                  <w:tcW w:w="0" w:type="auto"/>
                  <w:noWrap/>
                  <w:vAlign w:val="center"/>
                </w:tcPr>
                <w:p w14:paraId="4E0AAD1E">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0.016</w:t>
                  </w:r>
                </w:p>
              </w:tc>
              <w:tc>
                <w:tcPr>
                  <w:tcW w:w="0" w:type="auto"/>
                  <w:noWrap/>
                  <w:vAlign w:val="center"/>
                </w:tcPr>
                <w:p w14:paraId="7ED70586">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&lt;0.016</w:t>
                  </w:r>
                </w:p>
              </w:tc>
              <w:tc>
                <w:tcPr>
                  <w:tcW w:w="0" w:type="auto"/>
                  <w:noWrap/>
                  <w:vAlign w:val="center"/>
                </w:tcPr>
                <w:p w14:paraId="4991906B">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0.016</w:t>
                  </w:r>
                </w:p>
              </w:tc>
            </w:tr>
            <w:tr w14:paraId="005C4F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06011227">
                  <w:pPr>
                    <w:pageBreakBefore w:val="0"/>
                    <w:kinsoku/>
                    <w:wordWrap/>
                    <w:topLinePunct w:val="0"/>
                    <w:bidi w:val="0"/>
                    <w:spacing w:line="280" w:lineRule="exact"/>
                    <w:contextualSpacing/>
                    <w:jc w:val="center"/>
                    <w:rPr>
                      <w:spacing w:val="-6"/>
                      <w:szCs w:val="21"/>
                    </w:rPr>
                  </w:pPr>
                  <w:r>
                    <w:rPr>
                      <w:rFonts w:hint="eastAsia"/>
                      <w:spacing w:val="-6"/>
                      <w:szCs w:val="21"/>
                    </w:rPr>
                    <w:t>20</w:t>
                  </w:r>
                </w:p>
              </w:tc>
              <w:tc>
                <w:tcPr>
                  <w:tcW w:w="0" w:type="auto"/>
                  <w:noWrap w:val="0"/>
                  <w:vAlign w:val="center"/>
                </w:tcPr>
                <w:p w14:paraId="704AAFC0">
                  <w:pPr>
                    <w:pageBreakBefore w:val="0"/>
                    <w:kinsoku/>
                    <w:wordWrap/>
                    <w:topLinePunct w:val="0"/>
                    <w:bidi w:val="0"/>
                    <w:spacing w:line="280" w:lineRule="exact"/>
                    <w:contextualSpacing/>
                    <w:jc w:val="center"/>
                    <w:rPr>
                      <w:spacing w:val="-6"/>
                      <w:szCs w:val="21"/>
                    </w:rPr>
                  </w:pPr>
                  <w:r>
                    <w:rPr>
                      <w:spacing w:val="-6"/>
                      <w:szCs w:val="21"/>
                    </w:rPr>
                    <w:t>硝酸盐</w:t>
                  </w:r>
                  <w:r>
                    <w:rPr>
                      <w:rFonts w:hint="eastAsia"/>
                      <w:spacing w:val="-6"/>
                      <w:szCs w:val="21"/>
                      <w:lang w:val="en-US" w:eastAsia="zh-CN"/>
                    </w:rPr>
                    <w:t>(</w:t>
                  </w:r>
                  <w:r>
                    <w:rPr>
                      <w:spacing w:val="-6"/>
                      <w:szCs w:val="21"/>
                    </w:rPr>
                    <w:t>以N计</w:t>
                  </w:r>
                  <w:r>
                    <w:rPr>
                      <w:rFonts w:hint="eastAsia"/>
                      <w:spacing w:val="-6"/>
                      <w:szCs w:val="21"/>
                    </w:rPr>
                    <w:t>)</w:t>
                  </w:r>
                </w:p>
              </w:tc>
              <w:tc>
                <w:tcPr>
                  <w:tcW w:w="0" w:type="auto"/>
                  <w:noWrap w:val="0"/>
                  <w:vAlign w:val="center"/>
                </w:tcPr>
                <w:p w14:paraId="7B5C193D">
                  <w:pPr>
                    <w:pageBreakBefore w:val="0"/>
                    <w:kinsoku/>
                    <w:wordWrap/>
                    <w:topLinePunct w:val="0"/>
                    <w:bidi w:val="0"/>
                    <w:spacing w:line="280" w:lineRule="exact"/>
                    <w:contextualSpacing/>
                    <w:jc w:val="center"/>
                    <w:rPr>
                      <w:spacing w:val="-6"/>
                      <w:szCs w:val="21"/>
                    </w:rPr>
                  </w:pPr>
                  <w:r>
                    <w:rPr>
                      <w:spacing w:val="-6"/>
                      <w:szCs w:val="21"/>
                    </w:rPr>
                    <w:t>≤20.0</w:t>
                  </w:r>
                </w:p>
              </w:tc>
              <w:tc>
                <w:tcPr>
                  <w:tcW w:w="0" w:type="auto"/>
                  <w:noWrap/>
                  <w:vAlign w:val="center"/>
                </w:tcPr>
                <w:p w14:paraId="5DE33392">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2.50</w:t>
                  </w:r>
                </w:p>
              </w:tc>
              <w:tc>
                <w:tcPr>
                  <w:tcW w:w="0" w:type="auto"/>
                  <w:noWrap/>
                  <w:vAlign w:val="center"/>
                </w:tcPr>
                <w:p w14:paraId="00AD0BCE">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0.125</w:t>
                  </w:r>
                </w:p>
              </w:tc>
              <w:tc>
                <w:tcPr>
                  <w:tcW w:w="0" w:type="auto"/>
                  <w:noWrap/>
                  <w:vAlign w:val="center"/>
                </w:tcPr>
                <w:p w14:paraId="1B4AD14E">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2.84</w:t>
                  </w:r>
                </w:p>
              </w:tc>
              <w:tc>
                <w:tcPr>
                  <w:tcW w:w="0" w:type="auto"/>
                  <w:noWrap/>
                  <w:vAlign w:val="center"/>
                </w:tcPr>
                <w:p w14:paraId="7F94C3A4">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0.142</w:t>
                  </w:r>
                </w:p>
              </w:tc>
              <w:tc>
                <w:tcPr>
                  <w:tcW w:w="0" w:type="auto"/>
                  <w:noWrap/>
                  <w:vAlign w:val="center"/>
                </w:tcPr>
                <w:p w14:paraId="0BA0F071">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2.26</w:t>
                  </w:r>
                </w:p>
              </w:tc>
              <w:tc>
                <w:tcPr>
                  <w:tcW w:w="0" w:type="auto"/>
                  <w:noWrap/>
                  <w:vAlign w:val="center"/>
                </w:tcPr>
                <w:p w14:paraId="1D8A0137">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0.113</w:t>
                  </w:r>
                </w:p>
              </w:tc>
            </w:tr>
            <w:tr w14:paraId="07319A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707C9E41">
                  <w:pPr>
                    <w:pageBreakBefore w:val="0"/>
                    <w:kinsoku/>
                    <w:wordWrap/>
                    <w:topLinePunct w:val="0"/>
                    <w:bidi w:val="0"/>
                    <w:spacing w:line="280" w:lineRule="exact"/>
                    <w:contextualSpacing/>
                    <w:jc w:val="center"/>
                    <w:rPr>
                      <w:spacing w:val="-6"/>
                      <w:szCs w:val="21"/>
                    </w:rPr>
                  </w:pPr>
                  <w:r>
                    <w:rPr>
                      <w:rFonts w:hint="eastAsia"/>
                      <w:spacing w:val="-6"/>
                      <w:szCs w:val="21"/>
                    </w:rPr>
                    <w:t>21</w:t>
                  </w:r>
                </w:p>
              </w:tc>
              <w:tc>
                <w:tcPr>
                  <w:tcW w:w="0" w:type="auto"/>
                  <w:noWrap w:val="0"/>
                  <w:vAlign w:val="center"/>
                </w:tcPr>
                <w:p w14:paraId="19922FD8">
                  <w:pPr>
                    <w:pageBreakBefore w:val="0"/>
                    <w:kinsoku/>
                    <w:wordWrap/>
                    <w:topLinePunct w:val="0"/>
                    <w:bidi w:val="0"/>
                    <w:spacing w:line="280" w:lineRule="exact"/>
                    <w:contextualSpacing/>
                    <w:jc w:val="center"/>
                    <w:rPr>
                      <w:spacing w:val="-6"/>
                      <w:szCs w:val="21"/>
                    </w:rPr>
                  </w:pPr>
                  <w:r>
                    <w:rPr>
                      <w:spacing w:val="-6"/>
                      <w:szCs w:val="21"/>
                    </w:rPr>
                    <w:t>氰化物</w:t>
                  </w:r>
                </w:p>
              </w:tc>
              <w:tc>
                <w:tcPr>
                  <w:tcW w:w="0" w:type="auto"/>
                  <w:noWrap w:val="0"/>
                  <w:vAlign w:val="center"/>
                </w:tcPr>
                <w:p w14:paraId="768557AF">
                  <w:pPr>
                    <w:pageBreakBefore w:val="0"/>
                    <w:kinsoku/>
                    <w:wordWrap/>
                    <w:topLinePunct w:val="0"/>
                    <w:bidi w:val="0"/>
                    <w:spacing w:line="280" w:lineRule="exact"/>
                    <w:contextualSpacing/>
                    <w:jc w:val="center"/>
                    <w:rPr>
                      <w:spacing w:val="-6"/>
                      <w:szCs w:val="21"/>
                    </w:rPr>
                  </w:pPr>
                  <w:r>
                    <w:rPr>
                      <w:spacing w:val="-6"/>
                      <w:szCs w:val="21"/>
                    </w:rPr>
                    <w:t>≤0.05</w:t>
                  </w:r>
                </w:p>
              </w:tc>
              <w:tc>
                <w:tcPr>
                  <w:tcW w:w="0" w:type="auto"/>
                  <w:noWrap/>
                  <w:vAlign w:val="center"/>
                </w:tcPr>
                <w:p w14:paraId="56636B0E">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&lt;0.001</w:t>
                  </w:r>
                </w:p>
              </w:tc>
              <w:tc>
                <w:tcPr>
                  <w:tcW w:w="0" w:type="auto"/>
                  <w:noWrap/>
                  <w:vAlign w:val="center"/>
                </w:tcPr>
                <w:p w14:paraId="630094CD">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0.02</w:t>
                  </w:r>
                </w:p>
              </w:tc>
              <w:tc>
                <w:tcPr>
                  <w:tcW w:w="0" w:type="auto"/>
                  <w:noWrap/>
                  <w:vAlign w:val="center"/>
                </w:tcPr>
                <w:p w14:paraId="01C60228">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&lt;0.001</w:t>
                  </w:r>
                </w:p>
              </w:tc>
              <w:tc>
                <w:tcPr>
                  <w:tcW w:w="0" w:type="auto"/>
                  <w:noWrap/>
                  <w:vAlign w:val="center"/>
                </w:tcPr>
                <w:p w14:paraId="1838F2E4">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0.02</w:t>
                  </w:r>
                </w:p>
              </w:tc>
              <w:tc>
                <w:tcPr>
                  <w:tcW w:w="0" w:type="auto"/>
                  <w:noWrap/>
                  <w:vAlign w:val="center"/>
                </w:tcPr>
                <w:p w14:paraId="49CA38DA">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&lt;0.001</w:t>
                  </w:r>
                </w:p>
              </w:tc>
              <w:tc>
                <w:tcPr>
                  <w:tcW w:w="0" w:type="auto"/>
                  <w:noWrap/>
                  <w:vAlign w:val="center"/>
                </w:tcPr>
                <w:p w14:paraId="59B9A321">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0.02</w:t>
                  </w:r>
                </w:p>
              </w:tc>
            </w:tr>
            <w:tr w14:paraId="2631C4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4CD7917F">
                  <w:pPr>
                    <w:pageBreakBefore w:val="0"/>
                    <w:kinsoku/>
                    <w:wordWrap/>
                    <w:topLinePunct w:val="0"/>
                    <w:bidi w:val="0"/>
                    <w:spacing w:line="280" w:lineRule="exact"/>
                    <w:contextualSpacing/>
                    <w:jc w:val="center"/>
                    <w:rPr>
                      <w:spacing w:val="-6"/>
                      <w:szCs w:val="21"/>
                    </w:rPr>
                  </w:pPr>
                  <w:r>
                    <w:rPr>
                      <w:rFonts w:hint="eastAsia"/>
                      <w:spacing w:val="-6"/>
                      <w:szCs w:val="21"/>
                    </w:rPr>
                    <w:t>22</w:t>
                  </w:r>
                </w:p>
              </w:tc>
              <w:tc>
                <w:tcPr>
                  <w:tcW w:w="0" w:type="auto"/>
                  <w:noWrap w:val="0"/>
                  <w:vAlign w:val="center"/>
                </w:tcPr>
                <w:p w14:paraId="28122FA1">
                  <w:pPr>
                    <w:pageBreakBefore w:val="0"/>
                    <w:kinsoku/>
                    <w:wordWrap/>
                    <w:topLinePunct w:val="0"/>
                    <w:bidi w:val="0"/>
                    <w:spacing w:line="280" w:lineRule="exact"/>
                    <w:contextualSpacing/>
                    <w:jc w:val="center"/>
                    <w:rPr>
                      <w:spacing w:val="-6"/>
                      <w:szCs w:val="21"/>
                    </w:rPr>
                  </w:pPr>
                  <w:r>
                    <w:rPr>
                      <w:spacing w:val="-6"/>
                      <w:szCs w:val="21"/>
                    </w:rPr>
                    <w:t>氟化物</w:t>
                  </w:r>
                </w:p>
              </w:tc>
              <w:tc>
                <w:tcPr>
                  <w:tcW w:w="0" w:type="auto"/>
                  <w:noWrap w:val="0"/>
                  <w:vAlign w:val="center"/>
                </w:tcPr>
                <w:p w14:paraId="213E0962">
                  <w:pPr>
                    <w:pageBreakBefore w:val="0"/>
                    <w:kinsoku/>
                    <w:wordWrap/>
                    <w:topLinePunct w:val="0"/>
                    <w:bidi w:val="0"/>
                    <w:spacing w:line="280" w:lineRule="exact"/>
                    <w:contextualSpacing/>
                    <w:jc w:val="center"/>
                    <w:rPr>
                      <w:spacing w:val="-6"/>
                      <w:szCs w:val="21"/>
                    </w:rPr>
                  </w:pPr>
                  <w:r>
                    <w:rPr>
                      <w:spacing w:val="-6"/>
                      <w:szCs w:val="21"/>
                    </w:rPr>
                    <w:t>≤1.0</w:t>
                  </w:r>
                </w:p>
              </w:tc>
              <w:tc>
                <w:tcPr>
                  <w:tcW w:w="0" w:type="auto"/>
                  <w:noWrap/>
                  <w:vAlign w:val="center"/>
                </w:tcPr>
                <w:p w14:paraId="5E24A292">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0.138</w:t>
                  </w:r>
                </w:p>
              </w:tc>
              <w:tc>
                <w:tcPr>
                  <w:tcW w:w="0" w:type="auto"/>
                  <w:noWrap/>
                  <w:vAlign w:val="center"/>
                </w:tcPr>
                <w:p w14:paraId="09C8103F">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0.138</w:t>
                  </w:r>
                </w:p>
              </w:tc>
              <w:tc>
                <w:tcPr>
                  <w:tcW w:w="0" w:type="auto"/>
                  <w:noWrap/>
                  <w:vAlign w:val="center"/>
                </w:tcPr>
                <w:p w14:paraId="76276757">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0.052</w:t>
                  </w:r>
                </w:p>
              </w:tc>
              <w:tc>
                <w:tcPr>
                  <w:tcW w:w="0" w:type="auto"/>
                  <w:noWrap/>
                  <w:vAlign w:val="center"/>
                </w:tcPr>
                <w:p w14:paraId="6A0B7F8D">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0.052</w:t>
                  </w:r>
                </w:p>
              </w:tc>
              <w:tc>
                <w:tcPr>
                  <w:tcW w:w="0" w:type="auto"/>
                  <w:noWrap/>
                  <w:vAlign w:val="center"/>
                </w:tcPr>
                <w:p w14:paraId="3D5149B4">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0.201</w:t>
                  </w:r>
                </w:p>
              </w:tc>
              <w:tc>
                <w:tcPr>
                  <w:tcW w:w="0" w:type="auto"/>
                  <w:noWrap/>
                  <w:vAlign w:val="center"/>
                </w:tcPr>
                <w:p w14:paraId="6860D33D">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0.201</w:t>
                  </w:r>
                </w:p>
              </w:tc>
            </w:tr>
            <w:tr w14:paraId="2AB41C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17DF88E2">
                  <w:pPr>
                    <w:pageBreakBefore w:val="0"/>
                    <w:kinsoku/>
                    <w:wordWrap/>
                    <w:topLinePunct w:val="0"/>
                    <w:bidi w:val="0"/>
                    <w:spacing w:line="280" w:lineRule="exact"/>
                    <w:contextualSpacing/>
                    <w:jc w:val="center"/>
                    <w:rPr>
                      <w:spacing w:val="-6"/>
                      <w:szCs w:val="21"/>
                    </w:rPr>
                  </w:pPr>
                  <w:r>
                    <w:rPr>
                      <w:rFonts w:hint="eastAsia"/>
                      <w:spacing w:val="-6"/>
                      <w:szCs w:val="21"/>
                    </w:rPr>
                    <w:t>23</w:t>
                  </w:r>
                </w:p>
              </w:tc>
              <w:tc>
                <w:tcPr>
                  <w:tcW w:w="0" w:type="auto"/>
                  <w:noWrap w:val="0"/>
                  <w:vAlign w:val="center"/>
                </w:tcPr>
                <w:p w14:paraId="440DCE6C">
                  <w:pPr>
                    <w:pageBreakBefore w:val="0"/>
                    <w:kinsoku/>
                    <w:wordWrap/>
                    <w:topLinePunct w:val="0"/>
                    <w:bidi w:val="0"/>
                    <w:spacing w:line="280" w:lineRule="exact"/>
                    <w:contextualSpacing/>
                    <w:jc w:val="center"/>
                    <w:rPr>
                      <w:spacing w:val="-6"/>
                      <w:szCs w:val="21"/>
                    </w:rPr>
                  </w:pPr>
                  <w:r>
                    <w:rPr>
                      <w:spacing w:val="-6"/>
                      <w:szCs w:val="21"/>
                    </w:rPr>
                    <w:t>碘化物</w:t>
                  </w:r>
                </w:p>
              </w:tc>
              <w:tc>
                <w:tcPr>
                  <w:tcW w:w="0" w:type="auto"/>
                  <w:noWrap w:val="0"/>
                  <w:vAlign w:val="center"/>
                </w:tcPr>
                <w:p w14:paraId="14A92170">
                  <w:pPr>
                    <w:pageBreakBefore w:val="0"/>
                    <w:kinsoku/>
                    <w:wordWrap/>
                    <w:topLinePunct w:val="0"/>
                    <w:bidi w:val="0"/>
                    <w:spacing w:line="280" w:lineRule="exact"/>
                    <w:contextualSpacing/>
                    <w:jc w:val="center"/>
                    <w:rPr>
                      <w:spacing w:val="-6"/>
                      <w:szCs w:val="21"/>
                    </w:rPr>
                  </w:pPr>
                  <w:r>
                    <w:rPr>
                      <w:spacing w:val="-6"/>
                      <w:szCs w:val="21"/>
                    </w:rPr>
                    <w:t>≤0.08</w:t>
                  </w:r>
                </w:p>
              </w:tc>
              <w:tc>
                <w:tcPr>
                  <w:tcW w:w="0" w:type="auto"/>
                  <w:noWrap/>
                  <w:vAlign w:val="center"/>
                </w:tcPr>
                <w:p w14:paraId="18CC9F57">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&lt;0.05</w:t>
                  </w:r>
                </w:p>
              </w:tc>
              <w:tc>
                <w:tcPr>
                  <w:tcW w:w="0" w:type="auto"/>
                  <w:noWrap/>
                  <w:vAlign w:val="center"/>
                </w:tcPr>
                <w:p w14:paraId="44EC7F64">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0.625</w:t>
                  </w:r>
                </w:p>
              </w:tc>
              <w:tc>
                <w:tcPr>
                  <w:tcW w:w="0" w:type="auto"/>
                  <w:noWrap/>
                  <w:vAlign w:val="center"/>
                </w:tcPr>
                <w:p w14:paraId="445C6235">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&lt;0.05</w:t>
                  </w:r>
                </w:p>
              </w:tc>
              <w:tc>
                <w:tcPr>
                  <w:tcW w:w="0" w:type="auto"/>
                  <w:noWrap/>
                  <w:vAlign w:val="center"/>
                </w:tcPr>
                <w:p w14:paraId="0C91969B">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0.625</w:t>
                  </w:r>
                </w:p>
              </w:tc>
              <w:tc>
                <w:tcPr>
                  <w:tcW w:w="0" w:type="auto"/>
                  <w:noWrap/>
                  <w:vAlign w:val="center"/>
                </w:tcPr>
                <w:p w14:paraId="1CC66B8E">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&lt;0.05</w:t>
                  </w:r>
                </w:p>
              </w:tc>
              <w:tc>
                <w:tcPr>
                  <w:tcW w:w="0" w:type="auto"/>
                  <w:noWrap/>
                  <w:vAlign w:val="center"/>
                </w:tcPr>
                <w:p w14:paraId="479C5275">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0.625</w:t>
                  </w:r>
                </w:p>
              </w:tc>
            </w:tr>
            <w:tr w14:paraId="295E2B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5FDCCE3D">
                  <w:pPr>
                    <w:pageBreakBefore w:val="0"/>
                    <w:kinsoku/>
                    <w:wordWrap/>
                    <w:topLinePunct w:val="0"/>
                    <w:bidi w:val="0"/>
                    <w:spacing w:line="280" w:lineRule="exact"/>
                    <w:contextualSpacing/>
                    <w:jc w:val="center"/>
                    <w:rPr>
                      <w:spacing w:val="-6"/>
                      <w:szCs w:val="21"/>
                    </w:rPr>
                  </w:pPr>
                  <w:r>
                    <w:rPr>
                      <w:rFonts w:hint="eastAsia"/>
                      <w:spacing w:val="-6"/>
                      <w:szCs w:val="21"/>
                    </w:rPr>
                    <w:t>24</w:t>
                  </w:r>
                </w:p>
              </w:tc>
              <w:tc>
                <w:tcPr>
                  <w:tcW w:w="0" w:type="auto"/>
                  <w:noWrap w:val="0"/>
                  <w:vAlign w:val="center"/>
                </w:tcPr>
                <w:p w14:paraId="00466CFC">
                  <w:pPr>
                    <w:pageBreakBefore w:val="0"/>
                    <w:kinsoku/>
                    <w:wordWrap/>
                    <w:topLinePunct w:val="0"/>
                    <w:bidi w:val="0"/>
                    <w:spacing w:line="280" w:lineRule="exact"/>
                    <w:contextualSpacing/>
                    <w:jc w:val="center"/>
                    <w:rPr>
                      <w:spacing w:val="-6"/>
                      <w:szCs w:val="21"/>
                    </w:rPr>
                  </w:pPr>
                  <w:r>
                    <w:rPr>
                      <w:spacing w:val="-6"/>
                      <w:szCs w:val="21"/>
                    </w:rPr>
                    <w:t>汞</w:t>
                  </w:r>
                </w:p>
              </w:tc>
              <w:tc>
                <w:tcPr>
                  <w:tcW w:w="0" w:type="auto"/>
                  <w:noWrap w:val="0"/>
                  <w:vAlign w:val="center"/>
                </w:tcPr>
                <w:p w14:paraId="5E98C5CA">
                  <w:pPr>
                    <w:pageBreakBefore w:val="0"/>
                    <w:kinsoku/>
                    <w:wordWrap/>
                    <w:topLinePunct w:val="0"/>
                    <w:bidi w:val="0"/>
                    <w:spacing w:line="280" w:lineRule="exact"/>
                    <w:contextualSpacing/>
                    <w:jc w:val="center"/>
                    <w:rPr>
                      <w:spacing w:val="-6"/>
                      <w:szCs w:val="21"/>
                    </w:rPr>
                  </w:pPr>
                  <w:r>
                    <w:rPr>
                      <w:spacing w:val="-6"/>
                      <w:szCs w:val="21"/>
                    </w:rPr>
                    <w:t>≤0.001</w:t>
                  </w:r>
                </w:p>
              </w:tc>
              <w:tc>
                <w:tcPr>
                  <w:tcW w:w="0" w:type="auto"/>
                  <w:noWrap/>
                  <w:vAlign w:val="center"/>
                </w:tcPr>
                <w:p w14:paraId="14A501A0">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&lt;0.00004</w:t>
                  </w:r>
                </w:p>
              </w:tc>
              <w:tc>
                <w:tcPr>
                  <w:tcW w:w="0" w:type="auto"/>
                  <w:noWrap/>
                  <w:vAlign w:val="center"/>
                </w:tcPr>
                <w:p w14:paraId="12456A2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0.04</w:t>
                  </w:r>
                </w:p>
              </w:tc>
              <w:tc>
                <w:tcPr>
                  <w:tcW w:w="0" w:type="auto"/>
                  <w:noWrap/>
                  <w:vAlign w:val="center"/>
                </w:tcPr>
                <w:p w14:paraId="2F25ADBD">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&lt;0.00004</w:t>
                  </w:r>
                </w:p>
              </w:tc>
              <w:tc>
                <w:tcPr>
                  <w:tcW w:w="0" w:type="auto"/>
                  <w:noWrap/>
                  <w:vAlign w:val="center"/>
                </w:tcPr>
                <w:p w14:paraId="2F30E28A">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0.04</w:t>
                  </w:r>
                </w:p>
              </w:tc>
              <w:tc>
                <w:tcPr>
                  <w:tcW w:w="0" w:type="auto"/>
                  <w:noWrap/>
                  <w:vAlign w:val="center"/>
                </w:tcPr>
                <w:p w14:paraId="6119D44A">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&lt;0.00004</w:t>
                  </w:r>
                </w:p>
              </w:tc>
              <w:tc>
                <w:tcPr>
                  <w:tcW w:w="0" w:type="auto"/>
                  <w:noWrap/>
                  <w:vAlign w:val="center"/>
                </w:tcPr>
                <w:p w14:paraId="24E063C9">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0.04</w:t>
                  </w:r>
                </w:p>
              </w:tc>
            </w:tr>
            <w:tr w14:paraId="77B249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193B4F6D">
                  <w:pPr>
                    <w:pageBreakBefore w:val="0"/>
                    <w:kinsoku/>
                    <w:wordWrap/>
                    <w:topLinePunct w:val="0"/>
                    <w:bidi w:val="0"/>
                    <w:spacing w:line="280" w:lineRule="exact"/>
                    <w:contextualSpacing/>
                    <w:jc w:val="center"/>
                    <w:rPr>
                      <w:spacing w:val="-6"/>
                      <w:szCs w:val="21"/>
                    </w:rPr>
                  </w:pPr>
                  <w:r>
                    <w:rPr>
                      <w:rFonts w:hint="eastAsia"/>
                      <w:spacing w:val="-6"/>
                      <w:szCs w:val="21"/>
                    </w:rPr>
                    <w:t>25</w:t>
                  </w:r>
                </w:p>
              </w:tc>
              <w:tc>
                <w:tcPr>
                  <w:tcW w:w="0" w:type="auto"/>
                  <w:noWrap w:val="0"/>
                  <w:vAlign w:val="center"/>
                </w:tcPr>
                <w:p w14:paraId="4C78794E">
                  <w:pPr>
                    <w:pageBreakBefore w:val="0"/>
                    <w:kinsoku/>
                    <w:wordWrap/>
                    <w:topLinePunct w:val="0"/>
                    <w:bidi w:val="0"/>
                    <w:spacing w:line="280" w:lineRule="exact"/>
                    <w:contextualSpacing/>
                    <w:jc w:val="center"/>
                    <w:rPr>
                      <w:spacing w:val="-6"/>
                      <w:szCs w:val="21"/>
                    </w:rPr>
                  </w:pPr>
                  <w:r>
                    <w:rPr>
                      <w:spacing w:val="-6"/>
                      <w:szCs w:val="21"/>
                    </w:rPr>
                    <w:t>砷</w:t>
                  </w:r>
                </w:p>
              </w:tc>
              <w:tc>
                <w:tcPr>
                  <w:tcW w:w="0" w:type="auto"/>
                  <w:noWrap w:val="0"/>
                  <w:vAlign w:val="center"/>
                </w:tcPr>
                <w:p w14:paraId="6FF919AC">
                  <w:pPr>
                    <w:pageBreakBefore w:val="0"/>
                    <w:kinsoku/>
                    <w:wordWrap/>
                    <w:topLinePunct w:val="0"/>
                    <w:bidi w:val="0"/>
                    <w:spacing w:line="280" w:lineRule="exact"/>
                    <w:contextualSpacing/>
                    <w:jc w:val="center"/>
                    <w:rPr>
                      <w:spacing w:val="-6"/>
                      <w:szCs w:val="21"/>
                    </w:rPr>
                  </w:pPr>
                  <w:r>
                    <w:rPr>
                      <w:spacing w:val="-6"/>
                      <w:szCs w:val="21"/>
                    </w:rPr>
                    <w:t>≤0.01</w:t>
                  </w:r>
                </w:p>
              </w:tc>
              <w:tc>
                <w:tcPr>
                  <w:tcW w:w="0" w:type="auto"/>
                  <w:noWrap/>
                  <w:vAlign w:val="center"/>
                </w:tcPr>
                <w:p w14:paraId="0BAF27EB">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&lt;0.0003</w:t>
                  </w:r>
                </w:p>
              </w:tc>
              <w:tc>
                <w:tcPr>
                  <w:tcW w:w="0" w:type="auto"/>
                  <w:noWrap/>
                  <w:vAlign w:val="center"/>
                </w:tcPr>
                <w:p w14:paraId="2A274343">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0.03</w:t>
                  </w:r>
                </w:p>
              </w:tc>
              <w:tc>
                <w:tcPr>
                  <w:tcW w:w="0" w:type="auto"/>
                  <w:noWrap/>
                  <w:vAlign w:val="center"/>
                </w:tcPr>
                <w:p w14:paraId="0DAA5D40">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&lt;0.0003</w:t>
                  </w:r>
                </w:p>
              </w:tc>
              <w:tc>
                <w:tcPr>
                  <w:tcW w:w="0" w:type="auto"/>
                  <w:noWrap/>
                  <w:vAlign w:val="center"/>
                </w:tcPr>
                <w:p w14:paraId="55A7D93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0.03</w:t>
                  </w:r>
                </w:p>
              </w:tc>
              <w:tc>
                <w:tcPr>
                  <w:tcW w:w="0" w:type="auto"/>
                  <w:noWrap/>
                  <w:vAlign w:val="center"/>
                </w:tcPr>
                <w:p w14:paraId="738C73E8">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&lt;0.0003</w:t>
                  </w:r>
                </w:p>
              </w:tc>
              <w:tc>
                <w:tcPr>
                  <w:tcW w:w="0" w:type="auto"/>
                  <w:noWrap/>
                  <w:vAlign w:val="center"/>
                </w:tcPr>
                <w:p w14:paraId="0E585CC0">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0.03</w:t>
                  </w:r>
                </w:p>
              </w:tc>
            </w:tr>
            <w:tr w14:paraId="4C1907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73779042">
                  <w:pPr>
                    <w:pageBreakBefore w:val="0"/>
                    <w:kinsoku/>
                    <w:wordWrap/>
                    <w:topLinePunct w:val="0"/>
                    <w:bidi w:val="0"/>
                    <w:spacing w:line="280" w:lineRule="exact"/>
                    <w:contextualSpacing/>
                    <w:jc w:val="center"/>
                    <w:rPr>
                      <w:spacing w:val="-6"/>
                      <w:szCs w:val="21"/>
                    </w:rPr>
                  </w:pPr>
                  <w:r>
                    <w:rPr>
                      <w:rFonts w:hint="eastAsia"/>
                      <w:spacing w:val="-6"/>
                      <w:szCs w:val="21"/>
                    </w:rPr>
                    <w:t>26</w:t>
                  </w:r>
                </w:p>
              </w:tc>
              <w:tc>
                <w:tcPr>
                  <w:tcW w:w="0" w:type="auto"/>
                  <w:noWrap w:val="0"/>
                  <w:vAlign w:val="center"/>
                </w:tcPr>
                <w:p w14:paraId="5E8EF751">
                  <w:pPr>
                    <w:pageBreakBefore w:val="0"/>
                    <w:kinsoku/>
                    <w:wordWrap/>
                    <w:topLinePunct w:val="0"/>
                    <w:bidi w:val="0"/>
                    <w:spacing w:line="280" w:lineRule="exact"/>
                    <w:contextualSpacing/>
                    <w:jc w:val="center"/>
                    <w:rPr>
                      <w:spacing w:val="-6"/>
                      <w:szCs w:val="21"/>
                    </w:rPr>
                  </w:pPr>
                  <w:r>
                    <w:rPr>
                      <w:spacing w:val="-6"/>
                      <w:szCs w:val="21"/>
                    </w:rPr>
                    <w:t>硒</w:t>
                  </w:r>
                </w:p>
              </w:tc>
              <w:tc>
                <w:tcPr>
                  <w:tcW w:w="0" w:type="auto"/>
                  <w:noWrap w:val="0"/>
                  <w:vAlign w:val="center"/>
                </w:tcPr>
                <w:p w14:paraId="4C509B2D">
                  <w:pPr>
                    <w:pageBreakBefore w:val="0"/>
                    <w:kinsoku/>
                    <w:wordWrap/>
                    <w:topLinePunct w:val="0"/>
                    <w:bidi w:val="0"/>
                    <w:spacing w:line="280" w:lineRule="exact"/>
                    <w:contextualSpacing/>
                    <w:jc w:val="center"/>
                    <w:rPr>
                      <w:spacing w:val="-6"/>
                      <w:szCs w:val="21"/>
                    </w:rPr>
                  </w:pPr>
                  <w:r>
                    <w:rPr>
                      <w:spacing w:val="-6"/>
                      <w:szCs w:val="21"/>
                    </w:rPr>
                    <w:t>≤0.01</w:t>
                  </w:r>
                </w:p>
              </w:tc>
              <w:tc>
                <w:tcPr>
                  <w:tcW w:w="0" w:type="auto"/>
                  <w:noWrap/>
                  <w:vAlign w:val="center"/>
                </w:tcPr>
                <w:p w14:paraId="2C7C49B1">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&lt;0.0004</w:t>
                  </w:r>
                </w:p>
              </w:tc>
              <w:tc>
                <w:tcPr>
                  <w:tcW w:w="0" w:type="auto"/>
                  <w:noWrap/>
                  <w:vAlign w:val="center"/>
                </w:tcPr>
                <w:p w14:paraId="2AEC96E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0.04</w:t>
                  </w:r>
                </w:p>
              </w:tc>
              <w:tc>
                <w:tcPr>
                  <w:tcW w:w="0" w:type="auto"/>
                  <w:noWrap/>
                  <w:vAlign w:val="center"/>
                </w:tcPr>
                <w:p w14:paraId="7E194F3A">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&lt;0.0004</w:t>
                  </w:r>
                </w:p>
              </w:tc>
              <w:tc>
                <w:tcPr>
                  <w:tcW w:w="0" w:type="auto"/>
                  <w:noWrap/>
                  <w:vAlign w:val="center"/>
                </w:tcPr>
                <w:p w14:paraId="6295D87E">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0.04</w:t>
                  </w:r>
                </w:p>
              </w:tc>
              <w:tc>
                <w:tcPr>
                  <w:tcW w:w="0" w:type="auto"/>
                  <w:noWrap/>
                  <w:vAlign w:val="center"/>
                </w:tcPr>
                <w:p w14:paraId="0CFB0000">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&lt;0.0004</w:t>
                  </w:r>
                </w:p>
              </w:tc>
              <w:tc>
                <w:tcPr>
                  <w:tcW w:w="0" w:type="auto"/>
                  <w:noWrap/>
                  <w:vAlign w:val="center"/>
                </w:tcPr>
                <w:p w14:paraId="3337BFD0">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0.04</w:t>
                  </w:r>
                </w:p>
              </w:tc>
            </w:tr>
            <w:tr w14:paraId="3916FC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18E671CA">
                  <w:pPr>
                    <w:pageBreakBefore w:val="0"/>
                    <w:kinsoku/>
                    <w:wordWrap/>
                    <w:topLinePunct w:val="0"/>
                    <w:bidi w:val="0"/>
                    <w:spacing w:line="280" w:lineRule="exact"/>
                    <w:contextualSpacing/>
                    <w:jc w:val="center"/>
                    <w:rPr>
                      <w:spacing w:val="-6"/>
                      <w:szCs w:val="21"/>
                    </w:rPr>
                  </w:pPr>
                  <w:r>
                    <w:rPr>
                      <w:rFonts w:hint="eastAsia"/>
                      <w:spacing w:val="-6"/>
                      <w:szCs w:val="21"/>
                    </w:rPr>
                    <w:t>27</w:t>
                  </w:r>
                </w:p>
              </w:tc>
              <w:tc>
                <w:tcPr>
                  <w:tcW w:w="0" w:type="auto"/>
                  <w:noWrap w:val="0"/>
                  <w:vAlign w:val="center"/>
                </w:tcPr>
                <w:p w14:paraId="270A035A">
                  <w:pPr>
                    <w:pageBreakBefore w:val="0"/>
                    <w:kinsoku/>
                    <w:wordWrap/>
                    <w:topLinePunct w:val="0"/>
                    <w:bidi w:val="0"/>
                    <w:spacing w:line="280" w:lineRule="exact"/>
                    <w:contextualSpacing/>
                    <w:jc w:val="center"/>
                    <w:rPr>
                      <w:spacing w:val="-6"/>
                      <w:szCs w:val="21"/>
                    </w:rPr>
                  </w:pPr>
                  <w:r>
                    <w:rPr>
                      <w:spacing w:val="-6"/>
                      <w:szCs w:val="21"/>
                    </w:rPr>
                    <w:t>镉</w:t>
                  </w:r>
                </w:p>
              </w:tc>
              <w:tc>
                <w:tcPr>
                  <w:tcW w:w="0" w:type="auto"/>
                  <w:noWrap w:val="0"/>
                  <w:vAlign w:val="center"/>
                </w:tcPr>
                <w:p w14:paraId="0DF14D68">
                  <w:pPr>
                    <w:pageBreakBefore w:val="0"/>
                    <w:kinsoku/>
                    <w:wordWrap/>
                    <w:topLinePunct w:val="0"/>
                    <w:bidi w:val="0"/>
                    <w:spacing w:line="280" w:lineRule="exact"/>
                    <w:contextualSpacing/>
                    <w:jc w:val="center"/>
                    <w:rPr>
                      <w:spacing w:val="-6"/>
                      <w:szCs w:val="21"/>
                    </w:rPr>
                  </w:pPr>
                  <w:r>
                    <w:rPr>
                      <w:spacing w:val="-6"/>
                      <w:szCs w:val="21"/>
                    </w:rPr>
                    <w:t>≤0.005</w:t>
                  </w:r>
                </w:p>
              </w:tc>
              <w:tc>
                <w:tcPr>
                  <w:tcW w:w="0" w:type="auto"/>
                  <w:noWrap/>
                  <w:vAlign w:val="center"/>
                </w:tcPr>
                <w:p w14:paraId="66AD8C1D">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&lt;0.00017</w:t>
                  </w:r>
                </w:p>
              </w:tc>
              <w:tc>
                <w:tcPr>
                  <w:tcW w:w="0" w:type="auto"/>
                  <w:noWrap/>
                  <w:vAlign w:val="center"/>
                </w:tcPr>
                <w:p w14:paraId="1370DBDA">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0.034</w:t>
                  </w:r>
                </w:p>
              </w:tc>
              <w:tc>
                <w:tcPr>
                  <w:tcW w:w="0" w:type="auto"/>
                  <w:noWrap/>
                  <w:vAlign w:val="center"/>
                </w:tcPr>
                <w:p w14:paraId="530BB6D4">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&lt;0.00017</w:t>
                  </w:r>
                </w:p>
              </w:tc>
              <w:tc>
                <w:tcPr>
                  <w:tcW w:w="0" w:type="auto"/>
                  <w:noWrap/>
                  <w:vAlign w:val="center"/>
                </w:tcPr>
                <w:p w14:paraId="47ADA7A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0.034</w:t>
                  </w:r>
                </w:p>
              </w:tc>
              <w:tc>
                <w:tcPr>
                  <w:tcW w:w="0" w:type="auto"/>
                  <w:noWrap/>
                  <w:vAlign w:val="center"/>
                </w:tcPr>
                <w:p w14:paraId="45465FF0">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&lt;0.00017</w:t>
                  </w:r>
                </w:p>
              </w:tc>
              <w:tc>
                <w:tcPr>
                  <w:tcW w:w="0" w:type="auto"/>
                  <w:noWrap/>
                  <w:vAlign w:val="center"/>
                </w:tcPr>
                <w:p w14:paraId="6F2569AC">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0.034</w:t>
                  </w:r>
                </w:p>
              </w:tc>
            </w:tr>
            <w:tr w14:paraId="7F746C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6A65D8BD">
                  <w:pPr>
                    <w:pageBreakBefore w:val="0"/>
                    <w:kinsoku/>
                    <w:wordWrap/>
                    <w:topLinePunct w:val="0"/>
                    <w:bidi w:val="0"/>
                    <w:spacing w:line="280" w:lineRule="exact"/>
                    <w:contextualSpacing/>
                    <w:jc w:val="center"/>
                    <w:rPr>
                      <w:spacing w:val="-6"/>
                      <w:szCs w:val="21"/>
                    </w:rPr>
                  </w:pPr>
                  <w:r>
                    <w:rPr>
                      <w:rFonts w:hint="eastAsia"/>
                      <w:spacing w:val="-6"/>
                      <w:szCs w:val="21"/>
                    </w:rPr>
                    <w:t>28</w:t>
                  </w:r>
                </w:p>
              </w:tc>
              <w:tc>
                <w:tcPr>
                  <w:tcW w:w="0" w:type="auto"/>
                  <w:noWrap w:val="0"/>
                  <w:vAlign w:val="center"/>
                </w:tcPr>
                <w:p w14:paraId="4ED63765">
                  <w:pPr>
                    <w:pageBreakBefore w:val="0"/>
                    <w:kinsoku/>
                    <w:wordWrap/>
                    <w:topLinePunct w:val="0"/>
                    <w:bidi w:val="0"/>
                    <w:spacing w:line="280" w:lineRule="exact"/>
                    <w:contextualSpacing/>
                    <w:jc w:val="center"/>
                    <w:rPr>
                      <w:spacing w:val="-6"/>
                      <w:szCs w:val="21"/>
                    </w:rPr>
                  </w:pPr>
                  <w:r>
                    <w:rPr>
                      <w:spacing w:val="-6"/>
                      <w:szCs w:val="21"/>
                    </w:rPr>
                    <w:t>铬</w:t>
                  </w:r>
                  <w:r>
                    <w:rPr>
                      <w:rFonts w:hint="eastAsia"/>
                      <w:spacing w:val="-6"/>
                      <w:szCs w:val="21"/>
                      <w:lang w:val="en-US" w:eastAsia="zh-CN"/>
                    </w:rPr>
                    <w:t>(</w:t>
                  </w:r>
                  <w:r>
                    <w:rPr>
                      <w:spacing w:val="-6"/>
                      <w:szCs w:val="21"/>
                    </w:rPr>
                    <w:t>六价</w:t>
                  </w:r>
                  <w:r>
                    <w:rPr>
                      <w:rFonts w:hint="eastAsia"/>
                      <w:spacing w:val="-6"/>
                      <w:szCs w:val="21"/>
                    </w:rPr>
                    <w:t>)</w:t>
                  </w:r>
                </w:p>
              </w:tc>
              <w:tc>
                <w:tcPr>
                  <w:tcW w:w="0" w:type="auto"/>
                  <w:noWrap w:val="0"/>
                  <w:vAlign w:val="center"/>
                </w:tcPr>
                <w:p w14:paraId="7E4AEFAA">
                  <w:pPr>
                    <w:pageBreakBefore w:val="0"/>
                    <w:kinsoku/>
                    <w:wordWrap/>
                    <w:topLinePunct w:val="0"/>
                    <w:bidi w:val="0"/>
                    <w:spacing w:line="280" w:lineRule="exact"/>
                    <w:contextualSpacing/>
                    <w:jc w:val="center"/>
                    <w:rPr>
                      <w:spacing w:val="-6"/>
                      <w:szCs w:val="21"/>
                    </w:rPr>
                  </w:pPr>
                  <w:r>
                    <w:rPr>
                      <w:spacing w:val="-6"/>
                      <w:szCs w:val="21"/>
                    </w:rPr>
                    <w:t>≤0.05</w:t>
                  </w:r>
                </w:p>
              </w:tc>
              <w:tc>
                <w:tcPr>
                  <w:tcW w:w="0" w:type="auto"/>
                  <w:noWrap/>
                  <w:vAlign w:val="center"/>
                </w:tcPr>
                <w:p w14:paraId="4E30439E">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&lt;0.004</w:t>
                  </w:r>
                </w:p>
              </w:tc>
              <w:tc>
                <w:tcPr>
                  <w:tcW w:w="0" w:type="auto"/>
                  <w:noWrap/>
                  <w:vAlign w:val="center"/>
                </w:tcPr>
                <w:p w14:paraId="049D5D83">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0.08</w:t>
                  </w:r>
                </w:p>
              </w:tc>
              <w:tc>
                <w:tcPr>
                  <w:tcW w:w="0" w:type="auto"/>
                  <w:noWrap/>
                  <w:vAlign w:val="center"/>
                </w:tcPr>
                <w:p w14:paraId="0F9793AD">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&lt;0.004</w:t>
                  </w:r>
                </w:p>
              </w:tc>
              <w:tc>
                <w:tcPr>
                  <w:tcW w:w="0" w:type="auto"/>
                  <w:noWrap/>
                  <w:vAlign w:val="center"/>
                </w:tcPr>
                <w:p w14:paraId="17FEC6F2">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0.08</w:t>
                  </w:r>
                </w:p>
              </w:tc>
              <w:tc>
                <w:tcPr>
                  <w:tcW w:w="0" w:type="auto"/>
                  <w:noWrap/>
                  <w:vAlign w:val="center"/>
                </w:tcPr>
                <w:p w14:paraId="3D7CDDEA">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&lt;0.004</w:t>
                  </w:r>
                </w:p>
              </w:tc>
              <w:tc>
                <w:tcPr>
                  <w:tcW w:w="0" w:type="auto"/>
                  <w:noWrap/>
                  <w:vAlign w:val="center"/>
                </w:tcPr>
                <w:p w14:paraId="52EFA2A5">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0.08</w:t>
                  </w:r>
                </w:p>
              </w:tc>
            </w:tr>
            <w:tr w14:paraId="730EFB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7DB27E4E">
                  <w:pPr>
                    <w:pageBreakBefore w:val="0"/>
                    <w:kinsoku/>
                    <w:wordWrap/>
                    <w:topLinePunct w:val="0"/>
                    <w:bidi w:val="0"/>
                    <w:spacing w:line="280" w:lineRule="exact"/>
                    <w:contextualSpacing/>
                    <w:jc w:val="center"/>
                    <w:rPr>
                      <w:spacing w:val="-6"/>
                      <w:szCs w:val="21"/>
                    </w:rPr>
                  </w:pPr>
                  <w:r>
                    <w:rPr>
                      <w:rFonts w:hint="eastAsia"/>
                      <w:spacing w:val="-6"/>
                      <w:szCs w:val="21"/>
                    </w:rPr>
                    <w:t>29</w:t>
                  </w:r>
                </w:p>
              </w:tc>
              <w:tc>
                <w:tcPr>
                  <w:tcW w:w="0" w:type="auto"/>
                  <w:noWrap w:val="0"/>
                  <w:vAlign w:val="center"/>
                </w:tcPr>
                <w:p w14:paraId="30E2D622">
                  <w:pPr>
                    <w:pageBreakBefore w:val="0"/>
                    <w:kinsoku/>
                    <w:wordWrap/>
                    <w:topLinePunct w:val="0"/>
                    <w:bidi w:val="0"/>
                    <w:spacing w:line="280" w:lineRule="exact"/>
                    <w:contextualSpacing/>
                    <w:jc w:val="center"/>
                    <w:rPr>
                      <w:spacing w:val="-6"/>
                      <w:szCs w:val="21"/>
                    </w:rPr>
                  </w:pPr>
                  <w:r>
                    <w:rPr>
                      <w:spacing w:val="-6"/>
                      <w:szCs w:val="21"/>
                    </w:rPr>
                    <w:t>铅</w:t>
                  </w:r>
                </w:p>
              </w:tc>
              <w:tc>
                <w:tcPr>
                  <w:tcW w:w="0" w:type="auto"/>
                  <w:noWrap w:val="0"/>
                  <w:vAlign w:val="center"/>
                </w:tcPr>
                <w:p w14:paraId="0815D42D">
                  <w:pPr>
                    <w:pageBreakBefore w:val="0"/>
                    <w:kinsoku/>
                    <w:wordWrap/>
                    <w:topLinePunct w:val="0"/>
                    <w:bidi w:val="0"/>
                    <w:spacing w:line="280" w:lineRule="exact"/>
                    <w:contextualSpacing/>
                    <w:jc w:val="center"/>
                    <w:rPr>
                      <w:spacing w:val="-6"/>
                      <w:szCs w:val="21"/>
                    </w:rPr>
                  </w:pPr>
                  <w:r>
                    <w:rPr>
                      <w:spacing w:val="-6"/>
                      <w:szCs w:val="21"/>
                    </w:rPr>
                    <w:t>≤0.01</w:t>
                  </w:r>
                </w:p>
              </w:tc>
              <w:tc>
                <w:tcPr>
                  <w:tcW w:w="0" w:type="auto"/>
                  <w:noWrap/>
                  <w:vAlign w:val="center"/>
                </w:tcPr>
                <w:p w14:paraId="09ADCE1B">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&lt;0.00124</w:t>
                  </w:r>
                </w:p>
              </w:tc>
              <w:tc>
                <w:tcPr>
                  <w:tcW w:w="0" w:type="auto"/>
                  <w:noWrap/>
                  <w:vAlign w:val="center"/>
                </w:tcPr>
                <w:p w14:paraId="4A156B5C">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0.124</w:t>
                  </w:r>
                </w:p>
              </w:tc>
              <w:tc>
                <w:tcPr>
                  <w:tcW w:w="0" w:type="auto"/>
                  <w:noWrap/>
                  <w:vAlign w:val="center"/>
                </w:tcPr>
                <w:p w14:paraId="4539E4B6">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&lt;0.00124</w:t>
                  </w:r>
                </w:p>
              </w:tc>
              <w:tc>
                <w:tcPr>
                  <w:tcW w:w="0" w:type="auto"/>
                  <w:noWrap/>
                  <w:vAlign w:val="center"/>
                </w:tcPr>
                <w:p w14:paraId="7C9FDADB">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0.124</w:t>
                  </w:r>
                </w:p>
              </w:tc>
              <w:tc>
                <w:tcPr>
                  <w:tcW w:w="0" w:type="auto"/>
                  <w:noWrap/>
                  <w:vAlign w:val="center"/>
                </w:tcPr>
                <w:p w14:paraId="241A7E17">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&lt;0.00124</w:t>
                  </w:r>
                </w:p>
              </w:tc>
              <w:tc>
                <w:tcPr>
                  <w:tcW w:w="0" w:type="auto"/>
                  <w:noWrap/>
                  <w:vAlign w:val="center"/>
                </w:tcPr>
                <w:p w14:paraId="23E58E24">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0.124</w:t>
                  </w:r>
                </w:p>
              </w:tc>
            </w:tr>
            <w:tr w14:paraId="4AF275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107A0785">
                  <w:pPr>
                    <w:pageBreakBefore w:val="0"/>
                    <w:kinsoku/>
                    <w:wordWrap/>
                    <w:topLinePunct w:val="0"/>
                    <w:bidi w:val="0"/>
                    <w:spacing w:line="280" w:lineRule="exact"/>
                    <w:contextualSpacing/>
                    <w:jc w:val="center"/>
                    <w:rPr>
                      <w:spacing w:val="-6"/>
                      <w:szCs w:val="21"/>
                    </w:rPr>
                  </w:pPr>
                  <w:r>
                    <w:rPr>
                      <w:rFonts w:hint="eastAsia"/>
                      <w:spacing w:val="-6"/>
                      <w:szCs w:val="21"/>
                    </w:rPr>
                    <w:t>30</w:t>
                  </w:r>
                </w:p>
              </w:tc>
              <w:tc>
                <w:tcPr>
                  <w:tcW w:w="0" w:type="auto"/>
                  <w:noWrap w:val="0"/>
                  <w:vAlign w:val="center"/>
                </w:tcPr>
                <w:p w14:paraId="2D573478">
                  <w:pPr>
                    <w:pageBreakBefore w:val="0"/>
                    <w:kinsoku/>
                    <w:wordWrap/>
                    <w:topLinePunct w:val="0"/>
                    <w:bidi w:val="0"/>
                    <w:spacing w:line="280" w:lineRule="exact"/>
                    <w:contextualSpacing/>
                    <w:jc w:val="center"/>
                    <w:rPr>
                      <w:spacing w:val="-6"/>
                      <w:szCs w:val="21"/>
                    </w:rPr>
                  </w:pPr>
                  <w:r>
                    <w:rPr>
                      <w:spacing w:val="-6"/>
                      <w:szCs w:val="21"/>
                    </w:rPr>
                    <w:t>三氯甲烷</w:t>
                  </w:r>
                </w:p>
              </w:tc>
              <w:tc>
                <w:tcPr>
                  <w:tcW w:w="0" w:type="auto"/>
                  <w:noWrap w:val="0"/>
                  <w:vAlign w:val="center"/>
                </w:tcPr>
                <w:p w14:paraId="34AF66FE">
                  <w:pPr>
                    <w:pageBreakBefore w:val="0"/>
                    <w:kinsoku/>
                    <w:wordWrap/>
                    <w:topLinePunct w:val="0"/>
                    <w:bidi w:val="0"/>
                    <w:spacing w:line="280" w:lineRule="exact"/>
                    <w:contextualSpacing/>
                    <w:jc w:val="center"/>
                    <w:rPr>
                      <w:spacing w:val="-6"/>
                      <w:szCs w:val="21"/>
                    </w:rPr>
                  </w:pPr>
                  <w:r>
                    <w:rPr>
                      <w:spacing w:val="-6"/>
                      <w:szCs w:val="21"/>
                    </w:rPr>
                    <w:t>≤</w:t>
                  </w:r>
                  <w:r>
                    <w:rPr>
                      <w:rFonts w:hint="eastAsia"/>
                      <w:spacing w:val="-6"/>
                      <w:szCs w:val="21"/>
                    </w:rPr>
                    <w:t>0.0</w:t>
                  </w:r>
                  <w:r>
                    <w:rPr>
                      <w:spacing w:val="-6"/>
                      <w:szCs w:val="21"/>
                    </w:rPr>
                    <w:t>60</w:t>
                  </w:r>
                </w:p>
              </w:tc>
              <w:tc>
                <w:tcPr>
                  <w:tcW w:w="0" w:type="auto"/>
                  <w:noWrap/>
                  <w:vAlign w:val="center"/>
                </w:tcPr>
                <w:p w14:paraId="5E61EE4C">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&lt;0.000032</w:t>
                  </w:r>
                </w:p>
              </w:tc>
              <w:tc>
                <w:tcPr>
                  <w:tcW w:w="0" w:type="auto"/>
                  <w:noWrap/>
                  <w:vAlign w:val="center"/>
                </w:tcPr>
                <w:p w14:paraId="5C2B58D1">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0.0005</w:t>
                  </w:r>
                </w:p>
              </w:tc>
              <w:tc>
                <w:tcPr>
                  <w:tcW w:w="0" w:type="auto"/>
                  <w:noWrap/>
                  <w:vAlign w:val="center"/>
                </w:tcPr>
                <w:p w14:paraId="76CA9F7B">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&lt;0.000032</w:t>
                  </w:r>
                </w:p>
              </w:tc>
              <w:tc>
                <w:tcPr>
                  <w:tcW w:w="0" w:type="auto"/>
                  <w:noWrap/>
                  <w:vAlign w:val="center"/>
                </w:tcPr>
                <w:p w14:paraId="4E5AF2AD">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0.0005</w:t>
                  </w:r>
                </w:p>
              </w:tc>
              <w:tc>
                <w:tcPr>
                  <w:tcW w:w="0" w:type="auto"/>
                  <w:noWrap/>
                  <w:vAlign w:val="center"/>
                </w:tcPr>
                <w:p w14:paraId="05B43723">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&lt;0.000032</w:t>
                  </w:r>
                </w:p>
              </w:tc>
              <w:tc>
                <w:tcPr>
                  <w:tcW w:w="0" w:type="auto"/>
                  <w:noWrap/>
                  <w:vAlign w:val="center"/>
                </w:tcPr>
                <w:p w14:paraId="20B7288F">
                  <w:pPr>
                    <w:pageBreakBefore w:val="0"/>
                    <w:kinsoku/>
                    <w:wordWrap/>
                    <w:topLinePunct w:val="0"/>
                    <w:bidi w:val="0"/>
                    <w:spacing w:line="280" w:lineRule="exact"/>
                    <w:contextualSpacing/>
                    <w:jc w:val="center"/>
                    <w:rPr>
                      <w:spacing w:val="-6"/>
                      <w:szCs w:val="21"/>
                    </w:rPr>
                  </w:pPr>
                  <w:r>
                    <w:rPr>
                      <w:rFonts w:hint="eastAsia"/>
                      <w:spacing w:val="-6"/>
                      <w:szCs w:val="21"/>
                      <w:lang w:val="en-US" w:eastAsia="zh-CN"/>
                    </w:rPr>
                    <w:t>0.0005</w:t>
                  </w:r>
                </w:p>
              </w:tc>
            </w:tr>
            <w:tr w14:paraId="237C8F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1B45FD61">
                  <w:pPr>
                    <w:pageBreakBefore w:val="0"/>
                    <w:kinsoku/>
                    <w:wordWrap/>
                    <w:topLinePunct w:val="0"/>
                    <w:bidi w:val="0"/>
                    <w:spacing w:line="280" w:lineRule="exact"/>
                    <w:contextualSpacing/>
                    <w:jc w:val="center"/>
                    <w:rPr>
                      <w:spacing w:val="-6"/>
                      <w:szCs w:val="21"/>
                    </w:rPr>
                  </w:pPr>
                  <w:r>
                    <w:rPr>
                      <w:rFonts w:hint="eastAsia"/>
                      <w:spacing w:val="-6"/>
                      <w:szCs w:val="21"/>
                    </w:rPr>
                    <w:t>31</w:t>
                  </w:r>
                </w:p>
              </w:tc>
              <w:tc>
                <w:tcPr>
                  <w:tcW w:w="0" w:type="auto"/>
                  <w:noWrap w:val="0"/>
                  <w:vAlign w:val="center"/>
                </w:tcPr>
                <w:p w14:paraId="49018494">
                  <w:pPr>
                    <w:pageBreakBefore w:val="0"/>
                    <w:kinsoku/>
                    <w:wordWrap/>
                    <w:topLinePunct w:val="0"/>
                    <w:bidi w:val="0"/>
                    <w:spacing w:line="280" w:lineRule="exact"/>
                    <w:contextualSpacing/>
                    <w:jc w:val="center"/>
                    <w:rPr>
                      <w:spacing w:val="-6"/>
                      <w:szCs w:val="21"/>
                    </w:rPr>
                  </w:pPr>
                  <w:r>
                    <w:rPr>
                      <w:spacing w:val="-6"/>
                      <w:szCs w:val="21"/>
                    </w:rPr>
                    <w:t>四氯化碳</w:t>
                  </w:r>
                </w:p>
              </w:tc>
              <w:tc>
                <w:tcPr>
                  <w:tcW w:w="0" w:type="auto"/>
                  <w:noWrap w:val="0"/>
                  <w:vAlign w:val="center"/>
                </w:tcPr>
                <w:p w14:paraId="15C984AA">
                  <w:pPr>
                    <w:pageBreakBefore w:val="0"/>
                    <w:kinsoku/>
                    <w:wordWrap/>
                    <w:topLinePunct w:val="0"/>
                    <w:bidi w:val="0"/>
                    <w:spacing w:line="280" w:lineRule="exact"/>
                    <w:contextualSpacing/>
                    <w:jc w:val="center"/>
                    <w:rPr>
                      <w:spacing w:val="-6"/>
                      <w:szCs w:val="21"/>
                    </w:rPr>
                  </w:pPr>
                  <w:r>
                    <w:rPr>
                      <w:spacing w:val="-6"/>
                      <w:szCs w:val="21"/>
                    </w:rPr>
                    <w:t>≤</w:t>
                  </w:r>
                  <w:r>
                    <w:rPr>
                      <w:rFonts w:hint="eastAsia"/>
                      <w:spacing w:val="-6"/>
                      <w:szCs w:val="21"/>
                    </w:rPr>
                    <w:t>0.00</w:t>
                  </w:r>
                  <w:r>
                    <w:rPr>
                      <w:spacing w:val="-6"/>
                      <w:szCs w:val="21"/>
                    </w:rPr>
                    <w:t>2</w:t>
                  </w:r>
                </w:p>
              </w:tc>
              <w:tc>
                <w:tcPr>
                  <w:tcW w:w="0" w:type="auto"/>
                  <w:noWrap/>
                  <w:vAlign w:val="center"/>
                </w:tcPr>
                <w:p w14:paraId="4E918BA2">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&lt;0.0000056</w:t>
                  </w:r>
                </w:p>
              </w:tc>
              <w:tc>
                <w:tcPr>
                  <w:tcW w:w="0" w:type="auto"/>
                  <w:noWrap/>
                  <w:vAlign w:val="center"/>
                </w:tcPr>
                <w:p w14:paraId="24DCAE0B">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0.0028</w:t>
                  </w:r>
                </w:p>
              </w:tc>
              <w:tc>
                <w:tcPr>
                  <w:tcW w:w="0" w:type="auto"/>
                  <w:noWrap/>
                  <w:vAlign w:val="center"/>
                </w:tcPr>
                <w:p w14:paraId="58DFCA1B">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&lt;0.0000056</w:t>
                  </w:r>
                </w:p>
              </w:tc>
              <w:tc>
                <w:tcPr>
                  <w:tcW w:w="0" w:type="auto"/>
                  <w:noWrap/>
                  <w:vAlign w:val="center"/>
                </w:tcPr>
                <w:p w14:paraId="2F04A35E">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0.0028</w:t>
                  </w:r>
                </w:p>
              </w:tc>
              <w:tc>
                <w:tcPr>
                  <w:tcW w:w="0" w:type="auto"/>
                  <w:noWrap/>
                  <w:vAlign w:val="center"/>
                </w:tcPr>
                <w:p w14:paraId="494C90A0">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&lt;0.0000056</w:t>
                  </w:r>
                </w:p>
              </w:tc>
              <w:tc>
                <w:tcPr>
                  <w:tcW w:w="0" w:type="auto"/>
                  <w:noWrap/>
                  <w:vAlign w:val="center"/>
                </w:tcPr>
                <w:p w14:paraId="796975B9">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0.0028</w:t>
                  </w:r>
                </w:p>
              </w:tc>
            </w:tr>
            <w:tr w14:paraId="6FD126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7E8EFA55">
                  <w:pPr>
                    <w:pageBreakBefore w:val="0"/>
                    <w:kinsoku/>
                    <w:wordWrap/>
                    <w:topLinePunct w:val="0"/>
                    <w:bidi w:val="0"/>
                    <w:spacing w:line="280" w:lineRule="exact"/>
                    <w:contextualSpacing/>
                    <w:jc w:val="center"/>
                    <w:rPr>
                      <w:spacing w:val="-6"/>
                      <w:szCs w:val="21"/>
                    </w:rPr>
                  </w:pPr>
                  <w:r>
                    <w:rPr>
                      <w:rFonts w:hint="eastAsia"/>
                      <w:spacing w:val="-6"/>
                      <w:szCs w:val="21"/>
                    </w:rPr>
                    <w:t>32</w:t>
                  </w:r>
                </w:p>
              </w:tc>
              <w:tc>
                <w:tcPr>
                  <w:tcW w:w="0" w:type="auto"/>
                  <w:noWrap w:val="0"/>
                  <w:vAlign w:val="center"/>
                </w:tcPr>
                <w:p w14:paraId="23344D8C">
                  <w:pPr>
                    <w:pageBreakBefore w:val="0"/>
                    <w:kinsoku/>
                    <w:wordWrap/>
                    <w:topLinePunct w:val="0"/>
                    <w:bidi w:val="0"/>
                    <w:spacing w:line="280" w:lineRule="exact"/>
                    <w:contextualSpacing/>
                    <w:jc w:val="center"/>
                    <w:rPr>
                      <w:spacing w:val="-6"/>
                      <w:szCs w:val="21"/>
                    </w:rPr>
                  </w:pPr>
                  <w:r>
                    <w:rPr>
                      <w:spacing w:val="-6"/>
                      <w:szCs w:val="21"/>
                    </w:rPr>
                    <w:t>苯</w:t>
                  </w:r>
                </w:p>
              </w:tc>
              <w:tc>
                <w:tcPr>
                  <w:tcW w:w="0" w:type="auto"/>
                  <w:noWrap w:val="0"/>
                  <w:vAlign w:val="center"/>
                </w:tcPr>
                <w:p w14:paraId="03F686D2">
                  <w:pPr>
                    <w:pageBreakBefore w:val="0"/>
                    <w:kinsoku/>
                    <w:wordWrap/>
                    <w:topLinePunct w:val="0"/>
                    <w:bidi w:val="0"/>
                    <w:spacing w:line="280" w:lineRule="exact"/>
                    <w:contextualSpacing/>
                    <w:jc w:val="center"/>
                    <w:rPr>
                      <w:spacing w:val="-6"/>
                      <w:szCs w:val="21"/>
                    </w:rPr>
                  </w:pPr>
                  <w:r>
                    <w:rPr>
                      <w:spacing w:val="-6"/>
                      <w:szCs w:val="21"/>
                    </w:rPr>
                    <w:t>≤</w:t>
                  </w:r>
                  <w:r>
                    <w:rPr>
                      <w:rFonts w:hint="eastAsia"/>
                      <w:spacing w:val="-6"/>
                      <w:szCs w:val="21"/>
                    </w:rPr>
                    <w:t>0.0</w:t>
                  </w:r>
                  <w:r>
                    <w:rPr>
                      <w:spacing w:val="-6"/>
                      <w:szCs w:val="21"/>
                    </w:rPr>
                    <w:t>10</w:t>
                  </w:r>
                </w:p>
              </w:tc>
              <w:tc>
                <w:tcPr>
                  <w:tcW w:w="0" w:type="auto"/>
                  <w:noWrap/>
                  <w:vAlign w:val="center"/>
                </w:tcPr>
                <w:p w14:paraId="314FBE49">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&lt;0.00469</w:t>
                  </w:r>
                </w:p>
              </w:tc>
              <w:tc>
                <w:tcPr>
                  <w:tcW w:w="0" w:type="auto"/>
                  <w:noWrap/>
                  <w:vAlign w:val="center"/>
                </w:tcPr>
                <w:p w14:paraId="2C850219">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0.469</w:t>
                  </w:r>
                </w:p>
              </w:tc>
              <w:tc>
                <w:tcPr>
                  <w:tcW w:w="0" w:type="auto"/>
                  <w:noWrap/>
                  <w:vAlign w:val="center"/>
                </w:tcPr>
                <w:p w14:paraId="4BFBCB30">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&lt;0.00469</w:t>
                  </w:r>
                </w:p>
              </w:tc>
              <w:tc>
                <w:tcPr>
                  <w:tcW w:w="0" w:type="auto"/>
                  <w:noWrap/>
                  <w:vAlign w:val="center"/>
                </w:tcPr>
                <w:p w14:paraId="3309B54A">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0.469</w:t>
                  </w:r>
                </w:p>
              </w:tc>
              <w:tc>
                <w:tcPr>
                  <w:tcW w:w="0" w:type="auto"/>
                  <w:noWrap/>
                  <w:vAlign w:val="center"/>
                </w:tcPr>
                <w:p w14:paraId="0B4FA9A8">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&lt;0.00469</w:t>
                  </w:r>
                </w:p>
              </w:tc>
              <w:tc>
                <w:tcPr>
                  <w:tcW w:w="0" w:type="auto"/>
                  <w:noWrap/>
                  <w:vAlign w:val="center"/>
                </w:tcPr>
                <w:p w14:paraId="52544A1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0.469</w:t>
                  </w:r>
                </w:p>
              </w:tc>
            </w:tr>
            <w:tr w14:paraId="66FBA1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010D3B44">
                  <w:pPr>
                    <w:pageBreakBefore w:val="0"/>
                    <w:kinsoku/>
                    <w:wordWrap/>
                    <w:topLinePunct w:val="0"/>
                    <w:bidi w:val="0"/>
                    <w:spacing w:line="280" w:lineRule="exact"/>
                    <w:contextualSpacing/>
                    <w:jc w:val="center"/>
                    <w:rPr>
                      <w:spacing w:val="-6"/>
                      <w:szCs w:val="21"/>
                    </w:rPr>
                  </w:pPr>
                  <w:r>
                    <w:rPr>
                      <w:rFonts w:hint="eastAsia"/>
                      <w:spacing w:val="-6"/>
                      <w:szCs w:val="21"/>
                    </w:rPr>
                    <w:t>33</w:t>
                  </w:r>
                </w:p>
              </w:tc>
              <w:tc>
                <w:tcPr>
                  <w:tcW w:w="0" w:type="auto"/>
                  <w:noWrap w:val="0"/>
                  <w:vAlign w:val="center"/>
                </w:tcPr>
                <w:p w14:paraId="7526D6ED">
                  <w:pPr>
                    <w:pageBreakBefore w:val="0"/>
                    <w:kinsoku/>
                    <w:wordWrap/>
                    <w:topLinePunct w:val="0"/>
                    <w:bidi w:val="0"/>
                    <w:spacing w:line="280" w:lineRule="exact"/>
                    <w:contextualSpacing/>
                    <w:jc w:val="center"/>
                    <w:rPr>
                      <w:spacing w:val="-6"/>
                      <w:szCs w:val="21"/>
                    </w:rPr>
                  </w:pPr>
                  <w:r>
                    <w:rPr>
                      <w:spacing w:val="-6"/>
                      <w:szCs w:val="21"/>
                    </w:rPr>
                    <w:t>甲苯</w:t>
                  </w:r>
                </w:p>
              </w:tc>
              <w:tc>
                <w:tcPr>
                  <w:tcW w:w="0" w:type="auto"/>
                  <w:noWrap w:val="0"/>
                  <w:vAlign w:val="center"/>
                </w:tcPr>
                <w:p w14:paraId="0488AA30">
                  <w:pPr>
                    <w:pageBreakBefore w:val="0"/>
                    <w:kinsoku/>
                    <w:wordWrap/>
                    <w:topLinePunct w:val="0"/>
                    <w:bidi w:val="0"/>
                    <w:spacing w:line="280" w:lineRule="exact"/>
                    <w:contextualSpacing/>
                    <w:jc w:val="center"/>
                    <w:rPr>
                      <w:spacing w:val="-6"/>
                      <w:szCs w:val="21"/>
                    </w:rPr>
                  </w:pPr>
                  <w:r>
                    <w:rPr>
                      <w:spacing w:val="-6"/>
                      <w:szCs w:val="21"/>
                    </w:rPr>
                    <w:t>≤</w:t>
                  </w:r>
                  <w:r>
                    <w:rPr>
                      <w:rFonts w:hint="eastAsia"/>
                      <w:spacing w:val="-6"/>
                      <w:szCs w:val="21"/>
                    </w:rPr>
                    <w:t>0.</w:t>
                  </w:r>
                  <w:r>
                    <w:rPr>
                      <w:spacing w:val="-6"/>
                      <w:szCs w:val="21"/>
                    </w:rPr>
                    <w:t>7</w:t>
                  </w:r>
                </w:p>
              </w:tc>
              <w:tc>
                <w:tcPr>
                  <w:tcW w:w="0" w:type="auto"/>
                  <w:noWrap/>
                  <w:vAlign w:val="center"/>
                </w:tcPr>
                <w:p w14:paraId="191C2EA6">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&lt;0.00313</w:t>
                  </w:r>
                </w:p>
              </w:tc>
              <w:tc>
                <w:tcPr>
                  <w:tcW w:w="0" w:type="auto"/>
                  <w:noWrap/>
                  <w:vAlign w:val="center"/>
                </w:tcPr>
                <w:p w14:paraId="499EF36A">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0.0045</w:t>
                  </w:r>
                </w:p>
              </w:tc>
              <w:tc>
                <w:tcPr>
                  <w:tcW w:w="0" w:type="auto"/>
                  <w:noWrap/>
                  <w:vAlign w:val="center"/>
                </w:tcPr>
                <w:p w14:paraId="022FA2AF">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&lt;0.00313</w:t>
                  </w:r>
                </w:p>
              </w:tc>
              <w:tc>
                <w:tcPr>
                  <w:tcW w:w="0" w:type="auto"/>
                  <w:noWrap/>
                  <w:vAlign w:val="center"/>
                </w:tcPr>
                <w:p w14:paraId="2F7117EF">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0.0045</w:t>
                  </w:r>
                </w:p>
              </w:tc>
              <w:tc>
                <w:tcPr>
                  <w:tcW w:w="0" w:type="auto"/>
                  <w:noWrap/>
                  <w:vAlign w:val="center"/>
                </w:tcPr>
                <w:p w14:paraId="687800A7">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&lt;0.00313</w:t>
                  </w:r>
                </w:p>
              </w:tc>
              <w:tc>
                <w:tcPr>
                  <w:tcW w:w="0" w:type="auto"/>
                  <w:noWrap/>
                  <w:vAlign w:val="center"/>
                </w:tcPr>
                <w:p w14:paraId="2AB537E6">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0.0045</w:t>
                  </w:r>
                </w:p>
              </w:tc>
            </w:tr>
            <w:tr w14:paraId="3EF3F1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5B704024">
                  <w:pPr>
                    <w:pageBreakBefore w:val="0"/>
                    <w:kinsoku/>
                    <w:wordWrap/>
                    <w:topLinePunct w:val="0"/>
                    <w:bidi w:val="0"/>
                    <w:spacing w:line="280" w:lineRule="exact"/>
                    <w:contextualSpacing/>
                    <w:jc w:val="center"/>
                    <w:rPr>
                      <w:spacing w:val="-6"/>
                      <w:szCs w:val="21"/>
                    </w:rPr>
                  </w:pPr>
                  <w:r>
                    <w:rPr>
                      <w:rFonts w:hint="eastAsia"/>
                      <w:spacing w:val="-6"/>
                      <w:szCs w:val="21"/>
                    </w:rPr>
                    <w:t>34</w:t>
                  </w:r>
                </w:p>
              </w:tc>
              <w:tc>
                <w:tcPr>
                  <w:tcW w:w="0" w:type="auto"/>
                  <w:noWrap w:val="0"/>
                  <w:vAlign w:val="center"/>
                </w:tcPr>
                <w:p w14:paraId="7458118E">
                  <w:pPr>
                    <w:pageBreakBefore w:val="0"/>
                    <w:kinsoku/>
                    <w:wordWrap/>
                    <w:topLinePunct w:val="0"/>
                    <w:bidi w:val="0"/>
                    <w:spacing w:line="280" w:lineRule="exact"/>
                    <w:contextualSpacing/>
                    <w:jc w:val="center"/>
                    <w:rPr>
                      <w:spacing w:val="-6"/>
                      <w:szCs w:val="21"/>
                    </w:rPr>
                  </w:pPr>
                  <w:r>
                    <w:rPr>
                      <w:spacing w:val="-6"/>
                      <w:szCs w:val="21"/>
                    </w:rPr>
                    <w:t>K</w:t>
                  </w:r>
                  <w:r>
                    <w:rPr>
                      <w:spacing w:val="-6"/>
                      <w:szCs w:val="21"/>
                      <w:vertAlign w:val="superscript"/>
                    </w:rPr>
                    <w:t>+</w:t>
                  </w:r>
                </w:p>
              </w:tc>
              <w:tc>
                <w:tcPr>
                  <w:tcW w:w="0" w:type="auto"/>
                  <w:noWrap w:val="0"/>
                  <w:vAlign w:val="center"/>
                </w:tcPr>
                <w:p w14:paraId="7CB4C9F7">
                  <w:pPr>
                    <w:pageBreakBefore w:val="0"/>
                    <w:kinsoku/>
                    <w:wordWrap/>
                    <w:topLinePunct w:val="0"/>
                    <w:bidi w:val="0"/>
                    <w:spacing w:line="280" w:lineRule="exact"/>
                    <w:contextualSpacing/>
                    <w:jc w:val="center"/>
                    <w:rPr>
                      <w:spacing w:val="-6"/>
                      <w:szCs w:val="21"/>
                    </w:rPr>
                  </w:pPr>
                  <w:r>
                    <w:rPr>
                      <w:spacing w:val="-6"/>
                      <w:szCs w:val="21"/>
                    </w:rPr>
                    <w:t>/</w:t>
                  </w:r>
                </w:p>
              </w:tc>
              <w:tc>
                <w:tcPr>
                  <w:tcW w:w="0" w:type="auto"/>
                  <w:noWrap/>
                  <w:vAlign w:val="center"/>
                </w:tcPr>
                <w:p w14:paraId="3BF03CAC">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11.0</w:t>
                  </w:r>
                </w:p>
              </w:tc>
              <w:tc>
                <w:tcPr>
                  <w:tcW w:w="0" w:type="auto"/>
                  <w:noWrap/>
                  <w:vAlign w:val="center"/>
                </w:tcPr>
                <w:p w14:paraId="6C494055">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1F7D7023">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9.12</w:t>
                  </w:r>
                </w:p>
              </w:tc>
              <w:tc>
                <w:tcPr>
                  <w:tcW w:w="0" w:type="auto"/>
                  <w:noWrap/>
                  <w:vAlign w:val="center"/>
                </w:tcPr>
                <w:p w14:paraId="36651CA3">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73F78796">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10.2</w:t>
                  </w:r>
                </w:p>
              </w:tc>
              <w:tc>
                <w:tcPr>
                  <w:tcW w:w="0" w:type="auto"/>
                  <w:noWrap/>
                  <w:vAlign w:val="center"/>
                </w:tcPr>
                <w:p w14:paraId="250FADBF">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r>
            <w:tr w14:paraId="29552B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4B601007">
                  <w:pPr>
                    <w:pageBreakBefore w:val="0"/>
                    <w:kinsoku/>
                    <w:wordWrap/>
                    <w:topLinePunct w:val="0"/>
                    <w:bidi w:val="0"/>
                    <w:spacing w:line="280" w:lineRule="exact"/>
                    <w:contextualSpacing/>
                    <w:jc w:val="center"/>
                    <w:rPr>
                      <w:spacing w:val="-6"/>
                      <w:szCs w:val="21"/>
                    </w:rPr>
                  </w:pPr>
                  <w:r>
                    <w:rPr>
                      <w:rFonts w:hint="eastAsia"/>
                      <w:spacing w:val="-6"/>
                      <w:szCs w:val="21"/>
                    </w:rPr>
                    <w:t>35</w:t>
                  </w:r>
                </w:p>
              </w:tc>
              <w:tc>
                <w:tcPr>
                  <w:tcW w:w="0" w:type="auto"/>
                  <w:noWrap w:val="0"/>
                  <w:vAlign w:val="center"/>
                </w:tcPr>
                <w:p w14:paraId="5650DB69">
                  <w:pPr>
                    <w:pageBreakBefore w:val="0"/>
                    <w:kinsoku/>
                    <w:wordWrap/>
                    <w:topLinePunct w:val="0"/>
                    <w:bidi w:val="0"/>
                    <w:spacing w:line="280" w:lineRule="exact"/>
                    <w:contextualSpacing/>
                    <w:jc w:val="center"/>
                    <w:rPr>
                      <w:spacing w:val="-6"/>
                      <w:szCs w:val="21"/>
                    </w:rPr>
                  </w:pPr>
                  <w:r>
                    <w:rPr>
                      <w:spacing w:val="-6"/>
                      <w:szCs w:val="21"/>
                    </w:rPr>
                    <w:t>Ca</w:t>
                  </w:r>
                  <w:r>
                    <w:rPr>
                      <w:spacing w:val="-6"/>
                      <w:szCs w:val="21"/>
                      <w:vertAlign w:val="superscript"/>
                    </w:rPr>
                    <w:t>2+</w:t>
                  </w:r>
                </w:p>
              </w:tc>
              <w:tc>
                <w:tcPr>
                  <w:tcW w:w="0" w:type="auto"/>
                  <w:noWrap w:val="0"/>
                  <w:vAlign w:val="center"/>
                </w:tcPr>
                <w:p w14:paraId="38D2D405">
                  <w:pPr>
                    <w:pageBreakBefore w:val="0"/>
                    <w:kinsoku/>
                    <w:wordWrap/>
                    <w:topLinePunct w:val="0"/>
                    <w:bidi w:val="0"/>
                    <w:spacing w:line="280" w:lineRule="exact"/>
                    <w:contextualSpacing/>
                    <w:jc w:val="center"/>
                    <w:rPr>
                      <w:spacing w:val="-6"/>
                      <w:szCs w:val="21"/>
                    </w:rPr>
                  </w:pPr>
                  <w:r>
                    <w:rPr>
                      <w:spacing w:val="-6"/>
                      <w:szCs w:val="21"/>
                    </w:rPr>
                    <w:t>/</w:t>
                  </w:r>
                </w:p>
              </w:tc>
              <w:tc>
                <w:tcPr>
                  <w:tcW w:w="0" w:type="auto"/>
                  <w:noWrap/>
                  <w:vAlign w:val="center"/>
                </w:tcPr>
                <w:p w14:paraId="06722733">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38.8</w:t>
                  </w:r>
                </w:p>
              </w:tc>
              <w:tc>
                <w:tcPr>
                  <w:tcW w:w="0" w:type="auto"/>
                  <w:noWrap/>
                  <w:vAlign w:val="center"/>
                </w:tcPr>
                <w:p w14:paraId="62033713">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049F59B2">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33.7</w:t>
                  </w:r>
                </w:p>
              </w:tc>
              <w:tc>
                <w:tcPr>
                  <w:tcW w:w="0" w:type="auto"/>
                  <w:noWrap/>
                  <w:vAlign w:val="center"/>
                </w:tcPr>
                <w:p w14:paraId="3D5F2C61">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02C3779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13.1</w:t>
                  </w:r>
                </w:p>
              </w:tc>
              <w:tc>
                <w:tcPr>
                  <w:tcW w:w="0" w:type="auto"/>
                  <w:noWrap/>
                  <w:vAlign w:val="center"/>
                </w:tcPr>
                <w:p w14:paraId="528C4EA1">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r>
            <w:tr w14:paraId="0C27E8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712A3094">
                  <w:pPr>
                    <w:pageBreakBefore w:val="0"/>
                    <w:kinsoku/>
                    <w:wordWrap/>
                    <w:topLinePunct w:val="0"/>
                    <w:bidi w:val="0"/>
                    <w:spacing w:line="280" w:lineRule="exact"/>
                    <w:contextualSpacing/>
                    <w:jc w:val="center"/>
                    <w:rPr>
                      <w:spacing w:val="-6"/>
                      <w:szCs w:val="21"/>
                    </w:rPr>
                  </w:pPr>
                  <w:r>
                    <w:rPr>
                      <w:rFonts w:hint="eastAsia"/>
                      <w:spacing w:val="-6"/>
                      <w:szCs w:val="21"/>
                    </w:rPr>
                    <w:t>36</w:t>
                  </w:r>
                </w:p>
              </w:tc>
              <w:tc>
                <w:tcPr>
                  <w:tcW w:w="0" w:type="auto"/>
                  <w:noWrap w:val="0"/>
                  <w:vAlign w:val="center"/>
                </w:tcPr>
                <w:p w14:paraId="29291BD6">
                  <w:pPr>
                    <w:pageBreakBefore w:val="0"/>
                    <w:kinsoku/>
                    <w:wordWrap/>
                    <w:topLinePunct w:val="0"/>
                    <w:bidi w:val="0"/>
                    <w:spacing w:line="280" w:lineRule="exact"/>
                    <w:contextualSpacing/>
                    <w:jc w:val="center"/>
                    <w:rPr>
                      <w:spacing w:val="-6"/>
                      <w:szCs w:val="21"/>
                    </w:rPr>
                  </w:pPr>
                  <w:r>
                    <w:rPr>
                      <w:spacing w:val="-6"/>
                      <w:szCs w:val="21"/>
                    </w:rPr>
                    <w:t>Na</w:t>
                  </w:r>
                  <w:r>
                    <w:rPr>
                      <w:spacing w:val="-6"/>
                      <w:szCs w:val="21"/>
                      <w:vertAlign w:val="superscript"/>
                    </w:rPr>
                    <w:t>+</w:t>
                  </w:r>
                </w:p>
              </w:tc>
              <w:tc>
                <w:tcPr>
                  <w:tcW w:w="0" w:type="auto"/>
                  <w:noWrap w:val="0"/>
                  <w:vAlign w:val="center"/>
                </w:tcPr>
                <w:p w14:paraId="1433FD47">
                  <w:pPr>
                    <w:pageBreakBefore w:val="0"/>
                    <w:kinsoku/>
                    <w:wordWrap/>
                    <w:topLinePunct w:val="0"/>
                    <w:bidi w:val="0"/>
                    <w:spacing w:line="280" w:lineRule="exact"/>
                    <w:contextualSpacing/>
                    <w:jc w:val="center"/>
                    <w:rPr>
                      <w:spacing w:val="-6"/>
                      <w:szCs w:val="21"/>
                    </w:rPr>
                  </w:pPr>
                  <w:r>
                    <w:rPr>
                      <w:spacing w:val="-6"/>
                      <w:szCs w:val="21"/>
                    </w:rPr>
                    <w:t>/</w:t>
                  </w:r>
                </w:p>
              </w:tc>
              <w:tc>
                <w:tcPr>
                  <w:tcW w:w="0" w:type="auto"/>
                  <w:noWrap/>
                  <w:vAlign w:val="center"/>
                </w:tcPr>
                <w:p w14:paraId="685CD270">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68.0</w:t>
                  </w:r>
                </w:p>
              </w:tc>
              <w:tc>
                <w:tcPr>
                  <w:tcW w:w="0" w:type="auto"/>
                  <w:noWrap/>
                  <w:vAlign w:val="center"/>
                </w:tcPr>
                <w:p w14:paraId="590EB5B2">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756F3387">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58.1</w:t>
                  </w:r>
                </w:p>
              </w:tc>
              <w:tc>
                <w:tcPr>
                  <w:tcW w:w="0" w:type="auto"/>
                  <w:noWrap/>
                  <w:vAlign w:val="center"/>
                </w:tcPr>
                <w:p w14:paraId="30162679">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6FAE0040">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58.2</w:t>
                  </w:r>
                </w:p>
              </w:tc>
              <w:tc>
                <w:tcPr>
                  <w:tcW w:w="0" w:type="auto"/>
                  <w:noWrap/>
                  <w:vAlign w:val="center"/>
                </w:tcPr>
                <w:p w14:paraId="357DE21F">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r>
            <w:tr w14:paraId="7DE05E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6C65C2CF">
                  <w:pPr>
                    <w:pageBreakBefore w:val="0"/>
                    <w:kinsoku/>
                    <w:wordWrap/>
                    <w:topLinePunct w:val="0"/>
                    <w:bidi w:val="0"/>
                    <w:spacing w:line="280" w:lineRule="exact"/>
                    <w:contextualSpacing/>
                    <w:jc w:val="center"/>
                    <w:rPr>
                      <w:spacing w:val="-6"/>
                      <w:szCs w:val="21"/>
                    </w:rPr>
                  </w:pPr>
                  <w:r>
                    <w:rPr>
                      <w:rFonts w:hint="eastAsia"/>
                      <w:spacing w:val="-6"/>
                      <w:szCs w:val="21"/>
                    </w:rPr>
                    <w:t>37</w:t>
                  </w:r>
                </w:p>
              </w:tc>
              <w:tc>
                <w:tcPr>
                  <w:tcW w:w="0" w:type="auto"/>
                  <w:noWrap w:val="0"/>
                  <w:vAlign w:val="center"/>
                </w:tcPr>
                <w:p w14:paraId="72D02115">
                  <w:pPr>
                    <w:pageBreakBefore w:val="0"/>
                    <w:kinsoku/>
                    <w:wordWrap/>
                    <w:topLinePunct w:val="0"/>
                    <w:bidi w:val="0"/>
                    <w:spacing w:line="280" w:lineRule="exact"/>
                    <w:contextualSpacing/>
                    <w:jc w:val="center"/>
                    <w:rPr>
                      <w:spacing w:val="-6"/>
                      <w:szCs w:val="21"/>
                    </w:rPr>
                  </w:pPr>
                  <w:r>
                    <w:rPr>
                      <w:spacing w:val="-6"/>
                      <w:szCs w:val="21"/>
                    </w:rPr>
                    <w:t>Mg</w:t>
                  </w:r>
                  <w:r>
                    <w:rPr>
                      <w:spacing w:val="-6"/>
                      <w:szCs w:val="21"/>
                      <w:vertAlign w:val="superscript"/>
                    </w:rPr>
                    <w:t>2+</w:t>
                  </w:r>
                </w:p>
              </w:tc>
              <w:tc>
                <w:tcPr>
                  <w:tcW w:w="0" w:type="auto"/>
                  <w:noWrap w:val="0"/>
                  <w:vAlign w:val="center"/>
                </w:tcPr>
                <w:p w14:paraId="031665AC">
                  <w:pPr>
                    <w:pageBreakBefore w:val="0"/>
                    <w:kinsoku/>
                    <w:wordWrap/>
                    <w:topLinePunct w:val="0"/>
                    <w:bidi w:val="0"/>
                    <w:spacing w:line="280" w:lineRule="exact"/>
                    <w:contextualSpacing/>
                    <w:jc w:val="center"/>
                    <w:rPr>
                      <w:spacing w:val="-6"/>
                      <w:szCs w:val="21"/>
                    </w:rPr>
                  </w:pPr>
                  <w:r>
                    <w:rPr>
                      <w:spacing w:val="-6"/>
                      <w:szCs w:val="21"/>
                    </w:rPr>
                    <w:t>/</w:t>
                  </w:r>
                </w:p>
              </w:tc>
              <w:tc>
                <w:tcPr>
                  <w:tcW w:w="0" w:type="auto"/>
                  <w:noWrap/>
                  <w:vAlign w:val="center"/>
                </w:tcPr>
                <w:p w14:paraId="49B8BF87">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23.6</w:t>
                  </w:r>
                </w:p>
              </w:tc>
              <w:tc>
                <w:tcPr>
                  <w:tcW w:w="0" w:type="auto"/>
                  <w:noWrap/>
                  <w:vAlign w:val="center"/>
                </w:tcPr>
                <w:p w14:paraId="51CCC081">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5161A90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12.4</w:t>
                  </w:r>
                </w:p>
              </w:tc>
              <w:tc>
                <w:tcPr>
                  <w:tcW w:w="0" w:type="auto"/>
                  <w:noWrap/>
                  <w:vAlign w:val="center"/>
                </w:tcPr>
                <w:p w14:paraId="654D3230">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42905CB0">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44.5</w:t>
                  </w:r>
                </w:p>
              </w:tc>
              <w:tc>
                <w:tcPr>
                  <w:tcW w:w="0" w:type="auto"/>
                  <w:noWrap/>
                  <w:vAlign w:val="center"/>
                </w:tcPr>
                <w:p w14:paraId="22A60E0E">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r>
            <w:tr w14:paraId="13D418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04BD8563">
                  <w:pPr>
                    <w:pageBreakBefore w:val="0"/>
                    <w:kinsoku/>
                    <w:wordWrap/>
                    <w:topLinePunct w:val="0"/>
                    <w:bidi w:val="0"/>
                    <w:spacing w:line="280" w:lineRule="exact"/>
                    <w:contextualSpacing/>
                    <w:jc w:val="center"/>
                    <w:rPr>
                      <w:spacing w:val="-6"/>
                      <w:szCs w:val="21"/>
                    </w:rPr>
                  </w:pPr>
                  <w:r>
                    <w:rPr>
                      <w:rFonts w:hint="eastAsia"/>
                      <w:spacing w:val="-6"/>
                      <w:szCs w:val="21"/>
                    </w:rPr>
                    <w:t>38</w:t>
                  </w:r>
                </w:p>
              </w:tc>
              <w:tc>
                <w:tcPr>
                  <w:tcW w:w="0" w:type="auto"/>
                  <w:noWrap w:val="0"/>
                  <w:vAlign w:val="center"/>
                </w:tcPr>
                <w:p w14:paraId="1FAF5D34">
                  <w:pPr>
                    <w:pageBreakBefore w:val="0"/>
                    <w:kinsoku/>
                    <w:wordWrap/>
                    <w:topLinePunct w:val="0"/>
                    <w:bidi w:val="0"/>
                    <w:spacing w:line="280" w:lineRule="exact"/>
                    <w:contextualSpacing/>
                    <w:jc w:val="center"/>
                    <w:rPr>
                      <w:spacing w:val="-6"/>
                      <w:szCs w:val="21"/>
                    </w:rPr>
                  </w:pPr>
                  <w:r>
                    <w:rPr>
                      <w:spacing w:val="-6"/>
                      <w:szCs w:val="21"/>
                    </w:rPr>
                    <w:t>CO</w:t>
                  </w:r>
                  <w:r>
                    <w:rPr>
                      <w:spacing w:val="-6"/>
                      <w:szCs w:val="21"/>
                      <w:vertAlign w:val="subscript"/>
                    </w:rPr>
                    <w:t>3</w:t>
                  </w:r>
                  <w:r>
                    <w:rPr>
                      <w:spacing w:val="-6"/>
                      <w:szCs w:val="21"/>
                      <w:vertAlign w:val="superscript"/>
                    </w:rPr>
                    <w:t>2-</w:t>
                  </w:r>
                </w:p>
              </w:tc>
              <w:tc>
                <w:tcPr>
                  <w:tcW w:w="0" w:type="auto"/>
                  <w:noWrap w:val="0"/>
                  <w:vAlign w:val="center"/>
                </w:tcPr>
                <w:p w14:paraId="7C67EF0D">
                  <w:pPr>
                    <w:pageBreakBefore w:val="0"/>
                    <w:kinsoku/>
                    <w:wordWrap/>
                    <w:topLinePunct w:val="0"/>
                    <w:bidi w:val="0"/>
                    <w:spacing w:line="280" w:lineRule="exact"/>
                    <w:contextualSpacing/>
                    <w:jc w:val="center"/>
                    <w:rPr>
                      <w:spacing w:val="-6"/>
                      <w:szCs w:val="21"/>
                    </w:rPr>
                  </w:pPr>
                  <w:r>
                    <w:rPr>
                      <w:spacing w:val="-6"/>
                      <w:szCs w:val="21"/>
                    </w:rPr>
                    <w:t>/</w:t>
                  </w:r>
                </w:p>
              </w:tc>
              <w:tc>
                <w:tcPr>
                  <w:tcW w:w="0" w:type="auto"/>
                  <w:noWrap/>
                  <w:vAlign w:val="center"/>
                </w:tcPr>
                <w:p w14:paraId="2D7ED566">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&lt;5</w:t>
                  </w:r>
                </w:p>
              </w:tc>
              <w:tc>
                <w:tcPr>
                  <w:tcW w:w="0" w:type="auto"/>
                  <w:noWrap/>
                  <w:vAlign w:val="center"/>
                </w:tcPr>
                <w:p w14:paraId="06DC9AD3">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1E521073">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&lt;5</w:t>
                  </w:r>
                </w:p>
              </w:tc>
              <w:tc>
                <w:tcPr>
                  <w:tcW w:w="0" w:type="auto"/>
                  <w:noWrap/>
                  <w:vAlign w:val="center"/>
                </w:tcPr>
                <w:p w14:paraId="206939DC">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3B0A78E7">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&lt;5</w:t>
                  </w:r>
                </w:p>
              </w:tc>
              <w:tc>
                <w:tcPr>
                  <w:tcW w:w="0" w:type="auto"/>
                  <w:noWrap/>
                  <w:vAlign w:val="center"/>
                </w:tcPr>
                <w:p w14:paraId="6C0157C4">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r>
            <w:tr w14:paraId="6EF390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5C6C03BB">
                  <w:pPr>
                    <w:pageBreakBefore w:val="0"/>
                    <w:kinsoku/>
                    <w:wordWrap/>
                    <w:topLinePunct w:val="0"/>
                    <w:bidi w:val="0"/>
                    <w:spacing w:line="280" w:lineRule="exact"/>
                    <w:contextualSpacing/>
                    <w:jc w:val="center"/>
                    <w:rPr>
                      <w:spacing w:val="-6"/>
                      <w:szCs w:val="21"/>
                    </w:rPr>
                  </w:pPr>
                  <w:r>
                    <w:rPr>
                      <w:rFonts w:hint="eastAsia"/>
                      <w:spacing w:val="-6"/>
                      <w:szCs w:val="21"/>
                    </w:rPr>
                    <w:t>39</w:t>
                  </w:r>
                </w:p>
              </w:tc>
              <w:tc>
                <w:tcPr>
                  <w:tcW w:w="0" w:type="auto"/>
                  <w:noWrap w:val="0"/>
                  <w:vAlign w:val="center"/>
                </w:tcPr>
                <w:p w14:paraId="79678635">
                  <w:pPr>
                    <w:pageBreakBefore w:val="0"/>
                    <w:kinsoku/>
                    <w:wordWrap/>
                    <w:topLinePunct w:val="0"/>
                    <w:bidi w:val="0"/>
                    <w:spacing w:line="280" w:lineRule="exact"/>
                    <w:contextualSpacing/>
                    <w:jc w:val="center"/>
                    <w:rPr>
                      <w:spacing w:val="-6"/>
                      <w:szCs w:val="21"/>
                    </w:rPr>
                  </w:pPr>
                  <w:r>
                    <w:rPr>
                      <w:spacing w:val="-6"/>
                      <w:szCs w:val="21"/>
                    </w:rPr>
                    <w:t>HCO</w:t>
                  </w:r>
                  <w:r>
                    <w:rPr>
                      <w:spacing w:val="-6"/>
                      <w:szCs w:val="21"/>
                      <w:vertAlign w:val="subscript"/>
                    </w:rPr>
                    <w:t>3</w:t>
                  </w:r>
                  <w:r>
                    <w:rPr>
                      <w:spacing w:val="-6"/>
                      <w:szCs w:val="21"/>
                      <w:vertAlign w:val="superscript"/>
                    </w:rPr>
                    <w:t>-</w:t>
                  </w:r>
                </w:p>
              </w:tc>
              <w:tc>
                <w:tcPr>
                  <w:tcW w:w="0" w:type="auto"/>
                  <w:noWrap w:val="0"/>
                  <w:vAlign w:val="center"/>
                </w:tcPr>
                <w:p w14:paraId="20EBE574">
                  <w:pPr>
                    <w:pageBreakBefore w:val="0"/>
                    <w:kinsoku/>
                    <w:wordWrap/>
                    <w:topLinePunct w:val="0"/>
                    <w:bidi w:val="0"/>
                    <w:spacing w:line="280" w:lineRule="exact"/>
                    <w:contextualSpacing/>
                    <w:jc w:val="center"/>
                    <w:rPr>
                      <w:spacing w:val="-6"/>
                      <w:szCs w:val="21"/>
                    </w:rPr>
                  </w:pPr>
                  <w:r>
                    <w:rPr>
                      <w:spacing w:val="-6"/>
                      <w:szCs w:val="21"/>
                    </w:rPr>
                    <w:t>/</w:t>
                  </w:r>
                </w:p>
              </w:tc>
              <w:tc>
                <w:tcPr>
                  <w:tcW w:w="0" w:type="auto"/>
                  <w:noWrap/>
                  <w:vAlign w:val="center"/>
                </w:tcPr>
                <w:p w14:paraId="1D7BF494">
                  <w:pPr>
                    <w:pageBreakBefore w:val="0"/>
                    <w:kinsoku/>
                    <w:wordWrap/>
                    <w:topLinePunct w:val="0"/>
                    <w:bidi w:val="0"/>
                    <w:spacing w:line="280" w:lineRule="exact"/>
                    <w:jc w:val="center"/>
                    <w:rPr>
                      <w:rFonts w:hint="default"/>
                      <w:spacing w:val="-6"/>
                      <w:szCs w:val="21"/>
                      <w:lang w:val="en-US"/>
                    </w:rPr>
                  </w:pPr>
                  <w:r>
                    <w:rPr>
                      <w:rFonts w:hint="eastAsia"/>
                      <w:spacing w:val="-6"/>
                      <w:szCs w:val="21"/>
                      <w:lang w:val="en-US" w:eastAsia="zh-CN"/>
                    </w:rPr>
                    <w:t>&lt;5</w:t>
                  </w:r>
                </w:p>
              </w:tc>
              <w:tc>
                <w:tcPr>
                  <w:tcW w:w="0" w:type="auto"/>
                  <w:noWrap/>
                  <w:vAlign w:val="center"/>
                </w:tcPr>
                <w:p w14:paraId="56F934B2">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06C0F6D0">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&lt;5</w:t>
                  </w:r>
                </w:p>
              </w:tc>
              <w:tc>
                <w:tcPr>
                  <w:tcW w:w="0" w:type="auto"/>
                  <w:noWrap/>
                  <w:vAlign w:val="center"/>
                </w:tcPr>
                <w:p w14:paraId="7CF8F2B9">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c>
                <w:tcPr>
                  <w:tcW w:w="0" w:type="auto"/>
                  <w:noWrap/>
                  <w:vAlign w:val="center"/>
                </w:tcPr>
                <w:p w14:paraId="1D955FFE">
                  <w:pPr>
                    <w:pageBreakBefore w:val="0"/>
                    <w:kinsoku/>
                    <w:wordWrap/>
                    <w:topLinePunct w:val="0"/>
                    <w:bidi w:val="0"/>
                    <w:spacing w:line="280" w:lineRule="exact"/>
                    <w:contextualSpacing/>
                    <w:jc w:val="center"/>
                    <w:rPr>
                      <w:rFonts w:hint="default"/>
                      <w:spacing w:val="-6"/>
                      <w:szCs w:val="21"/>
                      <w:lang w:val="en-US"/>
                    </w:rPr>
                  </w:pPr>
                  <w:r>
                    <w:rPr>
                      <w:rFonts w:hint="eastAsia"/>
                      <w:spacing w:val="-6"/>
                      <w:szCs w:val="21"/>
                      <w:lang w:val="en-US" w:eastAsia="zh-CN"/>
                    </w:rPr>
                    <w:t>&lt;5</w:t>
                  </w:r>
                </w:p>
              </w:tc>
              <w:tc>
                <w:tcPr>
                  <w:tcW w:w="0" w:type="auto"/>
                  <w:noWrap/>
                  <w:vAlign w:val="center"/>
                </w:tcPr>
                <w:p w14:paraId="53761F23">
                  <w:pPr>
                    <w:pageBreakBefore w:val="0"/>
                    <w:kinsoku/>
                    <w:wordWrap/>
                    <w:topLinePunct w:val="0"/>
                    <w:bidi w:val="0"/>
                    <w:spacing w:line="280" w:lineRule="exact"/>
                    <w:contextualSpacing/>
                    <w:jc w:val="center"/>
                    <w:rPr>
                      <w:rFonts w:hint="eastAsia" w:eastAsia="宋体"/>
                      <w:spacing w:val="-6"/>
                      <w:szCs w:val="21"/>
                      <w:lang w:val="en-US" w:eastAsia="zh-CN"/>
                    </w:rPr>
                  </w:pPr>
                  <w:r>
                    <w:rPr>
                      <w:rFonts w:hint="eastAsia"/>
                      <w:spacing w:val="-6"/>
                      <w:szCs w:val="21"/>
                      <w:lang w:val="en-US" w:eastAsia="zh-CN"/>
                    </w:rPr>
                    <w:t>/</w:t>
                  </w:r>
                </w:p>
              </w:tc>
            </w:tr>
            <w:tr w14:paraId="576972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67637C91">
                  <w:pPr>
                    <w:pageBreakBefore w:val="0"/>
                    <w:kinsoku/>
                    <w:wordWrap/>
                    <w:topLinePunct w:val="0"/>
                    <w:bidi w:val="0"/>
                    <w:spacing w:line="280" w:lineRule="exact"/>
                    <w:contextualSpacing/>
                    <w:jc w:val="center"/>
                    <w:rPr>
                      <w:spacing w:val="-6"/>
                      <w:szCs w:val="21"/>
                    </w:rPr>
                  </w:pPr>
                  <w:r>
                    <w:rPr>
                      <w:rFonts w:hint="eastAsia"/>
                      <w:spacing w:val="-6"/>
                      <w:szCs w:val="21"/>
                    </w:rPr>
                    <w:t>40</w:t>
                  </w:r>
                </w:p>
              </w:tc>
              <w:tc>
                <w:tcPr>
                  <w:tcW w:w="0" w:type="auto"/>
                  <w:noWrap w:val="0"/>
                  <w:vAlign w:val="center"/>
                </w:tcPr>
                <w:p w14:paraId="742A1ACD">
                  <w:pPr>
                    <w:pageBreakBefore w:val="0"/>
                    <w:kinsoku/>
                    <w:wordWrap/>
                    <w:topLinePunct w:val="0"/>
                    <w:bidi w:val="0"/>
                    <w:spacing w:line="280" w:lineRule="exact"/>
                    <w:contextualSpacing/>
                    <w:jc w:val="center"/>
                    <w:rPr>
                      <w:spacing w:val="-6"/>
                      <w:szCs w:val="21"/>
                    </w:rPr>
                  </w:pPr>
                  <w:r>
                    <w:rPr>
                      <w:spacing w:val="-6"/>
                      <w:szCs w:val="21"/>
                    </w:rPr>
                    <w:t>Cl</w:t>
                  </w:r>
                  <w:r>
                    <w:rPr>
                      <w:spacing w:val="-6"/>
                      <w:szCs w:val="21"/>
                      <w:vertAlign w:val="superscript"/>
                    </w:rPr>
                    <w:t>-</w:t>
                  </w:r>
                </w:p>
              </w:tc>
              <w:tc>
                <w:tcPr>
                  <w:tcW w:w="0" w:type="auto"/>
                  <w:noWrap w:val="0"/>
                  <w:vAlign w:val="center"/>
                </w:tcPr>
                <w:p w14:paraId="6B0C4D37">
                  <w:pPr>
                    <w:pageBreakBefore w:val="0"/>
                    <w:kinsoku/>
                    <w:wordWrap/>
                    <w:topLinePunct w:val="0"/>
                    <w:bidi w:val="0"/>
                    <w:spacing w:line="280" w:lineRule="exact"/>
                    <w:contextualSpacing/>
                    <w:jc w:val="center"/>
                    <w:rPr>
                      <w:spacing w:val="-6"/>
                      <w:szCs w:val="21"/>
                    </w:rPr>
                  </w:pPr>
                  <w:r>
                    <w:rPr>
                      <w:spacing w:val="-6"/>
                      <w:szCs w:val="21"/>
                    </w:rPr>
                    <w:t>≤250</w:t>
                  </w:r>
                </w:p>
              </w:tc>
              <w:tc>
                <w:tcPr>
                  <w:tcW w:w="0" w:type="auto"/>
                  <w:noWrap/>
                  <w:vAlign w:val="center"/>
                </w:tcPr>
                <w:p w14:paraId="02AD0E47">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50.8</w:t>
                  </w:r>
                </w:p>
              </w:tc>
              <w:tc>
                <w:tcPr>
                  <w:tcW w:w="0" w:type="auto"/>
                  <w:noWrap/>
                  <w:vAlign w:val="center"/>
                </w:tcPr>
                <w:p w14:paraId="53F35A6E">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0.2032</w:t>
                  </w:r>
                </w:p>
              </w:tc>
              <w:tc>
                <w:tcPr>
                  <w:tcW w:w="0" w:type="auto"/>
                  <w:noWrap/>
                  <w:vAlign w:val="center"/>
                </w:tcPr>
                <w:p w14:paraId="7B316A72">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50.3</w:t>
                  </w:r>
                </w:p>
              </w:tc>
              <w:tc>
                <w:tcPr>
                  <w:tcW w:w="0" w:type="auto"/>
                  <w:noWrap/>
                  <w:vAlign w:val="center"/>
                </w:tcPr>
                <w:p w14:paraId="2EBFC368">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0.2012</w:t>
                  </w:r>
                </w:p>
              </w:tc>
              <w:tc>
                <w:tcPr>
                  <w:tcW w:w="0" w:type="auto"/>
                  <w:noWrap/>
                  <w:vAlign w:val="center"/>
                </w:tcPr>
                <w:p w14:paraId="3BC97FC0">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44.9</w:t>
                  </w:r>
                </w:p>
              </w:tc>
              <w:tc>
                <w:tcPr>
                  <w:tcW w:w="0" w:type="auto"/>
                  <w:noWrap/>
                  <w:vAlign w:val="center"/>
                </w:tcPr>
                <w:p w14:paraId="3D124F49">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0.1796</w:t>
                  </w:r>
                </w:p>
              </w:tc>
            </w:tr>
            <w:tr w14:paraId="65C05C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noWrap w:val="0"/>
                  <w:vAlign w:val="center"/>
                </w:tcPr>
                <w:p w14:paraId="447DE1D3">
                  <w:pPr>
                    <w:pageBreakBefore w:val="0"/>
                    <w:kinsoku/>
                    <w:wordWrap/>
                    <w:topLinePunct w:val="0"/>
                    <w:bidi w:val="0"/>
                    <w:spacing w:line="280" w:lineRule="exact"/>
                    <w:contextualSpacing/>
                    <w:jc w:val="center"/>
                    <w:rPr>
                      <w:spacing w:val="-6"/>
                      <w:szCs w:val="21"/>
                    </w:rPr>
                  </w:pPr>
                  <w:r>
                    <w:rPr>
                      <w:rFonts w:hint="eastAsia"/>
                      <w:spacing w:val="-6"/>
                      <w:szCs w:val="21"/>
                    </w:rPr>
                    <w:t>41</w:t>
                  </w:r>
                </w:p>
              </w:tc>
              <w:tc>
                <w:tcPr>
                  <w:tcW w:w="0" w:type="auto"/>
                  <w:noWrap w:val="0"/>
                  <w:vAlign w:val="center"/>
                </w:tcPr>
                <w:p w14:paraId="41E3A29A">
                  <w:pPr>
                    <w:pageBreakBefore w:val="0"/>
                    <w:kinsoku/>
                    <w:wordWrap/>
                    <w:topLinePunct w:val="0"/>
                    <w:bidi w:val="0"/>
                    <w:spacing w:line="280" w:lineRule="exact"/>
                    <w:contextualSpacing/>
                    <w:jc w:val="center"/>
                    <w:rPr>
                      <w:spacing w:val="-6"/>
                      <w:szCs w:val="21"/>
                    </w:rPr>
                  </w:pPr>
                  <w:r>
                    <w:rPr>
                      <w:spacing w:val="-6"/>
                      <w:szCs w:val="21"/>
                    </w:rPr>
                    <w:t>SO</w:t>
                  </w:r>
                  <w:r>
                    <w:rPr>
                      <w:spacing w:val="-6"/>
                      <w:szCs w:val="21"/>
                      <w:vertAlign w:val="subscript"/>
                    </w:rPr>
                    <w:t>4</w:t>
                  </w:r>
                  <w:r>
                    <w:rPr>
                      <w:spacing w:val="-6"/>
                      <w:szCs w:val="21"/>
                      <w:vertAlign w:val="superscript"/>
                    </w:rPr>
                    <w:t>2-</w:t>
                  </w:r>
                </w:p>
              </w:tc>
              <w:tc>
                <w:tcPr>
                  <w:tcW w:w="0" w:type="auto"/>
                  <w:noWrap w:val="0"/>
                  <w:vAlign w:val="center"/>
                </w:tcPr>
                <w:p w14:paraId="384E6532">
                  <w:pPr>
                    <w:pageBreakBefore w:val="0"/>
                    <w:kinsoku/>
                    <w:wordWrap/>
                    <w:topLinePunct w:val="0"/>
                    <w:bidi w:val="0"/>
                    <w:spacing w:line="280" w:lineRule="exact"/>
                    <w:contextualSpacing/>
                    <w:jc w:val="center"/>
                    <w:rPr>
                      <w:spacing w:val="-6"/>
                      <w:szCs w:val="21"/>
                    </w:rPr>
                  </w:pPr>
                  <w:r>
                    <w:rPr>
                      <w:spacing w:val="-6"/>
                      <w:szCs w:val="21"/>
                    </w:rPr>
                    <w:t>≤250</w:t>
                  </w:r>
                </w:p>
              </w:tc>
              <w:tc>
                <w:tcPr>
                  <w:tcW w:w="0" w:type="auto"/>
                  <w:noWrap/>
                  <w:vAlign w:val="center"/>
                </w:tcPr>
                <w:p w14:paraId="188ECB42">
                  <w:pPr>
                    <w:pageBreakBefore w:val="0"/>
                    <w:kinsoku/>
                    <w:wordWrap/>
                    <w:topLinePunct w:val="0"/>
                    <w:bidi w:val="0"/>
                    <w:spacing w:line="280" w:lineRule="exact"/>
                    <w:jc w:val="center"/>
                    <w:rPr>
                      <w:rFonts w:hint="default" w:eastAsia="宋体"/>
                      <w:spacing w:val="-6"/>
                      <w:szCs w:val="21"/>
                      <w:lang w:val="en-US" w:eastAsia="zh-CN"/>
                    </w:rPr>
                  </w:pPr>
                  <w:r>
                    <w:rPr>
                      <w:rFonts w:hint="eastAsia"/>
                      <w:spacing w:val="-6"/>
                      <w:szCs w:val="21"/>
                      <w:lang w:val="en-US" w:eastAsia="zh-CN"/>
                    </w:rPr>
                    <w:t>93.9</w:t>
                  </w:r>
                </w:p>
              </w:tc>
              <w:tc>
                <w:tcPr>
                  <w:tcW w:w="0" w:type="auto"/>
                  <w:noWrap/>
                  <w:vAlign w:val="center"/>
                </w:tcPr>
                <w:p w14:paraId="5C0E3019">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0.3756</w:t>
                  </w:r>
                </w:p>
              </w:tc>
              <w:tc>
                <w:tcPr>
                  <w:tcW w:w="0" w:type="auto"/>
                  <w:noWrap/>
                  <w:vAlign w:val="center"/>
                </w:tcPr>
                <w:p w14:paraId="4954A019">
                  <w:pPr>
                    <w:pageBreakBefore w:val="0"/>
                    <w:kinsoku/>
                    <w:wordWrap/>
                    <w:topLinePunct w:val="0"/>
                    <w:bidi w:val="0"/>
                    <w:spacing w:line="280" w:lineRule="exact"/>
                    <w:contextualSpacing/>
                    <w:jc w:val="center"/>
                    <w:rPr>
                      <w:rFonts w:hint="default" w:eastAsia="宋体"/>
                      <w:b w:val="0"/>
                      <w:bCs w:val="0"/>
                      <w:spacing w:val="-6"/>
                      <w:szCs w:val="21"/>
                      <w:lang w:val="en-US" w:eastAsia="zh-CN"/>
                    </w:rPr>
                  </w:pPr>
                  <w:r>
                    <w:rPr>
                      <w:rFonts w:hint="eastAsia"/>
                      <w:b w:val="0"/>
                      <w:bCs w:val="0"/>
                      <w:spacing w:val="-6"/>
                      <w:szCs w:val="21"/>
                      <w:lang w:val="en-US" w:eastAsia="zh-CN"/>
                    </w:rPr>
                    <w:t>94.6</w:t>
                  </w:r>
                </w:p>
              </w:tc>
              <w:tc>
                <w:tcPr>
                  <w:tcW w:w="0" w:type="auto"/>
                  <w:noWrap/>
                  <w:vAlign w:val="center"/>
                </w:tcPr>
                <w:p w14:paraId="31C2CA16">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0.3784</w:t>
                  </w:r>
                </w:p>
              </w:tc>
              <w:tc>
                <w:tcPr>
                  <w:tcW w:w="0" w:type="auto"/>
                  <w:noWrap/>
                  <w:vAlign w:val="center"/>
                </w:tcPr>
                <w:p w14:paraId="753EE0E4">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52.1</w:t>
                  </w:r>
                </w:p>
              </w:tc>
              <w:tc>
                <w:tcPr>
                  <w:tcW w:w="0" w:type="auto"/>
                  <w:noWrap/>
                  <w:vAlign w:val="center"/>
                </w:tcPr>
                <w:p w14:paraId="6B19F08E">
                  <w:pPr>
                    <w:pageBreakBefore w:val="0"/>
                    <w:kinsoku/>
                    <w:wordWrap/>
                    <w:topLinePunct w:val="0"/>
                    <w:bidi w:val="0"/>
                    <w:spacing w:line="280" w:lineRule="exact"/>
                    <w:contextualSpacing/>
                    <w:jc w:val="center"/>
                    <w:rPr>
                      <w:rFonts w:hint="default" w:eastAsia="宋体"/>
                      <w:spacing w:val="-6"/>
                      <w:szCs w:val="21"/>
                      <w:lang w:val="en-US" w:eastAsia="zh-CN"/>
                    </w:rPr>
                  </w:pPr>
                  <w:r>
                    <w:rPr>
                      <w:rFonts w:hint="eastAsia"/>
                      <w:spacing w:val="-6"/>
                      <w:szCs w:val="21"/>
                      <w:lang w:val="en-US" w:eastAsia="zh-CN"/>
                    </w:rPr>
                    <w:t>0.2084</w:t>
                  </w:r>
                </w:p>
              </w:tc>
            </w:tr>
          </w:tbl>
          <w:p w14:paraId="776565BC">
            <w:pPr>
              <w:pageBreakBefore w:val="0"/>
              <w:kinsoku/>
              <w:wordWrap/>
              <w:topLinePunct w:val="0"/>
              <w:autoSpaceDE w:val="0"/>
              <w:autoSpaceDN w:val="0"/>
              <w:bidi w:val="0"/>
              <w:spacing w:line="360" w:lineRule="auto"/>
              <w:ind w:firstLine="480" w:firstLineChars="200"/>
              <w:rPr>
                <w:rFonts w:hint="default" w:eastAsia="宋体"/>
                <w:kern w:val="0"/>
                <w:sz w:val="24"/>
                <w:lang w:val="en-US" w:eastAsia="zh-CN"/>
              </w:rPr>
            </w:pPr>
            <w:r>
              <w:rPr>
                <w:sz w:val="24"/>
              </w:rPr>
              <w:t>由监测结果可知，</w:t>
            </w:r>
            <w:r>
              <w:rPr>
                <w:rFonts w:hint="eastAsia"/>
                <w:sz w:val="24"/>
                <w:lang w:val="en-US" w:eastAsia="zh-CN"/>
              </w:rPr>
              <w:t>除5号井水样中总大肠菌群超标外，</w:t>
            </w:r>
            <w:r>
              <w:rPr>
                <w:rFonts w:hint="eastAsia"/>
                <w:sz w:val="24"/>
              </w:rPr>
              <w:t>项目所在区域</w:t>
            </w:r>
            <w:r>
              <w:rPr>
                <w:sz w:val="24"/>
              </w:rPr>
              <w:t>地下水</w:t>
            </w:r>
            <w:r>
              <w:rPr>
                <w:rFonts w:hint="eastAsia"/>
                <w:sz w:val="24"/>
              </w:rPr>
              <w:t>各项监测因子均小于1，地下水水质满足</w:t>
            </w:r>
            <w:r>
              <w:rPr>
                <w:sz w:val="24"/>
              </w:rPr>
              <w:t>《地下水质量标准》（GB/T 14848-2017）中Ⅲ类标准</w:t>
            </w:r>
            <w:r>
              <w:rPr>
                <w:rFonts w:hint="eastAsia"/>
                <w:sz w:val="24"/>
                <w:lang w:eastAsia="zh-CN"/>
              </w:rPr>
              <w:t>，</w:t>
            </w:r>
            <w:r>
              <w:rPr>
                <w:rFonts w:hint="eastAsia"/>
                <w:sz w:val="24"/>
                <w:lang w:val="en-US" w:eastAsia="zh-CN"/>
              </w:rPr>
              <w:t>整体水质较好</w:t>
            </w:r>
            <w:r>
              <w:rPr>
                <w:sz w:val="24"/>
              </w:rPr>
              <w:t>。</w:t>
            </w:r>
            <w:r>
              <w:rPr>
                <w:rFonts w:hint="eastAsia"/>
                <w:sz w:val="24"/>
                <w:lang w:val="en-US" w:eastAsia="zh-CN"/>
              </w:rPr>
              <w:t>经核实5号井总大肠菌群超标系水井封闭管理不足，致使井口部分水质被污染。</w:t>
            </w:r>
          </w:p>
          <w:p w14:paraId="1C05F16E">
            <w:pPr>
              <w:pageBreakBefore w:val="0"/>
              <w:kinsoku/>
              <w:wordWrap/>
              <w:topLinePunct w:val="0"/>
              <w:autoSpaceDE w:val="0"/>
              <w:autoSpaceDN w:val="0"/>
              <w:bidi w:val="0"/>
              <w:spacing w:line="360" w:lineRule="auto"/>
              <w:ind w:firstLine="482" w:firstLineChars="200"/>
              <w:rPr>
                <w:kern w:val="0"/>
                <w:sz w:val="24"/>
              </w:rPr>
            </w:pPr>
            <w:r>
              <w:rPr>
                <w:rFonts w:hint="eastAsia"/>
                <w:b/>
                <w:bCs/>
                <w:kern w:val="0"/>
                <w:sz w:val="24"/>
                <w:lang w:val="en-US" w:eastAsia="zh-CN"/>
              </w:rPr>
              <w:t>6</w:t>
            </w:r>
            <w:r>
              <w:rPr>
                <w:b/>
                <w:bCs/>
                <w:kern w:val="0"/>
                <w:sz w:val="24"/>
              </w:rPr>
              <w:t>.2 土壤环境</w:t>
            </w:r>
          </w:p>
          <w:p w14:paraId="141AEEBF">
            <w:pPr>
              <w:pageBreakBefore w:val="0"/>
              <w:kinsoku/>
              <w:wordWrap/>
              <w:topLinePunct w:val="0"/>
              <w:autoSpaceDE w:val="0"/>
              <w:autoSpaceDN w:val="0"/>
              <w:bidi w:val="0"/>
              <w:spacing w:line="360" w:lineRule="auto"/>
              <w:ind w:firstLine="480" w:firstLineChars="200"/>
              <w:rPr>
                <w:kern w:val="0"/>
                <w:sz w:val="24"/>
              </w:rPr>
            </w:pPr>
            <w:r>
              <w:rPr>
                <w:kern w:val="0"/>
                <w:sz w:val="24"/>
              </w:rPr>
              <w:t>（1）等级判定</w:t>
            </w:r>
          </w:p>
          <w:p w14:paraId="620DA5C7">
            <w:pPr>
              <w:pageBreakBefore w:val="0"/>
              <w:kinsoku/>
              <w:wordWrap/>
              <w:topLinePunct w:val="0"/>
              <w:autoSpaceDE w:val="0"/>
              <w:autoSpaceDN w:val="0"/>
              <w:bidi w:val="0"/>
              <w:spacing w:line="360" w:lineRule="auto"/>
              <w:ind w:firstLine="480" w:firstLineChars="200"/>
              <w:rPr>
                <w:kern w:val="0"/>
                <w:sz w:val="24"/>
              </w:rPr>
            </w:pPr>
            <w:r>
              <w:rPr>
                <w:kern w:val="0"/>
                <w:sz w:val="24"/>
              </w:rPr>
              <w:t>对照《环境影响评价技术导则 土壤环境（试行）》</w:t>
            </w:r>
            <w:r>
              <w:rPr>
                <w:sz w:val="24"/>
              </w:rPr>
              <w:t>（</w:t>
            </w:r>
            <w:r>
              <w:rPr>
                <w:kern w:val="0"/>
                <w:sz w:val="24"/>
              </w:rPr>
              <w:t>HJ 964-2018）附录A，本项目属于“石油、化工”类别中的“其他”，土壤环境影响评价类别为</w:t>
            </w:r>
            <w:r>
              <w:rPr>
                <w:rFonts w:eastAsia="微软雅黑"/>
                <w:kern w:val="0"/>
                <w:sz w:val="24"/>
              </w:rPr>
              <w:t>Ⅰ</w:t>
            </w:r>
            <w:r>
              <w:rPr>
                <w:kern w:val="0"/>
                <w:sz w:val="24"/>
              </w:rPr>
              <w:t>类。</w:t>
            </w:r>
          </w:p>
          <w:p w14:paraId="0F48B05A">
            <w:pPr>
              <w:pageBreakBefore w:val="0"/>
              <w:kinsoku/>
              <w:wordWrap/>
              <w:topLinePunct w:val="0"/>
              <w:autoSpaceDE w:val="0"/>
              <w:autoSpaceDN w:val="0"/>
              <w:bidi w:val="0"/>
              <w:spacing w:line="360" w:lineRule="auto"/>
              <w:ind w:firstLine="480" w:firstLineChars="200"/>
              <w:rPr>
                <w:kern w:val="0"/>
                <w:sz w:val="24"/>
              </w:rPr>
            </w:pPr>
            <w:r>
              <w:rPr>
                <w:kern w:val="0"/>
                <w:sz w:val="24"/>
              </w:rPr>
              <w:t>本项目占地面积约</w:t>
            </w:r>
            <w:r>
              <w:rPr>
                <w:rFonts w:hint="eastAsia"/>
                <w:kern w:val="0"/>
                <w:sz w:val="24"/>
                <w:lang w:val="en-US" w:eastAsia="zh-CN"/>
              </w:rPr>
              <w:t>17415.94</w:t>
            </w:r>
            <w:r>
              <w:rPr>
                <w:kern w:val="0"/>
                <w:sz w:val="24"/>
              </w:rPr>
              <w:t>m</w:t>
            </w:r>
            <w:r>
              <w:rPr>
                <w:kern w:val="0"/>
                <w:sz w:val="24"/>
                <w:vertAlign w:val="superscript"/>
              </w:rPr>
              <w:t>2</w:t>
            </w:r>
            <w:r>
              <w:rPr>
                <w:kern w:val="0"/>
                <w:sz w:val="24"/>
              </w:rPr>
              <w:t>，占地规模属于小型（</w:t>
            </w:r>
            <w:r>
              <w:rPr>
                <w:kern w:val="0"/>
                <w:sz w:val="24"/>
                <w:lang w:bidi="ar"/>
              </w:rPr>
              <w:t>≤5hm</w:t>
            </w:r>
            <w:r>
              <w:rPr>
                <w:kern w:val="0"/>
                <w:sz w:val="24"/>
                <w:vertAlign w:val="superscript"/>
                <w:lang w:bidi="ar"/>
              </w:rPr>
              <w:t>2</w:t>
            </w:r>
            <w:r>
              <w:rPr>
                <w:kern w:val="0"/>
                <w:sz w:val="24"/>
              </w:rPr>
              <w:t>）。</w:t>
            </w:r>
          </w:p>
          <w:p w14:paraId="279B3B3D">
            <w:pPr>
              <w:pageBreakBefore w:val="0"/>
              <w:kinsoku/>
              <w:wordWrap/>
              <w:topLinePunct w:val="0"/>
              <w:autoSpaceDE w:val="0"/>
              <w:autoSpaceDN w:val="0"/>
              <w:bidi w:val="0"/>
              <w:spacing w:line="360" w:lineRule="auto"/>
              <w:ind w:firstLine="480" w:firstLineChars="200"/>
              <w:jc w:val="left"/>
              <w:rPr>
                <w:kern w:val="0"/>
                <w:sz w:val="24"/>
                <w:lang w:bidi="ar"/>
              </w:rPr>
            </w:pPr>
            <w:r>
              <w:rPr>
                <w:kern w:val="0"/>
                <w:sz w:val="24"/>
                <w:lang w:bidi="ar"/>
              </w:rPr>
              <w:t>项目选址土地为</w:t>
            </w:r>
            <w:r>
              <w:rPr>
                <w:bCs/>
                <w:sz w:val="24"/>
              </w:rPr>
              <w:t>国有其他草地，属荒草地，不具备放牧用途</w:t>
            </w:r>
            <w:r>
              <w:rPr>
                <w:kern w:val="0"/>
                <w:sz w:val="24"/>
                <w:lang w:bidi="ar"/>
              </w:rPr>
              <w:t>，因此土壤环境敏感程度为不敏感。</w:t>
            </w:r>
          </w:p>
          <w:p w14:paraId="21873728">
            <w:pPr>
              <w:pageBreakBefore w:val="0"/>
              <w:kinsoku/>
              <w:wordWrap/>
              <w:topLinePunct w:val="0"/>
              <w:autoSpaceDE w:val="0"/>
              <w:autoSpaceDN w:val="0"/>
              <w:bidi w:val="0"/>
              <w:spacing w:line="360" w:lineRule="auto"/>
              <w:ind w:firstLine="480" w:firstLineChars="200"/>
              <w:jc w:val="left"/>
              <w:rPr>
                <w:kern w:val="0"/>
                <w:sz w:val="24"/>
                <w:lang w:bidi="ar"/>
              </w:rPr>
            </w:pPr>
            <w:r>
              <w:rPr>
                <w:kern w:val="0"/>
                <w:sz w:val="24"/>
                <w:lang w:bidi="ar"/>
              </w:rPr>
              <w:t>土壤环境影响评价工作等级划分依据见</w:t>
            </w:r>
            <w:r>
              <w:rPr>
                <w:rFonts w:hint="eastAsia"/>
                <w:kern w:val="0"/>
                <w:sz w:val="24"/>
                <w:lang w:val="en-US" w:eastAsia="zh-CN" w:bidi="ar"/>
              </w:rPr>
              <w:t>下</w:t>
            </w:r>
            <w:r>
              <w:rPr>
                <w:kern w:val="0"/>
                <w:sz w:val="24"/>
                <w:lang w:bidi="ar"/>
              </w:rPr>
              <w:t>表。</w:t>
            </w:r>
          </w:p>
          <w:p w14:paraId="7BC4EF58">
            <w:pPr>
              <w:pageBreakBefore w:val="0"/>
              <w:kinsoku/>
              <w:wordWrap/>
              <w:topLinePunct w:val="0"/>
              <w:bidi w:val="0"/>
              <w:spacing w:line="360" w:lineRule="auto"/>
              <w:jc w:val="center"/>
              <w:outlineLvl w:val="8"/>
              <w:rPr>
                <w:rFonts w:eastAsia="黑体"/>
                <w:kern w:val="0"/>
                <w:szCs w:val="21"/>
                <w:lang w:bidi="ar"/>
              </w:rPr>
            </w:pPr>
            <w:r>
              <w:rPr>
                <w:rFonts w:eastAsia="黑体"/>
                <w:kern w:val="0"/>
                <w:szCs w:val="21"/>
                <w:lang w:bidi="ar"/>
              </w:rPr>
              <w:t>表3-</w:t>
            </w:r>
            <w:r>
              <w:rPr>
                <w:rFonts w:hint="eastAsia" w:eastAsia="黑体"/>
                <w:kern w:val="0"/>
                <w:szCs w:val="21"/>
                <w:lang w:val="en-US" w:eastAsia="zh-CN" w:bidi="ar"/>
              </w:rPr>
              <w:t>7</w:t>
            </w:r>
            <w:r>
              <w:rPr>
                <w:rFonts w:eastAsia="黑体"/>
                <w:kern w:val="0"/>
                <w:szCs w:val="21"/>
                <w:lang w:bidi="ar"/>
              </w:rPr>
              <w:t xml:space="preserve">  污染影响型评价工作等级划分表</w:t>
            </w:r>
          </w:p>
          <w:tbl>
            <w:tblPr>
              <w:tblStyle w:val="14"/>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28" w:type="dxa"/>
                <w:left w:w="28" w:type="dxa"/>
                <w:bottom w:w="28" w:type="dxa"/>
                <w:right w:w="28" w:type="dxa"/>
              </w:tblCellMar>
            </w:tblPr>
            <w:tblGrid>
              <w:gridCol w:w="3287"/>
              <w:gridCol w:w="567"/>
              <w:gridCol w:w="567"/>
              <w:gridCol w:w="567"/>
              <w:gridCol w:w="567"/>
              <w:gridCol w:w="567"/>
              <w:gridCol w:w="567"/>
              <w:gridCol w:w="567"/>
              <w:gridCol w:w="567"/>
              <w:gridCol w:w="567"/>
            </w:tblGrid>
            <w:tr w14:paraId="60ABD9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1134" w:hRule="atLeast"/>
                <w:jc w:val="center"/>
              </w:trPr>
              <w:tc>
                <w:tcPr>
                  <w:tcW w:w="0" w:type="auto"/>
                  <w:vMerge w:val="restart"/>
                  <w:noWrap w:val="0"/>
                  <w:tcMar>
                    <w:top w:w="28" w:type="dxa"/>
                    <w:left w:w="28" w:type="dxa"/>
                    <w:bottom w:w="28" w:type="dxa"/>
                    <w:right w:w="28" w:type="dxa"/>
                  </w:tcMar>
                  <w:vAlign w:val="center"/>
                  <mc:AlternateContent>
                    <mc:Choice Requires="wpsCustomData">
                      <wpsCustomData:diagonals>
                        <wpsCustomData:diagonal from="5000" to="30000">
                          <wpsCustomData:border w:val="single" w:color="auto" w:sz="12" w:space="0"/>
                        </wpsCustomData:diagonal>
                        <wpsCustomData:diagonal from="15000" to="30000">
                          <wpsCustomData:border w:val="single" w:color="auto" w:sz="12" w:space="0"/>
                        </wpsCustomData:diagonal>
                      </wpsCustomData:diagonals>
                    </mc:Choice>
                  </mc:AlternateContent>
                </w:tcPr>
                <w:p w14:paraId="0AD7B1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宋体"/>
                      <w:kern w:val="0"/>
                      <w:sz w:val="21"/>
                      <w:szCs w:val="21"/>
                      <w:lang w:val="en-US" w:eastAsia="zh-CN" w:bidi="ar"/>
                    </w:rPr>
                  </w:pPr>
                </w:p>
                <w:p w14:paraId="6DF04088">
                  <w:pPr>
                    <w:keepNext w:val="0"/>
                    <w:keepLines w:val="0"/>
                    <w:pageBreakBefore w:val="0"/>
                    <w:widowControl w:val="0"/>
                    <w:kinsoku/>
                    <w:wordWrap/>
                    <w:overflowPunct/>
                    <w:topLinePunct w:val="0"/>
                    <w:autoSpaceDE/>
                    <w:autoSpaceDN/>
                    <w:bidi w:val="0"/>
                    <w:adjustRightInd/>
                    <w:snapToGrid/>
                    <w:spacing w:line="280" w:lineRule="exact"/>
                    <w:jc w:val="center"/>
                    <w:textAlignment w:val="auto"/>
                    <mc:AlternateContent>
                      <mc:Choice Requires="wpsCustomData">
                        <wpsCustomData:diagonalParaType/>
                      </mc:Choice>
                    </mc:AlternateContent>
                    <w:rPr>
                      <w:rFonts w:hint="default" w:eastAsia="宋体"/>
                      <w:kern w:val="0"/>
                      <w:sz w:val="21"/>
                      <w:szCs w:val="21"/>
                      <w:lang w:val="en-US" w:eastAsia="zh-CN" w:bidi="ar"/>
                    </w:rPr>
                  </w:pPr>
                  <w:r>
                    <w:rPr>
                      <w:rFonts w:hint="eastAsia"/>
                      <w:kern w:val="0"/>
                      <w:sz w:val="21"/>
                      <w:szCs w:val="21"/>
                      <w:lang w:val="en-US" w:eastAsia="zh-CN" w:bidi="ar"/>
                    </w:rPr>
                    <w:t>敏感程度</w:t>
                  </w:r>
                </w:p>
                <w:p w14:paraId="431956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kern w:val="0"/>
                      <w:sz w:val="21"/>
                      <w:szCs w:val="21"/>
                      <w:lang w:val="en-US" w:eastAsia="zh-CN" w:bidi="ar"/>
                    </w:rPr>
                  </w:pPr>
                </w:p>
                <w:p w14:paraId="42A6A8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kern w:val="0"/>
                      <w:sz w:val="21"/>
                      <w:szCs w:val="21"/>
                      <w:lang w:val="en-US" w:eastAsia="zh-CN" w:bidi="ar"/>
                    </w:rPr>
                  </w:pPr>
                </w:p>
                <w:p w14:paraId="140C93E7">
                  <w:pPr>
                    <w:keepNext w:val="0"/>
                    <w:keepLines w:val="0"/>
                    <w:pageBreakBefore w:val="0"/>
                    <w:widowControl w:val="0"/>
                    <w:kinsoku/>
                    <w:wordWrap/>
                    <w:overflowPunct/>
                    <w:topLinePunct w:val="0"/>
                    <w:autoSpaceDE/>
                    <w:autoSpaceDN/>
                    <w:bidi w:val="0"/>
                    <w:adjustRightInd/>
                    <w:snapToGrid/>
                    <w:spacing w:line="280" w:lineRule="exact"/>
                    <w:jc w:val="center"/>
                    <w:textAlignment w:val="auto"/>
                    <mc:AlternateContent>
                      <mc:Choice Requires="wpsCustomData">
                        <wpsCustomData:diagonalParaType/>
                      </mc:Choice>
                    </mc:AlternateContent>
                    <w:rPr>
                      <w:rFonts w:hint="default" w:eastAsia="宋体"/>
                      <w:kern w:val="0"/>
                      <w:sz w:val="21"/>
                      <w:szCs w:val="21"/>
                      <w:lang w:val="en-US" w:eastAsia="zh-CN" w:bidi="ar"/>
                    </w:rPr>
                  </w:pPr>
                  <w:r>
                    <w:rPr>
                      <w:rFonts w:hint="eastAsia"/>
                      <w:kern w:val="0"/>
                      <w:sz w:val="21"/>
                      <w:szCs w:val="21"/>
                      <w:lang w:val="en-US" w:eastAsia="zh-CN" w:bidi="ar"/>
                    </w:rPr>
                    <w:t>评价工作等级</w:t>
                  </w:r>
                </w:p>
                <w:p w14:paraId="1BFF0F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宋体"/>
                      <w:kern w:val="0"/>
                      <w:sz w:val="21"/>
                      <w:szCs w:val="21"/>
                      <w:lang w:val="en-US" w:eastAsia="zh-CN" w:bidi="ar"/>
                    </w:rPr>
                  </w:pPr>
                  <w:r>
                    <w:rPr>
                      <w:rFonts w:hint="eastAsia"/>
                      <w:kern w:val="0"/>
                      <w:sz w:val="21"/>
                      <w:szCs w:val="21"/>
                      <w:lang w:val="en-US" w:eastAsia="zh-CN" w:bidi="ar"/>
                    </w:rPr>
                    <w:t>占地规模</w:t>
                  </w:r>
                </w:p>
              </w:tc>
              <w:tc>
                <w:tcPr>
                  <w:tcW w:w="567" w:type="dxa"/>
                  <w:gridSpan w:val="3"/>
                  <w:noWrap w:val="0"/>
                  <w:tcMar>
                    <w:top w:w="28" w:type="dxa"/>
                    <w:left w:w="28" w:type="dxa"/>
                    <w:bottom w:w="28" w:type="dxa"/>
                    <w:right w:w="28" w:type="dxa"/>
                  </w:tcMar>
                  <w:vAlign w:val="center"/>
                </w:tcPr>
                <w:p w14:paraId="206A2175">
                  <w:pPr>
                    <w:pageBreakBefore w:val="0"/>
                    <w:kinsoku/>
                    <w:wordWrap/>
                    <w:topLinePunct w:val="0"/>
                    <w:bidi w:val="0"/>
                    <w:spacing w:line="280" w:lineRule="exact"/>
                    <w:jc w:val="center"/>
                    <w:rPr>
                      <w:kern w:val="0"/>
                      <w:szCs w:val="21"/>
                      <w:lang w:bidi="ar"/>
                    </w:rPr>
                  </w:pPr>
                  <w:r>
                    <w:rPr>
                      <w:rFonts w:eastAsia="微软雅黑"/>
                      <w:b/>
                      <w:bCs/>
                      <w:kern w:val="0"/>
                      <w:szCs w:val="21"/>
                      <w:lang w:bidi="ar"/>
                    </w:rPr>
                    <w:t>Ⅰ类</w:t>
                  </w:r>
                </w:p>
              </w:tc>
              <w:tc>
                <w:tcPr>
                  <w:tcW w:w="567" w:type="dxa"/>
                  <w:gridSpan w:val="3"/>
                  <w:noWrap w:val="0"/>
                  <w:tcMar>
                    <w:top w:w="28" w:type="dxa"/>
                    <w:left w:w="28" w:type="dxa"/>
                    <w:bottom w:w="28" w:type="dxa"/>
                    <w:right w:w="28" w:type="dxa"/>
                  </w:tcMar>
                  <w:vAlign w:val="center"/>
                </w:tcPr>
                <w:p w14:paraId="7754DA0C">
                  <w:pPr>
                    <w:pageBreakBefore w:val="0"/>
                    <w:kinsoku/>
                    <w:wordWrap/>
                    <w:topLinePunct w:val="0"/>
                    <w:bidi w:val="0"/>
                    <w:spacing w:line="280" w:lineRule="exact"/>
                    <w:jc w:val="center"/>
                    <w:rPr>
                      <w:kern w:val="0"/>
                      <w:szCs w:val="21"/>
                      <w:lang w:bidi="ar"/>
                    </w:rPr>
                  </w:pPr>
                  <w:r>
                    <w:rPr>
                      <w:rFonts w:eastAsia="微软雅黑"/>
                      <w:b/>
                      <w:bCs/>
                      <w:kern w:val="0"/>
                      <w:szCs w:val="21"/>
                      <w:lang w:bidi="ar"/>
                    </w:rPr>
                    <w:t>Ⅱ类</w:t>
                  </w:r>
                </w:p>
              </w:tc>
              <w:tc>
                <w:tcPr>
                  <w:tcW w:w="567" w:type="dxa"/>
                  <w:gridSpan w:val="3"/>
                  <w:noWrap w:val="0"/>
                  <w:tcMar>
                    <w:top w:w="28" w:type="dxa"/>
                    <w:left w:w="28" w:type="dxa"/>
                    <w:bottom w:w="28" w:type="dxa"/>
                    <w:right w:w="28" w:type="dxa"/>
                  </w:tcMar>
                  <w:vAlign w:val="center"/>
                </w:tcPr>
                <w:p w14:paraId="6841CE80">
                  <w:pPr>
                    <w:pageBreakBefore w:val="0"/>
                    <w:kinsoku/>
                    <w:wordWrap/>
                    <w:topLinePunct w:val="0"/>
                    <w:bidi w:val="0"/>
                    <w:spacing w:line="280" w:lineRule="exact"/>
                    <w:jc w:val="center"/>
                    <w:rPr>
                      <w:kern w:val="0"/>
                      <w:szCs w:val="21"/>
                      <w:lang w:bidi="ar"/>
                    </w:rPr>
                  </w:pPr>
                  <w:r>
                    <w:rPr>
                      <w:rFonts w:eastAsia="微软雅黑"/>
                      <w:b/>
                      <w:bCs/>
                      <w:kern w:val="0"/>
                      <w:szCs w:val="21"/>
                      <w:lang w:bidi="ar"/>
                    </w:rPr>
                    <w:t>Ⅲ类</w:t>
                  </w:r>
                </w:p>
              </w:tc>
            </w:tr>
            <w:tr w14:paraId="2618B4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0" w:type="auto"/>
                  <w:vMerge w:val="continue"/>
                  <w:noWrap w:val="0"/>
                  <w:tcMar>
                    <w:top w:w="28" w:type="dxa"/>
                    <w:left w:w="28" w:type="dxa"/>
                    <w:bottom w:w="28" w:type="dxa"/>
                    <w:right w:w="28" w:type="dxa"/>
                  </w:tcMar>
                  <w:vAlign w:val="center"/>
                </w:tcPr>
                <w:p w14:paraId="2F1EC793">
                  <w:pPr>
                    <w:pageBreakBefore w:val="0"/>
                    <w:kinsoku/>
                    <w:wordWrap/>
                    <w:topLinePunct w:val="0"/>
                    <w:bidi w:val="0"/>
                    <w:spacing w:line="280" w:lineRule="exact"/>
                    <w:jc w:val="center"/>
                    <w:rPr>
                      <w:kern w:val="0"/>
                      <w:szCs w:val="21"/>
                      <w:lang w:bidi="ar"/>
                    </w:rPr>
                  </w:pPr>
                </w:p>
              </w:tc>
              <w:tc>
                <w:tcPr>
                  <w:tcW w:w="567" w:type="dxa"/>
                  <w:noWrap w:val="0"/>
                  <w:tcMar>
                    <w:top w:w="28" w:type="dxa"/>
                    <w:left w:w="28" w:type="dxa"/>
                    <w:bottom w:w="28" w:type="dxa"/>
                    <w:right w:w="28" w:type="dxa"/>
                  </w:tcMar>
                  <w:vAlign w:val="center"/>
                </w:tcPr>
                <w:p w14:paraId="33FF5825">
                  <w:pPr>
                    <w:pageBreakBefore w:val="0"/>
                    <w:kinsoku/>
                    <w:wordWrap/>
                    <w:topLinePunct w:val="0"/>
                    <w:bidi w:val="0"/>
                    <w:spacing w:line="280" w:lineRule="exact"/>
                    <w:jc w:val="center"/>
                    <w:rPr>
                      <w:kern w:val="0"/>
                      <w:szCs w:val="21"/>
                      <w:lang w:bidi="ar"/>
                    </w:rPr>
                  </w:pPr>
                  <w:r>
                    <w:rPr>
                      <w:kern w:val="0"/>
                      <w:szCs w:val="21"/>
                      <w:lang w:bidi="ar"/>
                    </w:rPr>
                    <w:t>大</w:t>
                  </w:r>
                </w:p>
              </w:tc>
              <w:tc>
                <w:tcPr>
                  <w:tcW w:w="567" w:type="dxa"/>
                  <w:noWrap w:val="0"/>
                  <w:tcMar>
                    <w:top w:w="28" w:type="dxa"/>
                    <w:left w:w="28" w:type="dxa"/>
                    <w:bottom w:w="28" w:type="dxa"/>
                    <w:right w:w="28" w:type="dxa"/>
                  </w:tcMar>
                  <w:vAlign w:val="center"/>
                </w:tcPr>
                <w:p w14:paraId="4B6ECAF5">
                  <w:pPr>
                    <w:pageBreakBefore w:val="0"/>
                    <w:kinsoku/>
                    <w:wordWrap/>
                    <w:topLinePunct w:val="0"/>
                    <w:bidi w:val="0"/>
                    <w:spacing w:line="280" w:lineRule="exact"/>
                    <w:jc w:val="center"/>
                    <w:rPr>
                      <w:kern w:val="0"/>
                      <w:szCs w:val="21"/>
                      <w:lang w:bidi="ar"/>
                    </w:rPr>
                  </w:pPr>
                  <w:r>
                    <w:rPr>
                      <w:kern w:val="0"/>
                      <w:szCs w:val="21"/>
                      <w:lang w:bidi="ar"/>
                    </w:rPr>
                    <w:t>中</w:t>
                  </w:r>
                </w:p>
              </w:tc>
              <w:tc>
                <w:tcPr>
                  <w:tcW w:w="567" w:type="dxa"/>
                  <w:noWrap w:val="0"/>
                  <w:tcMar>
                    <w:top w:w="28" w:type="dxa"/>
                    <w:left w:w="28" w:type="dxa"/>
                    <w:bottom w:w="28" w:type="dxa"/>
                    <w:right w:w="28" w:type="dxa"/>
                  </w:tcMar>
                  <w:vAlign w:val="center"/>
                </w:tcPr>
                <w:p w14:paraId="16A73CE8">
                  <w:pPr>
                    <w:pageBreakBefore w:val="0"/>
                    <w:kinsoku/>
                    <w:wordWrap/>
                    <w:topLinePunct w:val="0"/>
                    <w:bidi w:val="0"/>
                    <w:spacing w:line="280" w:lineRule="exact"/>
                    <w:jc w:val="center"/>
                    <w:rPr>
                      <w:kern w:val="0"/>
                      <w:szCs w:val="21"/>
                      <w:lang w:bidi="ar"/>
                    </w:rPr>
                  </w:pPr>
                  <w:r>
                    <w:rPr>
                      <w:kern w:val="0"/>
                      <w:szCs w:val="21"/>
                      <w:lang w:bidi="ar"/>
                    </w:rPr>
                    <w:t>小</w:t>
                  </w:r>
                </w:p>
              </w:tc>
              <w:tc>
                <w:tcPr>
                  <w:tcW w:w="567" w:type="dxa"/>
                  <w:noWrap w:val="0"/>
                  <w:tcMar>
                    <w:top w:w="28" w:type="dxa"/>
                    <w:left w:w="28" w:type="dxa"/>
                    <w:bottom w:w="28" w:type="dxa"/>
                    <w:right w:w="28" w:type="dxa"/>
                  </w:tcMar>
                  <w:vAlign w:val="center"/>
                </w:tcPr>
                <w:p w14:paraId="48DFB63C">
                  <w:pPr>
                    <w:pageBreakBefore w:val="0"/>
                    <w:kinsoku/>
                    <w:wordWrap/>
                    <w:topLinePunct w:val="0"/>
                    <w:bidi w:val="0"/>
                    <w:spacing w:line="280" w:lineRule="exact"/>
                    <w:jc w:val="center"/>
                    <w:rPr>
                      <w:kern w:val="0"/>
                      <w:szCs w:val="21"/>
                      <w:lang w:bidi="ar"/>
                    </w:rPr>
                  </w:pPr>
                  <w:r>
                    <w:rPr>
                      <w:kern w:val="0"/>
                      <w:szCs w:val="21"/>
                      <w:lang w:bidi="ar"/>
                    </w:rPr>
                    <w:t>大</w:t>
                  </w:r>
                </w:p>
              </w:tc>
              <w:tc>
                <w:tcPr>
                  <w:tcW w:w="567" w:type="dxa"/>
                  <w:noWrap w:val="0"/>
                  <w:tcMar>
                    <w:top w:w="28" w:type="dxa"/>
                    <w:left w:w="28" w:type="dxa"/>
                    <w:bottom w:w="28" w:type="dxa"/>
                    <w:right w:w="28" w:type="dxa"/>
                  </w:tcMar>
                  <w:vAlign w:val="center"/>
                </w:tcPr>
                <w:p w14:paraId="0FF1E10F">
                  <w:pPr>
                    <w:pageBreakBefore w:val="0"/>
                    <w:kinsoku/>
                    <w:wordWrap/>
                    <w:topLinePunct w:val="0"/>
                    <w:bidi w:val="0"/>
                    <w:spacing w:line="280" w:lineRule="exact"/>
                    <w:jc w:val="center"/>
                    <w:rPr>
                      <w:kern w:val="0"/>
                      <w:szCs w:val="21"/>
                      <w:lang w:bidi="ar"/>
                    </w:rPr>
                  </w:pPr>
                  <w:r>
                    <w:rPr>
                      <w:kern w:val="0"/>
                      <w:szCs w:val="21"/>
                      <w:lang w:bidi="ar"/>
                    </w:rPr>
                    <w:t>中</w:t>
                  </w:r>
                </w:p>
              </w:tc>
              <w:tc>
                <w:tcPr>
                  <w:tcW w:w="567" w:type="dxa"/>
                  <w:noWrap w:val="0"/>
                  <w:tcMar>
                    <w:top w:w="28" w:type="dxa"/>
                    <w:left w:w="28" w:type="dxa"/>
                    <w:bottom w:w="28" w:type="dxa"/>
                    <w:right w:w="28" w:type="dxa"/>
                  </w:tcMar>
                  <w:vAlign w:val="center"/>
                </w:tcPr>
                <w:p w14:paraId="3D47C4E5">
                  <w:pPr>
                    <w:pageBreakBefore w:val="0"/>
                    <w:kinsoku/>
                    <w:wordWrap/>
                    <w:topLinePunct w:val="0"/>
                    <w:bidi w:val="0"/>
                    <w:spacing w:line="280" w:lineRule="exact"/>
                    <w:jc w:val="center"/>
                    <w:rPr>
                      <w:kern w:val="0"/>
                      <w:szCs w:val="21"/>
                      <w:lang w:bidi="ar"/>
                    </w:rPr>
                  </w:pPr>
                  <w:r>
                    <w:rPr>
                      <w:kern w:val="0"/>
                      <w:szCs w:val="21"/>
                      <w:lang w:bidi="ar"/>
                    </w:rPr>
                    <w:t>小</w:t>
                  </w:r>
                </w:p>
              </w:tc>
              <w:tc>
                <w:tcPr>
                  <w:tcW w:w="567" w:type="dxa"/>
                  <w:noWrap w:val="0"/>
                  <w:tcMar>
                    <w:top w:w="28" w:type="dxa"/>
                    <w:left w:w="28" w:type="dxa"/>
                    <w:bottom w:w="28" w:type="dxa"/>
                    <w:right w:w="28" w:type="dxa"/>
                  </w:tcMar>
                  <w:vAlign w:val="center"/>
                </w:tcPr>
                <w:p w14:paraId="55139A53">
                  <w:pPr>
                    <w:pageBreakBefore w:val="0"/>
                    <w:kinsoku/>
                    <w:wordWrap/>
                    <w:topLinePunct w:val="0"/>
                    <w:bidi w:val="0"/>
                    <w:spacing w:line="280" w:lineRule="exact"/>
                    <w:jc w:val="center"/>
                    <w:rPr>
                      <w:kern w:val="0"/>
                      <w:szCs w:val="21"/>
                      <w:lang w:bidi="ar"/>
                    </w:rPr>
                  </w:pPr>
                  <w:r>
                    <w:rPr>
                      <w:kern w:val="0"/>
                      <w:szCs w:val="21"/>
                      <w:lang w:bidi="ar"/>
                    </w:rPr>
                    <w:t>大</w:t>
                  </w:r>
                </w:p>
              </w:tc>
              <w:tc>
                <w:tcPr>
                  <w:tcW w:w="567" w:type="dxa"/>
                  <w:noWrap w:val="0"/>
                  <w:tcMar>
                    <w:top w:w="28" w:type="dxa"/>
                    <w:left w:w="28" w:type="dxa"/>
                    <w:bottom w:w="28" w:type="dxa"/>
                    <w:right w:w="28" w:type="dxa"/>
                  </w:tcMar>
                  <w:vAlign w:val="center"/>
                </w:tcPr>
                <w:p w14:paraId="29C368D2">
                  <w:pPr>
                    <w:pageBreakBefore w:val="0"/>
                    <w:kinsoku/>
                    <w:wordWrap/>
                    <w:topLinePunct w:val="0"/>
                    <w:bidi w:val="0"/>
                    <w:spacing w:line="280" w:lineRule="exact"/>
                    <w:jc w:val="center"/>
                    <w:rPr>
                      <w:kern w:val="0"/>
                      <w:szCs w:val="21"/>
                      <w:lang w:bidi="ar"/>
                    </w:rPr>
                  </w:pPr>
                  <w:r>
                    <w:rPr>
                      <w:kern w:val="0"/>
                      <w:szCs w:val="21"/>
                      <w:lang w:bidi="ar"/>
                    </w:rPr>
                    <w:t>中</w:t>
                  </w:r>
                </w:p>
              </w:tc>
              <w:tc>
                <w:tcPr>
                  <w:tcW w:w="567" w:type="dxa"/>
                  <w:noWrap w:val="0"/>
                  <w:tcMar>
                    <w:top w:w="28" w:type="dxa"/>
                    <w:left w:w="28" w:type="dxa"/>
                    <w:bottom w:w="28" w:type="dxa"/>
                    <w:right w:w="28" w:type="dxa"/>
                  </w:tcMar>
                  <w:vAlign w:val="center"/>
                </w:tcPr>
                <w:p w14:paraId="3EE37158">
                  <w:pPr>
                    <w:pageBreakBefore w:val="0"/>
                    <w:kinsoku/>
                    <w:wordWrap/>
                    <w:topLinePunct w:val="0"/>
                    <w:bidi w:val="0"/>
                    <w:spacing w:line="280" w:lineRule="exact"/>
                    <w:jc w:val="center"/>
                    <w:rPr>
                      <w:kern w:val="0"/>
                      <w:szCs w:val="21"/>
                      <w:lang w:bidi="ar"/>
                    </w:rPr>
                  </w:pPr>
                  <w:r>
                    <w:rPr>
                      <w:kern w:val="0"/>
                      <w:szCs w:val="21"/>
                      <w:lang w:bidi="ar"/>
                    </w:rPr>
                    <w:t>小</w:t>
                  </w:r>
                </w:p>
              </w:tc>
            </w:tr>
            <w:tr w14:paraId="2EE9DB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0" w:type="auto"/>
                  <w:noWrap w:val="0"/>
                  <w:tcMar>
                    <w:top w:w="28" w:type="dxa"/>
                    <w:left w:w="28" w:type="dxa"/>
                    <w:bottom w:w="28" w:type="dxa"/>
                    <w:right w:w="28" w:type="dxa"/>
                  </w:tcMar>
                  <w:vAlign w:val="center"/>
                </w:tcPr>
                <w:p w14:paraId="73131537">
                  <w:pPr>
                    <w:pageBreakBefore w:val="0"/>
                    <w:kinsoku/>
                    <w:wordWrap/>
                    <w:topLinePunct w:val="0"/>
                    <w:bidi w:val="0"/>
                    <w:spacing w:line="280" w:lineRule="exact"/>
                    <w:jc w:val="center"/>
                    <w:rPr>
                      <w:kern w:val="0"/>
                      <w:szCs w:val="21"/>
                      <w:lang w:bidi="ar"/>
                    </w:rPr>
                  </w:pPr>
                  <w:r>
                    <w:rPr>
                      <w:kern w:val="0"/>
                      <w:szCs w:val="21"/>
                      <w:lang w:bidi="ar"/>
                    </w:rPr>
                    <w:t>敏感</w:t>
                  </w:r>
                </w:p>
              </w:tc>
              <w:tc>
                <w:tcPr>
                  <w:tcW w:w="567" w:type="dxa"/>
                  <w:noWrap w:val="0"/>
                  <w:tcMar>
                    <w:top w:w="28" w:type="dxa"/>
                    <w:left w:w="28" w:type="dxa"/>
                    <w:bottom w:w="28" w:type="dxa"/>
                    <w:right w:w="28" w:type="dxa"/>
                  </w:tcMar>
                  <w:vAlign w:val="center"/>
                </w:tcPr>
                <w:p w14:paraId="19E4DF38">
                  <w:pPr>
                    <w:pageBreakBefore w:val="0"/>
                    <w:kinsoku/>
                    <w:wordWrap/>
                    <w:topLinePunct w:val="0"/>
                    <w:bidi w:val="0"/>
                    <w:spacing w:line="280" w:lineRule="exact"/>
                    <w:jc w:val="center"/>
                    <w:rPr>
                      <w:kern w:val="0"/>
                      <w:szCs w:val="21"/>
                      <w:lang w:bidi="ar"/>
                    </w:rPr>
                  </w:pPr>
                  <w:r>
                    <w:rPr>
                      <w:kern w:val="0"/>
                      <w:szCs w:val="21"/>
                      <w:lang w:bidi="ar"/>
                    </w:rPr>
                    <w:t>一级</w:t>
                  </w:r>
                </w:p>
              </w:tc>
              <w:tc>
                <w:tcPr>
                  <w:tcW w:w="567" w:type="dxa"/>
                  <w:noWrap w:val="0"/>
                  <w:tcMar>
                    <w:top w:w="28" w:type="dxa"/>
                    <w:left w:w="28" w:type="dxa"/>
                    <w:bottom w:w="28" w:type="dxa"/>
                    <w:right w:w="28" w:type="dxa"/>
                  </w:tcMar>
                  <w:vAlign w:val="center"/>
                </w:tcPr>
                <w:p w14:paraId="20BF8D1C">
                  <w:pPr>
                    <w:pageBreakBefore w:val="0"/>
                    <w:kinsoku/>
                    <w:wordWrap/>
                    <w:topLinePunct w:val="0"/>
                    <w:bidi w:val="0"/>
                    <w:spacing w:line="280" w:lineRule="exact"/>
                    <w:jc w:val="center"/>
                    <w:rPr>
                      <w:kern w:val="0"/>
                      <w:szCs w:val="21"/>
                      <w:lang w:bidi="ar"/>
                    </w:rPr>
                  </w:pPr>
                  <w:r>
                    <w:rPr>
                      <w:kern w:val="0"/>
                      <w:szCs w:val="21"/>
                      <w:lang w:bidi="ar"/>
                    </w:rPr>
                    <w:t>一级</w:t>
                  </w:r>
                </w:p>
              </w:tc>
              <w:tc>
                <w:tcPr>
                  <w:tcW w:w="567" w:type="dxa"/>
                  <w:noWrap w:val="0"/>
                  <w:tcMar>
                    <w:top w:w="28" w:type="dxa"/>
                    <w:left w:w="28" w:type="dxa"/>
                    <w:bottom w:w="28" w:type="dxa"/>
                    <w:right w:w="28" w:type="dxa"/>
                  </w:tcMar>
                  <w:vAlign w:val="center"/>
                </w:tcPr>
                <w:p w14:paraId="3197515E">
                  <w:pPr>
                    <w:pageBreakBefore w:val="0"/>
                    <w:kinsoku/>
                    <w:wordWrap/>
                    <w:topLinePunct w:val="0"/>
                    <w:bidi w:val="0"/>
                    <w:spacing w:line="280" w:lineRule="exact"/>
                    <w:jc w:val="center"/>
                    <w:rPr>
                      <w:kern w:val="0"/>
                      <w:szCs w:val="21"/>
                      <w:lang w:bidi="ar"/>
                    </w:rPr>
                  </w:pPr>
                  <w:r>
                    <w:rPr>
                      <w:kern w:val="0"/>
                      <w:szCs w:val="21"/>
                      <w:lang w:bidi="ar"/>
                    </w:rPr>
                    <w:t>一级</w:t>
                  </w:r>
                </w:p>
              </w:tc>
              <w:tc>
                <w:tcPr>
                  <w:tcW w:w="567" w:type="dxa"/>
                  <w:noWrap w:val="0"/>
                  <w:tcMar>
                    <w:top w:w="28" w:type="dxa"/>
                    <w:left w:w="28" w:type="dxa"/>
                    <w:bottom w:w="28" w:type="dxa"/>
                    <w:right w:w="28" w:type="dxa"/>
                  </w:tcMar>
                  <w:vAlign w:val="center"/>
                </w:tcPr>
                <w:p w14:paraId="378A188F">
                  <w:pPr>
                    <w:pageBreakBefore w:val="0"/>
                    <w:kinsoku/>
                    <w:wordWrap/>
                    <w:topLinePunct w:val="0"/>
                    <w:bidi w:val="0"/>
                    <w:spacing w:line="280" w:lineRule="exact"/>
                    <w:jc w:val="center"/>
                    <w:rPr>
                      <w:kern w:val="0"/>
                      <w:szCs w:val="21"/>
                      <w:lang w:bidi="ar"/>
                    </w:rPr>
                  </w:pPr>
                  <w:r>
                    <w:rPr>
                      <w:kern w:val="0"/>
                      <w:szCs w:val="21"/>
                      <w:lang w:bidi="ar"/>
                    </w:rPr>
                    <w:t>二级</w:t>
                  </w:r>
                </w:p>
              </w:tc>
              <w:tc>
                <w:tcPr>
                  <w:tcW w:w="567" w:type="dxa"/>
                  <w:noWrap w:val="0"/>
                  <w:tcMar>
                    <w:top w:w="28" w:type="dxa"/>
                    <w:left w:w="28" w:type="dxa"/>
                    <w:bottom w:w="28" w:type="dxa"/>
                    <w:right w:w="28" w:type="dxa"/>
                  </w:tcMar>
                  <w:vAlign w:val="center"/>
                </w:tcPr>
                <w:p w14:paraId="35D09542">
                  <w:pPr>
                    <w:pageBreakBefore w:val="0"/>
                    <w:kinsoku/>
                    <w:wordWrap/>
                    <w:topLinePunct w:val="0"/>
                    <w:bidi w:val="0"/>
                    <w:spacing w:line="280" w:lineRule="exact"/>
                    <w:jc w:val="center"/>
                    <w:rPr>
                      <w:kern w:val="0"/>
                      <w:szCs w:val="21"/>
                      <w:lang w:bidi="ar"/>
                    </w:rPr>
                  </w:pPr>
                  <w:r>
                    <w:rPr>
                      <w:kern w:val="0"/>
                      <w:szCs w:val="21"/>
                      <w:lang w:bidi="ar"/>
                    </w:rPr>
                    <w:t>二级</w:t>
                  </w:r>
                </w:p>
              </w:tc>
              <w:tc>
                <w:tcPr>
                  <w:tcW w:w="567" w:type="dxa"/>
                  <w:noWrap w:val="0"/>
                  <w:tcMar>
                    <w:top w:w="28" w:type="dxa"/>
                    <w:left w:w="28" w:type="dxa"/>
                    <w:bottom w:w="28" w:type="dxa"/>
                    <w:right w:w="28" w:type="dxa"/>
                  </w:tcMar>
                  <w:vAlign w:val="center"/>
                </w:tcPr>
                <w:p w14:paraId="102DCD13">
                  <w:pPr>
                    <w:pageBreakBefore w:val="0"/>
                    <w:kinsoku/>
                    <w:wordWrap/>
                    <w:topLinePunct w:val="0"/>
                    <w:bidi w:val="0"/>
                    <w:spacing w:line="280" w:lineRule="exact"/>
                    <w:jc w:val="center"/>
                    <w:rPr>
                      <w:kern w:val="0"/>
                      <w:szCs w:val="21"/>
                      <w:lang w:bidi="ar"/>
                    </w:rPr>
                  </w:pPr>
                  <w:r>
                    <w:rPr>
                      <w:kern w:val="0"/>
                      <w:szCs w:val="21"/>
                      <w:lang w:bidi="ar"/>
                    </w:rPr>
                    <w:t>二级</w:t>
                  </w:r>
                </w:p>
              </w:tc>
              <w:tc>
                <w:tcPr>
                  <w:tcW w:w="567" w:type="dxa"/>
                  <w:noWrap w:val="0"/>
                  <w:tcMar>
                    <w:top w:w="28" w:type="dxa"/>
                    <w:left w:w="28" w:type="dxa"/>
                    <w:bottom w:w="28" w:type="dxa"/>
                    <w:right w:w="28" w:type="dxa"/>
                  </w:tcMar>
                  <w:vAlign w:val="center"/>
                </w:tcPr>
                <w:p w14:paraId="4B0D05AC">
                  <w:pPr>
                    <w:pageBreakBefore w:val="0"/>
                    <w:kinsoku/>
                    <w:wordWrap/>
                    <w:topLinePunct w:val="0"/>
                    <w:bidi w:val="0"/>
                    <w:spacing w:line="280" w:lineRule="exact"/>
                    <w:jc w:val="center"/>
                    <w:rPr>
                      <w:kern w:val="0"/>
                      <w:szCs w:val="21"/>
                      <w:lang w:bidi="ar"/>
                    </w:rPr>
                  </w:pPr>
                  <w:r>
                    <w:rPr>
                      <w:kern w:val="0"/>
                      <w:szCs w:val="21"/>
                      <w:lang w:bidi="ar"/>
                    </w:rPr>
                    <w:t>三级</w:t>
                  </w:r>
                </w:p>
              </w:tc>
              <w:tc>
                <w:tcPr>
                  <w:tcW w:w="567" w:type="dxa"/>
                  <w:noWrap w:val="0"/>
                  <w:tcMar>
                    <w:top w:w="28" w:type="dxa"/>
                    <w:left w:w="28" w:type="dxa"/>
                    <w:bottom w:w="28" w:type="dxa"/>
                    <w:right w:w="28" w:type="dxa"/>
                  </w:tcMar>
                  <w:vAlign w:val="center"/>
                </w:tcPr>
                <w:p w14:paraId="402A3248">
                  <w:pPr>
                    <w:pageBreakBefore w:val="0"/>
                    <w:kinsoku/>
                    <w:wordWrap/>
                    <w:topLinePunct w:val="0"/>
                    <w:bidi w:val="0"/>
                    <w:spacing w:line="280" w:lineRule="exact"/>
                    <w:jc w:val="center"/>
                    <w:rPr>
                      <w:kern w:val="0"/>
                      <w:szCs w:val="21"/>
                      <w:lang w:bidi="ar"/>
                    </w:rPr>
                  </w:pPr>
                  <w:r>
                    <w:rPr>
                      <w:kern w:val="0"/>
                      <w:szCs w:val="21"/>
                      <w:lang w:bidi="ar"/>
                    </w:rPr>
                    <w:t>三级</w:t>
                  </w:r>
                </w:p>
              </w:tc>
              <w:tc>
                <w:tcPr>
                  <w:tcW w:w="567" w:type="dxa"/>
                  <w:noWrap w:val="0"/>
                  <w:tcMar>
                    <w:top w:w="28" w:type="dxa"/>
                    <w:left w:w="28" w:type="dxa"/>
                    <w:bottom w:w="28" w:type="dxa"/>
                    <w:right w:w="28" w:type="dxa"/>
                  </w:tcMar>
                  <w:vAlign w:val="center"/>
                </w:tcPr>
                <w:p w14:paraId="07AD28ED">
                  <w:pPr>
                    <w:pageBreakBefore w:val="0"/>
                    <w:kinsoku/>
                    <w:wordWrap/>
                    <w:topLinePunct w:val="0"/>
                    <w:bidi w:val="0"/>
                    <w:spacing w:line="280" w:lineRule="exact"/>
                    <w:jc w:val="center"/>
                    <w:rPr>
                      <w:kern w:val="0"/>
                      <w:szCs w:val="21"/>
                      <w:lang w:bidi="ar"/>
                    </w:rPr>
                  </w:pPr>
                  <w:r>
                    <w:rPr>
                      <w:kern w:val="0"/>
                      <w:szCs w:val="21"/>
                      <w:lang w:bidi="ar"/>
                    </w:rPr>
                    <w:t>三级</w:t>
                  </w:r>
                </w:p>
              </w:tc>
            </w:tr>
            <w:tr w14:paraId="4FDD60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0" w:type="auto"/>
                  <w:noWrap w:val="0"/>
                  <w:tcMar>
                    <w:top w:w="28" w:type="dxa"/>
                    <w:left w:w="28" w:type="dxa"/>
                    <w:bottom w:w="28" w:type="dxa"/>
                    <w:right w:w="28" w:type="dxa"/>
                  </w:tcMar>
                  <w:vAlign w:val="center"/>
                </w:tcPr>
                <w:p w14:paraId="7ED068A9">
                  <w:pPr>
                    <w:pageBreakBefore w:val="0"/>
                    <w:kinsoku/>
                    <w:wordWrap/>
                    <w:topLinePunct w:val="0"/>
                    <w:bidi w:val="0"/>
                    <w:spacing w:line="280" w:lineRule="exact"/>
                    <w:jc w:val="center"/>
                    <w:rPr>
                      <w:kern w:val="0"/>
                      <w:szCs w:val="21"/>
                      <w:lang w:bidi="ar"/>
                    </w:rPr>
                  </w:pPr>
                  <w:r>
                    <w:rPr>
                      <w:kern w:val="0"/>
                      <w:szCs w:val="21"/>
                      <w:lang w:bidi="ar"/>
                    </w:rPr>
                    <w:t>较敏感</w:t>
                  </w:r>
                </w:p>
              </w:tc>
              <w:tc>
                <w:tcPr>
                  <w:tcW w:w="567" w:type="dxa"/>
                  <w:noWrap w:val="0"/>
                  <w:tcMar>
                    <w:top w:w="28" w:type="dxa"/>
                    <w:left w:w="28" w:type="dxa"/>
                    <w:bottom w:w="28" w:type="dxa"/>
                    <w:right w:w="28" w:type="dxa"/>
                  </w:tcMar>
                  <w:vAlign w:val="center"/>
                </w:tcPr>
                <w:p w14:paraId="1AAA65BF">
                  <w:pPr>
                    <w:pageBreakBefore w:val="0"/>
                    <w:kinsoku/>
                    <w:wordWrap/>
                    <w:topLinePunct w:val="0"/>
                    <w:bidi w:val="0"/>
                    <w:spacing w:line="280" w:lineRule="exact"/>
                    <w:jc w:val="center"/>
                    <w:rPr>
                      <w:kern w:val="0"/>
                      <w:szCs w:val="21"/>
                      <w:lang w:bidi="ar"/>
                    </w:rPr>
                  </w:pPr>
                  <w:r>
                    <w:rPr>
                      <w:kern w:val="0"/>
                      <w:szCs w:val="21"/>
                      <w:lang w:bidi="ar"/>
                    </w:rPr>
                    <w:t>一级</w:t>
                  </w:r>
                </w:p>
              </w:tc>
              <w:tc>
                <w:tcPr>
                  <w:tcW w:w="567" w:type="dxa"/>
                  <w:noWrap w:val="0"/>
                  <w:tcMar>
                    <w:top w:w="28" w:type="dxa"/>
                    <w:left w:w="28" w:type="dxa"/>
                    <w:bottom w:w="28" w:type="dxa"/>
                    <w:right w:w="28" w:type="dxa"/>
                  </w:tcMar>
                  <w:vAlign w:val="center"/>
                </w:tcPr>
                <w:p w14:paraId="0FA5774B">
                  <w:pPr>
                    <w:pageBreakBefore w:val="0"/>
                    <w:kinsoku/>
                    <w:wordWrap/>
                    <w:topLinePunct w:val="0"/>
                    <w:bidi w:val="0"/>
                    <w:spacing w:line="280" w:lineRule="exact"/>
                    <w:jc w:val="center"/>
                    <w:rPr>
                      <w:kern w:val="0"/>
                      <w:szCs w:val="21"/>
                      <w:lang w:bidi="ar"/>
                    </w:rPr>
                  </w:pPr>
                  <w:r>
                    <w:rPr>
                      <w:kern w:val="0"/>
                      <w:szCs w:val="21"/>
                      <w:lang w:bidi="ar"/>
                    </w:rPr>
                    <w:t>一级</w:t>
                  </w:r>
                </w:p>
              </w:tc>
              <w:tc>
                <w:tcPr>
                  <w:tcW w:w="567" w:type="dxa"/>
                  <w:noWrap w:val="0"/>
                  <w:tcMar>
                    <w:top w:w="28" w:type="dxa"/>
                    <w:left w:w="28" w:type="dxa"/>
                    <w:bottom w:w="28" w:type="dxa"/>
                    <w:right w:w="28" w:type="dxa"/>
                  </w:tcMar>
                  <w:vAlign w:val="center"/>
                </w:tcPr>
                <w:p w14:paraId="70B6595A">
                  <w:pPr>
                    <w:pageBreakBefore w:val="0"/>
                    <w:kinsoku/>
                    <w:wordWrap/>
                    <w:topLinePunct w:val="0"/>
                    <w:bidi w:val="0"/>
                    <w:spacing w:line="280" w:lineRule="exact"/>
                    <w:jc w:val="center"/>
                    <w:rPr>
                      <w:kern w:val="0"/>
                      <w:szCs w:val="21"/>
                      <w:lang w:bidi="ar"/>
                    </w:rPr>
                  </w:pPr>
                  <w:r>
                    <w:rPr>
                      <w:kern w:val="0"/>
                      <w:szCs w:val="21"/>
                      <w:lang w:bidi="ar"/>
                    </w:rPr>
                    <w:t>二级</w:t>
                  </w:r>
                </w:p>
              </w:tc>
              <w:tc>
                <w:tcPr>
                  <w:tcW w:w="567" w:type="dxa"/>
                  <w:noWrap w:val="0"/>
                  <w:tcMar>
                    <w:top w:w="28" w:type="dxa"/>
                    <w:left w:w="28" w:type="dxa"/>
                    <w:bottom w:w="28" w:type="dxa"/>
                    <w:right w:w="28" w:type="dxa"/>
                  </w:tcMar>
                  <w:vAlign w:val="center"/>
                </w:tcPr>
                <w:p w14:paraId="70D53E99">
                  <w:pPr>
                    <w:pageBreakBefore w:val="0"/>
                    <w:kinsoku/>
                    <w:wordWrap/>
                    <w:topLinePunct w:val="0"/>
                    <w:bidi w:val="0"/>
                    <w:spacing w:line="280" w:lineRule="exact"/>
                    <w:jc w:val="center"/>
                    <w:rPr>
                      <w:kern w:val="0"/>
                      <w:szCs w:val="21"/>
                      <w:lang w:bidi="ar"/>
                    </w:rPr>
                  </w:pPr>
                  <w:r>
                    <w:rPr>
                      <w:kern w:val="0"/>
                      <w:szCs w:val="21"/>
                      <w:lang w:bidi="ar"/>
                    </w:rPr>
                    <w:t>二级</w:t>
                  </w:r>
                </w:p>
              </w:tc>
              <w:tc>
                <w:tcPr>
                  <w:tcW w:w="567" w:type="dxa"/>
                  <w:noWrap w:val="0"/>
                  <w:tcMar>
                    <w:top w:w="28" w:type="dxa"/>
                    <w:left w:w="28" w:type="dxa"/>
                    <w:bottom w:w="28" w:type="dxa"/>
                    <w:right w:w="28" w:type="dxa"/>
                  </w:tcMar>
                  <w:vAlign w:val="center"/>
                </w:tcPr>
                <w:p w14:paraId="158BD221">
                  <w:pPr>
                    <w:pageBreakBefore w:val="0"/>
                    <w:kinsoku/>
                    <w:wordWrap/>
                    <w:topLinePunct w:val="0"/>
                    <w:bidi w:val="0"/>
                    <w:spacing w:line="280" w:lineRule="exact"/>
                    <w:jc w:val="center"/>
                    <w:rPr>
                      <w:kern w:val="0"/>
                      <w:szCs w:val="21"/>
                      <w:lang w:bidi="ar"/>
                    </w:rPr>
                  </w:pPr>
                  <w:r>
                    <w:rPr>
                      <w:kern w:val="0"/>
                      <w:szCs w:val="21"/>
                      <w:lang w:bidi="ar"/>
                    </w:rPr>
                    <w:t>二级</w:t>
                  </w:r>
                </w:p>
              </w:tc>
              <w:tc>
                <w:tcPr>
                  <w:tcW w:w="567" w:type="dxa"/>
                  <w:noWrap w:val="0"/>
                  <w:tcMar>
                    <w:top w:w="28" w:type="dxa"/>
                    <w:left w:w="28" w:type="dxa"/>
                    <w:bottom w:w="28" w:type="dxa"/>
                    <w:right w:w="28" w:type="dxa"/>
                  </w:tcMar>
                  <w:vAlign w:val="center"/>
                </w:tcPr>
                <w:p w14:paraId="7EC5E6FA">
                  <w:pPr>
                    <w:pageBreakBefore w:val="0"/>
                    <w:kinsoku/>
                    <w:wordWrap/>
                    <w:topLinePunct w:val="0"/>
                    <w:bidi w:val="0"/>
                    <w:spacing w:line="280" w:lineRule="exact"/>
                    <w:jc w:val="center"/>
                    <w:rPr>
                      <w:kern w:val="0"/>
                      <w:szCs w:val="21"/>
                      <w:lang w:bidi="ar"/>
                    </w:rPr>
                  </w:pPr>
                  <w:r>
                    <w:rPr>
                      <w:kern w:val="0"/>
                      <w:szCs w:val="21"/>
                      <w:lang w:bidi="ar"/>
                    </w:rPr>
                    <w:t>三级</w:t>
                  </w:r>
                </w:p>
              </w:tc>
              <w:tc>
                <w:tcPr>
                  <w:tcW w:w="567" w:type="dxa"/>
                  <w:noWrap w:val="0"/>
                  <w:tcMar>
                    <w:top w:w="28" w:type="dxa"/>
                    <w:left w:w="28" w:type="dxa"/>
                    <w:bottom w:w="28" w:type="dxa"/>
                    <w:right w:w="28" w:type="dxa"/>
                  </w:tcMar>
                  <w:vAlign w:val="center"/>
                </w:tcPr>
                <w:p w14:paraId="3AAE60C9">
                  <w:pPr>
                    <w:pageBreakBefore w:val="0"/>
                    <w:kinsoku/>
                    <w:wordWrap/>
                    <w:topLinePunct w:val="0"/>
                    <w:bidi w:val="0"/>
                    <w:spacing w:line="280" w:lineRule="exact"/>
                    <w:jc w:val="center"/>
                    <w:rPr>
                      <w:kern w:val="0"/>
                      <w:szCs w:val="21"/>
                      <w:lang w:bidi="ar"/>
                    </w:rPr>
                  </w:pPr>
                  <w:r>
                    <w:rPr>
                      <w:kern w:val="0"/>
                      <w:szCs w:val="21"/>
                      <w:lang w:bidi="ar"/>
                    </w:rPr>
                    <w:t>三级</w:t>
                  </w:r>
                </w:p>
              </w:tc>
              <w:tc>
                <w:tcPr>
                  <w:tcW w:w="567" w:type="dxa"/>
                  <w:noWrap w:val="0"/>
                  <w:tcMar>
                    <w:top w:w="28" w:type="dxa"/>
                    <w:left w:w="28" w:type="dxa"/>
                    <w:bottom w:w="28" w:type="dxa"/>
                    <w:right w:w="28" w:type="dxa"/>
                  </w:tcMar>
                  <w:vAlign w:val="center"/>
                </w:tcPr>
                <w:p w14:paraId="608618A1">
                  <w:pPr>
                    <w:pageBreakBefore w:val="0"/>
                    <w:kinsoku/>
                    <w:wordWrap/>
                    <w:topLinePunct w:val="0"/>
                    <w:bidi w:val="0"/>
                    <w:spacing w:line="280" w:lineRule="exact"/>
                    <w:jc w:val="center"/>
                    <w:rPr>
                      <w:kern w:val="0"/>
                      <w:szCs w:val="21"/>
                      <w:lang w:bidi="ar"/>
                    </w:rPr>
                  </w:pPr>
                  <w:r>
                    <w:rPr>
                      <w:kern w:val="0"/>
                      <w:szCs w:val="21"/>
                      <w:lang w:bidi="ar"/>
                    </w:rPr>
                    <w:t>三级</w:t>
                  </w:r>
                </w:p>
              </w:tc>
              <w:tc>
                <w:tcPr>
                  <w:tcW w:w="567" w:type="dxa"/>
                  <w:noWrap w:val="0"/>
                  <w:tcMar>
                    <w:top w:w="28" w:type="dxa"/>
                    <w:left w:w="28" w:type="dxa"/>
                    <w:bottom w:w="28" w:type="dxa"/>
                    <w:right w:w="28" w:type="dxa"/>
                  </w:tcMar>
                  <w:vAlign w:val="center"/>
                </w:tcPr>
                <w:p w14:paraId="2D3C81EF">
                  <w:pPr>
                    <w:pageBreakBefore w:val="0"/>
                    <w:kinsoku/>
                    <w:wordWrap/>
                    <w:topLinePunct w:val="0"/>
                    <w:bidi w:val="0"/>
                    <w:spacing w:line="280" w:lineRule="exact"/>
                    <w:jc w:val="center"/>
                    <w:rPr>
                      <w:kern w:val="0"/>
                      <w:szCs w:val="21"/>
                      <w:lang w:bidi="ar"/>
                    </w:rPr>
                  </w:pPr>
                  <w:r>
                    <w:rPr>
                      <w:kern w:val="0"/>
                      <w:szCs w:val="21"/>
                      <w:lang w:bidi="ar"/>
                    </w:rPr>
                    <w:t>-</w:t>
                  </w:r>
                </w:p>
              </w:tc>
            </w:tr>
            <w:tr w14:paraId="0F53FF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0" w:type="auto"/>
                  <w:noWrap w:val="0"/>
                  <w:tcMar>
                    <w:top w:w="28" w:type="dxa"/>
                    <w:left w:w="28" w:type="dxa"/>
                    <w:bottom w:w="28" w:type="dxa"/>
                    <w:right w:w="28" w:type="dxa"/>
                  </w:tcMar>
                  <w:vAlign w:val="center"/>
                </w:tcPr>
                <w:p w14:paraId="6A63652D">
                  <w:pPr>
                    <w:pageBreakBefore w:val="0"/>
                    <w:kinsoku/>
                    <w:wordWrap/>
                    <w:topLinePunct w:val="0"/>
                    <w:bidi w:val="0"/>
                    <w:spacing w:line="280" w:lineRule="exact"/>
                    <w:jc w:val="center"/>
                    <w:rPr>
                      <w:kern w:val="0"/>
                      <w:szCs w:val="21"/>
                      <w:lang w:bidi="ar"/>
                    </w:rPr>
                  </w:pPr>
                  <w:r>
                    <w:rPr>
                      <w:kern w:val="0"/>
                      <w:szCs w:val="21"/>
                      <w:lang w:bidi="ar"/>
                    </w:rPr>
                    <w:t>不敏感</w:t>
                  </w:r>
                </w:p>
              </w:tc>
              <w:tc>
                <w:tcPr>
                  <w:tcW w:w="567" w:type="dxa"/>
                  <w:noWrap w:val="0"/>
                  <w:tcMar>
                    <w:top w:w="28" w:type="dxa"/>
                    <w:left w:w="28" w:type="dxa"/>
                    <w:bottom w:w="28" w:type="dxa"/>
                    <w:right w:w="28" w:type="dxa"/>
                  </w:tcMar>
                  <w:vAlign w:val="center"/>
                </w:tcPr>
                <w:p w14:paraId="45A44EE7">
                  <w:pPr>
                    <w:pageBreakBefore w:val="0"/>
                    <w:kinsoku/>
                    <w:wordWrap/>
                    <w:topLinePunct w:val="0"/>
                    <w:bidi w:val="0"/>
                    <w:spacing w:line="280" w:lineRule="exact"/>
                    <w:jc w:val="center"/>
                    <w:rPr>
                      <w:kern w:val="0"/>
                      <w:szCs w:val="21"/>
                      <w:lang w:bidi="ar"/>
                    </w:rPr>
                  </w:pPr>
                  <w:r>
                    <w:rPr>
                      <w:kern w:val="0"/>
                      <w:szCs w:val="21"/>
                      <w:lang w:bidi="ar"/>
                    </w:rPr>
                    <w:t>一级</w:t>
                  </w:r>
                </w:p>
              </w:tc>
              <w:tc>
                <w:tcPr>
                  <w:tcW w:w="567" w:type="dxa"/>
                  <w:noWrap w:val="0"/>
                  <w:tcMar>
                    <w:top w:w="28" w:type="dxa"/>
                    <w:left w:w="28" w:type="dxa"/>
                    <w:bottom w:w="28" w:type="dxa"/>
                    <w:right w:w="28" w:type="dxa"/>
                  </w:tcMar>
                  <w:vAlign w:val="center"/>
                </w:tcPr>
                <w:p w14:paraId="25EF29A6">
                  <w:pPr>
                    <w:pageBreakBefore w:val="0"/>
                    <w:kinsoku/>
                    <w:wordWrap/>
                    <w:topLinePunct w:val="0"/>
                    <w:bidi w:val="0"/>
                    <w:spacing w:line="280" w:lineRule="exact"/>
                    <w:jc w:val="center"/>
                    <w:rPr>
                      <w:kern w:val="0"/>
                      <w:szCs w:val="21"/>
                      <w:lang w:bidi="ar"/>
                    </w:rPr>
                  </w:pPr>
                  <w:r>
                    <w:rPr>
                      <w:kern w:val="0"/>
                      <w:szCs w:val="21"/>
                      <w:lang w:bidi="ar"/>
                    </w:rPr>
                    <w:t>二级</w:t>
                  </w:r>
                </w:p>
              </w:tc>
              <w:tc>
                <w:tcPr>
                  <w:tcW w:w="567" w:type="dxa"/>
                  <w:noWrap w:val="0"/>
                  <w:tcMar>
                    <w:top w:w="28" w:type="dxa"/>
                    <w:left w:w="28" w:type="dxa"/>
                    <w:bottom w:w="28" w:type="dxa"/>
                    <w:right w:w="28" w:type="dxa"/>
                  </w:tcMar>
                  <w:vAlign w:val="center"/>
                </w:tcPr>
                <w:p w14:paraId="6ECF59AC">
                  <w:pPr>
                    <w:pageBreakBefore w:val="0"/>
                    <w:kinsoku/>
                    <w:wordWrap/>
                    <w:topLinePunct w:val="0"/>
                    <w:bidi w:val="0"/>
                    <w:spacing w:line="280" w:lineRule="exact"/>
                    <w:jc w:val="center"/>
                    <w:rPr>
                      <w:kern w:val="0"/>
                      <w:szCs w:val="21"/>
                      <w:lang w:bidi="ar"/>
                    </w:rPr>
                  </w:pPr>
                  <w:r>
                    <w:rPr>
                      <w:kern w:val="0"/>
                      <w:szCs w:val="21"/>
                      <w:lang w:bidi="ar"/>
                    </w:rPr>
                    <w:t>二级</w:t>
                  </w:r>
                </w:p>
              </w:tc>
              <w:tc>
                <w:tcPr>
                  <w:tcW w:w="567" w:type="dxa"/>
                  <w:noWrap w:val="0"/>
                  <w:tcMar>
                    <w:top w:w="28" w:type="dxa"/>
                    <w:left w:w="28" w:type="dxa"/>
                    <w:bottom w:w="28" w:type="dxa"/>
                    <w:right w:w="28" w:type="dxa"/>
                  </w:tcMar>
                  <w:vAlign w:val="center"/>
                </w:tcPr>
                <w:p w14:paraId="4CC2F5C6">
                  <w:pPr>
                    <w:pageBreakBefore w:val="0"/>
                    <w:kinsoku/>
                    <w:wordWrap/>
                    <w:topLinePunct w:val="0"/>
                    <w:bidi w:val="0"/>
                    <w:spacing w:line="280" w:lineRule="exact"/>
                    <w:jc w:val="center"/>
                    <w:rPr>
                      <w:kern w:val="0"/>
                      <w:szCs w:val="21"/>
                      <w:lang w:bidi="ar"/>
                    </w:rPr>
                  </w:pPr>
                  <w:r>
                    <w:rPr>
                      <w:kern w:val="0"/>
                      <w:szCs w:val="21"/>
                      <w:lang w:bidi="ar"/>
                    </w:rPr>
                    <w:t>二级</w:t>
                  </w:r>
                </w:p>
              </w:tc>
              <w:tc>
                <w:tcPr>
                  <w:tcW w:w="567" w:type="dxa"/>
                  <w:noWrap w:val="0"/>
                  <w:tcMar>
                    <w:top w:w="28" w:type="dxa"/>
                    <w:left w:w="28" w:type="dxa"/>
                    <w:bottom w:w="28" w:type="dxa"/>
                    <w:right w:w="28" w:type="dxa"/>
                  </w:tcMar>
                  <w:vAlign w:val="center"/>
                </w:tcPr>
                <w:p w14:paraId="4AF5C4F8">
                  <w:pPr>
                    <w:pageBreakBefore w:val="0"/>
                    <w:kinsoku/>
                    <w:wordWrap/>
                    <w:topLinePunct w:val="0"/>
                    <w:bidi w:val="0"/>
                    <w:spacing w:line="280" w:lineRule="exact"/>
                    <w:jc w:val="center"/>
                    <w:rPr>
                      <w:kern w:val="0"/>
                      <w:szCs w:val="21"/>
                      <w:lang w:bidi="ar"/>
                    </w:rPr>
                  </w:pPr>
                  <w:r>
                    <w:rPr>
                      <w:kern w:val="0"/>
                      <w:szCs w:val="21"/>
                      <w:lang w:bidi="ar"/>
                    </w:rPr>
                    <w:t>三级</w:t>
                  </w:r>
                </w:p>
              </w:tc>
              <w:tc>
                <w:tcPr>
                  <w:tcW w:w="567" w:type="dxa"/>
                  <w:noWrap w:val="0"/>
                  <w:tcMar>
                    <w:top w:w="28" w:type="dxa"/>
                    <w:left w:w="28" w:type="dxa"/>
                    <w:bottom w:w="28" w:type="dxa"/>
                    <w:right w:w="28" w:type="dxa"/>
                  </w:tcMar>
                  <w:vAlign w:val="center"/>
                </w:tcPr>
                <w:p w14:paraId="13AD5E91">
                  <w:pPr>
                    <w:pageBreakBefore w:val="0"/>
                    <w:kinsoku/>
                    <w:wordWrap/>
                    <w:topLinePunct w:val="0"/>
                    <w:bidi w:val="0"/>
                    <w:spacing w:line="280" w:lineRule="exact"/>
                    <w:jc w:val="center"/>
                    <w:rPr>
                      <w:kern w:val="0"/>
                      <w:szCs w:val="21"/>
                      <w:lang w:bidi="ar"/>
                    </w:rPr>
                  </w:pPr>
                  <w:r>
                    <w:rPr>
                      <w:kern w:val="0"/>
                      <w:szCs w:val="21"/>
                      <w:lang w:bidi="ar"/>
                    </w:rPr>
                    <w:t>三级</w:t>
                  </w:r>
                </w:p>
              </w:tc>
              <w:tc>
                <w:tcPr>
                  <w:tcW w:w="567" w:type="dxa"/>
                  <w:noWrap w:val="0"/>
                  <w:tcMar>
                    <w:top w:w="28" w:type="dxa"/>
                    <w:left w:w="28" w:type="dxa"/>
                    <w:bottom w:w="28" w:type="dxa"/>
                    <w:right w:w="28" w:type="dxa"/>
                  </w:tcMar>
                  <w:vAlign w:val="center"/>
                </w:tcPr>
                <w:p w14:paraId="4D51CA5F">
                  <w:pPr>
                    <w:pageBreakBefore w:val="0"/>
                    <w:kinsoku/>
                    <w:wordWrap/>
                    <w:topLinePunct w:val="0"/>
                    <w:bidi w:val="0"/>
                    <w:spacing w:line="280" w:lineRule="exact"/>
                    <w:jc w:val="center"/>
                    <w:rPr>
                      <w:kern w:val="0"/>
                      <w:szCs w:val="21"/>
                      <w:lang w:bidi="ar"/>
                    </w:rPr>
                  </w:pPr>
                  <w:r>
                    <w:rPr>
                      <w:kern w:val="0"/>
                      <w:szCs w:val="21"/>
                      <w:lang w:bidi="ar"/>
                    </w:rPr>
                    <w:t>三级</w:t>
                  </w:r>
                </w:p>
              </w:tc>
              <w:tc>
                <w:tcPr>
                  <w:tcW w:w="567" w:type="dxa"/>
                  <w:noWrap w:val="0"/>
                  <w:tcMar>
                    <w:top w:w="28" w:type="dxa"/>
                    <w:left w:w="28" w:type="dxa"/>
                    <w:bottom w:w="28" w:type="dxa"/>
                    <w:right w:w="28" w:type="dxa"/>
                  </w:tcMar>
                  <w:vAlign w:val="center"/>
                </w:tcPr>
                <w:p w14:paraId="06A01766">
                  <w:pPr>
                    <w:pageBreakBefore w:val="0"/>
                    <w:kinsoku/>
                    <w:wordWrap/>
                    <w:topLinePunct w:val="0"/>
                    <w:bidi w:val="0"/>
                    <w:spacing w:line="280" w:lineRule="exact"/>
                    <w:jc w:val="center"/>
                    <w:rPr>
                      <w:kern w:val="0"/>
                      <w:szCs w:val="21"/>
                      <w:lang w:bidi="ar"/>
                    </w:rPr>
                  </w:pPr>
                  <w:r>
                    <w:rPr>
                      <w:kern w:val="0"/>
                      <w:szCs w:val="21"/>
                      <w:lang w:bidi="ar"/>
                    </w:rPr>
                    <w:t>-</w:t>
                  </w:r>
                </w:p>
              </w:tc>
              <w:tc>
                <w:tcPr>
                  <w:tcW w:w="567" w:type="dxa"/>
                  <w:noWrap w:val="0"/>
                  <w:tcMar>
                    <w:top w:w="28" w:type="dxa"/>
                    <w:left w:w="28" w:type="dxa"/>
                    <w:bottom w:w="28" w:type="dxa"/>
                    <w:right w:w="28" w:type="dxa"/>
                  </w:tcMar>
                  <w:vAlign w:val="center"/>
                </w:tcPr>
                <w:p w14:paraId="6140E033">
                  <w:pPr>
                    <w:pageBreakBefore w:val="0"/>
                    <w:kinsoku/>
                    <w:wordWrap/>
                    <w:topLinePunct w:val="0"/>
                    <w:bidi w:val="0"/>
                    <w:spacing w:line="280" w:lineRule="exact"/>
                    <w:jc w:val="center"/>
                    <w:rPr>
                      <w:kern w:val="0"/>
                      <w:szCs w:val="21"/>
                      <w:lang w:bidi="ar"/>
                    </w:rPr>
                  </w:pPr>
                  <w:r>
                    <w:rPr>
                      <w:kern w:val="0"/>
                      <w:szCs w:val="21"/>
                      <w:lang w:bidi="ar"/>
                    </w:rPr>
                    <w:t>-</w:t>
                  </w:r>
                </w:p>
              </w:tc>
            </w:tr>
            <w:tr w14:paraId="18DD22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7" w:type="dxa"/>
                  <w:gridSpan w:val="10"/>
                  <w:noWrap w:val="0"/>
                  <w:tcMar>
                    <w:top w:w="28" w:type="dxa"/>
                    <w:left w:w="28" w:type="dxa"/>
                    <w:bottom w:w="28" w:type="dxa"/>
                    <w:right w:w="28" w:type="dxa"/>
                  </w:tcMar>
                  <w:vAlign w:val="center"/>
                </w:tcPr>
                <w:p w14:paraId="73BF88EF">
                  <w:pPr>
                    <w:pageBreakBefore w:val="0"/>
                    <w:kinsoku/>
                    <w:wordWrap/>
                    <w:topLinePunct w:val="0"/>
                    <w:bidi w:val="0"/>
                    <w:spacing w:line="280" w:lineRule="exact"/>
                    <w:jc w:val="left"/>
                    <w:rPr>
                      <w:kern w:val="0"/>
                      <w:szCs w:val="21"/>
                      <w:lang w:bidi="ar"/>
                    </w:rPr>
                  </w:pPr>
                  <w:r>
                    <w:rPr>
                      <w:kern w:val="0"/>
                      <w:szCs w:val="21"/>
                      <w:lang w:bidi="ar"/>
                    </w:rPr>
                    <w:t>注：“-”表示可不开展土壤环境影响评价工作</w:t>
                  </w:r>
                </w:p>
              </w:tc>
            </w:tr>
          </w:tbl>
          <w:p w14:paraId="2DD69DA0">
            <w:pPr>
              <w:pageBreakBefore w:val="0"/>
              <w:kinsoku/>
              <w:wordWrap/>
              <w:topLinePunct w:val="0"/>
              <w:autoSpaceDE w:val="0"/>
              <w:autoSpaceDN w:val="0"/>
              <w:bidi w:val="0"/>
              <w:spacing w:line="360" w:lineRule="auto"/>
              <w:ind w:firstLine="480" w:firstLineChars="200"/>
              <w:rPr>
                <w:kern w:val="0"/>
                <w:sz w:val="24"/>
                <w:lang w:bidi="ar"/>
              </w:rPr>
            </w:pPr>
            <w:r>
              <w:rPr>
                <w:kern w:val="0"/>
                <w:sz w:val="24"/>
                <w:lang w:bidi="ar"/>
              </w:rPr>
              <w:t>本项目属于</w:t>
            </w:r>
            <w:r>
              <w:rPr>
                <w:rFonts w:eastAsia="微软雅黑"/>
                <w:kern w:val="0"/>
                <w:sz w:val="24"/>
              </w:rPr>
              <w:t>Ⅰ</w:t>
            </w:r>
            <w:r>
              <w:rPr>
                <w:kern w:val="0"/>
                <w:sz w:val="24"/>
                <w:lang w:bidi="ar"/>
              </w:rPr>
              <w:t>类项目，土壤环境敏感程度属于不敏感，占地属于小型，结合上表可知本项目土壤环境评价工作等级为二级。</w:t>
            </w:r>
          </w:p>
          <w:p w14:paraId="78F75B80">
            <w:pPr>
              <w:pageBreakBefore w:val="0"/>
              <w:kinsoku/>
              <w:wordWrap/>
              <w:topLinePunct w:val="0"/>
              <w:bidi w:val="0"/>
              <w:spacing w:line="360" w:lineRule="auto"/>
              <w:ind w:firstLine="480" w:firstLineChars="200"/>
              <w:rPr>
                <w:sz w:val="24"/>
              </w:rPr>
            </w:pPr>
            <w:r>
              <w:rPr>
                <w:sz w:val="24"/>
              </w:rPr>
              <w:t>（2）</w:t>
            </w:r>
            <w:r>
              <w:rPr>
                <w:sz w:val="24"/>
                <w:lang w:val="zh-CN"/>
              </w:rPr>
              <w:t>监测时间及点位</w:t>
            </w:r>
          </w:p>
          <w:p w14:paraId="311B52D1">
            <w:pPr>
              <w:pageBreakBefore w:val="0"/>
              <w:kinsoku/>
              <w:wordWrap/>
              <w:topLinePunct w:val="0"/>
              <w:bidi w:val="0"/>
              <w:spacing w:line="360" w:lineRule="auto"/>
              <w:ind w:firstLine="465"/>
              <w:rPr>
                <w:sz w:val="24"/>
              </w:rPr>
            </w:pPr>
            <w:r>
              <w:rPr>
                <w:sz w:val="24"/>
              </w:rPr>
              <w:t>根据《环境影响评价技术导则土壤环境（试行）》（HJ 964-2018），项目在项目占地范围内设3个柱状样点和1个表层样点，在项目区外设置2个表层样点，监测因子45项，监测点位见附图</w:t>
            </w:r>
            <w:r>
              <w:rPr>
                <w:rFonts w:hint="eastAsia"/>
                <w:sz w:val="24"/>
              </w:rPr>
              <w:t>8</w:t>
            </w:r>
            <w:r>
              <w:rPr>
                <w:sz w:val="24"/>
              </w:rPr>
              <w:t>和</w:t>
            </w:r>
            <w:r>
              <w:rPr>
                <w:rFonts w:hint="eastAsia"/>
                <w:sz w:val="24"/>
                <w:lang w:val="en-US" w:eastAsia="zh-CN"/>
              </w:rPr>
              <w:t>下</w:t>
            </w:r>
            <w:r>
              <w:rPr>
                <w:sz w:val="24"/>
              </w:rPr>
              <w:t>表。</w:t>
            </w:r>
          </w:p>
          <w:p w14:paraId="19206BE2">
            <w:pPr>
              <w:pageBreakBefore w:val="0"/>
              <w:kinsoku/>
              <w:wordWrap/>
              <w:topLinePunct w:val="0"/>
              <w:bidi w:val="0"/>
              <w:spacing w:line="360" w:lineRule="auto"/>
              <w:jc w:val="center"/>
              <w:outlineLvl w:val="8"/>
              <w:rPr>
                <w:rFonts w:eastAsia="黑体"/>
                <w:szCs w:val="21"/>
              </w:rPr>
            </w:pPr>
            <w:r>
              <w:rPr>
                <w:rFonts w:eastAsia="黑体"/>
                <w:szCs w:val="21"/>
              </w:rPr>
              <w:t>表3-</w:t>
            </w:r>
            <w:r>
              <w:rPr>
                <w:rFonts w:hint="eastAsia" w:eastAsia="黑体"/>
                <w:szCs w:val="21"/>
                <w:lang w:val="en-US" w:eastAsia="zh-CN"/>
              </w:rPr>
              <w:t>8</w:t>
            </w:r>
            <w:r>
              <w:rPr>
                <w:rFonts w:eastAsia="黑体"/>
                <w:szCs w:val="21"/>
              </w:rPr>
              <w:t xml:space="preserve">  本项目监测因子一览表</w:t>
            </w:r>
          </w:p>
          <w:tbl>
            <w:tblPr>
              <w:tblStyle w:val="14"/>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694"/>
              <w:gridCol w:w="2412"/>
              <w:gridCol w:w="5284"/>
            </w:tblGrid>
            <w:tr w14:paraId="3ABC91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4D28E12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bCs w:val="0"/>
                      <w:sz w:val="21"/>
                      <w:szCs w:val="21"/>
                      <w:vertAlign w:val="baseline"/>
                      <w:lang w:val="en-US" w:eastAsia="zh-CN"/>
                    </w:rPr>
                  </w:pPr>
                  <w:r>
                    <w:rPr>
                      <w:rFonts w:hint="eastAsia"/>
                      <w:b/>
                      <w:bCs w:val="0"/>
                      <w:sz w:val="21"/>
                      <w:szCs w:val="21"/>
                      <w:vertAlign w:val="baseline"/>
                      <w:lang w:val="en-US" w:eastAsia="zh-CN"/>
                    </w:rPr>
                    <w:t>序号</w:t>
                  </w:r>
                </w:p>
              </w:tc>
              <w:tc>
                <w:tcPr>
                  <w:tcW w:w="2412" w:type="dxa"/>
                  <w:tcBorders>
                    <w:tl2br w:val="nil"/>
                    <w:tr2bl w:val="nil"/>
                  </w:tcBorders>
                  <w:noWrap w:val="0"/>
                  <w:vAlign w:val="center"/>
                </w:tcPr>
                <w:p w14:paraId="11478E4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bCs w:val="0"/>
                      <w:sz w:val="21"/>
                      <w:szCs w:val="21"/>
                      <w:vertAlign w:val="baseline"/>
                      <w:lang w:val="en-US" w:eastAsia="zh-CN"/>
                    </w:rPr>
                  </w:pPr>
                  <w:r>
                    <w:rPr>
                      <w:rFonts w:hint="eastAsia"/>
                      <w:b/>
                      <w:bCs w:val="0"/>
                      <w:sz w:val="21"/>
                      <w:szCs w:val="21"/>
                      <w:vertAlign w:val="baseline"/>
                      <w:lang w:val="en-US" w:eastAsia="zh-CN"/>
                    </w:rPr>
                    <w:t>监测点位</w:t>
                  </w:r>
                </w:p>
              </w:tc>
              <w:tc>
                <w:tcPr>
                  <w:tcW w:w="5284" w:type="dxa"/>
                  <w:tcBorders>
                    <w:tl2br w:val="nil"/>
                    <w:tr2bl w:val="nil"/>
                  </w:tcBorders>
                  <w:noWrap w:val="0"/>
                  <w:vAlign w:val="center"/>
                </w:tcPr>
                <w:p w14:paraId="05D0747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bCs w:val="0"/>
                      <w:sz w:val="21"/>
                      <w:szCs w:val="21"/>
                      <w:vertAlign w:val="baseline"/>
                      <w:lang w:val="en-US" w:eastAsia="zh-CN"/>
                    </w:rPr>
                  </w:pPr>
                  <w:r>
                    <w:rPr>
                      <w:rFonts w:hint="eastAsia"/>
                      <w:b/>
                      <w:bCs w:val="0"/>
                      <w:sz w:val="21"/>
                      <w:szCs w:val="21"/>
                      <w:vertAlign w:val="baseline"/>
                      <w:lang w:val="en-US" w:eastAsia="zh-CN"/>
                    </w:rPr>
                    <w:t>监测因子</w:t>
                  </w:r>
                </w:p>
              </w:tc>
            </w:tr>
            <w:tr w14:paraId="17572C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5AA7D7D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1</w:t>
                  </w:r>
                </w:p>
              </w:tc>
              <w:tc>
                <w:tcPr>
                  <w:tcW w:w="2412" w:type="dxa"/>
                  <w:tcBorders>
                    <w:tl2br w:val="nil"/>
                    <w:tr2bl w:val="nil"/>
                  </w:tcBorders>
                  <w:noWrap w:val="0"/>
                  <w:vAlign w:val="center"/>
                </w:tcPr>
                <w:p w14:paraId="3EF43D7F">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选址内部中心</w:t>
                  </w:r>
                </w:p>
                <w:p w14:paraId="175B49E4">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（柱状样0～0.5m）</w:t>
                  </w:r>
                </w:p>
              </w:tc>
              <w:tc>
                <w:tcPr>
                  <w:tcW w:w="5284" w:type="dxa"/>
                  <w:vMerge w:val="restart"/>
                  <w:tcBorders>
                    <w:tl2br w:val="nil"/>
                    <w:tr2bl w:val="nil"/>
                  </w:tcBorders>
                  <w:noWrap w:val="0"/>
                  <w:vAlign w:val="center"/>
                </w:tcPr>
                <w:p w14:paraId="6C2F267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砷、镉、六价铬、铜、铅、汞、镍、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邻二甲苯、硝基苯、苯胺、2-氯酚、苯并[a]蒽、苯并[a]芘、苯并[b]荧蒽、苯并[k]荧蒽、䓛、二苯并[a,h]蒽、茚并[1,2,3-cd]芘、萘、pH</w:t>
                  </w:r>
                </w:p>
              </w:tc>
            </w:tr>
            <w:tr w14:paraId="53B362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3C42C58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2</w:t>
                  </w:r>
                </w:p>
              </w:tc>
              <w:tc>
                <w:tcPr>
                  <w:tcW w:w="2412" w:type="dxa"/>
                  <w:tcBorders>
                    <w:tl2br w:val="nil"/>
                    <w:tr2bl w:val="nil"/>
                  </w:tcBorders>
                  <w:noWrap w:val="0"/>
                  <w:vAlign w:val="center"/>
                </w:tcPr>
                <w:p w14:paraId="043D8B2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选址内部中心</w:t>
                  </w:r>
                </w:p>
                <w:p w14:paraId="095B748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（柱状样0.5～1.5m）</w:t>
                  </w:r>
                </w:p>
              </w:tc>
              <w:tc>
                <w:tcPr>
                  <w:tcW w:w="5284" w:type="dxa"/>
                  <w:vMerge w:val="continue"/>
                  <w:tcBorders>
                    <w:tl2br w:val="nil"/>
                    <w:tr2bl w:val="nil"/>
                  </w:tcBorders>
                  <w:noWrap w:val="0"/>
                  <w:vAlign w:val="center"/>
                </w:tcPr>
                <w:p w14:paraId="21389F5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p>
              </w:tc>
            </w:tr>
            <w:tr w14:paraId="1F4C1B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5600174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3</w:t>
                  </w:r>
                </w:p>
              </w:tc>
              <w:tc>
                <w:tcPr>
                  <w:tcW w:w="2412" w:type="dxa"/>
                  <w:tcBorders>
                    <w:tl2br w:val="nil"/>
                    <w:tr2bl w:val="nil"/>
                  </w:tcBorders>
                  <w:noWrap w:val="0"/>
                  <w:vAlign w:val="center"/>
                </w:tcPr>
                <w:p w14:paraId="4AF2FAD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选址内部中心</w:t>
                  </w:r>
                </w:p>
                <w:p w14:paraId="1BEE346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（柱状样1.5～3.0m）</w:t>
                  </w:r>
                </w:p>
              </w:tc>
              <w:tc>
                <w:tcPr>
                  <w:tcW w:w="5284" w:type="dxa"/>
                  <w:vMerge w:val="continue"/>
                  <w:tcBorders>
                    <w:tl2br w:val="nil"/>
                    <w:tr2bl w:val="nil"/>
                  </w:tcBorders>
                  <w:noWrap w:val="0"/>
                  <w:vAlign w:val="center"/>
                </w:tcPr>
                <w:p w14:paraId="149D933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p>
              </w:tc>
            </w:tr>
            <w:tr w14:paraId="55EF9D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7D9D3D5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4</w:t>
                  </w:r>
                </w:p>
              </w:tc>
              <w:tc>
                <w:tcPr>
                  <w:tcW w:w="2412" w:type="dxa"/>
                  <w:tcBorders>
                    <w:tl2br w:val="nil"/>
                    <w:tr2bl w:val="nil"/>
                  </w:tcBorders>
                  <w:noWrap w:val="0"/>
                  <w:vAlign w:val="center"/>
                </w:tcPr>
                <w:p w14:paraId="66C4C44D">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选址内部（表层样）</w:t>
                  </w:r>
                </w:p>
              </w:tc>
              <w:tc>
                <w:tcPr>
                  <w:tcW w:w="5284" w:type="dxa"/>
                  <w:vMerge w:val="continue"/>
                  <w:tcBorders>
                    <w:tl2br w:val="nil"/>
                    <w:tr2bl w:val="nil"/>
                  </w:tcBorders>
                  <w:noWrap w:val="0"/>
                  <w:vAlign w:val="center"/>
                </w:tcPr>
                <w:p w14:paraId="3D52C2D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p>
              </w:tc>
            </w:tr>
            <w:tr w14:paraId="363A5D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694" w:type="dxa"/>
                  <w:tcBorders>
                    <w:tl2br w:val="nil"/>
                    <w:tr2bl w:val="nil"/>
                  </w:tcBorders>
                  <w:noWrap w:val="0"/>
                  <w:vAlign w:val="center"/>
                </w:tcPr>
                <w:p w14:paraId="5B58A13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5</w:t>
                  </w:r>
                </w:p>
              </w:tc>
              <w:tc>
                <w:tcPr>
                  <w:tcW w:w="2412" w:type="dxa"/>
                  <w:tcBorders>
                    <w:tl2br w:val="nil"/>
                    <w:tr2bl w:val="nil"/>
                  </w:tcBorders>
                  <w:noWrap w:val="0"/>
                  <w:vAlign w:val="center"/>
                </w:tcPr>
                <w:p w14:paraId="1468798F">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选址内部左侧</w:t>
                  </w:r>
                </w:p>
                <w:p w14:paraId="0921990A">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（柱状样0～0.5m）</w:t>
                  </w:r>
                </w:p>
              </w:tc>
              <w:tc>
                <w:tcPr>
                  <w:tcW w:w="5284" w:type="dxa"/>
                  <w:vMerge w:val="restart"/>
                  <w:tcBorders>
                    <w:tl2br w:val="nil"/>
                    <w:tr2bl w:val="nil"/>
                  </w:tcBorders>
                  <w:noWrap w:val="0"/>
                  <w:vAlign w:val="center"/>
                </w:tcPr>
                <w:p w14:paraId="5FFCBDD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ascii="宋体" w:hAnsi="宋体" w:eastAsia="宋体" w:cs="宋体"/>
                      <w:sz w:val="21"/>
                      <w:szCs w:val="21"/>
                    </w:rPr>
                  </w:pPr>
                  <w:r>
                    <w:rPr>
                      <w:rFonts w:hint="eastAsia"/>
                      <w:b w:val="0"/>
                      <w:bCs/>
                      <w:sz w:val="21"/>
                      <w:szCs w:val="21"/>
                      <w:vertAlign w:val="baseline"/>
                      <w:lang w:val="en-US" w:eastAsia="zh-CN"/>
                    </w:rPr>
                    <w:t>pH、总砷、总汞、镉、六价铬、铅、铜、镍</w:t>
                  </w:r>
                </w:p>
              </w:tc>
            </w:tr>
            <w:tr w14:paraId="286541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20BB68E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6</w:t>
                  </w:r>
                </w:p>
              </w:tc>
              <w:tc>
                <w:tcPr>
                  <w:tcW w:w="2412" w:type="dxa"/>
                  <w:tcBorders>
                    <w:tl2br w:val="nil"/>
                    <w:tr2bl w:val="nil"/>
                  </w:tcBorders>
                  <w:noWrap w:val="0"/>
                  <w:vAlign w:val="center"/>
                </w:tcPr>
                <w:p w14:paraId="6909A32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选址内部左侧</w:t>
                  </w:r>
                </w:p>
                <w:p w14:paraId="101D7BE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（柱状样0.5～1.5m）</w:t>
                  </w:r>
                </w:p>
              </w:tc>
              <w:tc>
                <w:tcPr>
                  <w:tcW w:w="5284" w:type="dxa"/>
                  <w:vMerge w:val="continue"/>
                  <w:tcBorders>
                    <w:tl2br w:val="nil"/>
                    <w:tr2bl w:val="nil"/>
                  </w:tcBorders>
                  <w:noWrap w:val="0"/>
                  <w:vAlign w:val="center"/>
                </w:tcPr>
                <w:p w14:paraId="6AF4EBB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ascii="宋体" w:hAnsi="宋体" w:eastAsia="宋体" w:cs="宋体"/>
                      <w:sz w:val="21"/>
                      <w:szCs w:val="21"/>
                    </w:rPr>
                  </w:pPr>
                </w:p>
              </w:tc>
            </w:tr>
            <w:tr w14:paraId="45A670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28863D2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7</w:t>
                  </w:r>
                </w:p>
              </w:tc>
              <w:tc>
                <w:tcPr>
                  <w:tcW w:w="2412" w:type="dxa"/>
                  <w:tcBorders>
                    <w:tl2br w:val="nil"/>
                    <w:tr2bl w:val="nil"/>
                  </w:tcBorders>
                  <w:noWrap w:val="0"/>
                  <w:vAlign w:val="center"/>
                </w:tcPr>
                <w:p w14:paraId="311DFD2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选址内部左侧</w:t>
                  </w:r>
                </w:p>
                <w:p w14:paraId="4076E53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（柱状样1.5～3.0m）</w:t>
                  </w:r>
                </w:p>
              </w:tc>
              <w:tc>
                <w:tcPr>
                  <w:tcW w:w="5284" w:type="dxa"/>
                  <w:vMerge w:val="continue"/>
                  <w:tcBorders>
                    <w:tl2br w:val="nil"/>
                    <w:tr2bl w:val="nil"/>
                  </w:tcBorders>
                  <w:noWrap w:val="0"/>
                  <w:vAlign w:val="center"/>
                </w:tcPr>
                <w:p w14:paraId="0B56A01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ascii="宋体" w:hAnsi="宋体" w:eastAsia="宋体" w:cs="宋体"/>
                      <w:sz w:val="21"/>
                      <w:szCs w:val="21"/>
                    </w:rPr>
                  </w:pPr>
                </w:p>
              </w:tc>
            </w:tr>
            <w:tr w14:paraId="577AEC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3BA7649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8</w:t>
                  </w:r>
                </w:p>
              </w:tc>
              <w:tc>
                <w:tcPr>
                  <w:tcW w:w="2412" w:type="dxa"/>
                  <w:tcBorders>
                    <w:tl2br w:val="nil"/>
                    <w:tr2bl w:val="nil"/>
                  </w:tcBorders>
                  <w:noWrap w:val="0"/>
                  <w:vAlign w:val="center"/>
                </w:tcPr>
                <w:p w14:paraId="10D99499">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选址内部右侧</w:t>
                  </w:r>
                </w:p>
                <w:p w14:paraId="6DE51A82">
                  <w:pPr>
                    <w:keepNext w:val="0"/>
                    <w:keepLines w:val="0"/>
                    <w:pageBreakBefore w:val="0"/>
                    <w:widowControl/>
                    <w:numPr>
                      <w:ilvl w:val="0"/>
                      <w:numId w:val="0"/>
                    </w:numPr>
                    <w:kinsoku/>
                    <w:wordWrap/>
                    <w:overflowPunct/>
                    <w:topLinePunct w:val="0"/>
                    <w:autoSpaceDE/>
                    <w:autoSpaceDN/>
                    <w:bidi w:val="0"/>
                    <w:adjustRightInd/>
                    <w:snapToGrid/>
                    <w:spacing w:line="28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（柱状样0～0.5m）</w:t>
                  </w:r>
                </w:p>
              </w:tc>
              <w:tc>
                <w:tcPr>
                  <w:tcW w:w="5284" w:type="dxa"/>
                  <w:vMerge w:val="continue"/>
                  <w:tcBorders>
                    <w:tl2br w:val="nil"/>
                    <w:tr2bl w:val="nil"/>
                  </w:tcBorders>
                  <w:noWrap w:val="0"/>
                  <w:vAlign w:val="center"/>
                </w:tcPr>
                <w:p w14:paraId="0153D4E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ascii="宋体" w:hAnsi="宋体" w:eastAsia="宋体" w:cs="宋体"/>
                      <w:sz w:val="21"/>
                      <w:szCs w:val="21"/>
                    </w:rPr>
                  </w:pPr>
                </w:p>
              </w:tc>
            </w:tr>
            <w:tr w14:paraId="2D9597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34BBD5C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9</w:t>
                  </w:r>
                </w:p>
              </w:tc>
              <w:tc>
                <w:tcPr>
                  <w:tcW w:w="2412" w:type="dxa"/>
                  <w:tcBorders>
                    <w:tl2br w:val="nil"/>
                    <w:tr2bl w:val="nil"/>
                  </w:tcBorders>
                  <w:noWrap w:val="0"/>
                  <w:vAlign w:val="center"/>
                </w:tcPr>
                <w:p w14:paraId="7E4FAE9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选址内部右侧</w:t>
                  </w:r>
                </w:p>
                <w:p w14:paraId="095BA8C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（柱状样0.5～1.5m）</w:t>
                  </w:r>
                </w:p>
              </w:tc>
              <w:tc>
                <w:tcPr>
                  <w:tcW w:w="5284" w:type="dxa"/>
                  <w:vMerge w:val="continue"/>
                  <w:tcBorders>
                    <w:tl2br w:val="nil"/>
                    <w:tr2bl w:val="nil"/>
                  </w:tcBorders>
                  <w:noWrap w:val="0"/>
                  <w:vAlign w:val="center"/>
                </w:tcPr>
                <w:p w14:paraId="08DF196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ascii="宋体" w:hAnsi="宋体" w:eastAsia="宋体" w:cs="宋体"/>
                      <w:sz w:val="21"/>
                      <w:szCs w:val="21"/>
                    </w:rPr>
                  </w:pPr>
                </w:p>
              </w:tc>
            </w:tr>
            <w:tr w14:paraId="54CA37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4A2BDF5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10</w:t>
                  </w:r>
                </w:p>
              </w:tc>
              <w:tc>
                <w:tcPr>
                  <w:tcW w:w="2412" w:type="dxa"/>
                  <w:tcBorders>
                    <w:tl2br w:val="nil"/>
                    <w:tr2bl w:val="nil"/>
                  </w:tcBorders>
                  <w:noWrap w:val="0"/>
                  <w:vAlign w:val="center"/>
                </w:tcPr>
                <w:p w14:paraId="452514F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选址内部右侧</w:t>
                  </w:r>
                </w:p>
                <w:p w14:paraId="08D8C14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（柱状样1.5～3.0m）</w:t>
                  </w:r>
                </w:p>
              </w:tc>
              <w:tc>
                <w:tcPr>
                  <w:tcW w:w="5284" w:type="dxa"/>
                  <w:vMerge w:val="continue"/>
                  <w:tcBorders>
                    <w:tl2br w:val="nil"/>
                    <w:tr2bl w:val="nil"/>
                  </w:tcBorders>
                  <w:noWrap w:val="0"/>
                  <w:vAlign w:val="center"/>
                </w:tcPr>
                <w:p w14:paraId="034C7D6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ascii="宋体" w:hAnsi="宋体" w:eastAsia="宋体" w:cs="宋体"/>
                      <w:sz w:val="21"/>
                      <w:szCs w:val="21"/>
                    </w:rPr>
                  </w:pPr>
                </w:p>
              </w:tc>
            </w:tr>
            <w:tr w14:paraId="067B9F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267A71D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11</w:t>
                  </w:r>
                </w:p>
              </w:tc>
              <w:tc>
                <w:tcPr>
                  <w:tcW w:w="2412" w:type="dxa"/>
                  <w:tcBorders>
                    <w:tl2br w:val="nil"/>
                    <w:tr2bl w:val="nil"/>
                  </w:tcBorders>
                  <w:noWrap w:val="0"/>
                  <w:vAlign w:val="center"/>
                </w:tcPr>
                <w:p w14:paraId="1EB5B30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选址外部左侧（表层样）</w:t>
                  </w:r>
                </w:p>
              </w:tc>
              <w:tc>
                <w:tcPr>
                  <w:tcW w:w="5284" w:type="dxa"/>
                  <w:vMerge w:val="continue"/>
                  <w:tcBorders>
                    <w:tl2br w:val="nil"/>
                    <w:tr2bl w:val="nil"/>
                  </w:tcBorders>
                  <w:noWrap w:val="0"/>
                  <w:vAlign w:val="center"/>
                </w:tcPr>
                <w:p w14:paraId="4A2D43F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ascii="宋体" w:hAnsi="宋体" w:eastAsia="宋体" w:cs="宋体"/>
                      <w:sz w:val="21"/>
                      <w:szCs w:val="21"/>
                    </w:rPr>
                  </w:pPr>
                </w:p>
              </w:tc>
            </w:tr>
            <w:tr w14:paraId="73D30B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94" w:type="dxa"/>
                  <w:tcBorders>
                    <w:tl2br w:val="nil"/>
                    <w:tr2bl w:val="nil"/>
                  </w:tcBorders>
                  <w:noWrap w:val="0"/>
                  <w:vAlign w:val="center"/>
                </w:tcPr>
                <w:p w14:paraId="7463E5D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b w:val="0"/>
                      <w:bCs/>
                      <w:sz w:val="21"/>
                      <w:szCs w:val="21"/>
                      <w:vertAlign w:val="baseline"/>
                      <w:lang w:val="en-US" w:eastAsia="zh-CN"/>
                    </w:rPr>
                  </w:pPr>
                  <w:r>
                    <w:rPr>
                      <w:rFonts w:hint="eastAsia"/>
                      <w:b w:val="0"/>
                      <w:bCs/>
                      <w:sz w:val="21"/>
                      <w:szCs w:val="21"/>
                      <w:vertAlign w:val="baseline"/>
                      <w:lang w:val="en-US" w:eastAsia="zh-CN"/>
                    </w:rPr>
                    <w:t>12</w:t>
                  </w:r>
                </w:p>
              </w:tc>
              <w:tc>
                <w:tcPr>
                  <w:tcW w:w="2412" w:type="dxa"/>
                  <w:tcBorders>
                    <w:tl2br w:val="nil"/>
                    <w:tr2bl w:val="nil"/>
                  </w:tcBorders>
                  <w:noWrap w:val="0"/>
                  <w:vAlign w:val="center"/>
                </w:tcPr>
                <w:p w14:paraId="3C5716F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b w:val="0"/>
                      <w:bCs/>
                      <w:sz w:val="21"/>
                      <w:szCs w:val="21"/>
                      <w:vertAlign w:val="baseline"/>
                      <w:lang w:val="en-US" w:eastAsia="zh-CN"/>
                    </w:rPr>
                  </w:pPr>
                  <w:r>
                    <w:rPr>
                      <w:rFonts w:hint="eastAsia"/>
                      <w:b w:val="0"/>
                      <w:bCs/>
                      <w:sz w:val="21"/>
                      <w:szCs w:val="21"/>
                      <w:vertAlign w:val="baseline"/>
                      <w:lang w:val="en-US" w:eastAsia="zh-CN"/>
                    </w:rPr>
                    <w:t>选址外部右侧（表层样）</w:t>
                  </w:r>
                </w:p>
              </w:tc>
              <w:tc>
                <w:tcPr>
                  <w:tcW w:w="5284" w:type="dxa"/>
                  <w:vMerge w:val="continue"/>
                  <w:tcBorders>
                    <w:tl2br w:val="nil"/>
                    <w:tr2bl w:val="nil"/>
                  </w:tcBorders>
                  <w:noWrap w:val="0"/>
                  <w:vAlign w:val="center"/>
                </w:tcPr>
                <w:p w14:paraId="41E0CE6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ascii="宋体" w:hAnsi="宋体" w:eastAsia="宋体" w:cs="宋体"/>
                      <w:sz w:val="21"/>
                      <w:szCs w:val="21"/>
                    </w:rPr>
                  </w:pPr>
                </w:p>
              </w:tc>
            </w:tr>
          </w:tbl>
          <w:p w14:paraId="2769C050">
            <w:pPr>
              <w:pageBreakBefore w:val="0"/>
              <w:kinsoku/>
              <w:wordWrap/>
              <w:topLinePunct w:val="0"/>
              <w:bidi w:val="0"/>
              <w:spacing w:line="360" w:lineRule="auto"/>
              <w:ind w:firstLine="480" w:firstLineChars="200"/>
              <w:rPr>
                <w:sz w:val="24"/>
              </w:rPr>
            </w:pPr>
            <w:r>
              <w:rPr>
                <w:sz w:val="24"/>
              </w:rPr>
              <w:t>（3）评价标准</w:t>
            </w:r>
          </w:p>
          <w:p w14:paraId="2A91F9F7">
            <w:pPr>
              <w:pageBreakBefore w:val="0"/>
              <w:kinsoku/>
              <w:wordWrap/>
              <w:topLinePunct w:val="0"/>
              <w:bidi w:val="0"/>
              <w:spacing w:line="360" w:lineRule="auto"/>
              <w:ind w:firstLine="480" w:firstLineChars="200"/>
              <w:rPr>
                <w:rFonts w:hint="default" w:eastAsia="宋体"/>
                <w:sz w:val="24"/>
                <w:lang w:val="en-US" w:eastAsia="zh-CN"/>
              </w:rPr>
            </w:pPr>
            <w:r>
              <w:rPr>
                <w:sz w:val="24"/>
              </w:rPr>
              <w:t>本项目土壤环境指标执行《土壤环境质量 建设用地土壤污染风险管控标准》（GB 36600-2018）表1第二类用地风险筛选值。</w:t>
            </w:r>
          </w:p>
          <w:p w14:paraId="4E6D7B8D">
            <w:pPr>
              <w:pageBreakBefore w:val="0"/>
              <w:kinsoku/>
              <w:wordWrap/>
              <w:topLinePunct w:val="0"/>
              <w:bidi w:val="0"/>
              <w:spacing w:line="360" w:lineRule="auto"/>
              <w:ind w:firstLine="480" w:firstLineChars="200"/>
              <w:rPr>
                <w:sz w:val="24"/>
              </w:rPr>
            </w:pPr>
            <w:r>
              <w:rPr>
                <w:sz w:val="24"/>
              </w:rPr>
              <w:t>（3）监测结果</w:t>
            </w:r>
          </w:p>
          <w:p w14:paraId="4395EE7A">
            <w:pPr>
              <w:pageBreakBefore w:val="0"/>
              <w:kinsoku/>
              <w:wordWrap/>
              <w:topLinePunct w:val="0"/>
              <w:bidi w:val="0"/>
              <w:spacing w:line="360" w:lineRule="auto"/>
              <w:ind w:firstLine="480" w:firstLineChars="200"/>
              <w:rPr>
                <w:sz w:val="24"/>
              </w:rPr>
            </w:pPr>
            <w:r>
              <w:rPr>
                <w:sz w:val="24"/>
              </w:rPr>
              <w:t>本项目土壤环境现状监测结果见</w:t>
            </w:r>
            <w:r>
              <w:rPr>
                <w:rFonts w:hint="eastAsia"/>
                <w:sz w:val="24"/>
                <w:lang w:val="en-US" w:eastAsia="zh-CN"/>
              </w:rPr>
              <w:t>下</w:t>
            </w:r>
            <w:r>
              <w:rPr>
                <w:sz w:val="24"/>
              </w:rPr>
              <w:t>表。</w:t>
            </w:r>
          </w:p>
          <w:p w14:paraId="47A4D1D1">
            <w:pPr>
              <w:pageBreakBefore w:val="0"/>
              <w:kinsoku/>
              <w:wordWrap/>
              <w:topLinePunct w:val="0"/>
              <w:bidi w:val="0"/>
              <w:spacing w:line="360" w:lineRule="auto"/>
              <w:jc w:val="center"/>
              <w:outlineLvl w:val="8"/>
              <w:rPr>
                <w:rFonts w:eastAsia="黑体"/>
                <w:bCs/>
                <w:kern w:val="0"/>
                <w:szCs w:val="21"/>
              </w:rPr>
            </w:pPr>
            <w:r>
              <w:rPr>
                <w:rFonts w:eastAsia="黑体"/>
                <w:bCs/>
                <w:kern w:val="0"/>
                <w:szCs w:val="21"/>
              </w:rPr>
              <w:t>表3-</w:t>
            </w:r>
            <w:r>
              <w:rPr>
                <w:rFonts w:hint="eastAsia" w:eastAsia="黑体"/>
                <w:bCs/>
                <w:kern w:val="0"/>
                <w:szCs w:val="21"/>
                <w:lang w:val="en-US" w:eastAsia="zh-CN"/>
              </w:rPr>
              <w:t>9</w:t>
            </w:r>
            <w:r>
              <w:rPr>
                <w:rFonts w:eastAsia="黑体"/>
                <w:bCs/>
                <w:kern w:val="0"/>
                <w:szCs w:val="21"/>
              </w:rPr>
              <w:t xml:space="preserve">  </w:t>
            </w:r>
            <w:r>
              <w:rPr>
                <w:rFonts w:hint="eastAsia" w:eastAsia="黑体"/>
                <w:bCs/>
                <w:kern w:val="0"/>
                <w:szCs w:val="21"/>
              </w:rPr>
              <w:t>柱状监测点</w:t>
            </w:r>
            <w:r>
              <w:rPr>
                <w:rFonts w:eastAsia="黑体"/>
                <w:bCs/>
                <w:kern w:val="0"/>
                <w:szCs w:val="21"/>
              </w:rPr>
              <w:t>土壤现状监测结果  单位：mg/kg，pH无量纲</w:t>
            </w:r>
          </w:p>
          <w:tbl>
            <w:tblPr>
              <w:tblStyle w:val="13"/>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692"/>
              <w:gridCol w:w="2449"/>
              <w:gridCol w:w="1165"/>
              <w:gridCol w:w="1187"/>
              <w:gridCol w:w="1165"/>
              <w:gridCol w:w="846"/>
            </w:tblGrid>
            <w:tr w14:paraId="304EE8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restart"/>
                  <w:noWrap w:val="0"/>
                  <w:vAlign w:val="center"/>
                </w:tcPr>
                <w:p w14:paraId="182170DF">
                  <w:pPr>
                    <w:pageBreakBefore w:val="0"/>
                    <w:kinsoku/>
                    <w:wordWrap/>
                    <w:topLinePunct w:val="0"/>
                    <w:bidi w:val="0"/>
                    <w:spacing w:line="280" w:lineRule="exact"/>
                    <w:jc w:val="center"/>
                    <w:rPr>
                      <w:b/>
                      <w:bCs/>
                      <w:szCs w:val="21"/>
                    </w:rPr>
                  </w:pPr>
                  <w:r>
                    <w:rPr>
                      <w:b/>
                      <w:bCs/>
                      <w:szCs w:val="21"/>
                    </w:rPr>
                    <w:t>监测点位</w:t>
                  </w:r>
                </w:p>
              </w:tc>
              <w:tc>
                <w:tcPr>
                  <w:tcW w:w="2449" w:type="dxa"/>
                  <w:vMerge w:val="restart"/>
                  <w:noWrap w:val="0"/>
                  <w:vAlign w:val="center"/>
                </w:tcPr>
                <w:p w14:paraId="3D17599C">
                  <w:pPr>
                    <w:pageBreakBefore w:val="0"/>
                    <w:kinsoku/>
                    <w:wordWrap/>
                    <w:topLinePunct w:val="0"/>
                    <w:bidi w:val="0"/>
                    <w:spacing w:line="280" w:lineRule="exact"/>
                    <w:jc w:val="center"/>
                    <w:rPr>
                      <w:b/>
                      <w:bCs/>
                      <w:szCs w:val="21"/>
                    </w:rPr>
                  </w:pPr>
                  <w:r>
                    <w:rPr>
                      <w:b/>
                      <w:bCs/>
                      <w:szCs w:val="21"/>
                    </w:rPr>
                    <w:t>检测项目</w:t>
                  </w:r>
                </w:p>
              </w:tc>
              <w:tc>
                <w:tcPr>
                  <w:tcW w:w="3517" w:type="dxa"/>
                  <w:gridSpan w:val="3"/>
                  <w:noWrap w:val="0"/>
                  <w:vAlign w:val="center"/>
                </w:tcPr>
                <w:p w14:paraId="4D4CFEEA">
                  <w:pPr>
                    <w:pageBreakBefore w:val="0"/>
                    <w:kinsoku/>
                    <w:wordWrap/>
                    <w:topLinePunct w:val="0"/>
                    <w:bidi w:val="0"/>
                    <w:spacing w:line="280" w:lineRule="exact"/>
                    <w:jc w:val="center"/>
                    <w:rPr>
                      <w:b/>
                      <w:bCs/>
                      <w:szCs w:val="21"/>
                    </w:rPr>
                  </w:pPr>
                  <w:r>
                    <w:rPr>
                      <w:b/>
                      <w:bCs/>
                      <w:szCs w:val="21"/>
                    </w:rPr>
                    <w:t>检测结果</w:t>
                  </w:r>
                </w:p>
              </w:tc>
              <w:tc>
                <w:tcPr>
                  <w:tcW w:w="846" w:type="dxa"/>
                  <w:vMerge w:val="restart"/>
                  <w:noWrap w:val="0"/>
                  <w:vAlign w:val="center"/>
                </w:tcPr>
                <w:p w14:paraId="1950299B">
                  <w:pPr>
                    <w:pageBreakBefore w:val="0"/>
                    <w:kinsoku/>
                    <w:wordWrap/>
                    <w:topLinePunct w:val="0"/>
                    <w:bidi w:val="0"/>
                    <w:spacing w:line="280" w:lineRule="exact"/>
                    <w:jc w:val="center"/>
                    <w:rPr>
                      <w:b/>
                      <w:bCs/>
                      <w:szCs w:val="21"/>
                    </w:rPr>
                  </w:pPr>
                  <w:r>
                    <w:rPr>
                      <w:b/>
                      <w:bCs/>
                      <w:szCs w:val="21"/>
                    </w:rPr>
                    <w:t>标准值</w:t>
                  </w:r>
                </w:p>
              </w:tc>
            </w:tr>
            <w:tr w14:paraId="5DB633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307DB9CF">
                  <w:pPr>
                    <w:pageBreakBefore w:val="0"/>
                    <w:kinsoku/>
                    <w:wordWrap/>
                    <w:topLinePunct w:val="0"/>
                    <w:bidi w:val="0"/>
                    <w:spacing w:line="280" w:lineRule="exact"/>
                    <w:jc w:val="center"/>
                    <w:rPr>
                      <w:b/>
                      <w:bCs/>
                      <w:szCs w:val="21"/>
                    </w:rPr>
                  </w:pPr>
                </w:p>
              </w:tc>
              <w:tc>
                <w:tcPr>
                  <w:tcW w:w="2449" w:type="dxa"/>
                  <w:vMerge w:val="continue"/>
                  <w:noWrap w:val="0"/>
                  <w:vAlign w:val="center"/>
                </w:tcPr>
                <w:p w14:paraId="4652AE01">
                  <w:pPr>
                    <w:pageBreakBefore w:val="0"/>
                    <w:kinsoku/>
                    <w:wordWrap/>
                    <w:topLinePunct w:val="0"/>
                    <w:bidi w:val="0"/>
                    <w:spacing w:line="280" w:lineRule="exact"/>
                    <w:jc w:val="center"/>
                    <w:rPr>
                      <w:b/>
                      <w:bCs/>
                      <w:szCs w:val="21"/>
                    </w:rPr>
                  </w:pPr>
                </w:p>
              </w:tc>
              <w:tc>
                <w:tcPr>
                  <w:tcW w:w="1165" w:type="dxa"/>
                  <w:noWrap w:val="0"/>
                  <w:vAlign w:val="center"/>
                </w:tcPr>
                <w:p w14:paraId="7954ADDC">
                  <w:pPr>
                    <w:pageBreakBefore w:val="0"/>
                    <w:kinsoku/>
                    <w:wordWrap/>
                    <w:topLinePunct w:val="0"/>
                    <w:bidi w:val="0"/>
                    <w:spacing w:line="280" w:lineRule="exact"/>
                    <w:jc w:val="center"/>
                    <w:rPr>
                      <w:b/>
                      <w:bCs/>
                      <w:szCs w:val="21"/>
                    </w:rPr>
                  </w:pPr>
                  <w:r>
                    <w:rPr>
                      <w:b/>
                      <w:bCs/>
                      <w:szCs w:val="21"/>
                    </w:rPr>
                    <w:t>0～0.5m</w:t>
                  </w:r>
                </w:p>
              </w:tc>
              <w:tc>
                <w:tcPr>
                  <w:tcW w:w="1187" w:type="dxa"/>
                  <w:noWrap w:val="0"/>
                  <w:vAlign w:val="center"/>
                </w:tcPr>
                <w:p w14:paraId="0EBAFD28">
                  <w:pPr>
                    <w:pageBreakBefore w:val="0"/>
                    <w:kinsoku/>
                    <w:wordWrap/>
                    <w:topLinePunct w:val="0"/>
                    <w:bidi w:val="0"/>
                    <w:spacing w:line="280" w:lineRule="exact"/>
                    <w:jc w:val="center"/>
                    <w:rPr>
                      <w:b/>
                      <w:bCs/>
                      <w:szCs w:val="21"/>
                    </w:rPr>
                  </w:pPr>
                  <w:r>
                    <w:rPr>
                      <w:b/>
                      <w:bCs/>
                      <w:szCs w:val="21"/>
                    </w:rPr>
                    <w:t>0.5～1.5m</w:t>
                  </w:r>
                </w:p>
              </w:tc>
              <w:tc>
                <w:tcPr>
                  <w:tcW w:w="1165" w:type="dxa"/>
                  <w:noWrap w:val="0"/>
                  <w:vAlign w:val="center"/>
                </w:tcPr>
                <w:p w14:paraId="20010659">
                  <w:pPr>
                    <w:pageBreakBefore w:val="0"/>
                    <w:kinsoku/>
                    <w:wordWrap/>
                    <w:topLinePunct w:val="0"/>
                    <w:bidi w:val="0"/>
                    <w:spacing w:line="280" w:lineRule="exact"/>
                    <w:jc w:val="center"/>
                    <w:rPr>
                      <w:b/>
                      <w:bCs/>
                      <w:szCs w:val="21"/>
                    </w:rPr>
                  </w:pPr>
                  <w:r>
                    <w:rPr>
                      <w:b/>
                      <w:bCs/>
                      <w:szCs w:val="21"/>
                    </w:rPr>
                    <w:t>1.5～3m</w:t>
                  </w:r>
                </w:p>
              </w:tc>
              <w:tc>
                <w:tcPr>
                  <w:tcW w:w="846" w:type="dxa"/>
                  <w:vMerge w:val="continue"/>
                  <w:noWrap w:val="0"/>
                  <w:vAlign w:val="center"/>
                </w:tcPr>
                <w:p w14:paraId="4B0AEF41">
                  <w:pPr>
                    <w:pageBreakBefore w:val="0"/>
                    <w:kinsoku/>
                    <w:wordWrap/>
                    <w:topLinePunct w:val="0"/>
                    <w:bidi w:val="0"/>
                    <w:spacing w:line="280" w:lineRule="exact"/>
                    <w:jc w:val="center"/>
                    <w:rPr>
                      <w:b/>
                      <w:bCs/>
                      <w:szCs w:val="21"/>
                    </w:rPr>
                  </w:pPr>
                </w:p>
              </w:tc>
            </w:tr>
            <w:tr w14:paraId="44A60E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restart"/>
                  <w:noWrap w:val="0"/>
                  <w:vAlign w:val="center"/>
                </w:tcPr>
                <w:p w14:paraId="65CEB139">
                  <w:pPr>
                    <w:pageBreakBefore w:val="0"/>
                    <w:kinsoku/>
                    <w:wordWrap/>
                    <w:topLinePunct w:val="0"/>
                    <w:bidi w:val="0"/>
                    <w:spacing w:line="280" w:lineRule="exact"/>
                    <w:jc w:val="center"/>
                    <w:rPr>
                      <w:szCs w:val="21"/>
                    </w:rPr>
                  </w:pPr>
                  <w:r>
                    <w:rPr>
                      <w:sz w:val="22"/>
                      <w:szCs w:val="22"/>
                    </w:rPr>
                    <w:t>选址内部中心</w:t>
                  </w:r>
                </w:p>
              </w:tc>
              <w:tc>
                <w:tcPr>
                  <w:tcW w:w="2449" w:type="dxa"/>
                  <w:noWrap w:val="0"/>
                  <w:vAlign w:val="center"/>
                </w:tcPr>
                <w:p w14:paraId="68F0F30E">
                  <w:pPr>
                    <w:pageBreakBefore w:val="0"/>
                    <w:kinsoku/>
                    <w:wordWrap/>
                    <w:topLinePunct w:val="0"/>
                    <w:bidi w:val="0"/>
                    <w:spacing w:line="280" w:lineRule="exact"/>
                    <w:jc w:val="center"/>
                    <w:rPr>
                      <w:szCs w:val="21"/>
                    </w:rPr>
                  </w:pPr>
                  <w:r>
                    <w:rPr>
                      <w:szCs w:val="21"/>
                    </w:rPr>
                    <w:t>pH</w:t>
                  </w:r>
                </w:p>
              </w:tc>
              <w:tc>
                <w:tcPr>
                  <w:tcW w:w="1165" w:type="dxa"/>
                  <w:noWrap w:val="0"/>
                  <w:vAlign w:val="center"/>
                </w:tcPr>
                <w:p w14:paraId="50CBC89E">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8.3</w:t>
                  </w:r>
                </w:p>
              </w:tc>
              <w:tc>
                <w:tcPr>
                  <w:tcW w:w="1187" w:type="dxa"/>
                  <w:noWrap w:val="0"/>
                  <w:vAlign w:val="center"/>
                </w:tcPr>
                <w:p w14:paraId="225A3885">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8.5</w:t>
                  </w:r>
                </w:p>
              </w:tc>
              <w:tc>
                <w:tcPr>
                  <w:tcW w:w="1165" w:type="dxa"/>
                  <w:noWrap w:val="0"/>
                  <w:vAlign w:val="center"/>
                </w:tcPr>
                <w:p w14:paraId="5A5A7A03">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8.7</w:t>
                  </w:r>
                </w:p>
              </w:tc>
              <w:tc>
                <w:tcPr>
                  <w:tcW w:w="846" w:type="dxa"/>
                  <w:noWrap w:val="0"/>
                  <w:vAlign w:val="center"/>
                </w:tcPr>
                <w:p w14:paraId="195D5900">
                  <w:pPr>
                    <w:pageBreakBefore w:val="0"/>
                    <w:kinsoku/>
                    <w:wordWrap/>
                    <w:topLinePunct w:val="0"/>
                    <w:bidi w:val="0"/>
                    <w:spacing w:line="280" w:lineRule="exact"/>
                    <w:jc w:val="center"/>
                    <w:rPr>
                      <w:szCs w:val="21"/>
                    </w:rPr>
                  </w:pPr>
                  <w:r>
                    <w:rPr>
                      <w:szCs w:val="21"/>
                    </w:rPr>
                    <w:t>/</w:t>
                  </w:r>
                </w:p>
              </w:tc>
            </w:tr>
            <w:tr w14:paraId="66B1BA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13CDA1FD">
                  <w:pPr>
                    <w:pageBreakBefore w:val="0"/>
                    <w:kinsoku/>
                    <w:wordWrap/>
                    <w:topLinePunct w:val="0"/>
                    <w:bidi w:val="0"/>
                    <w:spacing w:line="280" w:lineRule="exact"/>
                    <w:jc w:val="center"/>
                    <w:rPr>
                      <w:szCs w:val="21"/>
                    </w:rPr>
                  </w:pPr>
                </w:p>
              </w:tc>
              <w:tc>
                <w:tcPr>
                  <w:tcW w:w="2449" w:type="dxa"/>
                  <w:noWrap w:val="0"/>
                  <w:vAlign w:val="center"/>
                </w:tcPr>
                <w:p w14:paraId="4436D00F">
                  <w:pPr>
                    <w:pageBreakBefore w:val="0"/>
                    <w:kinsoku/>
                    <w:wordWrap/>
                    <w:topLinePunct w:val="0"/>
                    <w:bidi w:val="0"/>
                    <w:spacing w:line="280" w:lineRule="exact"/>
                    <w:jc w:val="center"/>
                    <w:rPr>
                      <w:szCs w:val="21"/>
                    </w:rPr>
                  </w:pPr>
                  <w:r>
                    <w:rPr>
                      <w:szCs w:val="21"/>
                    </w:rPr>
                    <w:t>砷</w:t>
                  </w:r>
                </w:p>
              </w:tc>
              <w:tc>
                <w:tcPr>
                  <w:tcW w:w="1165" w:type="dxa"/>
                  <w:noWrap w:val="0"/>
                  <w:vAlign w:val="center"/>
                </w:tcPr>
                <w:p w14:paraId="1A3A3804">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6.99</w:t>
                  </w:r>
                </w:p>
              </w:tc>
              <w:tc>
                <w:tcPr>
                  <w:tcW w:w="1187" w:type="dxa"/>
                  <w:noWrap w:val="0"/>
                  <w:vAlign w:val="center"/>
                </w:tcPr>
                <w:p w14:paraId="7C23B3D0">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7.63</w:t>
                  </w:r>
                </w:p>
              </w:tc>
              <w:tc>
                <w:tcPr>
                  <w:tcW w:w="1165" w:type="dxa"/>
                  <w:noWrap w:val="0"/>
                  <w:vAlign w:val="center"/>
                </w:tcPr>
                <w:p w14:paraId="4D89CDB4">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8.09</w:t>
                  </w:r>
                </w:p>
              </w:tc>
              <w:tc>
                <w:tcPr>
                  <w:tcW w:w="846" w:type="dxa"/>
                  <w:noWrap w:val="0"/>
                  <w:vAlign w:val="center"/>
                </w:tcPr>
                <w:p w14:paraId="46A6BE77">
                  <w:pPr>
                    <w:pageBreakBefore w:val="0"/>
                    <w:kinsoku/>
                    <w:wordWrap/>
                    <w:topLinePunct w:val="0"/>
                    <w:bidi w:val="0"/>
                    <w:spacing w:line="280" w:lineRule="exact"/>
                    <w:jc w:val="center"/>
                    <w:rPr>
                      <w:szCs w:val="21"/>
                    </w:rPr>
                  </w:pPr>
                  <w:r>
                    <w:rPr>
                      <w:szCs w:val="21"/>
                    </w:rPr>
                    <w:t>60</w:t>
                  </w:r>
                </w:p>
              </w:tc>
            </w:tr>
            <w:tr w14:paraId="63133B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3F7B01DA">
                  <w:pPr>
                    <w:pageBreakBefore w:val="0"/>
                    <w:kinsoku/>
                    <w:wordWrap/>
                    <w:topLinePunct w:val="0"/>
                    <w:bidi w:val="0"/>
                    <w:spacing w:line="280" w:lineRule="exact"/>
                    <w:jc w:val="center"/>
                    <w:rPr>
                      <w:szCs w:val="21"/>
                    </w:rPr>
                  </w:pPr>
                </w:p>
              </w:tc>
              <w:tc>
                <w:tcPr>
                  <w:tcW w:w="2449" w:type="dxa"/>
                  <w:noWrap w:val="0"/>
                  <w:vAlign w:val="center"/>
                </w:tcPr>
                <w:p w14:paraId="326C767E">
                  <w:pPr>
                    <w:pageBreakBefore w:val="0"/>
                    <w:kinsoku/>
                    <w:wordWrap/>
                    <w:topLinePunct w:val="0"/>
                    <w:bidi w:val="0"/>
                    <w:spacing w:line="280" w:lineRule="exact"/>
                    <w:jc w:val="center"/>
                    <w:rPr>
                      <w:szCs w:val="21"/>
                    </w:rPr>
                  </w:pPr>
                  <w:r>
                    <w:rPr>
                      <w:szCs w:val="21"/>
                    </w:rPr>
                    <w:t>镉</w:t>
                  </w:r>
                </w:p>
              </w:tc>
              <w:tc>
                <w:tcPr>
                  <w:tcW w:w="1165" w:type="dxa"/>
                  <w:noWrap w:val="0"/>
                  <w:vAlign w:val="center"/>
                </w:tcPr>
                <w:p w14:paraId="7B868ED8">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0.19</w:t>
                  </w:r>
                </w:p>
              </w:tc>
              <w:tc>
                <w:tcPr>
                  <w:tcW w:w="1187" w:type="dxa"/>
                  <w:noWrap w:val="0"/>
                  <w:vAlign w:val="center"/>
                </w:tcPr>
                <w:p w14:paraId="7244F168">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0.10</w:t>
                  </w:r>
                </w:p>
              </w:tc>
              <w:tc>
                <w:tcPr>
                  <w:tcW w:w="1165" w:type="dxa"/>
                  <w:noWrap w:val="0"/>
                  <w:vAlign w:val="center"/>
                </w:tcPr>
                <w:p w14:paraId="7B8E9B0D">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0.17</w:t>
                  </w:r>
                </w:p>
              </w:tc>
              <w:tc>
                <w:tcPr>
                  <w:tcW w:w="846" w:type="dxa"/>
                  <w:noWrap w:val="0"/>
                  <w:vAlign w:val="center"/>
                </w:tcPr>
                <w:p w14:paraId="09FF1B53">
                  <w:pPr>
                    <w:pageBreakBefore w:val="0"/>
                    <w:kinsoku/>
                    <w:wordWrap/>
                    <w:topLinePunct w:val="0"/>
                    <w:bidi w:val="0"/>
                    <w:spacing w:line="280" w:lineRule="exact"/>
                    <w:jc w:val="center"/>
                    <w:rPr>
                      <w:szCs w:val="21"/>
                    </w:rPr>
                  </w:pPr>
                  <w:r>
                    <w:rPr>
                      <w:szCs w:val="21"/>
                    </w:rPr>
                    <w:t>65</w:t>
                  </w:r>
                </w:p>
              </w:tc>
            </w:tr>
            <w:tr w14:paraId="170A98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51E52DAB">
                  <w:pPr>
                    <w:pageBreakBefore w:val="0"/>
                    <w:kinsoku/>
                    <w:wordWrap/>
                    <w:topLinePunct w:val="0"/>
                    <w:bidi w:val="0"/>
                    <w:spacing w:line="280" w:lineRule="exact"/>
                    <w:jc w:val="center"/>
                    <w:rPr>
                      <w:szCs w:val="21"/>
                    </w:rPr>
                  </w:pPr>
                </w:p>
              </w:tc>
              <w:tc>
                <w:tcPr>
                  <w:tcW w:w="2449" w:type="dxa"/>
                  <w:noWrap w:val="0"/>
                  <w:vAlign w:val="center"/>
                </w:tcPr>
                <w:p w14:paraId="20737F63">
                  <w:pPr>
                    <w:pageBreakBefore w:val="0"/>
                    <w:kinsoku/>
                    <w:wordWrap/>
                    <w:topLinePunct w:val="0"/>
                    <w:bidi w:val="0"/>
                    <w:spacing w:line="280" w:lineRule="exact"/>
                    <w:jc w:val="center"/>
                    <w:rPr>
                      <w:szCs w:val="21"/>
                    </w:rPr>
                  </w:pPr>
                  <w:r>
                    <w:rPr>
                      <w:szCs w:val="21"/>
                    </w:rPr>
                    <w:t>铬（六价）</w:t>
                  </w:r>
                </w:p>
              </w:tc>
              <w:tc>
                <w:tcPr>
                  <w:tcW w:w="1165" w:type="dxa"/>
                  <w:noWrap w:val="0"/>
                  <w:vAlign w:val="center"/>
                </w:tcPr>
                <w:p w14:paraId="541B1E5C">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&lt;0.5</w:t>
                  </w:r>
                </w:p>
              </w:tc>
              <w:tc>
                <w:tcPr>
                  <w:tcW w:w="1187" w:type="dxa"/>
                  <w:noWrap w:val="0"/>
                  <w:vAlign w:val="center"/>
                </w:tcPr>
                <w:p w14:paraId="2141AF84">
                  <w:pPr>
                    <w:pageBreakBefore w:val="0"/>
                    <w:kinsoku/>
                    <w:wordWrap/>
                    <w:topLinePunct w:val="0"/>
                    <w:bidi w:val="0"/>
                    <w:spacing w:line="280" w:lineRule="exact"/>
                    <w:jc w:val="center"/>
                    <w:rPr>
                      <w:rFonts w:hint="default"/>
                      <w:szCs w:val="21"/>
                      <w:lang w:val="en-US"/>
                    </w:rPr>
                  </w:pPr>
                  <w:r>
                    <w:rPr>
                      <w:rFonts w:hint="eastAsia"/>
                      <w:szCs w:val="21"/>
                      <w:lang w:val="en-US" w:eastAsia="zh-CN"/>
                    </w:rPr>
                    <w:t>&lt;0.5</w:t>
                  </w:r>
                </w:p>
              </w:tc>
              <w:tc>
                <w:tcPr>
                  <w:tcW w:w="1165" w:type="dxa"/>
                  <w:noWrap w:val="0"/>
                  <w:vAlign w:val="center"/>
                </w:tcPr>
                <w:p w14:paraId="012C0E12">
                  <w:pPr>
                    <w:pageBreakBefore w:val="0"/>
                    <w:kinsoku/>
                    <w:wordWrap/>
                    <w:topLinePunct w:val="0"/>
                    <w:bidi w:val="0"/>
                    <w:spacing w:line="280" w:lineRule="exact"/>
                    <w:jc w:val="center"/>
                    <w:rPr>
                      <w:rFonts w:hint="default"/>
                      <w:szCs w:val="21"/>
                      <w:lang w:val="en-US"/>
                    </w:rPr>
                  </w:pPr>
                  <w:r>
                    <w:rPr>
                      <w:rFonts w:hint="eastAsia"/>
                      <w:szCs w:val="21"/>
                      <w:lang w:val="en-US" w:eastAsia="zh-CN"/>
                    </w:rPr>
                    <w:t>&lt;0.5</w:t>
                  </w:r>
                </w:p>
              </w:tc>
              <w:tc>
                <w:tcPr>
                  <w:tcW w:w="846" w:type="dxa"/>
                  <w:noWrap w:val="0"/>
                  <w:vAlign w:val="center"/>
                </w:tcPr>
                <w:p w14:paraId="4E4D52C4">
                  <w:pPr>
                    <w:pageBreakBefore w:val="0"/>
                    <w:kinsoku/>
                    <w:wordWrap/>
                    <w:topLinePunct w:val="0"/>
                    <w:bidi w:val="0"/>
                    <w:spacing w:line="280" w:lineRule="exact"/>
                    <w:jc w:val="center"/>
                    <w:rPr>
                      <w:szCs w:val="21"/>
                    </w:rPr>
                  </w:pPr>
                  <w:r>
                    <w:rPr>
                      <w:szCs w:val="21"/>
                    </w:rPr>
                    <w:t>5.7</w:t>
                  </w:r>
                </w:p>
              </w:tc>
            </w:tr>
            <w:tr w14:paraId="4F445E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52503EC8">
                  <w:pPr>
                    <w:pageBreakBefore w:val="0"/>
                    <w:kinsoku/>
                    <w:wordWrap/>
                    <w:topLinePunct w:val="0"/>
                    <w:bidi w:val="0"/>
                    <w:spacing w:line="280" w:lineRule="exact"/>
                    <w:jc w:val="center"/>
                    <w:rPr>
                      <w:szCs w:val="21"/>
                    </w:rPr>
                  </w:pPr>
                </w:p>
              </w:tc>
              <w:tc>
                <w:tcPr>
                  <w:tcW w:w="2449" w:type="dxa"/>
                  <w:noWrap w:val="0"/>
                  <w:vAlign w:val="center"/>
                </w:tcPr>
                <w:p w14:paraId="0B54C834">
                  <w:pPr>
                    <w:pageBreakBefore w:val="0"/>
                    <w:kinsoku/>
                    <w:wordWrap/>
                    <w:topLinePunct w:val="0"/>
                    <w:bidi w:val="0"/>
                    <w:spacing w:line="280" w:lineRule="exact"/>
                    <w:jc w:val="center"/>
                    <w:rPr>
                      <w:szCs w:val="21"/>
                    </w:rPr>
                  </w:pPr>
                  <w:r>
                    <w:rPr>
                      <w:szCs w:val="21"/>
                    </w:rPr>
                    <w:t>铜</w:t>
                  </w:r>
                </w:p>
              </w:tc>
              <w:tc>
                <w:tcPr>
                  <w:tcW w:w="1165" w:type="dxa"/>
                  <w:noWrap w:val="0"/>
                  <w:vAlign w:val="center"/>
                </w:tcPr>
                <w:p w14:paraId="26BC3B49">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26</w:t>
                  </w:r>
                </w:p>
              </w:tc>
              <w:tc>
                <w:tcPr>
                  <w:tcW w:w="1187" w:type="dxa"/>
                  <w:noWrap w:val="0"/>
                  <w:vAlign w:val="center"/>
                </w:tcPr>
                <w:p w14:paraId="5028CAAE">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30</w:t>
                  </w:r>
                </w:p>
              </w:tc>
              <w:tc>
                <w:tcPr>
                  <w:tcW w:w="1165" w:type="dxa"/>
                  <w:noWrap w:val="0"/>
                  <w:vAlign w:val="center"/>
                </w:tcPr>
                <w:p w14:paraId="323AEF65">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31</w:t>
                  </w:r>
                </w:p>
              </w:tc>
              <w:tc>
                <w:tcPr>
                  <w:tcW w:w="846" w:type="dxa"/>
                  <w:noWrap w:val="0"/>
                  <w:vAlign w:val="center"/>
                </w:tcPr>
                <w:p w14:paraId="3314152D">
                  <w:pPr>
                    <w:pageBreakBefore w:val="0"/>
                    <w:kinsoku/>
                    <w:wordWrap/>
                    <w:topLinePunct w:val="0"/>
                    <w:bidi w:val="0"/>
                    <w:spacing w:line="280" w:lineRule="exact"/>
                    <w:jc w:val="center"/>
                    <w:rPr>
                      <w:szCs w:val="21"/>
                    </w:rPr>
                  </w:pPr>
                  <w:r>
                    <w:rPr>
                      <w:szCs w:val="21"/>
                    </w:rPr>
                    <w:t>18000</w:t>
                  </w:r>
                </w:p>
              </w:tc>
            </w:tr>
            <w:tr w14:paraId="3E0DD3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66DF8257">
                  <w:pPr>
                    <w:pageBreakBefore w:val="0"/>
                    <w:kinsoku/>
                    <w:wordWrap/>
                    <w:topLinePunct w:val="0"/>
                    <w:bidi w:val="0"/>
                    <w:spacing w:line="280" w:lineRule="exact"/>
                    <w:jc w:val="center"/>
                    <w:rPr>
                      <w:szCs w:val="21"/>
                    </w:rPr>
                  </w:pPr>
                </w:p>
              </w:tc>
              <w:tc>
                <w:tcPr>
                  <w:tcW w:w="2449" w:type="dxa"/>
                  <w:noWrap w:val="0"/>
                  <w:vAlign w:val="center"/>
                </w:tcPr>
                <w:p w14:paraId="2EA3A088">
                  <w:pPr>
                    <w:pageBreakBefore w:val="0"/>
                    <w:kinsoku/>
                    <w:wordWrap/>
                    <w:topLinePunct w:val="0"/>
                    <w:bidi w:val="0"/>
                    <w:spacing w:line="280" w:lineRule="exact"/>
                    <w:jc w:val="center"/>
                    <w:rPr>
                      <w:szCs w:val="21"/>
                    </w:rPr>
                  </w:pPr>
                  <w:r>
                    <w:rPr>
                      <w:szCs w:val="21"/>
                    </w:rPr>
                    <w:t>铅</w:t>
                  </w:r>
                </w:p>
              </w:tc>
              <w:tc>
                <w:tcPr>
                  <w:tcW w:w="1165" w:type="dxa"/>
                  <w:noWrap w:val="0"/>
                  <w:vAlign w:val="center"/>
                </w:tcPr>
                <w:p w14:paraId="6D08714C">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13.0</w:t>
                  </w:r>
                </w:p>
              </w:tc>
              <w:tc>
                <w:tcPr>
                  <w:tcW w:w="1187" w:type="dxa"/>
                  <w:noWrap w:val="0"/>
                  <w:vAlign w:val="center"/>
                </w:tcPr>
                <w:p w14:paraId="12BB353F">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30.4</w:t>
                  </w:r>
                </w:p>
              </w:tc>
              <w:tc>
                <w:tcPr>
                  <w:tcW w:w="1165" w:type="dxa"/>
                  <w:noWrap w:val="0"/>
                  <w:vAlign w:val="center"/>
                </w:tcPr>
                <w:p w14:paraId="57A15790">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14.3</w:t>
                  </w:r>
                </w:p>
              </w:tc>
              <w:tc>
                <w:tcPr>
                  <w:tcW w:w="846" w:type="dxa"/>
                  <w:noWrap w:val="0"/>
                  <w:vAlign w:val="center"/>
                </w:tcPr>
                <w:p w14:paraId="26666D50">
                  <w:pPr>
                    <w:pageBreakBefore w:val="0"/>
                    <w:kinsoku/>
                    <w:wordWrap/>
                    <w:topLinePunct w:val="0"/>
                    <w:bidi w:val="0"/>
                    <w:spacing w:line="280" w:lineRule="exact"/>
                    <w:jc w:val="center"/>
                    <w:rPr>
                      <w:szCs w:val="21"/>
                    </w:rPr>
                  </w:pPr>
                  <w:r>
                    <w:rPr>
                      <w:szCs w:val="21"/>
                    </w:rPr>
                    <w:t>800</w:t>
                  </w:r>
                </w:p>
              </w:tc>
            </w:tr>
            <w:tr w14:paraId="4F3001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7337D4C3">
                  <w:pPr>
                    <w:pageBreakBefore w:val="0"/>
                    <w:kinsoku/>
                    <w:wordWrap/>
                    <w:topLinePunct w:val="0"/>
                    <w:bidi w:val="0"/>
                    <w:spacing w:line="280" w:lineRule="exact"/>
                    <w:jc w:val="center"/>
                    <w:rPr>
                      <w:szCs w:val="21"/>
                    </w:rPr>
                  </w:pPr>
                </w:p>
              </w:tc>
              <w:tc>
                <w:tcPr>
                  <w:tcW w:w="2449" w:type="dxa"/>
                  <w:noWrap w:val="0"/>
                  <w:vAlign w:val="center"/>
                </w:tcPr>
                <w:p w14:paraId="02AEDF86">
                  <w:pPr>
                    <w:pageBreakBefore w:val="0"/>
                    <w:kinsoku/>
                    <w:wordWrap/>
                    <w:topLinePunct w:val="0"/>
                    <w:bidi w:val="0"/>
                    <w:spacing w:line="280" w:lineRule="exact"/>
                    <w:jc w:val="center"/>
                    <w:rPr>
                      <w:szCs w:val="21"/>
                    </w:rPr>
                  </w:pPr>
                  <w:r>
                    <w:rPr>
                      <w:szCs w:val="21"/>
                    </w:rPr>
                    <w:t>汞</w:t>
                  </w:r>
                </w:p>
              </w:tc>
              <w:tc>
                <w:tcPr>
                  <w:tcW w:w="1165" w:type="dxa"/>
                  <w:noWrap w:val="0"/>
                  <w:vAlign w:val="center"/>
                </w:tcPr>
                <w:p w14:paraId="04CF125A">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0.056</w:t>
                  </w:r>
                </w:p>
              </w:tc>
              <w:tc>
                <w:tcPr>
                  <w:tcW w:w="1187" w:type="dxa"/>
                  <w:noWrap w:val="0"/>
                  <w:vAlign w:val="center"/>
                </w:tcPr>
                <w:p w14:paraId="0891D459">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0.064</w:t>
                  </w:r>
                </w:p>
              </w:tc>
              <w:tc>
                <w:tcPr>
                  <w:tcW w:w="1165" w:type="dxa"/>
                  <w:noWrap w:val="0"/>
                  <w:vAlign w:val="center"/>
                </w:tcPr>
                <w:p w14:paraId="3D994105">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0.065</w:t>
                  </w:r>
                </w:p>
              </w:tc>
              <w:tc>
                <w:tcPr>
                  <w:tcW w:w="846" w:type="dxa"/>
                  <w:noWrap w:val="0"/>
                  <w:vAlign w:val="center"/>
                </w:tcPr>
                <w:p w14:paraId="4B71FB94">
                  <w:pPr>
                    <w:pageBreakBefore w:val="0"/>
                    <w:kinsoku/>
                    <w:wordWrap/>
                    <w:topLinePunct w:val="0"/>
                    <w:bidi w:val="0"/>
                    <w:spacing w:line="280" w:lineRule="exact"/>
                    <w:jc w:val="center"/>
                    <w:rPr>
                      <w:szCs w:val="21"/>
                    </w:rPr>
                  </w:pPr>
                  <w:r>
                    <w:rPr>
                      <w:szCs w:val="21"/>
                    </w:rPr>
                    <w:t>38</w:t>
                  </w:r>
                </w:p>
              </w:tc>
            </w:tr>
            <w:tr w14:paraId="5CEE47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6108FBB2">
                  <w:pPr>
                    <w:pageBreakBefore w:val="0"/>
                    <w:kinsoku/>
                    <w:wordWrap/>
                    <w:topLinePunct w:val="0"/>
                    <w:bidi w:val="0"/>
                    <w:spacing w:line="280" w:lineRule="exact"/>
                    <w:jc w:val="center"/>
                    <w:rPr>
                      <w:szCs w:val="21"/>
                    </w:rPr>
                  </w:pPr>
                </w:p>
              </w:tc>
              <w:tc>
                <w:tcPr>
                  <w:tcW w:w="2449" w:type="dxa"/>
                  <w:noWrap w:val="0"/>
                  <w:vAlign w:val="center"/>
                </w:tcPr>
                <w:p w14:paraId="36560E39">
                  <w:pPr>
                    <w:pageBreakBefore w:val="0"/>
                    <w:kinsoku/>
                    <w:wordWrap/>
                    <w:topLinePunct w:val="0"/>
                    <w:bidi w:val="0"/>
                    <w:spacing w:line="280" w:lineRule="exact"/>
                    <w:jc w:val="center"/>
                    <w:rPr>
                      <w:szCs w:val="21"/>
                    </w:rPr>
                  </w:pPr>
                  <w:r>
                    <w:rPr>
                      <w:szCs w:val="21"/>
                    </w:rPr>
                    <w:t>镍</w:t>
                  </w:r>
                </w:p>
              </w:tc>
              <w:tc>
                <w:tcPr>
                  <w:tcW w:w="1165" w:type="dxa"/>
                  <w:noWrap w:val="0"/>
                  <w:vAlign w:val="center"/>
                </w:tcPr>
                <w:p w14:paraId="0ABA875B">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17</w:t>
                  </w:r>
                </w:p>
              </w:tc>
              <w:tc>
                <w:tcPr>
                  <w:tcW w:w="1187" w:type="dxa"/>
                  <w:noWrap w:val="0"/>
                  <w:vAlign w:val="center"/>
                </w:tcPr>
                <w:p w14:paraId="1DBC9282">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14</w:t>
                  </w:r>
                </w:p>
              </w:tc>
              <w:tc>
                <w:tcPr>
                  <w:tcW w:w="1165" w:type="dxa"/>
                  <w:noWrap w:val="0"/>
                  <w:vAlign w:val="center"/>
                </w:tcPr>
                <w:p w14:paraId="25565F3C">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18</w:t>
                  </w:r>
                </w:p>
              </w:tc>
              <w:tc>
                <w:tcPr>
                  <w:tcW w:w="846" w:type="dxa"/>
                  <w:noWrap w:val="0"/>
                  <w:vAlign w:val="center"/>
                </w:tcPr>
                <w:p w14:paraId="6FB5BB71">
                  <w:pPr>
                    <w:pageBreakBefore w:val="0"/>
                    <w:kinsoku/>
                    <w:wordWrap/>
                    <w:topLinePunct w:val="0"/>
                    <w:bidi w:val="0"/>
                    <w:spacing w:line="280" w:lineRule="exact"/>
                    <w:jc w:val="center"/>
                    <w:rPr>
                      <w:szCs w:val="21"/>
                    </w:rPr>
                  </w:pPr>
                  <w:r>
                    <w:rPr>
                      <w:szCs w:val="21"/>
                    </w:rPr>
                    <w:t>900</w:t>
                  </w:r>
                </w:p>
              </w:tc>
            </w:tr>
            <w:tr w14:paraId="526123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1F09E70F">
                  <w:pPr>
                    <w:pageBreakBefore w:val="0"/>
                    <w:kinsoku/>
                    <w:wordWrap/>
                    <w:topLinePunct w:val="0"/>
                    <w:bidi w:val="0"/>
                    <w:spacing w:line="280" w:lineRule="exact"/>
                    <w:jc w:val="center"/>
                    <w:rPr>
                      <w:szCs w:val="21"/>
                    </w:rPr>
                  </w:pPr>
                </w:p>
              </w:tc>
              <w:tc>
                <w:tcPr>
                  <w:tcW w:w="2449" w:type="dxa"/>
                  <w:noWrap w:val="0"/>
                  <w:vAlign w:val="center"/>
                </w:tcPr>
                <w:p w14:paraId="20516691">
                  <w:pPr>
                    <w:pageBreakBefore w:val="0"/>
                    <w:kinsoku/>
                    <w:wordWrap/>
                    <w:topLinePunct w:val="0"/>
                    <w:bidi w:val="0"/>
                    <w:spacing w:line="280" w:lineRule="exact"/>
                    <w:jc w:val="center"/>
                    <w:rPr>
                      <w:szCs w:val="21"/>
                    </w:rPr>
                  </w:pPr>
                  <w:r>
                    <w:rPr>
                      <w:szCs w:val="21"/>
                    </w:rPr>
                    <w:t>四氯化碳</w:t>
                  </w:r>
                </w:p>
              </w:tc>
              <w:tc>
                <w:tcPr>
                  <w:tcW w:w="1165" w:type="dxa"/>
                  <w:noWrap w:val="0"/>
                  <w:vAlign w:val="center"/>
                </w:tcPr>
                <w:p w14:paraId="6BD88730">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&lt;0.0013</w:t>
                  </w:r>
                </w:p>
              </w:tc>
              <w:tc>
                <w:tcPr>
                  <w:tcW w:w="1187" w:type="dxa"/>
                  <w:noWrap w:val="0"/>
                  <w:vAlign w:val="center"/>
                </w:tcPr>
                <w:p w14:paraId="3FB58428">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1165" w:type="dxa"/>
                  <w:noWrap w:val="0"/>
                  <w:vAlign w:val="center"/>
                </w:tcPr>
                <w:p w14:paraId="5FD2E257">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846" w:type="dxa"/>
                  <w:noWrap w:val="0"/>
                  <w:vAlign w:val="center"/>
                </w:tcPr>
                <w:p w14:paraId="532B8BFF">
                  <w:pPr>
                    <w:pageBreakBefore w:val="0"/>
                    <w:kinsoku/>
                    <w:wordWrap/>
                    <w:topLinePunct w:val="0"/>
                    <w:bidi w:val="0"/>
                    <w:spacing w:line="280" w:lineRule="exact"/>
                    <w:jc w:val="center"/>
                    <w:rPr>
                      <w:szCs w:val="21"/>
                    </w:rPr>
                  </w:pPr>
                  <w:r>
                    <w:rPr>
                      <w:szCs w:val="21"/>
                    </w:rPr>
                    <w:t>2.8</w:t>
                  </w:r>
                </w:p>
              </w:tc>
            </w:tr>
            <w:tr w14:paraId="2FD7DE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2ADAFF75">
                  <w:pPr>
                    <w:pageBreakBefore w:val="0"/>
                    <w:kinsoku/>
                    <w:wordWrap/>
                    <w:topLinePunct w:val="0"/>
                    <w:bidi w:val="0"/>
                    <w:spacing w:line="280" w:lineRule="exact"/>
                    <w:jc w:val="center"/>
                    <w:rPr>
                      <w:szCs w:val="21"/>
                    </w:rPr>
                  </w:pPr>
                </w:p>
              </w:tc>
              <w:tc>
                <w:tcPr>
                  <w:tcW w:w="2449" w:type="dxa"/>
                  <w:noWrap w:val="0"/>
                  <w:vAlign w:val="center"/>
                </w:tcPr>
                <w:p w14:paraId="04C3D55E">
                  <w:pPr>
                    <w:pageBreakBefore w:val="0"/>
                    <w:kinsoku/>
                    <w:wordWrap/>
                    <w:topLinePunct w:val="0"/>
                    <w:bidi w:val="0"/>
                    <w:spacing w:line="280" w:lineRule="exact"/>
                    <w:jc w:val="center"/>
                    <w:rPr>
                      <w:szCs w:val="21"/>
                    </w:rPr>
                  </w:pPr>
                  <w:r>
                    <w:rPr>
                      <w:szCs w:val="21"/>
                    </w:rPr>
                    <w:t>氯仿</w:t>
                  </w:r>
                </w:p>
              </w:tc>
              <w:tc>
                <w:tcPr>
                  <w:tcW w:w="1165" w:type="dxa"/>
                  <w:noWrap w:val="0"/>
                  <w:vAlign w:val="center"/>
                </w:tcPr>
                <w:p w14:paraId="2FD4BBBF">
                  <w:pPr>
                    <w:pageBreakBefore w:val="0"/>
                    <w:widowControl/>
                    <w:kinsoku/>
                    <w:wordWrap/>
                    <w:topLinePunct w:val="0"/>
                    <w:bidi w:val="0"/>
                    <w:spacing w:line="280" w:lineRule="exact"/>
                    <w:jc w:val="center"/>
                    <w:textAlignment w:val="center"/>
                    <w:rPr>
                      <w:rFonts w:hint="default" w:eastAsia="宋体"/>
                      <w:kern w:val="0"/>
                      <w:szCs w:val="21"/>
                      <w:lang w:val="en-US" w:eastAsia="zh-CN" w:bidi="ar"/>
                    </w:rPr>
                  </w:pPr>
                  <w:r>
                    <w:rPr>
                      <w:rFonts w:hint="eastAsia"/>
                      <w:szCs w:val="21"/>
                      <w:lang w:val="en-US" w:eastAsia="zh-CN"/>
                    </w:rPr>
                    <w:t>&lt;</w:t>
                  </w:r>
                  <w:r>
                    <w:rPr>
                      <w:rFonts w:hint="eastAsia"/>
                      <w:kern w:val="0"/>
                      <w:szCs w:val="21"/>
                      <w:lang w:val="en-US" w:eastAsia="zh-CN" w:bidi="ar"/>
                    </w:rPr>
                    <w:t>0.0011</w:t>
                  </w:r>
                </w:p>
              </w:tc>
              <w:tc>
                <w:tcPr>
                  <w:tcW w:w="1187" w:type="dxa"/>
                  <w:noWrap w:val="0"/>
                  <w:vAlign w:val="center"/>
                </w:tcPr>
                <w:p w14:paraId="00F66900">
                  <w:pPr>
                    <w:pageBreakBefore w:val="0"/>
                    <w:widowControl/>
                    <w:kinsoku/>
                    <w:wordWrap/>
                    <w:topLinePunct w:val="0"/>
                    <w:bidi w:val="0"/>
                    <w:spacing w:line="280" w:lineRule="exact"/>
                    <w:jc w:val="center"/>
                    <w:textAlignment w:val="center"/>
                    <w:rPr>
                      <w:szCs w:val="21"/>
                    </w:rPr>
                  </w:pPr>
                  <w:r>
                    <w:rPr>
                      <w:rFonts w:hint="eastAsia"/>
                      <w:szCs w:val="21"/>
                      <w:lang w:val="en-US" w:eastAsia="zh-CN"/>
                    </w:rPr>
                    <w:t>&lt;</w:t>
                  </w:r>
                  <w:r>
                    <w:rPr>
                      <w:rFonts w:hint="eastAsia"/>
                      <w:kern w:val="0"/>
                      <w:szCs w:val="21"/>
                      <w:lang w:val="en-US" w:eastAsia="zh-CN" w:bidi="ar"/>
                    </w:rPr>
                    <w:t>0.0011</w:t>
                  </w:r>
                </w:p>
              </w:tc>
              <w:tc>
                <w:tcPr>
                  <w:tcW w:w="1165" w:type="dxa"/>
                  <w:noWrap w:val="0"/>
                  <w:vAlign w:val="center"/>
                </w:tcPr>
                <w:p w14:paraId="0ED563E0">
                  <w:pPr>
                    <w:pageBreakBefore w:val="0"/>
                    <w:widowControl/>
                    <w:kinsoku/>
                    <w:wordWrap/>
                    <w:topLinePunct w:val="0"/>
                    <w:bidi w:val="0"/>
                    <w:spacing w:line="280" w:lineRule="exact"/>
                    <w:jc w:val="center"/>
                    <w:textAlignment w:val="center"/>
                    <w:rPr>
                      <w:szCs w:val="21"/>
                    </w:rPr>
                  </w:pPr>
                  <w:r>
                    <w:rPr>
                      <w:rFonts w:hint="eastAsia"/>
                      <w:szCs w:val="21"/>
                      <w:lang w:val="en-US" w:eastAsia="zh-CN"/>
                    </w:rPr>
                    <w:t>&lt;</w:t>
                  </w:r>
                  <w:r>
                    <w:rPr>
                      <w:rFonts w:hint="eastAsia"/>
                      <w:kern w:val="0"/>
                      <w:szCs w:val="21"/>
                      <w:lang w:val="en-US" w:eastAsia="zh-CN" w:bidi="ar"/>
                    </w:rPr>
                    <w:t>0.0011</w:t>
                  </w:r>
                </w:p>
              </w:tc>
              <w:tc>
                <w:tcPr>
                  <w:tcW w:w="846" w:type="dxa"/>
                  <w:noWrap w:val="0"/>
                  <w:vAlign w:val="center"/>
                </w:tcPr>
                <w:p w14:paraId="6C8E2FF8">
                  <w:pPr>
                    <w:pageBreakBefore w:val="0"/>
                    <w:kinsoku/>
                    <w:wordWrap/>
                    <w:topLinePunct w:val="0"/>
                    <w:bidi w:val="0"/>
                    <w:spacing w:line="280" w:lineRule="exact"/>
                    <w:jc w:val="center"/>
                    <w:rPr>
                      <w:szCs w:val="21"/>
                    </w:rPr>
                  </w:pPr>
                  <w:r>
                    <w:rPr>
                      <w:szCs w:val="21"/>
                    </w:rPr>
                    <w:t>0.9</w:t>
                  </w:r>
                </w:p>
              </w:tc>
            </w:tr>
            <w:tr w14:paraId="16F675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02541227">
                  <w:pPr>
                    <w:pageBreakBefore w:val="0"/>
                    <w:kinsoku/>
                    <w:wordWrap/>
                    <w:topLinePunct w:val="0"/>
                    <w:bidi w:val="0"/>
                    <w:spacing w:line="280" w:lineRule="exact"/>
                    <w:jc w:val="center"/>
                    <w:rPr>
                      <w:szCs w:val="21"/>
                    </w:rPr>
                  </w:pPr>
                </w:p>
              </w:tc>
              <w:tc>
                <w:tcPr>
                  <w:tcW w:w="2449" w:type="dxa"/>
                  <w:noWrap w:val="0"/>
                  <w:vAlign w:val="center"/>
                </w:tcPr>
                <w:p w14:paraId="5EDED718">
                  <w:pPr>
                    <w:pageBreakBefore w:val="0"/>
                    <w:kinsoku/>
                    <w:wordWrap/>
                    <w:topLinePunct w:val="0"/>
                    <w:bidi w:val="0"/>
                    <w:spacing w:line="280" w:lineRule="exact"/>
                    <w:jc w:val="center"/>
                    <w:rPr>
                      <w:szCs w:val="21"/>
                    </w:rPr>
                  </w:pPr>
                  <w:r>
                    <w:rPr>
                      <w:szCs w:val="21"/>
                    </w:rPr>
                    <w:t>氯甲烷</w:t>
                  </w:r>
                </w:p>
              </w:tc>
              <w:tc>
                <w:tcPr>
                  <w:tcW w:w="1165" w:type="dxa"/>
                  <w:noWrap w:val="0"/>
                  <w:vAlign w:val="center"/>
                </w:tcPr>
                <w:p w14:paraId="055D7775">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w:t>
                  </w:r>
                </w:p>
              </w:tc>
              <w:tc>
                <w:tcPr>
                  <w:tcW w:w="1187" w:type="dxa"/>
                  <w:noWrap w:val="0"/>
                  <w:vAlign w:val="center"/>
                </w:tcPr>
                <w:p w14:paraId="5BD1EE0B">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w:t>
                  </w:r>
                </w:p>
              </w:tc>
              <w:tc>
                <w:tcPr>
                  <w:tcW w:w="1165" w:type="dxa"/>
                  <w:noWrap w:val="0"/>
                  <w:vAlign w:val="center"/>
                </w:tcPr>
                <w:p w14:paraId="26DC9B42">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w:t>
                  </w:r>
                </w:p>
              </w:tc>
              <w:tc>
                <w:tcPr>
                  <w:tcW w:w="846" w:type="dxa"/>
                  <w:noWrap w:val="0"/>
                  <w:vAlign w:val="center"/>
                </w:tcPr>
                <w:p w14:paraId="5307A446">
                  <w:pPr>
                    <w:pageBreakBefore w:val="0"/>
                    <w:kinsoku/>
                    <w:wordWrap/>
                    <w:topLinePunct w:val="0"/>
                    <w:bidi w:val="0"/>
                    <w:spacing w:line="280" w:lineRule="exact"/>
                    <w:jc w:val="center"/>
                    <w:rPr>
                      <w:szCs w:val="21"/>
                    </w:rPr>
                  </w:pPr>
                  <w:r>
                    <w:rPr>
                      <w:szCs w:val="21"/>
                    </w:rPr>
                    <w:t>37</w:t>
                  </w:r>
                </w:p>
              </w:tc>
            </w:tr>
            <w:tr w14:paraId="6A3608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44E6CE76">
                  <w:pPr>
                    <w:pageBreakBefore w:val="0"/>
                    <w:kinsoku/>
                    <w:wordWrap/>
                    <w:topLinePunct w:val="0"/>
                    <w:bidi w:val="0"/>
                    <w:spacing w:line="280" w:lineRule="exact"/>
                    <w:jc w:val="center"/>
                    <w:rPr>
                      <w:szCs w:val="21"/>
                    </w:rPr>
                  </w:pPr>
                </w:p>
              </w:tc>
              <w:tc>
                <w:tcPr>
                  <w:tcW w:w="2449" w:type="dxa"/>
                  <w:noWrap w:val="0"/>
                  <w:vAlign w:val="center"/>
                </w:tcPr>
                <w:p w14:paraId="2D8086F1">
                  <w:pPr>
                    <w:pageBreakBefore w:val="0"/>
                    <w:kinsoku/>
                    <w:wordWrap/>
                    <w:topLinePunct w:val="0"/>
                    <w:bidi w:val="0"/>
                    <w:spacing w:line="280" w:lineRule="exact"/>
                    <w:jc w:val="center"/>
                    <w:rPr>
                      <w:szCs w:val="21"/>
                    </w:rPr>
                  </w:pPr>
                  <w:r>
                    <w:rPr>
                      <w:szCs w:val="21"/>
                    </w:rPr>
                    <w:t>1，1-二氯乙烷</w:t>
                  </w:r>
                </w:p>
              </w:tc>
              <w:tc>
                <w:tcPr>
                  <w:tcW w:w="1165" w:type="dxa"/>
                  <w:noWrap w:val="0"/>
                  <w:vAlign w:val="center"/>
                </w:tcPr>
                <w:p w14:paraId="6683C7A9">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&lt;0.0012</w:t>
                  </w:r>
                </w:p>
              </w:tc>
              <w:tc>
                <w:tcPr>
                  <w:tcW w:w="1187" w:type="dxa"/>
                  <w:noWrap w:val="0"/>
                  <w:vAlign w:val="center"/>
                </w:tcPr>
                <w:p w14:paraId="69E67AD8">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5" w:type="dxa"/>
                  <w:noWrap w:val="0"/>
                  <w:vAlign w:val="center"/>
                </w:tcPr>
                <w:p w14:paraId="50DBAE47">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846" w:type="dxa"/>
                  <w:noWrap w:val="0"/>
                  <w:vAlign w:val="center"/>
                </w:tcPr>
                <w:p w14:paraId="1ABEB691">
                  <w:pPr>
                    <w:pageBreakBefore w:val="0"/>
                    <w:kinsoku/>
                    <w:wordWrap/>
                    <w:topLinePunct w:val="0"/>
                    <w:bidi w:val="0"/>
                    <w:spacing w:line="280" w:lineRule="exact"/>
                    <w:jc w:val="center"/>
                    <w:rPr>
                      <w:szCs w:val="21"/>
                    </w:rPr>
                  </w:pPr>
                  <w:r>
                    <w:rPr>
                      <w:szCs w:val="21"/>
                    </w:rPr>
                    <w:t>9</w:t>
                  </w:r>
                </w:p>
              </w:tc>
            </w:tr>
            <w:tr w14:paraId="490140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116FCA0C">
                  <w:pPr>
                    <w:pageBreakBefore w:val="0"/>
                    <w:kinsoku/>
                    <w:wordWrap/>
                    <w:topLinePunct w:val="0"/>
                    <w:bidi w:val="0"/>
                    <w:spacing w:line="280" w:lineRule="exact"/>
                    <w:jc w:val="center"/>
                    <w:rPr>
                      <w:szCs w:val="21"/>
                    </w:rPr>
                  </w:pPr>
                </w:p>
              </w:tc>
              <w:tc>
                <w:tcPr>
                  <w:tcW w:w="2449" w:type="dxa"/>
                  <w:noWrap w:val="0"/>
                  <w:vAlign w:val="center"/>
                </w:tcPr>
                <w:p w14:paraId="2B9F55EA">
                  <w:pPr>
                    <w:pageBreakBefore w:val="0"/>
                    <w:kinsoku/>
                    <w:wordWrap/>
                    <w:topLinePunct w:val="0"/>
                    <w:bidi w:val="0"/>
                    <w:spacing w:line="280" w:lineRule="exact"/>
                    <w:jc w:val="center"/>
                    <w:rPr>
                      <w:szCs w:val="21"/>
                    </w:rPr>
                  </w:pPr>
                  <w:r>
                    <w:rPr>
                      <w:szCs w:val="21"/>
                    </w:rPr>
                    <w:t>1，2-二氯乙烷</w:t>
                  </w:r>
                </w:p>
              </w:tc>
              <w:tc>
                <w:tcPr>
                  <w:tcW w:w="1165" w:type="dxa"/>
                  <w:noWrap w:val="0"/>
                  <w:vAlign w:val="center"/>
                </w:tcPr>
                <w:p w14:paraId="4B6E775B">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&lt;0.0013</w:t>
                  </w:r>
                </w:p>
              </w:tc>
              <w:tc>
                <w:tcPr>
                  <w:tcW w:w="1187" w:type="dxa"/>
                  <w:noWrap w:val="0"/>
                  <w:vAlign w:val="center"/>
                </w:tcPr>
                <w:p w14:paraId="044557A2">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1165" w:type="dxa"/>
                  <w:noWrap w:val="0"/>
                  <w:vAlign w:val="center"/>
                </w:tcPr>
                <w:p w14:paraId="6CC119ED">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846" w:type="dxa"/>
                  <w:noWrap w:val="0"/>
                  <w:vAlign w:val="center"/>
                </w:tcPr>
                <w:p w14:paraId="686B48C8">
                  <w:pPr>
                    <w:pageBreakBefore w:val="0"/>
                    <w:kinsoku/>
                    <w:wordWrap/>
                    <w:topLinePunct w:val="0"/>
                    <w:bidi w:val="0"/>
                    <w:spacing w:line="280" w:lineRule="exact"/>
                    <w:jc w:val="center"/>
                    <w:rPr>
                      <w:szCs w:val="21"/>
                    </w:rPr>
                  </w:pPr>
                  <w:r>
                    <w:rPr>
                      <w:szCs w:val="21"/>
                    </w:rPr>
                    <w:t>5</w:t>
                  </w:r>
                </w:p>
              </w:tc>
            </w:tr>
            <w:tr w14:paraId="5D8329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7C469348">
                  <w:pPr>
                    <w:pageBreakBefore w:val="0"/>
                    <w:kinsoku/>
                    <w:wordWrap/>
                    <w:topLinePunct w:val="0"/>
                    <w:bidi w:val="0"/>
                    <w:spacing w:line="280" w:lineRule="exact"/>
                    <w:jc w:val="center"/>
                    <w:rPr>
                      <w:szCs w:val="21"/>
                    </w:rPr>
                  </w:pPr>
                </w:p>
              </w:tc>
              <w:tc>
                <w:tcPr>
                  <w:tcW w:w="2449" w:type="dxa"/>
                  <w:noWrap w:val="0"/>
                  <w:vAlign w:val="center"/>
                </w:tcPr>
                <w:p w14:paraId="3A704347">
                  <w:pPr>
                    <w:pageBreakBefore w:val="0"/>
                    <w:kinsoku/>
                    <w:wordWrap/>
                    <w:topLinePunct w:val="0"/>
                    <w:bidi w:val="0"/>
                    <w:spacing w:line="280" w:lineRule="exact"/>
                    <w:jc w:val="center"/>
                    <w:rPr>
                      <w:szCs w:val="21"/>
                    </w:rPr>
                  </w:pPr>
                  <w:r>
                    <w:rPr>
                      <w:szCs w:val="21"/>
                    </w:rPr>
                    <w:t>1，1-二氯乙烯</w:t>
                  </w:r>
                </w:p>
              </w:tc>
              <w:tc>
                <w:tcPr>
                  <w:tcW w:w="1165" w:type="dxa"/>
                  <w:noWrap w:val="0"/>
                  <w:vAlign w:val="center"/>
                </w:tcPr>
                <w:p w14:paraId="20F72EA4">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w:t>
                  </w:r>
                </w:p>
              </w:tc>
              <w:tc>
                <w:tcPr>
                  <w:tcW w:w="1187" w:type="dxa"/>
                  <w:noWrap w:val="0"/>
                  <w:vAlign w:val="center"/>
                </w:tcPr>
                <w:p w14:paraId="1B10291F">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w:t>
                  </w:r>
                </w:p>
              </w:tc>
              <w:tc>
                <w:tcPr>
                  <w:tcW w:w="1165" w:type="dxa"/>
                  <w:noWrap w:val="0"/>
                  <w:vAlign w:val="center"/>
                </w:tcPr>
                <w:p w14:paraId="57DFD222">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w:t>
                  </w:r>
                </w:p>
              </w:tc>
              <w:tc>
                <w:tcPr>
                  <w:tcW w:w="846" w:type="dxa"/>
                  <w:noWrap w:val="0"/>
                  <w:vAlign w:val="center"/>
                </w:tcPr>
                <w:p w14:paraId="2BF2E712">
                  <w:pPr>
                    <w:pageBreakBefore w:val="0"/>
                    <w:kinsoku/>
                    <w:wordWrap/>
                    <w:topLinePunct w:val="0"/>
                    <w:bidi w:val="0"/>
                    <w:spacing w:line="280" w:lineRule="exact"/>
                    <w:jc w:val="center"/>
                    <w:rPr>
                      <w:szCs w:val="21"/>
                    </w:rPr>
                  </w:pPr>
                  <w:r>
                    <w:rPr>
                      <w:szCs w:val="21"/>
                    </w:rPr>
                    <w:t>66</w:t>
                  </w:r>
                </w:p>
              </w:tc>
            </w:tr>
            <w:tr w14:paraId="073287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04C41A26">
                  <w:pPr>
                    <w:pageBreakBefore w:val="0"/>
                    <w:kinsoku/>
                    <w:wordWrap/>
                    <w:topLinePunct w:val="0"/>
                    <w:bidi w:val="0"/>
                    <w:spacing w:line="280" w:lineRule="exact"/>
                    <w:jc w:val="center"/>
                    <w:rPr>
                      <w:szCs w:val="21"/>
                    </w:rPr>
                  </w:pPr>
                </w:p>
              </w:tc>
              <w:tc>
                <w:tcPr>
                  <w:tcW w:w="2449" w:type="dxa"/>
                  <w:noWrap w:val="0"/>
                  <w:vAlign w:val="center"/>
                </w:tcPr>
                <w:p w14:paraId="4C3C34BD">
                  <w:pPr>
                    <w:pageBreakBefore w:val="0"/>
                    <w:kinsoku/>
                    <w:wordWrap/>
                    <w:topLinePunct w:val="0"/>
                    <w:bidi w:val="0"/>
                    <w:spacing w:line="280" w:lineRule="exact"/>
                    <w:jc w:val="center"/>
                    <w:rPr>
                      <w:szCs w:val="21"/>
                    </w:rPr>
                  </w:pPr>
                  <w:r>
                    <w:rPr>
                      <w:szCs w:val="21"/>
                    </w:rPr>
                    <w:t>顺-1，2-二氯乙烯</w:t>
                  </w:r>
                </w:p>
              </w:tc>
              <w:tc>
                <w:tcPr>
                  <w:tcW w:w="1165" w:type="dxa"/>
                  <w:noWrap w:val="0"/>
                  <w:vAlign w:val="center"/>
                </w:tcPr>
                <w:p w14:paraId="478C414F">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&lt;0.0013</w:t>
                  </w:r>
                </w:p>
              </w:tc>
              <w:tc>
                <w:tcPr>
                  <w:tcW w:w="1187" w:type="dxa"/>
                  <w:noWrap w:val="0"/>
                  <w:vAlign w:val="center"/>
                </w:tcPr>
                <w:p w14:paraId="4FED208E">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1165" w:type="dxa"/>
                  <w:noWrap w:val="0"/>
                  <w:vAlign w:val="center"/>
                </w:tcPr>
                <w:p w14:paraId="624FB73A">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846" w:type="dxa"/>
                  <w:noWrap w:val="0"/>
                  <w:vAlign w:val="center"/>
                </w:tcPr>
                <w:p w14:paraId="4D088412">
                  <w:pPr>
                    <w:pageBreakBefore w:val="0"/>
                    <w:kinsoku/>
                    <w:wordWrap/>
                    <w:topLinePunct w:val="0"/>
                    <w:bidi w:val="0"/>
                    <w:spacing w:line="280" w:lineRule="exact"/>
                    <w:jc w:val="center"/>
                    <w:rPr>
                      <w:szCs w:val="21"/>
                    </w:rPr>
                  </w:pPr>
                  <w:r>
                    <w:rPr>
                      <w:szCs w:val="21"/>
                    </w:rPr>
                    <w:t>596</w:t>
                  </w:r>
                </w:p>
              </w:tc>
            </w:tr>
            <w:tr w14:paraId="7E9274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0DF13A80">
                  <w:pPr>
                    <w:pageBreakBefore w:val="0"/>
                    <w:kinsoku/>
                    <w:wordWrap/>
                    <w:topLinePunct w:val="0"/>
                    <w:bidi w:val="0"/>
                    <w:spacing w:line="280" w:lineRule="exact"/>
                    <w:jc w:val="center"/>
                    <w:rPr>
                      <w:szCs w:val="21"/>
                    </w:rPr>
                  </w:pPr>
                </w:p>
              </w:tc>
              <w:tc>
                <w:tcPr>
                  <w:tcW w:w="2449" w:type="dxa"/>
                  <w:noWrap w:val="0"/>
                  <w:vAlign w:val="center"/>
                </w:tcPr>
                <w:p w14:paraId="17C1EBB9">
                  <w:pPr>
                    <w:pageBreakBefore w:val="0"/>
                    <w:kinsoku/>
                    <w:wordWrap/>
                    <w:topLinePunct w:val="0"/>
                    <w:bidi w:val="0"/>
                    <w:spacing w:line="280" w:lineRule="exact"/>
                    <w:jc w:val="center"/>
                    <w:rPr>
                      <w:szCs w:val="21"/>
                    </w:rPr>
                  </w:pPr>
                  <w:r>
                    <w:rPr>
                      <w:szCs w:val="21"/>
                    </w:rPr>
                    <w:t>反-1，2-二氯乙烯</w:t>
                  </w:r>
                </w:p>
              </w:tc>
              <w:tc>
                <w:tcPr>
                  <w:tcW w:w="1165" w:type="dxa"/>
                  <w:noWrap w:val="0"/>
                  <w:vAlign w:val="center"/>
                </w:tcPr>
                <w:p w14:paraId="16C29FC5">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&lt;0.0014</w:t>
                  </w:r>
                </w:p>
              </w:tc>
              <w:tc>
                <w:tcPr>
                  <w:tcW w:w="1187" w:type="dxa"/>
                  <w:noWrap w:val="0"/>
                  <w:vAlign w:val="center"/>
                </w:tcPr>
                <w:p w14:paraId="4ABBDC0E">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&lt;0.0014</w:t>
                  </w:r>
                </w:p>
              </w:tc>
              <w:tc>
                <w:tcPr>
                  <w:tcW w:w="1165" w:type="dxa"/>
                  <w:noWrap w:val="0"/>
                  <w:vAlign w:val="center"/>
                </w:tcPr>
                <w:p w14:paraId="390B8EA9">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&lt;0.0014</w:t>
                  </w:r>
                </w:p>
              </w:tc>
              <w:tc>
                <w:tcPr>
                  <w:tcW w:w="846" w:type="dxa"/>
                  <w:noWrap w:val="0"/>
                  <w:vAlign w:val="center"/>
                </w:tcPr>
                <w:p w14:paraId="5901FF65">
                  <w:pPr>
                    <w:pageBreakBefore w:val="0"/>
                    <w:kinsoku/>
                    <w:wordWrap/>
                    <w:topLinePunct w:val="0"/>
                    <w:bidi w:val="0"/>
                    <w:spacing w:line="280" w:lineRule="exact"/>
                    <w:jc w:val="center"/>
                    <w:rPr>
                      <w:szCs w:val="21"/>
                    </w:rPr>
                  </w:pPr>
                  <w:r>
                    <w:rPr>
                      <w:szCs w:val="21"/>
                    </w:rPr>
                    <w:t>54</w:t>
                  </w:r>
                </w:p>
              </w:tc>
            </w:tr>
            <w:tr w14:paraId="211BA8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56E294AB">
                  <w:pPr>
                    <w:pageBreakBefore w:val="0"/>
                    <w:kinsoku/>
                    <w:wordWrap/>
                    <w:topLinePunct w:val="0"/>
                    <w:bidi w:val="0"/>
                    <w:spacing w:line="280" w:lineRule="exact"/>
                    <w:jc w:val="center"/>
                    <w:rPr>
                      <w:szCs w:val="21"/>
                    </w:rPr>
                  </w:pPr>
                </w:p>
              </w:tc>
              <w:tc>
                <w:tcPr>
                  <w:tcW w:w="2449" w:type="dxa"/>
                  <w:noWrap w:val="0"/>
                  <w:vAlign w:val="center"/>
                </w:tcPr>
                <w:p w14:paraId="6D74461F">
                  <w:pPr>
                    <w:pageBreakBefore w:val="0"/>
                    <w:kinsoku/>
                    <w:wordWrap/>
                    <w:topLinePunct w:val="0"/>
                    <w:bidi w:val="0"/>
                    <w:spacing w:line="280" w:lineRule="exact"/>
                    <w:jc w:val="center"/>
                    <w:rPr>
                      <w:szCs w:val="21"/>
                    </w:rPr>
                  </w:pPr>
                  <w:r>
                    <w:rPr>
                      <w:szCs w:val="21"/>
                    </w:rPr>
                    <w:t>二氯甲烷</w:t>
                  </w:r>
                </w:p>
              </w:tc>
              <w:tc>
                <w:tcPr>
                  <w:tcW w:w="1165" w:type="dxa"/>
                  <w:noWrap w:val="0"/>
                  <w:vAlign w:val="center"/>
                </w:tcPr>
                <w:p w14:paraId="2AB37C55">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&lt;0.0015</w:t>
                  </w:r>
                </w:p>
              </w:tc>
              <w:tc>
                <w:tcPr>
                  <w:tcW w:w="1187" w:type="dxa"/>
                  <w:noWrap w:val="0"/>
                  <w:vAlign w:val="center"/>
                </w:tcPr>
                <w:p w14:paraId="0AAAEAC9">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&lt;0.0015</w:t>
                  </w:r>
                </w:p>
              </w:tc>
              <w:tc>
                <w:tcPr>
                  <w:tcW w:w="1165" w:type="dxa"/>
                  <w:noWrap w:val="0"/>
                  <w:vAlign w:val="center"/>
                </w:tcPr>
                <w:p w14:paraId="38E2AECF">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&lt;0.0015</w:t>
                  </w:r>
                </w:p>
              </w:tc>
              <w:tc>
                <w:tcPr>
                  <w:tcW w:w="846" w:type="dxa"/>
                  <w:noWrap w:val="0"/>
                  <w:vAlign w:val="center"/>
                </w:tcPr>
                <w:p w14:paraId="3A971AA7">
                  <w:pPr>
                    <w:pageBreakBefore w:val="0"/>
                    <w:kinsoku/>
                    <w:wordWrap/>
                    <w:topLinePunct w:val="0"/>
                    <w:bidi w:val="0"/>
                    <w:spacing w:line="280" w:lineRule="exact"/>
                    <w:jc w:val="center"/>
                    <w:rPr>
                      <w:szCs w:val="21"/>
                    </w:rPr>
                  </w:pPr>
                  <w:r>
                    <w:rPr>
                      <w:szCs w:val="21"/>
                    </w:rPr>
                    <w:t>616</w:t>
                  </w:r>
                </w:p>
              </w:tc>
            </w:tr>
            <w:tr w14:paraId="1B50AC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2E4B79B6">
                  <w:pPr>
                    <w:pageBreakBefore w:val="0"/>
                    <w:kinsoku/>
                    <w:wordWrap/>
                    <w:topLinePunct w:val="0"/>
                    <w:bidi w:val="0"/>
                    <w:spacing w:line="280" w:lineRule="exact"/>
                    <w:jc w:val="center"/>
                    <w:rPr>
                      <w:szCs w:val="21"/>
                    </w:rPr>
                  </w:pPr>
                </w:p>
              </w:tc>
              <w:tc>
                <w:tcPr>
                  <w:tcW w:w="2449" w:type="dxa"/>
                  <w:noWrap w:val="0"/>
                  <w:vAlign w:val="center"/>
                </w:tcPr>
                <w:p w14:paraId="4A82F7C3">
                  <w:pPr>
                    <w:pageBreakBefore w:val="0"/>
                    <w:kinsoku/>
                    <w:wordWrap/>
                    <w:topLinePunct w:val="0"/>
                    <w:bidi w:val="0"/>
                    <w:spacing w:line="280" w:lineRule="exact"/>
                    <w:jc w:val="center"/>
                    <w:rPr>
                      <w:szCs w:val="21"/>
                    </w:rPr>
                  </w:pPr>
                  <w:r>
                    <w:rPr>
                      <w:szCs w:val="21"/>
                    </w:rPr>
                    <w:t>1，2-二氯丙烷</w:t>
                  </w:r>
                </w:p>
              </w:tc>
              <w:tc>
                <w:tcPr>
                  <w:tcW w:w="1165" w:type="dxa"/>
                  <w:noWrap w:val="0"/>
                  <w:vAlign w:val="center"/>
                </w:tcPr>
                <w:p w14:paraId="157D947D">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&lt;0.0011</w:t>
                  </w:r>
                </w:p>
              </w:tc>
              <w:tc>
                <w:tcPr>
                  <w:tcW w:w="1187" w:type="dxa"/>
                  <w:noWrap w:val="0"/>
                  <w:vAlign w:val="center"/>
                </w:tcPr>
                <w:p w14:paraId="7D268BE8">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&lt;0.0011</w:t>
                  </w:r>
                </w:p>
              </w:tc>
              <w:tc>
                <w:tcPr>
                  <w:tcW w:w="1165" w:type="dxa"/>
                  <w:noWrap w:val="0"/>
                  <w:vAlign w:val="center"/>
                </w:tcPr>
                <w:p w14:paraId="434EC7B5">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&lt;0.0011</w:t>
                  </w:r>
                </w:p>
              </w:tc>
              <w:tc>
                <w:tcPr>
                  <w:tcW w:w="846" w:type="dxa"/>
                  <w:noWrap w:val="0"/>
                  <w:vAlign w:val="center"/>
                </w:tcPr>
                <w:p w14:paraId="0DBDFEAE">
                  <w:pPr>
                    <w:pageBreakBefore w:val="0"/>
                    <w:kinsoku/>
                    <w:wordWrap/>
                    <w:topLinePunct w:val="0"/>
                    <w:bidi w:val="0"/>
                    <w:spacing w:line="280" w:lineRule="exact"/>
                    <w:jc w:val="center"/>
                    <w:rPr>
                      <w:szCs w:val="21"/>
                    </w:rPr>
                  </w:pPr>
                  <w:r>
                    <w:rPr>
                      <w:szCs w:val="21"/>
                    </w:rPr>
                    <w:t>5</w:t>
                  </w:r>
                </w:p>
              </w:tc>
            </w:tr>
            <w:tr w14:paraId="6172E0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54940A0D">
                  <w:pPr>
                    <w:pageBreakBefore w:val="0"/>
                    <w:kinsoku/>
                    <w:wordWrap/>
                    <w:topLinePunct w:val="0"/>
                    <w:bidi w:val="0"/>
                    <w:spacing w:line="280" w:lineRule="exact"/>
                    <w:jc w:val="center"/>
                    <w:rPr>
                      <w:szCs w:val="21"/>
                    </w:rPr>
                  </w:pPr>
                </w:p>
              </w:tc>
              <w:tc>
                <w:tcPr>
                  <w:tcW w:w="2449" w:type="dxa"/>
                  <w:noWrap w:val="0"/>
                  <w:vAlign w:val="center"/>
                </w:tcPr>
                <w:p w14:paraId="19A648C5">
                  <w:pPr>
                    <w:pageBreakBefore w:val="0"/>
                    <w:kinsoku/>
                    <w:wordWrap/>
                    <w:topLinePunct w:val="0"/>
                    <w:bidi w:val="0"/>
                    <w:spacing w:line="280" w:lineRule="exact"/>
                    <w:jc w:val="center"/>
                    <w:rPr>
                      <w:szCs w:val="21"/>
                    </w:rPr>
                  </w:pPr>
                  <w:r>
                    <w:rPr>
                      <w:szCs w:val="21"/>
                    </w:rPr>
                    <w:t>1，1，1，2-四氯乙烷</w:t>
                  </w:r>
                </w:p>
              </w:tc>
              <w:tc>
                <w:tcPr>
                  <w:tcW w:w="1165" w:type="dxa"/>
                  <w:noWrap w:val="0"/>
                  <w:vAlign w:val="center"/>
                </w:tcPr>
                <w:p w14:paraId="0A190685">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&lt;0.0012</w:t>
                  </w:r>
                </w:p>
              </w:tc>
              <w:tc>
                <w:tcPr>
                  <w:tcW w:w="1187" w:type="dxa"/>
                  <w:noWrap w:val="0"/>
                  <w:vAlign w:val="center"/>
                </w:tcPr>
                <w:p w14:paraId="162113C4">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5" w:type="dxa"/>
                  <w:noWrap w:val="0"/>
                  <w:vAlign w:val="center"/>
                </w:tcPr>
                <w:p w14:paraId="7DB3521B">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846" w:type="dxa"/>
                  <w:noWrap w:val="0"/>
                  <w:vAlign w:val="center"/>
                </w:tcPr>
                <w:p w14:paraId="6913C9BB">
                  <w:pPr>
                    <w:pageBreakBefore w:val="0"/>
                    <w:kinsoku/>
                    <w:wordWrap/>
                    <w:topLinePunct w:val="0"/>
                    <w:bidi w:val="0"/>
                    <w:spacing w:line="280" w:lineRule="exact"/>
                    <w:jc w:val="center"/>
                    <w:rPr>
                      <w:szCs w:val="21"/>
                    </w:rPr>
                  </w:pPr>
                  <w:r>
                    <w:rPr>
                      <w:szCs w:val="21"/>
                    </w:rPr>
                    <w:t>10</w:t>
                  </w:r>
                </w:p>
              </w:tc>
            </w:tr>
            <w:tr w14:paraId="744A8F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01076229">
                  <w:pPr>
                    <w:pageBreakBefore w:val="0"/>
                    <w:kinsoku/>
                    <w:wordWrap/>
                    <w:topLinePunct w:val="0"/>
                    <w:bidi w:val="0"/>
                    <w:spacing w:line="280" w:lineRule="exact"/>
                    <w:jc w:val="center"/>
                    <w:rPr>
                      <w:szCs w:val="21"/>
                    </w:rPr>
                  </w:pPr>
                </w:p>
              </w:tc>
              <w:tc>
                <w:tcPr>
                  <w:tcW w:w="2449" w:type="dxa"/>
                  <w:noWrap w:val="0"/>
                  <w:vAlign w:val="center"/>
                </w:tcPr>
                <w:p w14:paraId="6E4C8986">
                  <w:pPr>
                    <w:pageBreakBefore w:val="0"/>
                    <w:kinsoku/>
                    <w:wordWrap/>
                    <w:topLinePunct w:val="0"/>
                    <w:bidi w:val="0"/>
                    <w:spacing w:line="280" w:lineRule="exact"/>
                    <w:jc w:val="center"/>
                    <w:rPr>
                      <w:szCs w:val="21"/>
                    </w:rPr>
                  </w:pPr>
                  <w:r>
                    <w:rPr>
                      <w:szCs w:val="21"/>
                    </w:rPr>
                    <w:t>1，1，2，2-四氯乙烷</w:t>
                  </w:r>
                </w:p>
              </w:tc>
              <w:tc>
                <w:tcPr>
                  <w:tcW w:w="1165" w:type="dxa"/>
                  <w:noWrap w:val="0"/>
                  <w:vAlign w:val="center"/>
                </w:tcPr>
                <w:p w14:paraId="3A754203">
                  <w:pPr>
                    <w:pageBreakBefore w:val="0"/>
                    <w:widowControl/>
                    <w:kinsoku/>
                    <w:wordWrap/>
                    <w:topLinePunct w:val="0"/>
                    <w:bidi w:val="0"/>
                    <w:spacing w:line="280" w:lineRule="exact"/>
                    <w:jc w:val="center"/>
                    <w:textAlignment w:val="center"/>
                    <w:rPr>
                      <w:rFonts w:hint="default" w:eastAsia="宋体"/>
                      <w:kern w:val="0"/>
                      <w:szCs w:val="21"/>
                      <w:lang w:val="en-US" w:eastAsia="zh-CN" w:bidi="ar"/>
                    </w:rPr>
                  </w:pPr>
                  <w:r>
                    <w:rPr>
                      <w:rFonts w:hint="eastAsia"/>
                      <w:kern w:val="0"/>
                      <w:szCs w:val="21"/>
                      <w:lang w:val="en-US" w:eastAsia="zh-CN" w:bidi="ar"/>
                    </w:rPr>
                    <w:t>0.0012</w:t>
                  </w:r>
                </w:p>
              </w:tc>
              <w:tc>
                <w:tcPr>
                  <w:tcW w:w="1187" w:type="dxa"/>
                  <w:noWrap w:val="0"/>
                  <w:vAlign w:val="center"/>
                </w:tcPr>
                <w:p w14:paraId="20D9FC46">
                  <w:pPr>
                    <w:pageBreakBefore w:val="0"/>
                    <w:widowControl/>
                    <w:kinsoku/>
                    <w:wordWrap/>
                    <w:topLinePunct w:val="0"/>
                    <w:bidi w:val="0"/>
                    <w:spacing w:line="280" w:lineRule="exact"/>
                    <w:jc w:val="center"/>
                    <w:textAlignment w:val="center"/>
                    <w:rPr>
                      <w:szCs w:val="21"/>
                    </w:rPr>
                  </w:pPr>
                  <w:r>
                    <w:rPr>
                      <w:rFonts w:hint="eastAsia"/>
                      <w:kern w:val="0"/>
                      <w:szCs w:val="21"/>
                      <w:lang w:val="en-US" w:eastAsia="zh-CN" w:bidi="ar"/>
                    </w:rPr>
                    <w:t>0.0012</w:t>
                  </w:r>
                </w:p>
              </w:tc>
              <w:tc>
                <w:tcPr>
                  <w:tcW w:w="1165" w:type="dxa"/>
                  <w:noWrap w:val="0"/>
                  <w:vAlign w:val="center"/>
                </w:tcPr>
                <w:p w14:paraId="78DE47ED">
                  <w:pPr>
                    <w:pageBreakBefore w:val="0"/>
                    <w:widowControl/>
                    <w:kinsoku/>
                    <w:wordWrap/>
                    <w:topLinePunct w:val="0"/>
                    <w:bidi w:val="0"/>
                    <w:spacing w:line="280" w:lineRule="exact"/>
                    <w:jc w:val="center"/>
                    <w:textAlignment w:val="center"/>
                    <w:rPr>
                      <w:szCs w:val="21"/>
                    </w:rPr>
                  </w:pPr>
                  <w:r>
                    <w:rPr>
                      <w:rFonts w:hint="eastAsia"/>
                      <w:kern w:val="0"/>
                      <w:szCs w:val="21"/>
                      <w:lang w:val="en-US" w:eastAsia="zh-CN" w:bidi="ar"/>
                    </w:rPr>
                    <w:t>0.0012</w:t>
                  </w:r>
                </w:p>
              </w:tc>
              <w:tc>
                <w:tcPr>
                  <w:tcW w:w="846" w:type="dxa"/>
                  <w:noWrap w:val="0"/>
                  <w:vAlign w:val="center"/>
                </w:tcPr>
                <w:p w14:paraId="47821DA6">
                  <w:pPr>
                    <w:pageBreakBefore w:val="0"/>
                    <w:kinsoku/>
                    <w:wordWrap/>
                    <w:topLinePunct w:val="0"/>
                    <w:bidi w:val="0"/>
                    <w:spacing w:line="280" w:lineRule="exact"/>
                    <w:jc w:val="center"/>
                    <w:rPr>
                      <w:szCs w:val="21"/>
                    </w:rPr>
                  </w:pPr>
                  <w:r>
                    <w:rPr>
                      <w:szCs w:val="21"/>
                    </w:rPr>
                    <w:t>6.8</w:t>
                  </w:r>
                </w:p>
              </w:tc>
            </w:tr>
            <w:tr w14:paraId="30A7F5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21C53982">
                  <w:pPr>
                    <w:pageBreakBefore w:val="0"/>
                    <w:kinsoku/>
                    <w:wordWrap/>
                    <w:topLinePunct w:val="0"/>
                    <w:bidi w:val="0"/>
                    <w:spacing w:line="280" w:lineRule="exact"/>
                    <w:jc w:val="center"/>
                    <w:rPr>
                      <w:szCs w:val="21"/>
                    </w:rPr>
                  </w:pPr>
                </w:p>
              </w:tc>
              <w:tc>
                <w:tcPr>
                  <w:tcW w:w="2449" w:type="dxa"/>
                  <w:noWrap w:val="0"/>
                  <w:vAlign w:val="center"/>
                </w:tcPr>
                <w:p w14:paraId="16DB6481">
                  <w:pPr>
                    <w:pageBreakBefore w:val="0"/>
                    <w:kinsoku/>
                    <w:wordWrap/>
                    <w:topLinePunct w:val="0"/>
                    <w:bidi w:val="0"/>
                    <w:spacing w:line="280" w:lineRule="exact"/>
                    <w:jc w:val="center"/>
                    <w:rPr>
                      <w:szCs w:val="21"/>
                    </w:rPr>
                  </w:pPr>
                  <w:r>
                    <w:rPr>
                      <w:szCs w:val="21"/>
                    </w:rPr>
                    <w:t>四氯乙烯</w:t>
                  </w:r>
                </w:p>
              </w:tc>
              <w:tc>
                <w:tcPr>
                  <w:tcW w:w="1165" w:type="dxa"/>
                  <w:noWrap w:val="0"/>
                  <w:vAlign w:val="center"/>
                </w:tcPr>
                <w:p w14:paraId="0B351FE2">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&lt;0.0014</w:t>
                  </w:r>
                </w:p>
              </w:tc>
              <w:tc>
                <w:tcPr>
                  <w:tcW w:w="1187" w:type="dxa"/>
                  <w:noWrap w:val="0"/>
                  <w:vAlign w:val="center"/>
                </w:tcPr>
                <w:p w14:paraId="3152D221">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&lt;0.0014</w:t>
                  </w:r>
                </w:p>
              </w:tc>
              <w:tc>
                <w:tcPr>
                  <w:tcW w:w="1165" w:type="dxa"/>
                  <w:noWrap w:val="0"/>
                  <w:vAlign w:val="center"/>
                </w:tcPr>
                <w:p w14:paraId="2FE1A26A">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&lt;0.0014</w:t>
                  </w:r>
                </w:p>
              </w:tc>
              <w:tc>
                <w:tcPr>
                  <w:tcW w:w="846" w:type="dxa"/>
                  <w:noWrap w:val="0"/>
                  <w:vAlign w:val="center"/>
                </w:tcPr>
                <w:p w14:paraId="679B8AAE">
                  <w:pPr>
                    <w:pageBreakBefore w:val="0"/>
                    <w:kinsoku/>
                    <w:wordWrap/>
                    <w:topLinePunct w:val="0"/>
                    <w:bidi w:val="0"/>
                    <w:spacing w:line="280" w:lineRule="exact"/>
                    <w:jc w:val="center"/>
                    <w:rPr>
                      <w:szCs w:val="21"/>
                    </w:rPr>
                  </w:pPr>
                  <w:r>
                    <w:rPr>
                      <w:szCs w:val="21"/>
                    </w:rPr>
                    <w:t>53</w:t>
                  </w:r>
                </w:p>
              </w:tc>
            </w:tr>
            <w:tr w14:paraId="6248CD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34602D0D">
                  <w:pPr>
                    <w:pageBreakBefore w:val="0"/>
                    <w:kinsoku/>
                    <w:wordWrap/>
                    <w:topLinePunct w:val="0"/>
                    <w:bidi w:val="0"/>
                    <w:spacing w:line="280" w:lineRule="exact"/>
                    <w:jc w:val="center"/>
                    <w:rPr>
                      <w:szCs w:val="21"/>
                    </w:rPr>
                  </w:pPr>
                </w:p>
              </w:tc>
              <w:tc>
                <w:tcPr>
                  <w:tcW w:w="2449" w:type="dxa"/>
                  <w:noWrap w:val="0"/>
                  <w:vAlign w:val="center"/>
                </w:tcPr>
                <w:p w14:paraId="34CF7A33">
                  <w:pPr>
                    <w:pageBreakBefore w:val="0"/>
                    <w:kinsoku/>
                    <w:wordWrap/>
                    <w:topLinePunct w:val="0"/>
                    <w:bidi w:val="0"/>
                    <w:spacing w:line="280" w:lineRule="exact"/>
                    <w:jc w:val="center"/>
                    <w:rPr>
                      <w:szCs w:val="21"/>
                    </w:rPr>
                  </w:pPr>
                  <w:r>
                    <w:rPr>
                      <w:szCs w:val="21"/>
                    </w:rPr>
                    <w:t>1，1，1-三氯乙烷</w:t>
                  </w:r>
                </w:p>
              </w:tc>
              <w:tc>
                <w:tcPr>
                  <w:tcW w:w="1165" w:type="dxa"/>
                  <w:noWrap w:val="0"/>
                  <w:vAlign w:val="center"/>
                </w:tcPr>
                <w:p w14:paraId="676AEF7C">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&lt;0.0013</w:t>
                  </w:r>
                </w:p>
              </w:tc>
              <w:tc>
                <w:tcPr>
                  <w:tcW w:w="1187" w:type="dxa"/>
                  <w:noWrap w:val="0"/>
                  <w:vAlign w:val="center"/>
                </w:tcPr>
                <w:p w14:paraId="15095FA7">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1165" w:type="dxa"/>
                  <w:noWrap w:val="0"/>
                  <w:vAlign w:val="center"/>
                </w:tcPr>
                <w:p w14:paraId="4C6BC692">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846" w:type="dxa"/>
                  <w:noWrap w:val="0"/>
                  <w:vAlign w:val="center"/>
                </w:tcPr>
                <w:p w14:paraId="784963B7">
                  <w:pPr>
                    <w:pageBreakBefore w:val="0"/>
                    <w:kinsoku/>
                    <w:wordWrap/>
                    <w:topLinePunct w:val="0"/>
                    <w:bidi w:val="0"/>
                    <w:spacing w:line="280" w:lineRule="exact"/>
                    <w:jc w:val="center"/>
                    <w:rPr>
                      <w:szCs w:val="21"/>
                    </w:rPr>
                  </w:pPr>
                  <w:r>
                    <w:rPr>
                      <w:szCs w:val="21"/>
                    </w:rPr>
                    <w:t>840</w:t>
                  </w:r>
                </w:p>
              </w:tc>
            </w:tr>
            <w:tr w14:paraId="26777C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6BF13186">
                  <w:pPr>
                    <w:pageBreakBefore w:val="0"/>
                    <w:kinsoku/>
                    <w:wordWrap/>
                    <w:topLinePunct w:val="0"/>
                    <w:bidi w:val="0"/>
                    <w:spacing w:line="280" w:lineRule="exact"/>
                    <w:jc w:val="center"/>
                    <w:rPr>
                      <w:szCs w:val="21"/>
                    </w:rPr>
                  </w:pPr>
                </w:p>
              </w:tc>
              <w:tc>
                <w:tcPr>
                  <w:tcW w:w="2449" w:type="dxa"/>
                  <w:noWrap w:val="0"/>
                  <w:vAlign w:val="center"/>
                </w:tcPr>
                <w:p w14:paraId="0EF92D38">
                  <w:pPr>
                    <w:pageBreakBefore w:val="0"/>
                    <w:kinsoku/>
                    <w:wordWrap/>
                    <w:topLinePunct w:val="0"/>
                    <w:bidi w:val="0"/>
                    <w:spacing w:line="280" w:lineRule="exact"/>
                    <w:jc w:val="center"/>
                    <w:rPr>
                      <w:szCs w:val="21"/>
                    </w:rPr>
                  </w:pPr>
                  <w:r>
                    <w:rPr>
                      <w:szCs w:val="21"/>
                    </w:rPr>
                    <w:t>1，1，2-三氯乙烷</w:t>
                  </w:r>
                </w:p>
              </w:tc>
              <w:tc>
                <w:tcPr>
                  <w:tcW w:w="1165" w:type="dxa"/>
                  <w:noWrap w:val="0"/>
                  <w:vAlign w:val="center"/>
                </w:tcPr>
                <w:p w14:paraId="23C0EB0E">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&lt;0.0012</w:t>
                  </w:r>
                </w:p>
              </w:tc>
              <w:tc>
                <w:tcPr>
                  <w:tcW w:w="1187" w:type="dxa"/>
                  <w:noWrap w:val="0"/>
                  <w:vAlign w:val="center"/>
                </w:tcPr>
                <w:p w14:paraId="308E7DCA">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5" w:type="dxa"/>
                  <w:noWrap w:val="0"/>
                  <w:vAlign w:val="center"/>
                </w:tcPr>
                <w:p w14:paraId="06CC4C75">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846" w:type="dxa"/>
                  <w:noWrap w:val="0"/>
                  <w:vAlign w:val="center"/>
                </w:tcPr>
                <w:p w14:paraId="614FC6EA">
                  <w:pPr>
                    <w:pageBreakBefore w:val="0"/>
                    <w:kinsoku/>
                    <w:wordWrap/>
                    <w:topLinePunct w:val="0"/>
                    <w:bidi w:val="0"/>
                    <w:spacing w:line="280" w:lineRule="exact"/>
                    <w:jc w:val="center"/>
                    <w:rPr>
                      <w:szCs w:val="21"/>
                    </w:rPr>
                  </w:pPr>
                  <w:r>
                    <w:rPr>
                      <w:szCs w:val="21"/>
                    </w:rPr>
                    <w:t>2.8</w:t>
                  </w:r>
                </w:p>
              </w:tc>
            </w:tr>
            <w:tr w14:paraId="5CA856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38DFACCC">
                  <w:pPr>
                    <w:pageBreakBefore w:val="0"/>
                    <w:kinsoku/>
                    <w:wordWrap/>
                    <w:topLinePunct w:val="0"/>
                    <w:bidi w:val="0"/>
                    <w:spacing w:line="280" w:lineRule="exact"/>
                    <w:jc w:val="center"/>
                    <w:rPr>
                      <w:szCs w:val="21"/>
                    </w:rPr>
                  </w:pPr>
                </w:p>
              </w:tc>
              <w:tc>
                <w:tcPr>
                  <w:tcW w:w="2449" w:type="dxa"/>
                  <w:noWrap w:val="0"/>
                  <w:vAlign w:val="center"/>
                </w:tcPr>
                <w:p w14:paraId="5271325B">
                  <w:pPr>
                    <w:pageBreakBefore w:val="0"/>
                    <w:kinsoku/>
                    <w:wordWrap/>
                    <w:topLinePunct w:val="0"/>
                    <w:bidi w:val="0"/>
                    <w:spacing w:line="280" w:lineRule="exact"/>
                    <w:jc w:val="center"/>
                    <w:rPr>
                      <w:szCs w:val="21"/>
                    </w:rPr>
                  </w:pPr>
                  <w:r>
                    <w:rPr>
                      <w:szCs w:val="21"/>
                    </w:rPr>
                    <w:t>三氯乙烯</w:t>
                  </w:r>
                </w:p>
              </w:tc>
              <w:tc>
                <w:tcPr>
                  <w:tcW w:w="1165" w:type="dxa"/>
                  <w:noWrap w:val="0"/>
                  <w:vAlign w:val="center"/>
                </w:tcPr>
                <w:p w14:paraId="14215EA9">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&lt;0.0012</w:t>
                  </w:r>
                </w:p>
              </w:tc>
              <w:tc>
                <w:tcPr>
                  <w:tcW w:w="1187" w:type="dxa"/>
                  <w:noWrap w:val="0"/>
                  <w:vAlign w:val="center"/>
                </w:tcPr>
                <w:p w14:paraId="172D99D9">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5" w:type="dxa"/>
                  <w:noWrap w:val="0"/>
                  <w:vAlign w:val="center"/>
                </w:tcPr>
                <w:p w14:paraId="0F988BEC">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846" w:type="dxa"/>
                  <w:noWrap w:val="0"/>
                  <w:vAlign w:val="center"/>
                </w:tcPr>
                <w:p w14:paraId="1776FBEE">
                  <w:pPr>
                    <w:pageBreakBefore w:val="0"/>
                    <w:kinsoku/>
                    <w:wordWrap/>
                    <w:topLinePunct w:val="0"/>
                    <w:bidi w:val="0"/>
                    <w:spacing w:line="280" w:lineRule="exact"/>
                    <w:jc w:val="center"/>
                    <w:rPr>
                      <w:szCs w:val="21"/>
                    </w:rPr>
                  </w:pPr>
                  <w:r>
                    <w:rPr>
                      <w:szCs w:val="21"/>
                    </w:rPr>
                    <w:t>2.8</w:t>
                  </w:r>
                </w:p>
              </w:tc>
            </w:tr>
            <w:tr w14:paraId="3DAEF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79B019AF">
                  <w:pPr>
                    <w:pageBreakBefore w:val="0"/>
                    <w:kinsoku/>
                    <w:wordWrap/>
                    <w:topLinePunct w:val="0"/>
                    <w:bidi w:val="0"/>
                    <w:spacing w:line="280" w:lineRule="exact"/>
                    <w:jc w:val="center"/>
                    <w:rPr>
                      <w:szCs w:val="21"/>
                    </w:rPr>
                  </w:pPr>
                </w:p>
              </w:tc>
              <w:tc>
                <w:tcPr>
                  <w:tcW w:w="2449" w:type="dxa"/>
                  <w:noWrap w:val="0"/>
                  <w:vAlign w:val="center"/>
                </w:tcPr>
                <w:p w14:paraId="6C67DF72">
                  <w:pPr>
                    <w:pageBreakBefore w:val="0"/>
                    <w:kinsoku/>
                    <w:wordWrap/>
                    <w:topLinePunct w:val="0"/>
                    <w:bidi w:val="0"/>
                    <w:spacing w:line="280" w:lineRule="exact"/>
                    <w:jc w:val="center"/>
                    <w:rPr>
                      <w:szCs w:val="21"/>
                    </w:rPr>
                  </w:pPr>
                  <w:r>
                    <w:rPr>
                      <w:szCs w:val="21"/>
                    </w:rPr>
                    <w:t>1，2，3-三氯丙烷</w:t>
                  </w:r>
                </w:p>
              </w:tc>
              <w:tc>
                <w:tcPr>
                  <w:tcW w:w="1165" w:type="dxa"/>
                  <w:noWrap w:val="0"/>
                  <w:vAlign w:val="center"/>
                </w:tcPr>
                <w:p w14:paraId="0A5DFAC1">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&lt;0.0012</w:t>
                  </w:r>
                </w:p>
              </w:tc>
              <w:tc>
                <w:tcPr>
                  <w:tcW w:w="1187" w:type="dxa"/>
                  <w:noWrap w:val="0"/>
                  <w:vAlign w:val="center"/>
                </w:tcPr>
                <w:p w14:paraId="04B2B0B0">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5" w:type="dxa"/>
                  <w:noWrap w:val="0"/>
                  <w:vAlign w:val="center"/>
                </w:tcPr>
                <w:p w14:paraId="6C612B1E">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846" w:type="dxa"/>
                  <w:noWrap w:val="0"/>
                  <w:vAlign w:val="center"/>
                </w:tcPr>
                <w:p w14:paraId="4B1BF48F">
                  <w:pPr>
                    <w:pageBreakBefore w:val="0"/>
                    <w:kinsoku/>
                    <w:wordWrap/>
                    <w:topLinePunct w:val="0"/>
                    <w:bidi w:val="0"/>
                    <w:spacing w:line="280" w:lineRule="exact"/>
                    <w:jc w:val="center"/>
                    <w:rPr>
                      <w:szCs w:val="21"/>
                    </w:rPr>
                  </w:pPr>
                  <w:r>
                    <w:rPr>
                      <w:szCs w:val="21"/>
                    </w:rPr>
                    <w:t>0.5</w:t>
                  </w:r>
                </w:p>
              </w:tc>
            </w:tr>
            <w:tr w14:paraId="214281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247418B2">
                  <w:pPr>
                    <w:pageBreakBefore w:val="0"/>
                    <w:kinsoku/>
                    <w:wordWrap/>
                    <w:topLinePunct w:val="0"/>
                    <w:bidi w:val="0"/>
                    <w:spacing w:line="280" w:lineRule="exact"/>
                    <w:jc w:val="center"/>
                    <w:rPr>
                      <w:szCs w:val="21"/>
                    </w:rPr>
                  </w:pPr>
                </w:p>
              </w:tc>
              <w:tc>
                <w:tcPr>
                  <w:tcW w:w="2449" w:type="dxa"/>
                  <w:noWrap w:val="0"/>
                  <w:vAlign w:val="center"/>
                </w:tcPr>
                <w:p w14:paraId="4DD4C4F5">
                  <w:pPr>
                    <w:pageBreakBefore w:val="0"/>
                    <w:kinsoku/>
                    <w:wordWrap/>
                    <w:topLinePunct w:val="0"/>
                    <w:bidi w:val="0"/>
                    <w:spacing w:line="280" w:lineRule="exact"/>
                    <w:jc w:val="center"/>
                    <w:rPr>
                      <w:szCs w:val="21"/>
                    </w:rPr>
                  </w:pPr>
                  <w:r>
                    <w:rPr>
                      <w:szCs w:val="21"/>
                    </w:rPr>
                    <w:t>氯乙烯</w:t>
                  </w:r>
                </w:p>
              </w:tc>
              <w:tc>
                <w:tcPr>
                  <w:tcW w:w="1165" w:type="dxa"/>
                  <w:noWrap w:val="0"/>
                  <w:vAlign w:val="center"/>
                </w:tcPr>
                <w:p w14:paraId="6B10F27D">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w:t>
                  </w:r>
                </w:p>
              </w:tc>
              <w:tc>
                <w:tcPr>
                  <w:tcW w:w="1187" w:type="dxa"/>
                  <w:noWrap w:val="0"/>
                  <w:vAlign w:val="center"/>
                </w:tcPr>
                <w:p w14:paraId="11E59A2B">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w:t>
                  </w:r>
                </w:p>
              </w:tc>
              <w:tc>
                <w:tcPr>
                  <w:tcW w:w="1165" w:type="dxa"/>
                  <w:noWrap w:val="0"/>
                  <w:vAlign w:val="center"/>
                </w:tcPr>
                <w:p w14:paraId="5943B55E">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w:t>
                  </w:r>
                </w:p>
              </w:tc>
              <w:tc>
                <w:tcPr>
                  <w:tcW w:w="846" w:type="dxa"/>
                  <w:noWrap w:val="0"/>
                  <w:vAlign w:val="center"/>
                </w:tcPr>
                <w:p w14:paraId="1B345ABE">
                  <w:pPr>
                    <w:pageBreakBefore w:val="0"/>
                    <w:kinsoku/>
                    <w:wordWrap/>
                    <w:topLinePunct w:val="0"/>
                    <w:bidi w:val="0"/>
                    <w:spacing w:line="280" w:lineRule="exact"/>
                    <w:jc w:val="center"/>
                    <w:rPr>
                      <w:szCs w:val="21"/>
                    </w:rPr>
                  </w:pPr>
                  <w:r>
                    <w:rPr>
                      <w:szCs w:val="21"/>
                    </w:rPr>
                    <w:t>0.43</w:t>
                  </w:r>
                </w:p>
              </w:tc>
            </w:tr>
            <w:tr w14:paraId="1C60E7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589A6B9A">
                  <w:pPr>
                    <w:pageBreakBefore w:val="0"/>
                    <w:kinsoku/>
                    <w:wordWrap/>
                    <w:topLinePunct w:val="0"/>
                    <w:bidi w:val="0"/>
                    <w:spacing w:line="280" w:lineRule="exact"/>
                    <w:jc w:val="center"/>
                    <w:rPr>
                      <w:szCs w:val="21"/>
                    </w:rPr>
                  </w:pPr>
                </w:p>
              </w:tc>
              <w:tc>
                <w:tcPr>
                  <w:tcW w:w="2449" w:type="dxa"/>
                  <w:noWrap w:val="0"/>
                  <w:vAlign w:val="center"/>
                </w:tcPr>
                <w:p w14:paraId="0A81B0CE">
                  <w:pPr>
                    <w:pageBreakBefore w:val="0"/>
                    <w:kinsoku/>
                    <w:wordWrap/>
                    <w:topLinePunct w:val="0"/>
                    <w:bidi w:val="0"/>
                    <w:spacing w:line="280" w:lineRule="exact"/>
                    <w:jc w:val="center"/>
                    <w:rPr>
                      <w:szCs w:val="21"/>
                    </w:rPr>
                  </w:pPr>
                  <w:r>
                    <w:rPr>
                      <w:szCs w:val="21"/>
                    </w:rPr>
                    <w:t>苯</w:t>
                  </w:r>
                </w:p>
              </w:tc>
              <w:tc>
                <w:tcPr>
                  <w:tcW w:w="1165" w:type="dxa"/>
                  <w:noWrap w:val="0"/>
                  <w:vAlign w:val="center"/>
                </w:tcPr>
                <w:p w14:paraId="73D08249">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&lt;0.0019</w:t>
                  </w:r>
                </w:p>
              </w:tc>
              <w:tc>
                <w:tcPr>
                  <w:tcW w:w="1187" w:type="dxa"/>
                  <w:noWrap w:val="0"/>
                  <w:vAlign w:val="center"/>
                </w:tcPr>
                <w:p w14:paraId="5E0B29DC">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&lt;0.0019</w:t>
                  </w:r>
                </w:p>
              </w:tc>
              <w:tc>
                <w:tcPr>
                  <w:tcW w:w="1165" w:type="dxa"/>
                  <w:noWrap w:val="0"/>
                  <w:vAlign w:val="center"/>
                </w:tcPr>
                <w:p w14:paraId="39369F13">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&lt;0.0019</w:t>
                  </w:r>
                </w:p>
              </w:tc>
              <w:tc>
                <w:tcPr>
                  <w:tcW w:w="846" w:type="dxa"/>
                  <w:noWrap w:val="0"/>
                  <w:vAlign w:val="center"/>
                </w:tcPr>
                <w:p w14:paraId="10864FF1">
                  <w:pPr>
                    <w:pageBreakBefore w:val="0"/>
                    <w:widowControl/>
                    <w:kinsoku/>
                    <w:wordWrap/>
                    <w:topLinePunct w:val="0"/>
                    <w:bidi w:val="0"/>
                    <w:spacing w:line="280" w:lineRule="exact"/>
                    <w:jc w:val="center"/>
                    <w:textAlignment w:val="center"/>
                    <w:rPr>
                      <w:kern w:val="0"/>
                      <w:szCs w:val="21"/>
                      <w:lang w:bidi="ar"/>
                    </w:rPr>
                  </w:pPr>
                  <w:r>
                    <w:rPr>
                      <w:szCs w:val="21"/>
                    </w:rPr>
                    <w:t>20</w:t>
                  </w:r>
                </w:p>
              </w:tc>
            </w:tr>
            <w:tr w14:paraId="1C35D7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45FC7457">
                  <w:pPr>
                    <w:pageBreakBefore w:val="0"/>
                    <w:kinsoku/>
                    <w:wordWrap/>
                    <w:topLinePunct w:val="0"/>
                    <w:bidi w:val="0"/>
                    <w:spacing w:line="280" w:lineRule="exact"/>
                    <w:jc w:val="center"/>
                    <w:rPr>
                      <w:szCs w:val="21"/>
                    </w:rPr>
                  </w:pPr>
                </w:p>
              </w:tc>
              <w:tc>
                <w:tcPr>
                  <w:tcW w:w="2449" w:type="dxa"/>
                  <w:noWrap w:val="0"/>
                  <w:vAlign w:val="center"/>
                </w:tcPr>
                <w:p w14:paraId="5B4AB005">
                  <w:pPr>
                    <w:pageBreakBefore w:val="0"/>
                    <w:kinsoku/>
                    <w:wordWrap/>
                    <w:topLinePunct w:val="0"/>
                    <w:bidi w:val="0"/>
                    <w:spacing w:line="280" w:lineRule="exact"/>
                    <w:jc w:val="center"/>
                    <w:rPr>
                      <w:szCs w:val="21"/>
                    </w:rPr>
                  </w:pPr>
                  <w:r>
                    <w:rPr>
                      <w:szCs w:val="21"/>
                    </w:rPr>
                    <w:t>氯苯</w:t>
                  </w:r>
                </w:p>
              </w:tc>
              <w:tc>
                <w:tcPr>
                  <w:tcW w:w="1165" w:type="dxa"/>
                  <w:noWrap w:val="0"/>
                  <w:vAlign w:val="center"/>
                </w:tcPr>
                <w:p w14:paraId="1E254D3B">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&lt;0.0012</w:t>
                  </w:r>
                </w:p>
              </w:tc>
              <w:tc>
                <w:tcPr>
                  <w:tcW w:w="1187" w:type="dxa"/>
                  <w:noWrap w:val="0"/>
                  <w:vAlign w:val="center"/>
                </w:tcPr>
                <w:p w14:paraId="3767EEBA">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5" w:type="dxa"/>
                  <w:noWrap w:val="0"/>
                  <w:vAlign w:val="center"/>
                </w:tcPr>
                <w:p w14:paraId="58098A01">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846" w:type="dxa"/>
                  <w:noWrap w:val="0"/>
                  <w:vAlign w:val="center"/>
                </w:tcPr>
                <w:p w14:paraId="25E141DE">
                  <w:pPr>
                    <w:pageBreakBefore w:val="0"/>
                    <w:widowControl/>
                    <w:kinsoku/>
                    <w:wordWrap/>
                    <w:topLinePunct w:val="0"/>
                    <w:bidi w:val="0"/>
                    <w:spacing w:line="280" w:lineRule="exact"/>
                    <w:jc w:val="center"/>
                    <w:textAlignment w:val="center"/>
                    <w:rPr>
                      <w:kern w:val="0"/>
                      <w:szCs w:val="21"/>
                      <w:lang w:bidi="ar"/>
                    </w:rPr>
                  </w:pPr>
                  <w:r>
                    <w:rPr>
                      <w:szCs w:val="21"/>
                    </w:rPr>
                    <w:t>270</w:t>
                  </w:r>
                </w:p>
              </w:tc>
            </w:tr>
            <w:tr w14:paraId="23E7EF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39318144">
                  <w:pPr>
                    <w:pageBreakBefore w:val="0"/>
                    <w:kinsoku/>
                    <w:wordWrap/>
                    <w:topLinePunct w:val="0"/>
                    <w:bidi w:val="0"/>
                    <w:spacing w:line="280" w:lineRule="exact"/>
                    <w:jc w:val="center"/>
                    <w:rPr>
                      <w:szCs w:val="21"/>
                    </w:rPr>
                  </w:pPr>
                </w:p>
              </w:tc>
              <w:tc>
                <w:tcPr>
                  <w:tcW w:w="2449" w:type="dxa"/>
                  <w:noWrap w:val="0"/>
                  <w:vAlign w:val="center"/>
                </w:tcPr>
                <w:p w14:paraId="70A6F060">
                  <w:pPr>
                    <w:pageBreakBefore w:val="0"/>
                    <w:kinsoku/>
                    <w:wordWrap/>
                    <w:topLinePunct w:val="0"/>
                    <w:bidi w:val="0"/>
                    <w:spacing w:line="280" w:lineRule="exact"/>
                    <w:jc w:val="center"/>
                    <w:rPr>
                      <w:szCs w:val="21"/>
                    </w:rPr>
                  </w:pPr>
                  <w:r>
                    <w:rPr>
                      <w:szCs w:val="21"/>
                    </w:rPr>
                    <w:t>1，2-二氯苯</w:t>
                  </w:r>
                </w:p>
              </w:tc>
              <w:tc>
                <w:tcPr>
                  <w:tcW w:w="1165" w:type="dxa"/>
                  <w:noWrap w:val="0"/>
                  <w:vAlign w:val="center"/>
                </w:tcPr>
                <w:p w14:paraId="1D9E0F11">
                  <w:pPr>
                    <w:pageBreakBefore w:val="0"/>
                    <w:widowControl/>
                    <w:kinsoku/>
                    <w:wordWrap/>
                    <w:topLinePunct w:val="0"/>
                    <w:bidi w:val="0"/>
                    <w:spacing w:line="280" w:lineRule="exact"/>
                    <w:jc w:val="center"/>
                    <w:textAlignment w:val="center"/>
                    <w:rPr>
                      <w:rFonts w:hint="default"/>
                      <w:kern w:val="0"/>
                      <w:szCs w:val="21"/>
                      <w:lang w:val="en-US" w:bidi="ar"/>
                    </w:rPr>
                  </w:pPr>
                  <w:r>
                    <w:rPr>
                      <w:rFonts w:hint="eastAsia"/>
                      <w:szCs w:val="21"/>
                      <w:lang w:val="en-US" w:eastAsia="zh-CN"/>
                    </w:rPr>
                    <w:t>&lt;0.0015</w:t>
                  </w:r>
                </w:p>
              </w:tc>
              <w:tc>
                <w:tcPr>
                  <w:tcW w:w="1187" w:type="dxa"/>
                  <w:noWrap w:val="0"/>
                  <w:vAlign w:val="center"/>
                </w:tcPr>
                <w:p w14:paraId="014D1D84">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&lt;0.0015</w:t>
                  </w:r>
                </w:p>
              </w:tc>
              <w:tc>
                <w:tcPr>
                  <w:tcW w:w="1165" w:type="dxa"/>
                  <w:noWrap w:val="0"/>
                  <w:vAlign w:val="center"/>
                </w:tcPr>
                <w:p w14:paraId="5E51A7B5">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&lt;0.0015</w:t>
                  </w:r>
                </w:p>
              </w:tc>
              <w:tc>
                <w:tcPr>
                  <w:tcW w:w="846" w:type="dxa"/>
                  <w:noWrap w:val="0"/>
                  <w:vAlign w:val="center"/>
                </w:tcPr>
                <w:p w14:paraId="758CB13B">
                  <w:pPr>
                    <w:pageBreakBefore w:val="0"/>
                    <w:widowControl/>
                    <w:kinsoku/>
                    <w:wordWrap/>
                    <w:topLinePunct w:val="0"/>
                    <w:bidi w:val="0"/>
                    <w:spacing w:line="280" w:lineRule="exact"/>
                    <w:jc w:val="center"/>
                    <w:textAlignment w:val="center"/>
                    <w:rPr>
                      <w:kern w:val="0"/>
                      <w:szCs w:val="21"/>
                      <w:lang w:bidi="ar"/>
                    </w:rPr>
                  </w:pPr>
                  <w:r>
                    <w:rPr>
                      <w:szCs w:val="21"/>
                    </w:rPr>
                    <w:t>560</w:t>
                  </w:r>
                </w:p>
              </w:tc>
            </w:tr>
            <w:tr w14:paraId="1E7A78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160524BD">
                  <w:pPr>
                    <w:pageBreakBefore w:val="0"/>
                    <w:kinsoku/>
                    <w:wordWrap/>
                    <w:topLinePunct w:val="0"/>
                    <w:bidi w:val="0"/>
                    <w:spacing w:line="280" w:lineRule="exact"/>
                    <w:jc w:val="center"/>
                    <w:rPr>
                      <w:szCs w:val="21"/>
                    </w:rPr>
                  </w:pPr>
                </w:p>
              </w:tc>
              <w:tc>
                <w:tcPr>
                  <w:tcW w:w="2449" w:type="dxa"/>
                  <w:noWrap w:val="0"/>
                  <w:vAlign w:val="center"/>
                </w:tcPr>
                <w:p w14:paraId="3664E14F">
                  <w:pPr>
                    <w:pageBreakBefore w:val="0"/>
                    <w:kinsoku/>
                    <w:wordWrap/>
                    <w:topLinePunct w:val="0"/>
                    <w:bidi w:val="0"/>
                    <w:spacing w:line="280" w:lineRule="exact"/>
                    <w:jc w:val="center"/>
                    <w:rPr>
                      <w:szCs w:val="21"/>
                    </w:rPr>
                  </w:pPr>
                  <w:r>
                    <w:rPr>
                      <w:szCs w:val="21"/>
                    </w:rPr>
                    <w:t>1，4-二氯苯</w:t>
                  </w:r>
                </w:p>
              </w:tc>
              <w:tc>
                <w:tcPr>
                  <w:tcW w:w="1165" w:type="dxa"/>
                  <w:noWrap w:val="0"/>
                  <w:vAlign w:val="center"/>
                </w:tcPr>
                <w:p w14:paraId="5B519C8D">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&lt;0.0015</w:t>
                  </w:r>
                </w:p>
              </w:tc>
              <w:tc>
                <w:tcPr>
                  <w:tcW w:w="1187" w:type="dxa"/>
                  <w:noWrap w:val="0"/>
                  <w:vAlign w:val="center"/>
                </w:tcPr>
                <w:p w14:paraId="1D5DA312">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&lt;0.0015</w:t>
                  </w:r>
                </w:p>
              </w:tc>
              <w:tc>
                <w:tcPr>
                  <w:tcW w:w="1165" w:type="dxa"/>
                  <w:noWrap w:val="0"/>
                  <w:vAlign w:val="center"/>
                </w:tcPr>
                <w:p w14:paraId="5210A666">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&lt;0.0015</w:t>
                  </w:r>
                </w:p>
              </w:tc>
              <w:tc>
                <w:tcPr>
                  <w:tcW w:w="846" w:type="dxa"/>
                  <w:noWrap w:val="0"/>
                  <w:vAlign w:val="center"/>
                </w:tcPr>
                <w:p w14:paraId="35B944BA">
                  <w:pPr>
                    <w:pageBreakBefore w:val="0"/>
                    <w:widowControl/>
                    <w:kinsoku/>
                    <w:wordWrap/>
                    <w:topLinePunct w:val="0"/>
                    <w:bidi w:val="0"/>
                    <w:spacing w:line="280" w:lineRule="exact"/>
                    <w:jc w:val="center"/>
                    <w:textAlignment w:val="center"/>
                    <w:rPr>
                      <w:kern w:val="0"/>
                      <w:szCs w:val="21"/>
                      <w:lang w:bidi="ar"/>
                    </w:rPr>
                  </w:pPr>
                  <w:r>
                    <w:rPr>
                      <w:szCs w:val="21"/>
                    </w:rPr>
                    <w:t>20</w:t>
                  </w:r>
                </w:p>
              </w:tc>
            </w:tr>
            <w:tr w14:paraId="78A34E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64A440A7">
                  <w:pPr>
                    <w:pageBreakBefore w:val="0"/>
                    <w:kinsoku/>
                    <w:wordWrap/>
                    <w:topLinePunct w:val="0"/>
                    <w:bidi w:val="0"/>
                    <w:spacing w:line="280" w:lineRule="exact"/>
                    <w:jc w:val="center"/>
                    <w:rPr>
                      <w:szCs w:val="21"/>
                    </w:rPr>
                  </w:pPr>
                </w:p>
              </w:tc>
              <w:tc>
                <w:tcPr>
                  <w:tcW w:w="2449" w:type="dxa"/>
                  <w:noWrap w:val="0"/>
                  <w:vAlign w:val="center"/>
                </w:tcPr>
                <w:p w14:paraId="16F80794">
                  <w:pPr>
                    <w:pageBreakBefore w:val="0"/>
                    <w:kinsoku/>
                    <w:wordWrap/>
                    <w:topLinePunct w:val="0"/>
                    <w:bidi w:val="0"/>
                    <w:spacing w:line="280" w:lineRule="exact"/>
                    <w:jc w:val="center"/>
                    <w:rPr>
                      <w:szCs w:val="21"/>
                    </w:rPr>
                  </w:pPr>
                  <w:r>
                    <w:rPr>
                      <w:szCs w:val="21"/>
                    </w:rPr>
                    <w:t>乙苯</w:t>
                  </w:r>
                </w:p>
              </w:tc>
              <w:tc>
                <w:tcPr>
                  <w:tcW w:w="1165" w:type="dxa"/>
                  <w:noWrap w:val="0"/>
                  <w:vAlign w:val="center"/>
                </w:tcPr>
                <w:p w14:paraId="2826E25B">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&lt;0.0012</w:t>
                  </w:r>
                </w:p>
              </w:tc>
              <w:tc>
                <w:tcPr>
                  <w:tcW w:w="1187" w:type="dxa"/>
                  <w:noWrap w:val="0"/>
                  <w:vAlign w:val="center"/>
                </w:tcPr>
                <w:p w14:paraId="24295EB7">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5" w:type="dxa"/>
                  <w:noWrap w:val="0"/>
                  <w:vAlign w:val="center"/>
                </w:tcPr>
                <w:p w14:paraId="5CCD4044">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846" w:type="dxa"/>
                  <w:noWrap w:val="0"/>
                  <w:vAlign w:val="center"/>
                </w:tcPr>
                <w:p w14:paraId="7084EEC4">
                  <w:pPr>
                    <w:pageBreakBefore w:val="0"/>
                    <w:kinsoku/>
                    <w:wordWrap/>
                    <w:topLinePunct w:val="0"/>
                    <w:bidi w:val="0"/>
                    <w:spacing w:line="280" w:lineRule="exact"/>
                    <w:jc w:val="center"/>
                    <w:rPr>
                      <w:szCs w:val="21"/>
                    </w:rPr>
                  </w:pPr>
                  <w:r>
                    <w:rPr>
                      <w:szCs w:val="21"/>
                    </w:rPr>
                    <w:t>28</w:t>
                  </w:r>
                </w:p>
              </w:tc>
            </w:tr>
            <w:tr w14:paraId="6C58AD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68D1CCE5">
                  <w:pPr>
                    <w:pageBreakBefore w:val="0"/>
                    <w:kinsoku/>
                    <w:wordWrap/>
                    <w:topLinePunct w:val="0"/>
                    <w:bidi w:val="0"/>
                    <w:spacing w:line="280" w:lineRule="exact"/>
                    <w:jc w:val="center"/>
                    <w:rPr>
                      <w:szCs w:val="21"/>
                    </w:rPr>
                  </w:pPr>
                </w:p>
              </w:tc>
              <w:tc>
                <w:tcPr>
                  <w:tcW w:w="2449" w:type="dxa"/>
                  <w:noWrap w:val="0"/>
                  <w:vAlign w:val="center"/>
                </w:tcPr>
                <w:p w14:paraId="1368E0B1">
                  <w:pPr>
                    <w:pageBreakBefore w:val="0"/>
                    <w:kinsoku/>
                    <w:wordWrap/>
                    <w:topLinePunct w:val="0"/>
                    <w:bidi w:val="0"/>
                    <w:spacing w:line="280" w:lineRule="exact"/>
                    <w:jc w:val="center"/>
                    <w:rPr>
                      <w:szCs w:val="21"/>
                    </w:rPr>
                  </w:pPr>
                  <w:r>
                    <w:rPr>
                      <w:szCs w:val="21"/>
                    </w:rPr>
                    <w:t>苯乙烯</w:t>
                  </w:r>
                </w:p>
              </w:tc>
              <w:tc>
                <w:tcPr>
                  <w:tcW w:w="1165" w:type="dxa"/>
                  <w:noWrap w:val="0"/>
                  <w:vAlign w:val="center"/>
                </w:tcPr>
                <w:p w14:paraId="6581B4CA">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&lt;0.0011</w:t>
                  </w:r>
                </w:p>
              </w:tc>
              <w:tc>
                <w:tcPr>
                  <w:tcW w:w="1187" w:type="dxa"/>
                  <w:noWrap w:val="0"/>
                  <w:vAlign w:val="center"/>
                </w:tcPr>
                <w:p w14:paraId="452B5A0F">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&lt;0.0011</w:t>
                  </w:r>
                </w:p>
              </w:tc>
              <w:tc>
                <w:tcPr>
                  <w:tcW w:w="1165" w:type="dxa"/>
                  <w:noWrap w:val="0"/>
                  <w:vAlign w:val="center"/>
                </w:tcPr>
                <w:p w14:paraId="039B28F0">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&lt;0.0011</w:t>
                  </w:r>
                </w:p>
              </w:tc>
              <w:tc>
                <w:tcPr>
                  <w:tcW w:w="846" w:type="dxa"/>
                  <w:noWrap w:val="0"/>
                  <w:vAlign w:val="center"/>
                </w:tcPr>
                <w:p w14:paraId="5CB1646B">
                  <w:pPr>
                    <w:pageBreakBefore w:val="0"/>
                    <w:kinsoku/>
                    <w:wordWrap/>
                    <w:topLinePunct w:val="0"/>
                    <w:bidi w:val="0"/>
                    <w:spacing w:line="280" w:lineRule="exact"/>
                    <w:jc w:val="center"/>
                    <w:rPr>
                      <w:szCs w:val="21"/>
                    </w:rPr>
                  </w:pPr>
                  <w:r>
                    <w:rPr>
                      <w:szCs w:val="21"/>
                    </w:rPr>
                    <w:t>1290</w:t>
                  </w:r>
                </w:p>
              </w:tc>
            </w:tr>
            <w:tr w14:paraId="55251A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29835225">
                  <w:pPr>
                    <w:pageBreakBefore w:val="0"/>
                    <w:kinsoku/>
                    <w:wordWrap/>
                    <w:topLinePunct w:val="0"/>
                    <w:bidi w:val="0"/>
                    <w:spacing w:line="280" w:lineRule="exact"/>
                    <w:jc w:val="center"/>
                    <w:rPr>
                      <w:szCs w:val="21"/>
                    </w:rPr>
                  </w:pPr>
                </w:p>
              </w:tc>
              <w:tc>
                <w:tcPr>
                  <w:tcW w:w="2449" w:type="dxa"/>
                  <w:noWrap w:val="0"/>
                  <w:vAlign w:val="center"/>
                </w:tcPr>
                <w:p w14:paraId="53BA2E66">
                  <w:pPr>
                    <w:pageBreakBefore w:val="0"/>
                    <w:kinsoku/>
                    <w:wordWrap/>
                    <w:topLinePunct w:val="0"/>
                    <w:bidi w:val="0"/>
                    <w:spacing w:line="280" w:lineRule="exact"/>
                    <w:jc w:val="center"/>
                    <w:rPr>
                      <w:szCs w:val="21"/>
                    </w:rPr>
                  </w:pPr>
                  <w:r>
                    <w:rPr>
                      <w:szCs w:val="21"/>
                    </w:rPr>
                    <w:t>甲苯</w:t>
                  </w:r>
                </w:p>
              </w:tc>
              <w:tc>
                <w:tcPr>
                  <w:tcW w:w="1165" w:type="dxa"/>
                  <w:noWrap w:val="0"/>
                  <w:vAlign w:val="center"/>
                </w:tcPr>
                <w:p w14:paraId="49A8DF1F">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&lt;0.0013</w:t>
                  </w:r>
                </w:p>
              </w:tc>
              <w:tc>
                <w:tcPr>
                  <w:tcW w:w="1187" w:type="dxa"/>
                  <w:noWrap w:val="0"/>
                  <w:vAlign w:val="center"/>
                </w:tcPr>
                <w:p w14:paraId="557A2EB6">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1165" w:type="dxa"/>
                  <w:noWrap w:val="0"/>
                  <w:vAlign w:val="center"/>
                </w:tcPr>
                <w:p w14:paraId="401B2D58">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846" w:type="dxa"/>
                  <w:noWrap w:val="0"/>
                  <w:vAlign w:val="center"/>
                </w:tcPr>
                <w:p w14:paraId="3C0BF1A1">
                  <w:pPr>
                    <w:pageBreakBefore w:val="0"/>
                    <w:kinsoku/>
                    <w:wordWrap/>
                    <w:topLinePunct w:val="0"/>
                    <w:bidi w:val="0"/>
                    <w:spacing w:line="280" w:lineRule="exact"/>
                    <w:jc w:val="center"/>
                    <w:rPr>
                      <w:szCs w:val="21"/>
                    </w:rPr>
                  </w:pPr>
                  <w:r>
                    <w:rPr>
                      <w:szCs w:val="21"/>
                    </w:rPr>
                    <w:t>1200</w:t>
                  </w:r>
                </w:p>
              </w:tc>
            </w:tr>
            <w:tr w14:paraId="624A85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1882C822">
                  <w:pPr>
                    <w:pageBreakBefore w:val="0"/>
                    <w:kinsoku/>
                    <w:wordWrap/>
                    <w:topLinePunct w:val="0"/>
                    <w:bidi w:val="0"/>
                    <w:spacing w:line="280" w:lineRule="exact"/>
                    <w:jc w:val="center"/>
                    <w:rPr>
                      <w:szCs w:val="21"/>
                    </w:rPr>
                  </w:pPr>
                </w:p>
              </w:tc>
              <w:tc>
                <w:tcPr>
                  <w:tcW w:w="2449" w:type="dxa"/>
                  <w:noWrap w:val="0"/>
                  <w:vAlign w:val="center"/>
                </w:tcPr>
                <w:p w14:paraId="39230DF8">
                  <w:pPr>
                    <w:pageBreakBefore w:val="0"/>
                    <w:kinsoku/>
                    <w:wordWrap/>
                    <w:topLinePunct w:val="0"/>
                    <w:bidi w:val="0"/>
                    <w:spacing w:line="280" w:lineRule="exact"/>
                    <w:jc w:val="center"/>
                    <w:rPr>
                      <w:szCs w:val="21"/>
                    </w:rPr>
                  </w:pPr>
                  <w:r>
                    <w:rPr>
                      <w:szCs w:val="21"/>
                    </w:rPr>
                    <w:t>间-二甲苯+对-二甲苯</w:t>
                  </w:r>
                </w:p>
              </w:tc>
              <w:tc>
                <w:tcPr>
                  <w:tcW w:w="1165" w:type="dxa"/>
                  <w:noWrap w:val="0"/>
                  <w:vAlign w:val="center"/>
                </w:tcPr>
                <w:p w14:paraId="221BBEF4">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&lt;0.0012</w:t>
                  </w:r>
                </w:p>
              </w:tc>
              <w:tc>
                <w:tcPr>
                  <w:tcW w:w="1187" w:type="dxa"/>
                  <w:noWrap w:val="0"/>
                  <w:vAlign w:val="center"/>
                </w:tcPr>
                <w:p w14:paraId="6E7D1C3A">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5" w:type="dxa"/>
                  <w:noWrap w:val="0"/>
                  <w:vAlign w:val="center"/>
                </w:tcPr>
                <w:p w14:paraId="017E05B6">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846" w:type="dxa"/>
                  <w:noWrap w:val="0"/>
                  <w:vAlign w:val="center"/>
                </w:tcPr>
                <w:p w14:paraId="04826E51">
                  <w:pPr>
                    <w:pageBreakBefore w:val="0"/>
                    <w:kinsoku/>
                    <w:wordWrap/>
                    <w:topLinePunct w:val="0"/>
                    <w:bidi w:val="0"/>
                    <w:spacing w:line="280" w:lineRule="exact"/>
                    <w:jc w:val="center"/>
                    <w:rPr>
                      <w:szCs w:val="21"/>
                    </w:rPr>
                  </w:pPr>
                  <w:r>
                    <w:rPr>
                      <w:szCs w:val="21"/>
                    </w:rPr>
                    <w:t>570</w:t>
                  </w:r>
                </w:p>
              </w:tc>
            </w:tr>
            <w:tr w14:paraId="768FBC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65F84B2C">
                  <w:pPr>
                    <w:pageBreakBefore w:val="0"/>
                    <w:kinsoku/>
                    <w:wordWrap/>
                    <w:topLinePunct w:val="0"/>
                    <w:bidi w:val="0"/>
                    <w:spacing w:line="280" w:lineRule="exact"/>
                    <w:jc w:val="center"/>
                    <w:rPr>
                      <w:szCs w:val="21"/>
                    </w:rPr>
                  </w:pPr>
                </w:p>
              </w:tc>
              <w:tc>
                <w:tcPr>
                  <w:tcW w:w="2449" w:type="dxa"/>
                  <w:noWrap w:val="0"/>
                  <w:vAlign w:val="center"/>
                </w:tcPr>
                <w:p w14:paraId="75ECAB9F">
                  <w:pPr>
                    <w:pageBreakBefore w:val="0"/>
                    <w:kinsoku/>
                    <w:wordWrap/>
                    <w:topLinePunct w:val="0"/>
                    <w:bidi w:val="0"/>
                    <w:spacing w:line="280" w:lineRule="exact"/>
                    <w:jc w:val="center"/>
                    <w:rPr>
                      <w:szCs w:val="21"/>
                    </w:rPr>
                  </w:pPr>
                  <w:r>
                    <w:rPr>
                      <w:szCs w:val="21"/>
                    </w:rPr>
                    <w:t>邻-二甲苯</w:t>
                  </w:r>
                </w:p>
              </w:tc>
              <w:tc>
                <w:tcPr>
                  <w:tcW w:w="1165" w:type="dxa"/>
                  <w:noWrap w:val="0"/>
                  <w:vAlign w:val="center"/>
                </w:tcPr>
                <w:p w14:paraId="3C45EBA0">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&lt;0.0012</w:t>
                  </w:r>
                </w:p>
              </w:tc>
              <w:tc>
                <w:tcPr>
                  <w:tcW w:w="1187" w:type="dxa"/>
                  <w:noWrap w:val="0"/>
                  <w:vAlign w:val="center"/>
                </w:tcPr>
                <w:p w14:paraId="287E8F1F">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5" w:type="dxa"/>
                  <w:noWrap w:val="0"/>
                  <w:vAlign w:val="center"/>
                </w:tcPr>
                <w:p w14:paraId="4A3855CD">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846" w:type="dxa"/>
                  <w:noWrap w:val="0"/>
                  <w:vAlign w:val="center"/>
                </w:tcPr>
                <w:p w14:paraId="2874605C">
                  <w:pPr>
                    <w:pageBreakBefore w:val="0"/>
                    <w:kinsoku/>
                    <w:wordWrap/>
                    <w:topLinePunct w:val="0"/>
                    <w:bidi w:val="0"/>
                    <w:spacing w:line="280" w:lineRule="exact"/>
                    <w:jc w:val="center"/>
                    <w:rPr>
                      <w:szCs w:val="21"/>
                    </w:rPr>
                  </w:pPr>
                  <w:r>
                    <w:rPr>
                      <w:szCs w:val="21"/>
                    </w:rPr>
                    <w:t>640</w:t>
                  </w:r>
                </w:p>
              </w:tc>
            </w:tr>
            <w:tr w14:paraId="2D7D51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32FE21F1">
                  <w:pPr>
                    <w:pageBreakBefore w:val="0"/>
                    <w:kinsoku/>
                    <w:wordWrap/>
                    <w:topLinePunct w:val="0"/>
                    <w:bidi w:val="0"/>
                    <w:spacing w:line="280" w:lineRule="exact"/>
                    <w:jc w:val="center"/>
                    <w:rPr>
                      <w:szCs w:val="21"/>
                    </w:rPr>
                  </w:pPr>
                </w:p>
              </w:tc>
              <w:tc>
                <w:tcPr>
                  <w:tcW w:w="2449" w:type="dxa"/>
                  <w:noWrap w:val="0"/>
                  <w:vAlign w:val="center"/>
                </w:tcPr>
                <w:p w14:paraId="5BD89139">
                  <w:pPr>
                    <w:pageBreakBefore w:val="0"/>
                    <w:kinsoku/>
                    <w:wordWrap/>
                    <w:topLinePunct w:val="0"/>
                    <w:bidi w:val="0"/>
                    <w:spacing w:line="280" w:lineRule="exact"/>
                    <w:jc w:val="center"/>
                    <w:rPr>
                      <w:szCs w:val="21"/>
                    </w:rPr>
                  </w:pPr>
                  <w:r>
                    <w:rPr>
                      <w:szCs w:val="21"/>
                    </w:rPr>
                    <w:t>硝基苯</w:t>
                  </w:r>
                </w:p>
              </w:tc>
              <w:tc>
                <w:tcPr>
                  <w:tcW w:w="1165" w:type="dxa"/>
                  <w:noWrap w:val="0"/>
                  <w:vAlign w:val="center"/>
                </w:tcPr>
                <w:p w14:paraId="2C8FACE9">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&lt;0.09</w:t>
                  </w:r>
                </w:p>
              </w:tc>
              <w:tc>
                <w:tcPr>
                  <w:tcW w:w="1187" w:type="dxa"/>
                  <w:noWrap w:val="0"/>
                  <w:vAlign w:val="center"/>
                </w:tcPr>
                <w:p w14:paraId="384A1AA9">
                  <w:pPr>
                    <w:pageBreakBefore w:val="0"/>
                    <w:widowControl/>
                    <w:kinsoku/>
                    <w:wordWrap/>
                    <w:topLinePunct w:val="0"/>
                    <w:bidi w:val="0"/>
                    <w:spacing w:line="280" w:lineRule="exact"/>
                    <w:jc w:val="center"/>
                    <w:textAlignment w:val="center"/>
                    <w:rPr>
                      <w:szCs w:val="21"/>
                    </w:rPr>
                  </w:pPr>
                  <w:r>
                    <w:rPr>
                      <w:rFonts w:hint="eastAsia"/>
                      <w:szCs w:val="21"/>
                      <w:lang w:val="en-US" w:eastAsia="zh-CN"/>
                    </w:rPr>
                    <w:t>&lt;0.09</w:t>
                  </w:r>
                </w:p>
              </w:tc>
              <w:tc>
                <w:tcPr>
                  <w:tcW w:w="1165" w:type="dxa"/>
                  <w:noWrap w:val="0"/>
                  <w:vAlign w:val="center"/>
                </w:tcPr>
                <w:p w14:paraId="48570F4E">
                  <w:pPr>
                    <w:pageBreakBefore w:val="0"/>
                    <w:widowControl/>
                    <w:kinsoku/>
                    <w:wordWrap/>
                    <w:topLinePunct w:val="0"/>
                    <w:bidi w:val="0"/>
                    <w:spacing w:line="280" w:lineRule="exact"/>
                    <w:jc w:val="center"/>
                    <w:textAlignment w:val="center"/>
                    <w:rPr>
                      <w:szCs w:val="21"/>
                    </w:rPr>
                  </w:pPr>
                  <w:r>
                    <w:rPr>
                      <w:rFonts w:hint="eastAsia"/>
                      <w:szCs w:val="21"/>
                      <w:lang w:val="en-US" w:eastAsia="zh-CN"/>
                    </w:rPr>
                    <w:t>&lt;0.09</w:t>
                  </w:r>
                </w:p>
              </w:tc>
              <w:tc>
                <w:tcPr>
                  <w:tcW w:w="846" w:type="dxa"/>
                  <w:noWrap w:val="0"/>
                  <w:vAlign w:val="center"/>
                </w:tcPr>
                <w:p w14:paraId="2C5D37AD">
                  <w:pPr>
                    <w:pageBreakBefore w:val="0"/>
                    <w:kinsoku/>
                    <w:wordWrap/>
                    <w:topLinePunct w:val="0"/>
                    <w:bidi w:val="0"/>
                    <w:spacing w:line="280" w:lineRule="exact"/>
                    <w:jc w:val="center"/>
                    <w:rPr>
                      <w:szCs w:val="21"/>
                    </w:rPr>
                  </w:pPr>
                  <w:r>
                    <w:rPr>
                      <w:szCs w:val="21"/>
                    </w:rPr>
                    <w:t>76</w:t>
                  </w:r>
                </w:p>
              </w:tc>
            </w:tr>
            <w:tr w14:paraId="23A207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73F6B243">
                  <w:pPr>
                    <w:pageBreakBefore w:val="0"/>
                    <w:kinsoku/>
                    <w:wordWrap/>
                    <w:topLinePunct w:val="0"/>
                    <w:bidi w:val="0"/>
                    <w:spacing w:line="280" w:lineRule="exact"/>
                    <w:jc w:val="center"/>
                    <w:rPr>
                      <w:szCs w:val="21"/>
                    </w:rPr>
                  </w:pPr>
                </w:p>
              </w:tc>
              <w:tc>
                <w:tcPr>
                  <w:tcW w:w="2449" w:type="dxa"/>
                  <w:noWrap w:val="0"/>
                  <w:vAlign w:val="center"/>
                </w:tcPr>
                <w:p w14:paraId="60B26EA3">
                  <w:pPr>
                    <w:pageBreakBefore w:val="0"/>
                    <w:kinsoku/>
                    <w:wordWrap/>
                    <w:topLinePunct w:val="0"/>
                    <w:bidi w:val="0"/>
                    <w:spacing w:line="280" w:lineRule="exact"/>
                    <w:jc w:val="center"/>
                    <w:rPr>
                      <w:szCs w:val="21"/>
                    </w:rPr>
                  </w:pPr>
                  <w:r>
                    <w:rPr>
                      <w:szCs w:val="21"/>
                    </w:rPr>
                    <w:t>苯胺</w:t>
                  </w:r>
                </w:p>
              </w:tc>
              <w:tc>
                <w:tcPr>
                  <w:tcW w:w="1165" w:type="dxa"/>
                  <w:noWrap w:val="0"/>
                  <w:vAlign w:val="center"/>
                </w:tcPr>
                <w:p w14:paraId="1B4567DB">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&lt;0.06</w:t>
                  </w:r>
                </w:p>
              </w:tc>
              <w:tc>
                <w:tcPr>
                  <w:tcW w:w="1187" w:type="dxa"/>
                  <w:noWrap w:val="0"/>
                  <w:vAlign w:val="center"/>
                </w:tcPr>
                <w:p w14:paraId="24831F6F">
                  <w:pPr>
                    <w:pageBreakBefore w:val="0"/>
                    <w:widowControl/>
                    <w:kinsoku/>
                    <w:wordWrap/>
                    <w:topLinePunct w:val="0"/>
                    <w:bidi w:val="0"/>
                    <w:spacing w:line="280" w:lineRule="exact"/>
                    <w:jc w:val="center"/>
                    <w:textAlignment w:val="center"/>
                    <w:rPr>
                      <w:szCs w:val="21"/>
                    </w:rPr>
                  </w:pPr>
                  <w:r>
                    <w:rPr>
                      <w:rFonts w:hint="eastAsia"/>
                      <w:szCs w:val="21"/>
                      <w:lang w:val="en-US" w:eastAsia="zh-CN"/>
                    </w:rPr>
                    <w:t>&lt;0.06</w:t>
                  </w:r>
                </w:p>
              </w:tc>
              <w:tc>
                <w:tcPr>
                  <w:tcW w:w="1165" w:type="dxa"/>
                  <w:noWrap w:val="0"/>
                  <w:vAlign w:val="center"/>
                </w:tcPr>
                <w:p w14:paraId="0DAC68A0">
                  <w:pPr>
                    <w:pageBreakBefore w:val="0"/>
                    <w:widowControl/>
                    <w:kinsoku/>
                    <w:wordWrap/>
                    <w:topLinePunct w:val="0"/>
                    <w:bidi w:val="0"/>
                    <w:spacing w:line="280" w:lineRule="exact"/>
                    <w:jc w:val="center"/>
                    <w:textAlignment w:val="center"/>
                    <w:rPr>
                      <w:szCs w:val="21"/>
                    </w:rPr>
                  </w:pPr>
                  <w:r>
                    <w:rPr>
                      <w:rFonts w:hint="eastAsia"/>
                      <w:szCs w:val="21"/>
                      <w:lang w:val="en-US" w:eastAsia="zh-CN"/>
                    </w:rPr>
                    <w:t>&lt;0.06</w:t>
                  </w:r>
                </w:p>
              </w:tc>
              <w:tc>
                <w:tcPr>
                  <w:tcW w:w="846" w:type="dxa"/>
                  <w:noWrap w:val="0"/>
                  <w:vAlign w:val="center"/>
                </w:tcPr>
                <w:p w14:paraId="1EF14087">
                  <w:pPr>
                    <w:pageBreakBefore w:val="0"/>
                    <w:kinsoku/>
                    <w:wordWrap/>
                    <w:topLinePunct w:val="0"/>
                    <w:bidi w:val="0"/>
                    <w:spacing w:line="280" w:lineRule="exact"/>
                    <w:jc w:val="center"/>
                    <w:rPr>
                      <w:szCs w:val="21"/>
                    </w:rPr>
                  </w:pPr>
                  <w:r>
                    <w:rPr>
                      <w:szCs w:val="21"/>
                    </w:rPr>
                    <w:t>260</w:t>
                  </w:r>
                </w:p>
              </w:tc>
            </w:tr>
            <w:tr w14:paraId="542823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1877126F">
                  <w:pPr>
                    <w:pageBreakBefore w:val="0"/>
                    <w:kinsoku/>
                    <w:wordWrap/>
                    <w:topLinePunct w:val="0"/>
                    <w:bidi w:val="0"/>
                    <w:spacing w:line="280" w:lineRule="exact"/>
                    <w:jc w:val="center"/>
                    <w:rPr>
                      <w:szCs w:val="21"/>
                    </w:rPr>
                  </w:pPr>
                </w:p>
              </w:tc>
              <w:tc>
                <w:tcPr>
                  <w:tcW w:w="2449" w:type="dxa"/>
                  <w:noWrap w:val="0"/>
                  <w:vAlign w:val="center"/>
                </w:tcPr>
                <w:p w14:paraId="669A3E99">
                  <w:pPr>
                    <w:pageBreakBefore w:val="0"/>
                    <w:kinsoku/>
                    <w:wordWrap/>
                    <w:topLinePunct w:val="0"/>
                    <w:bidi w:val="0"/>
                    <w:spacing w:line="280" w:lineRule="exact"/>
                    <w:jc w:val="center"/>
                    <w:rPr>
                      <w:szCs w:val="21"/>
                    </w:rPr>
                  </w:pPr>
                  <w:r>
                    <w:rPr>
                      <w:szCs w:val="21"/>
                    </w:rPr>
                    <w:t>2-氯酚</w:t>
                  </w:r>
                </w:p>
              </w:tc>
              <w:tc>
                <w:tcPr>
                  <w:tcW w:w="1165" w:type="dxa"/>
                  <w:noWrap w:val="0"/>
                  <w:vAlign w:val="center"/>
                </w:tcPr>
                <w:p w14:paraId="72C37A32">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&lt;0.06</w:t>
                  </w:r>
                </w:p>
              </w:tc>
              <w:tc>
                <w:tcPr>
                  <w:tcW w:w="1187" w:type="dxa"/>
                  <w:noWrap w:val="0"/>
                  <w:vAlign w:val="center"/>
                </w:tcPr>
                <w:p w14:paraId="16D8BA23">
                  <w:pPr>
                    <w:pageBreakBefore w:val="0"/>
                    <w:widowControl/>
                    <w:kinsoku/>
                    <w:wordWrap/>
                    <w:topLinePunct w:val="0"/>
                    <w:bidi w:val="0"/>
                    <w:spacing w:line="280" w:lineRule="exact"/>
                    <w:jc w:val="center"/>
                    <w:textAlignment w:val="center"/>
                    <w:rPr>
                      <w:szCs w:val="21"/>
                    </w:rPr>
                  </w:pPr>
                  <w:r>
                    <w:rPr>
                      <w:rFonts w:hint="eastAsia"/>
                      <w:szCs w:val="21"/>
                      <w:lang w:val="en-US" w:eastAsia="zh-CN"/>
                    </w:rPr>
                    <w:t>&lt;0.06</w:t>
                  </w:r>
                </w:p>
              </w:tc>
              <w:tc>
                <w:tcPr>
                  <w:tcW w:w="1165" w:type="dxa"/>
                  <w:noWrap w:val="0"/>
                  <w:vAlign w:val="center"/>
                </w:tcPr>
                <w:p w14:paraId="06F26D7C">
                  <w:pPr>
                    <w:pageBreakBefore w:val="0"/>
                    <w:widowControl/>
                    <w:kinsoku/>
                    <w:wordWrap/>
                    <w:topLinePunct w:val="0"/>
                    <w:bidi w:val="0"/>
                    <w:spacing w:line="280" w:lineRule="exact"/>
                    <w:jc w:val="center"/>
                    <w:textAlignment w:val="center"/>
                    <w:rPr>
                      <w:szCs w:val="21"/>
                    </w:rPr>
                  </w:pPr>
                  <w:r>
                    <w:rPr>
                      <w:rFonts w:hint="eastAsia"/>
                      <w:szCs w:val="21"/>
                      <w:lang w:val="en-US" w:eastAsia="zh-CN"/>
                    </w:rPr>
                    <w:t>&lt;0.06</w:t>
                  </w:r>
                </w:p>
              </w:tc>
              <w:tc>
                <w:tcPr>
                  <w:tcW w:w="846" w:type="dxa"/>
                  <w:noWrap w:val="0"/>
                  <w:vAlign w:val="center"/>
                </w:tcPr>
                <w:p w14:paraId="7664CD6F">
                  <w:pPr>
                    <w:pageBreakBefore w:val="0"/>
                    <w:kinsoku/>
                    <w:wordWrap/>
                    <w:topLinePunct w:val="0"/>
                    <w:bidi w:val="0"/>
                    <w:spacing w:line="280" w:lineRule="exact"/>
                    <w:jc w:val="center"/>
                    <w:rPr>
                      <w:szCs w:val="21"/>
                    </w:rPr>
                  </w:pPr>
                  <w:r>
                    <w:rPr>
                      <w:szCs w:val="21"/>
                    </w:rPr>
                    <w:t>2256</w:t>
                  </w:r>
                </w:p>
              </w:tc>
            </w:tr>
            <w:tr w14:paraId="0145A3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0C8FACC2">
                  <w:pPr>
                    <w:pageBreakBefore w:val="0"/>
                    <w:kinsoku/>
                    <w:wordWrap/>
                    <w:topLinePunct w:val="0"/>
                    <w:bidi w:val="0"/>
                    <w:spacing w:line="280" w:lineRule="exact"/>
                    <w:jc w:val="center"/>
                    <w:rPr>
                      <w:szCs w:val="21"/>
                    </w:rPr>
                  </w:pPr>
                </w:p>
              </w:tc>
              <w:tc>
                <w:tcPr>
                  <w:tcW w:w="2449" w:type="dxa"/>
                  <w:noWrap w:val="0"/>
                  <w:vAlign w:val="center"/>
                </w:tcPr>
                <w:p w14:paraId="2512DB90">
                  <w:pPr>
                    <w:pageBreakBefore w:val="0"/>
                    <w:kinsoku/>
                    <w:wordWrap/>
                    <w:topLinePunct w:val="0"/>
                    <w:bidi w:val="0"/>
                    <w:spacing w:line="280" w:lineRule="exact"/>
                    <w:jc w:val="center"/>
                    <w:rPr>
                      <w:szCs w:val="21"/>
                    </w:rPr>
                  </w:pPr>
                  <w:r>
                    <w:rPr>
                      <w:szCs w:val="21"/>
                    </w:rPr>
                    <w:t>苯并[a]蒽</w:t>
                  </w:r>
                </w:p>
              </w:tc>
              <w:tc>
                <w:tcPr>
                  <w:tcW w:w="1165" w:type="dxa"/>
                  <w:noWrap w:val="0"/>
                  <w:vAlign w:val="center"/>
                </w:tcPr>
                <w:p w14:paraId="20051E93">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&lt;0.1</w:t>
                  </w:r>
                </w:p>
              </w:tc>
              <w:tc>
                <w:tcPr>
                  <w:tcW w:w="1187" w:type="dxa"/>
                  <w:noWrap w:val="0"/>
                  <w:vAlign w:val="center"/>
                </w:tcPr>
                <w:p w14:paraId="0597E9FD">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5" w:type="dxa"/>
                  <w:noWrap w:val="0"/>
                  <w:vAlign w:val="center"/>
                </w:tcPr>
                <w:p w14:paraId="42BC115D">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846" w:type="dxa"/>
                  <w:noWrap w:val="0"/>
                  <w:vAlign w:val="center"/>
                </w:tcPr>
                <w:p w14:paraId="6A24A17A">
                  <w:pPr>
                    <w:pageBreakBefore w:val="0"/>
                    <w:kinsoku/>
                    <w:wordWrap/>
                    <w:topLinePunct w:val="0"/>
                    <w:bidi w:val="0"/>
                    <w:spacing w:line="280" w:lineRule="exact"/>
                    <w:jc w:val="center"/>
                    <w:rPr>
                      <w:szCs w:val="21"/>
                    </w:rPr>
                  </w:pPr>
                  <w:r>
                    <w:rPr>
                      <w:szCs w:val="21"/>
                    </w:rPr>
                    <w:t>15</w:t>
                  </w:r>
                </w:p>
              </w:tc>
            </w:tr>
            <w:tr w14:paraId="689FA7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76E3F385">
                  <w:pPr>
                    <w:pageBreakBefore w:val="0"/>
                    <w:kinsoku/>
                    <w:wordWrap/>
                    <w:topLinePunct w:val="0"/>
                    <w:bidi w:val="0"/>
                    <w:spacing w:line="280" w:lineRule="exact"/>
                    <w:jc w:val="center"/>
                    <w:rPr>
                      <w:szCs w:val="21"/>
                    </w:rPr>
                  </w:pPr>
                </w:p>
              </w:tc>
              <w:tc>
                <w:tcPr>
                  <w:tcW w:w="2449" w:type="dxa"/>
                  <w:noWrap w:val="0"/>
                  <w:vAlign w:val="center"/>
                </w:tcPr>
                <w:p w14:paraId="69E64378">
                  <w:pPr>
                    <w:pageBreakBefore w:val="0"/>
                    <w:kinsoku/>
                    <w:wordWrap/>
                    <w:topLinePunct w:val="0"/>
                    <w:bidi w:val="0"/>
                    <w:spacing w:line="280" w:lineRule="exact"/>
                    <w:jc w:val="center"/>
                    <w:rPr>
                      <w:szCs w:val="21"/>
                    </w:rPr>
                  </w:pPr>
                  <w:r>
                    <w:rPr>
                      <w:szCs w:val="21"/>
                    </w:rPr>
                    <w:t>苯并[a]芘</w:t>
                  </w:r>
                </w:p>
              </w:tc>
              <w:tc>
                <w:tcPr>
                  <w:tcW w:w="1165" w:type="dxa"/>
                  <w:noWrap w:val="0"/>
                  <w:vAlign w:val="center"/>
                </w:tcPr>
                <w:p w14:paraId="063992DA">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&lt;0.1</w:t>
                  </w:r>
                </w:p>
              </w:tc>
              <w:tc>
                <w:tcPr>
                  <w:tcW w:w="1187" w:type="dxa"/>
                  <w:noWrap w:val="0"/>
                  <w:vAlign w:val="center"/>
                </w:tcPr>
                <w:p w14:paraId="3FEF61E7">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5" w:type="dxa"/>
                  <w:noWrap w:val="0"/>
                  <w:vAlign w:val="center"/>
                </w:tcPr>
                <w:p w14:paraId="6B07E42D">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846" w:type="dxa"/>
                  <w:noWrap w:val="0"/>
                  <w:vAlign w:val="center"/>
                </w:tcPr>
                <w:p w14:paraId="0795CC61">
                  <w:pPr>
                    <w:pageBreakBefore w:val="0"/>
                    <w:kinsoku/>
                    <w:wordWrap/>
                    <w:topLinePunct w:val="0"/>
                    <w:bidi w:val="0"/>
                    <w:spacing w:line="280" w:lineRule="exact"/>
                    <w:jc w:val="center"/>
                    <w:rPr>
                      <w:szCs w:val="21"/>
                    </w:rPr>
                  </w:pPr>
                  <w:r>
                    <w:rPr>
                      <w:szCs w:val="21"/>
                    </w:rPr>
                    <w:t>1.5</w:t>
                  </w:r>
                </w:p>
              </w:tc>
            </w:tr>
            <w:tr w14:paraId="158AC2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0672DCC3">
                  <w:pPr>
                    <w:pageBreakBefore w:val="0"/>
                    <w:kinsoku/>
                    <w:wordWrap/>
                    <w:topLinePunct w:val="0"/>
                    <w:bidi w:val="0"/>
                    <w:spacing w:line="280" w:lineRule="exact"/>
                    <w:jc w:val="center"/>
                    <w:rPr>
                      <w:szCs w:val="21"/>
                    </w:rPr>
                  </w:pPr>
                </w:p>
              </w:tc>
              <w:tc>
                <w:tcPr>
                  <w:tcW w:w="2449" w:type="dxa"/>
                  <w:noWrap w:val="0"/>
                  <w:vAlign w:val="center"/>
                </w:tcPr>
                <w:p w14:paraId="1190AA68">
                  <w:pPr>
                    <w:pageBreakBefore w:val="0"/>
                    <w:kinsoku/>
                    <w:wordWrap/>
                    <w:topLinePunct w:val="0"/>
                    <w:bidi w:val="0"/>
                    <w:spacing w:line="280" w:lineRule="exact"/>
                    <w:jc w:val="center"/>
                    <w:rPr>
                      <w:szCs w:val="21"/>
                    </w:rPr>
                  </w:pPr>
                  <w:r>
                    <w:rPr>
                      <w:szCs w:val="21"/>
                    </w:rPr>
                    <w:t>苯并[b]荧蒽</w:t>
                  </w:r>
                </w:p>
              </w:tc>
              <w:tc>
                <w:tcPr>
                  <w:tcW w:w="1165" w:type="dxa"/>
                  <w:noWrap w:val="0"/>
                  <w:vAlign w:val="center"/>
                </w:tcPr>
                <w:p w14:paraId="664DBEA2">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&lt;0.2</w:t>
                  </w:r>
                </w:p>
              </w:tc>
              <w:tc>
                <w:tcPr>
                  <w:tcW w:w="1187" w:type="dxa"/>
                  <w:noWrap w:val="0"/>
                  <w:vAlign w:val="center"/>
                </w:tcPr>
                <w:p w14:paraId="28588851">
                  <w:pPr>
                    <w:pageBreakBefore w:val="0"/>
                    <w:widowControl/>
                    <w:kinsoku/>
                    <w:wordWrap/>
                    <w:topLinePunct w:val="0"/>
                    <w:bidi w:val="0"/>
                    <w:spacing w:line="280" w:lineRule="exact"/>
                    <w:jc w:val="center"/>
                    <w:textAlignment w:val="center"/>
                    <w:rPr>
                      <w:szCs w:val="21"/>
                    </w:rPr>
                  </w:pPr>
                  <w:r>
                    <w:rPr>
                      <w:rFonts w:hint="eastAsia"/>
                      <w:szCs w:val="21"/>
                      <w:lang w:val="en-US" w:eastAsia="zh-CN"/>
                    </w:rPr>
                    <w:t>&lt;0.2</w:t>
                  </w:r>
                </w:p>
              </w:tc>
              <w:tc>
                <w:tcPr>
                  <w:tcW w:w="1165" w:type="dxa"/>
                  <w:noWrap w:val="0"/>
                  <w:vAlign w:val="center"/>
                </w:tcPr>
                <w:p w14:paraId="4454E84A">
                  <w:pPr>
                    <w:pageBreakBefore w:val="0"/>
                    <w:widowControl/>
                    <w:kinsoku/>
                    <w:wordWrap/>
                    <w:topLinePunct w:val="0"/>
                    <w:bidi w:val="0"/>
                    <w:spacing w:line="280" w:lineRule="exact"/>
                    <w:jc w:val="center"/>
                    <w:textAlignment w:val="center"/>
                    <w:rPr>
                      <w:szCs w:val="21"/>
                    </w:rPr>
                  </w:pPr>
                  <w:r>
                    <w:rPr>
                      <w:rFonts w:hint="eastAsia"/>
                      <w:szCs w:val="21"/>
                      <w:lang w:val="en-US" w:eastAsia="zh-CN"/>
                    </w:rPr>
                    <w:t>&lt;0.2</w:t>
                  </w:r>
                </w:p>
              </w:tc>
              <w:tc>
                <w:tcPr>
                  <w:tcW w:w="846" w:type="dxa"/>
                  <w:noWrap w:val="0"/>
                  <w:vAlign w:val="center"/>
                </w:tcPr>
                <w:p w14:paraId="7573C443">
                  <w:pPr>
                    <w:pageBreakBefore w:val="0"/>
                    <w:kinsoku/>
                    <w:wordWrap/>
                    <w:topLinePunct w:val="0"/>
                    <w:bidi w:val="0"/>
                    <w:spacing w:line="280" w:lineRule="exact"/>
                    <w:jc w:val="center"/>
                    <w:rPr>
                      <w:szCs w:val="21"/>
                    </w:rPr>
                  </w:pPr>
                  <w:r>
                    <w:rPr>
                      <w:szCs w:val="21"/>
                    </w:rPr>
                    <w:t>15</w:t>
                  </w:r>
                </w:p>
              </w:tc>
            </w:tr>
            <w:tr w14:paraId="422DEA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36DB1590">
                  <w:pPr>
                    <w:pageBreakBefore w:val="0"/>
                    <w:kinsoku/>
                    <w:wordWrap/>
                    <w:topLinePunct w:val="0"/>
                    <w:bidi w:val="0"/>
                    <w:spacing w:line="280" w:lineRule="exact"/>
                    <w:jc w:val="center"/>
                    <w:rPr>
                      <w:szCs w:val="21"/>
                    </w:rPr>
                  </w:pPr>
                </w:p>
              </w:tc>
              <w:tc>
                <w:tcPr>
                  <w:tcW w:w="2449" w:type="dxa"/>
                  <w:noWrap w:val="0"/>
                  <w:vAlign w:val="center"/>
                </w:tcPr>
                <w:p w14:paraId="500BE1ED">
                  <w:pPr>
                    <w:pageBreakBefore w:val="0"/>
                    <w:kinsoku/>
                    <w:wordWrap/>
                    <w:topLinePunct w:val="0"/>
                    <w:bidi w:val="0"/>
                    <w:spacing w:line="280" w:lineRule="exact"/>
                    <w:jc w:val="center"/>
                    <w:rPr>
                      <w:szCs w:val="21"/>
                    </w:rPr>
                  </w:pPr>
                  <w:r>
                    <w:rPr>
                      <w:szCs w:val="21"/>
                    </w:rPr>
                    <w:t>苯并[k]荧蒽</w:t>
                  </w:r>
                </w:p>
              </w:tc>
              <w:tc>
                <w:tcPr>
                  <w:tcW w:w="1165" w:type="dxa"/>
                  <w:noWrap w:val="0"/>
                  <w:vAlign w:val="center"/>
                </w:tcPr>
                <w:p w14:paraId="386FB426">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&lt;0.1</w:t>
                  </w:r>
                </w:p>
              </w:tc>
              <w:tc>
                <w:tcPr>
                  <w:tcW w:w="1187" w:type="dxa"/>
                  <w:noWrap w:val="0"/>
                  <w:vAlign w:val="center"/>
                </w:tcPr>
                <w:p w14:paraId="0106D1AB">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5" w:type="dxa"/>
                  <w:noWrap w:val="0"/>
                  <w:vAlign w:val="center"/>
                </w:tcPr>
                <w:p w14:paraId="17693338">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846" w:type="dxa"/>
                  <w:noWrap w:val="0"/>
                  <w:vAlign w:val="center"/>
                </w:tcPr>
                <w:p w14:paraId="20359D9D">
                  <w:pPr>
                    <w:pageBreakBefore w:val="0"/>
                    <w:kinsoku/>
                    <w:wordWrap/>
                    <w:topLinePunct w:val="0"/>
                    <w:bidi w:val="0"/>
                    <w:spacing w:line="280" w:lineRule="exact"/>
                    <w:jc w:val="center"/>
                    <w:rPr>
                      <w:szCs w:val="21"/>
                    </w:rPr>
                  </w:pPr>
                  <w:r>
                    <w:rPr>
                      <w:szCs w:val="21"/>
                    </w:rPr>
                    <w:t>151</w:t>
                  </w:r>
                </w:p>
              </w:tc>
            </w:tr>
            <w:tr w14:paraId="0AB99C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7F6737CB">
                  <w:pPr>
                    <w:pageBreakBefore w:val="0"/>
                    <w:kinsoku/>
                    <w:wordWrap/>
                    <w:topLinePunct w:val="0"/>
                    <w:bidi w:val="0"/>
                    <w:spacing w:line="280" w:lineRule="exact"/>
                    <w:jc w:val="center"/>
                    <w:rPr>
                      <w:szCs w:val="21"/>
                    </w:rPr>
                  </w:pPr>
                </w:p>
              </w:tc>
              <w:tc>
                <w:tcPr>
                  <w:tcW w:w="2449" w:type="dxa"/>
                  <w:noWrap w:val="0"/>
                  <w:vAlign w:val="center"/>
                </w:tcPr>
                <w:p w14:paraId="5DD5D869">
                  <w:pPr>
                    <w:pageBreakBefore w:val="0"/>
                    <w:kinsoku/>
                    <w:wordWrap/>
                    <w:topLinePunct w:val="0"/>
                    <w:bidi w:val="0"/>
                    <w:spacing w:line="280" w:lineRule="exact"/>
                    <w:jc w:val="center"/>
                    <w:rPr>
                      <w:szCs w:val="21"/>
                    </w:rPr>
                  </w:pPr>
                  <w:r>
                    <w:rPr>
                      <w:szCs w:val="21"/>
                    </w:rPr>
                    <w:t>䓛</w:t>
                  </w:r>
                </w:p>
              </w:tc>
              <w:tc>
                <w:tcPr>
                  <w:tcW w:w="1165" w:type="dxa"/>
                  <w:noWrap w:val="0"/>
                  <w:vAlign w:val="center"/>
                </w:tcPr>
                <w:p w14:paraId="16E3D06E">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&lt;0.1</w:t>
                  </w:r>
                </w:p>
              </w:tc>
              <w:tc>
                <w:tcPr>
                  <w:tcW w:w="1187" w:type="dxa"/>
                  <w:noWrap w:val="0"/>
                  <w:vAlign w:val="center"/>
                </w:tcPr>
                <w:p w14:paraId="7FC40898">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5" w:type="dxa"/>
                  <w:noWrap w:val="0"/>
                  <w:vAlign w:val="center"/>
                </w:tcPr>
                <w:p w14:paraId="6F0BA3A7">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846" w:type="dxa"/>
                  <w:noWrap w:val="0"/>
                  <w:vAlign w:val="center"/>
                </w:tcPr>
                <w:p w14:paraId="438AC8D7">
                  <w:pPr>
                    <w:pageBreakBefore w:val="0"/>
                    <w:kinsoku/>
                    <w:wordWrap/>
                    <w:topLinePunct w:val="0"/>
                    <w:bidi w:val="0"/>
                    <w:spacing w:line="280" w:lineRule="exact"/>
                    <w:jc w:val="center"/>
                    <w:rPr>
                      <w:szCs w:val="21"/>
                    </w:rPr>
                  </w:pPr>
                  <w:r>
                    <w:rPr>
                      <w:szCs w:val="21"/>
                    </w:rPr>
                    <w:t>1293</w:t>
                  </w:r>
                </w:p>
              </w:tc>
            </w:tr>
            <w:tr w14:paraId="3F0DD6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5D390B98">
                  <w:pPr>
                    <w:pageBreakBefore w:val="0"/>
                    <w:kinsoku/>
                    <w:wordWrap/>
                    <w:topLinePunct w:val="0"/>
                    <w:bidi w:val="0"/>
                    <w:spacing w:line="280" w:lineRule="exact"/>
                    <w:jc w:val="center"/>
                    <w:rPr>
                      <w:szCs w:val="21"/>
                    </w:rPr>
                  </w:pPr>
                </w:p>
              </w:tc>
              <w:tc>
                <w:tcPr>
                  <w:tcW w:w="2449" w:type="dxa"/>
                  <w:noWrap w:val="0"/>
                  <w:vAlign w:val="center"/>
                </w:tcPr>
                <w:p w14:paraId="4E5BF07E">
                  <w:pPr>
                    <w:pageBreakBefore w:val="0"/>
                    <w:kinsoku/>
                    <w:wordWrap/>
                    <w:topLinePunct w:val="0"/>
                    <w:bidi w:val="0"/>
                    <w:spacing w:line="280" w:lineRule="exact"/>
                    <w:jc w:val="center"/>
                    <w:rPr>
                      <w:szCs w:val="21"/>
                    </w:rPr>
                  </w:pPr>
                  <w:r>
                    <w:rPr>
                      <w:szCs w:val="21"/>
                    </w:rPr>
                    <w:t>二苯并[a，h]蒽</w:t>
                  </w:r>
                </w:p>
              </w:tc>
              <w:tc>
                <w:tcPr>
                  <w:tcW w:w="1165" w:type="dxa"/>
                  <w:noWrap w:val="0"/>
                  <w:vAlign w:val="center"/>
                </w:tcPr>
                <w:p w14:paraId="744467D9">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&lt;0.1</w:t>
                  </w:r>
                </w:p>
              </w:tc>
              <w:tc>
                <w:tcPr>
                  <w:tcW w:w="1187" w:type="dxa"/>
                  <w:noWrap w:val="0"/>
                  <w:vAlign w:val="center"/>
                </w:tcPr>
                <w:p w14:paraId="4A04A410">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5" w:type="dxa"/>
                  <w:noWrap w:val="0"/>
                  <w:vAlign w:val="center"/>
                </w:tcPr>
                <w:p w14:paraId="56744372">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846" w:type="dxa"/>
                  <w:noWrap w:val="0"/>
                  <w:vAlign w:val="center"/>
                </w:tcPr>
                <w:p w14:paraId="55CA2DD8">
                  <w:pPr>
                    <w:pageBreakBefore w:val="0"/>
                    <w:kinsoku/>
                    <w:wordWrap/>
                    <w:topLinePunct w:val="0"/>
                    <w:bidi w:val="0"/>
                    <w:spacing w:line="280" w:lineRule="exact"/>
                    <w:jc w:val="center"/>
                    <w:rPr>
                      <w:szCs w:val="21"/>
                    </w:rPr>
                  </w:pPr>
                  <w:r>
                    <w:rPr>
                      <w:szCs w:val="21"/>
                    </w:rPr>
                    <w:t>1.5</w:t>
                  </w:r>
                </w:p>
              </w:tc>
            </w:tr>
            <w:tr w14:paraId="0AFABF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20B86759">
                  <w:pPr>
                    <w:pageBreakBefore w:val="0"/>
                    <w:kinsoku/>
                    <w:wordWrap/>
                    <w:topLinePunct w:val="0"/>
                    <w:bidi w:val="0"/>
                    <w:spacing w:line="280" w:lineRule="exact"/>
                    <w:jc w:val="center"/>
                    <w:rPr>
                      <w:szCs w:val="21"/>
                    </w:rPr>
                  </w:pPr>
                </w:p>
              </w:tc>
              <w:tc>
                <w:tcPr>
                  <w:tcW w:w="2449" w:type="dxa"/>
                  <w:noWrap w:val="0"/>
                  <w:vAlign w:val="center"/>
                </w:tcPr>
                <w:p w14:paraId="34B84810">
                  <w:pPr>
                    <w:pageBreakBefore w:val="0"/>
                    <w:kinsoku/>
                    <w:wordWrap/>
                    <w:topLinePunct w:val="0"/>
                    <w:bidi w:val="0"/>
                    <w:spacing w:line="280" w:lineRule="exact"/>
                    <w:jc w:val="center"/>
                    <w:rPr>
                      <w:szCs w:val="21"/>
                    </w:rPr>
                  </w:pPr>
                  <w:r>
                    <w:rPr>
                      <w:szCs w:val="21"/>
                    </w:rPr>
                    <w:t>茚并[1，2，3-cd]芘</w:t>
                  </w:r>
                </w:p>
              </w:tc>
              <w:tc>
                <w:tcPr>
                  <w:tcW w:w="1165" w:type="dxa"/>
                  <w:noWrap w:val="0"/>
                  <w:vAlign w:val="center"/>
                </w:tcPr>
                <w:p w14:paraId="1C70AF4A">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&lt;0.1</w:t>
                  </w:r>
                </w:p>
              </w:tc>
              <w:tc>
                <w:tcPr>
                  <w:tcW w:w="1187" w:type="dxa"/>
                  <w:noWrap w:val="0"/>
                  <w:vAlign w:val="center"/>
                </w:tcPr>
                <w:p w14:paraId="0EF73A09">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5" w:type="dxa"/>
                  <w:noWrap w:val="0"/>
                  <w:vAlign w:val="center"/>
                </w:tcPr>
                <w:p w14:paraId="6DC4D800">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846" w:type="dxa"/>
                  <w:noWrap w:val="0"/>
                  <w:vAlign w:val="center"/>
                </w:tcPr>
                <w:p w14:paraId="2BDCBABF">
                  <w:pPr>
                    <w:pageBreakBefore w:val="0"/>
                    <w:kinsoku/>
                    <w:wordWrap/>
                    <w:topLinePunct w:val="0"/>
                    <w:bidi w:val="0"/>
                    <w:spacing w:line="280" w:lineRule="exact"/>
                    <w:jc w:val="center"/>
                    <w:rPr>
                      <w:szCs w:val="21"/>
                    </w:rPr>
                  </w:pPr>
                  <w:r>
                    <w:rPr>
                      <w:szCs w:val="21"/>
                    </w:rPr>
                    <w:t>15</w:t>
                  </w:r>
                </w:p>
              </w:tc>
            </w:tr>
            <w:tr w14:paraId="6123F4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64DA2FF2">
                  <w:pPr>
                    <w:pageBreakBefore w:val="0"/>
                    <w:kinsoku/>
                    <w:wordWrap/>
                    <w:topLinePunct w:val="0"/>
                    <w:bidi w:val="0"/>
                    <w:spacing w:line="280" w:lineRule="exact"/>
                    <w:jc w:val="center"/>
                    <w:rPr>
                      <w:szCs w:val="21"/>
                    </w:rPr>
                  </w:pPr>
                </w:p>
              </w:tc>
              <w:tc>
                <w:tcPr>
                  <w:tcW w:w="2449" w:type="dxa"/>
                  <w:noWrap w:val="0"/>
                  <w:vAlign w:val="center"/>
                </w:tcPr>
                <w:p w14:paraId="0D516329">
                  <w:pPr>
                    <w:pageBreakBefore w:val="0"/>
                    <w:kinsoku/>
                    <w:wordWrap/>
                    <w:topLinePunct w:val="0"/>
                    <w:bidi w:val="0"/>
                    <w:spacing w:line="280" w:lineRule="exact"/>
                    <w:jc w:val="center"/>
                    <w:rPr>
                      <w:szCs w:val="21"/>
                    </w:rPr>
                  </w:pPr>
                  <w:r>
                    <w:rPr>
                      <w:szCs w:val="21"/>
                    </w:rPr>
                    <w:t>萘</w:t>
                  </w:r>
                </w:p>
              </w:tc>
              <w:tc>
                <w:tcPr>
                  <w:tcW w:w="1165" w:type="dxa"/>
                  <w:noWrap w:val="0"/>
                  <w:vAlign w:val="center"/>
                </w:tcPr>
                <w:p w14:paraId="2A37302F">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&lt;0.09</w:t>
                  </w:r>
                </w:p>
              </w:tc>
              <w:tc>
                <w:tcPr>
                  <w:tcW w:w="1187" w:type="dxa"/>
                  <w:noWrap w:val="0"/>
                  <w:vAlign w:val="center"/>
                </w:tcPr>
                <w:p w14:paraId="15A247A2">
                  <w:pPr>
                    <w:pageBreakBefore w:val="0"/>
                    <w:widowControl/>
                    <w:kinsoku/>
                    <w:wordWrap/>
                    <w:topLinePunct w:val="0"/>
                    <w:bidi w:val="0"/>
                    <w:spacing w:line="280" w:lineRule="exact"/>
                    <w:jc w:val="center"/>
                    <w:textAlignment w:val="center"/>
                    <w:rPr>
                      <w:szCs w:val="21"/>
                    </w:rPr>
                  </w:pPr>
                  <w:r>
                    <w:rPr>
                      <w:rFonts w:hint="eastAsia"/>
                      <w:szCs w:val="21"/>
                      <w:lang w:val="en-US" w:eastAsia="zh-CN"/>
                    </w:rPr>
                    <w:t>&lt;0.09</w:t>
                  </w:r>
                </w:p>
              </w:tc>
              <w:tc>
                <w:tcPr>
                  <w:tcW w:w="1165" w:type="dxa"/>
                  <w:noWrap w:val="0"/>
                  <w:vAlign w:val="center"/>
                </w:tcPr>
                <w:p w14:paraId="7A783DE1">
                  <w:pPr>
                    <w:pageBreakBefore w:val="0"/>
                    <w:widowControl/>
                    <w:kinsoku/>
                    <w:wordWrap/>
                    <w:topLinePunct w:val="0"/>
                    <w:bidi w:val="0"/>
                    <w:spacing w:line="280" w:lineRule="exact"/>
                    <w:jc w:val="center"/>
                    <w:textAlignment w:val="center"/>
                    <w:rPr>
                      <w:szCs w:val="21"/>
                    </w:rPr>
                  </w:pPr>
                  <w:r>
                    <w:rPr>
                      <w:rFonts w:hint="eastAsia"/>
                      <w:szCs w:val="21"/>
                      <w:lang w:val="en-US" w:eastAsia="zh-CN"/>
                    </w:rPr>
                    <w:t>&lt;0.09</w:t>
                  </w:r>
                </w:p>
              </w:tc>
              <w:tc>
                <w:tcPr>
                  <w:tcW w:w="846" w:type="dxa"/>
                  <w:noWrap w:val="0"/>
                  <w:vAlign w:val="center"/>
                </w:tcPr>
                <w:p w14:paraId="02024673">
                  <w:pPr>
                    <w:pageBreakBefore w:val="0"/>
                    <w:kinsoku/>
                    <w:wordWrap/>
                    <w:topLinePunct w:val="0"/>
                    <w:bidi w:val="0"/>
                    <w:spacing w:line="280" w:lineRule="exact"/>
                    <w:jc w:val="center"/>
                    <w:rPr>
                      <w:szCs w:val="21"/>
                    </w:rPr>
                  </w:pPr>
                  <w:r>
                    <w:rPr>
                      <w:szCs w:val="21"/>
                    </w:rPr>
                    <w:t>70</w:t>
                  </w:r>
                </w:p>
              </w:tc>
            </w:tr>
            <w:tr w14:paraId="257055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restart"/>
                  <w:noWrap w:val="0"/>
                  <w:vAlign w:val="center"/>
                </w:tcPr>
                <w:p w14:paraId="7EA68FE0">
                  <w:pPr>
                    <w:pageBreakBefore w:val="0"/>
                    <w:kinsoku/>
                    <w:wordWrap/>
                    <w:topLinePunct w:val="0"/>
                    <w:bidi w:val="0"/>
                    <w:spacing w:line="280" w:lineRule="exact"/>
                    <w:jc w:val="center"/>
                    <w:rPr>
                      <w:sz w:val="22"/>
                      <w:szCs w:val="22"/>
                    </w:rPr>
                  </w:pPr>
                  <w:r>
                    <w:rPr>
                      <w:sz w:val="22"/>
                      <w:szCs w:val="22"/>
                    </w:rPr>
                    <w:t>选址内部左侧</w:t>
                  </w:r>
                </w:p>
              </w:tc>
              <w:tc>
                <w:tcPr>
                  <w:tcW w:w="2449" w:type="dxa"/>
                  <w:noWrap w:val="0"/>
                  <w:vAlign w:val="center"/>
                </w:tcPr>
                <w:p w14:paraId="06A78FFA">
                  <w:pPr>
                    <w:pageBreakBefore w:val="0"/>
                    <w:kinsoku/>
                    <w:wordWrap/>
                    <w:topLinePunct w:val="0"/>
                    <w:bidi w:val="0"/>
                    <w:spacing w:line="280" w:lineRule="exact"/>
                    <w:jc w:val="center"/>
                    <w:rPr>
                      <w:szCs w:val="21"/>
                    </w:rPr>
                  </w:pPr>
                  <w:r>
                    <w:rPr>
                      <w:szCs w:val="21"/>
                    </w:rPr>
                    <w:t>pH</w:t>
                  </w:r>
                </w:p>
              </w:tc>
              <w:tc>
                <w:tcPr>
                  <w:tcW w:w="1165" w:type="dxa"/>
                  <w:noWrap w:val="0"/>
                  <w:vAlign w:val="center"/>
                </w:tcPr>
                <w:p w14:paraId="0A65BA7C">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9.6</w:t>
                  </w:r>
                </w:p>
              </w:tc>
              <w:tc>
                <w:tcPr>
                  <w:tcW w:w="1187" w:type="dxa"/>
                  <w:noWrap w:val="0"/>
                  <w:vAlign w:val="center"/>
                </w:tcPr>
                <w:p w14:paraId="541F88AA">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8.9</w:t>
                  </w:r>
                </w:p>
              </w:tc>
              <w:tc>
                <w:tcPr>
                  <w:tcW w:w="1165" w:type="dxa"/>
                  <w:noWrap w:val="0"/>
                  <w:vAlign w:val="center"/>
                </w:tcPr>
                <w:p w14:paraId="30608DD7">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9.0</w:t>
                  </w:r>
                </w:p>
              </w:tc>
              <w:tc>
                <w:tcPr>
                  <w:tcW w:w="846" w:type="dxa"/>
                  <w:noWrap w:val="0"/>
                  <w:vAlign w:val="center"/>
                </w:tcPr>
                <w:p w14:paraId="3C411770">
                  <w:pPr>
                    <w:pageBreakBefore w:val="0"/>
                    <w:kinsoku/>
                    <w:wordWrap/>
                    <w:topLinePunct w:val="0"/>
                    <w:bidi w:val="0"/>
                    <w:spacing w:line="280" w:lineRule="exact"/>
                    <w:jc w:val="center"/>
                    <w:rPr>
                      <w:szCs w:val="21"/>
                    </w:rPr>
                  </w:pPr>
                  <w:r>
                    <w:rPr>
                      <w:szCs w:val="21"/>
                    </w:rPr>
                    <w:t>/</w:t>
                  </w:r>
                </w:p>
              </w:tc>
            </w:tr>
            <w:tr w14:paraId="32B17A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613AA5EF">
                  <w:pPr>
                    <w:pageBreakBefore w:val="0"/>
                    <w:kinsoku/>
                    <w:wordWrap/>
                    <w:topLinePunct w:val="0"/>
                    <w:bidi w:val="0"/>
                    <w:spacing w:line="280" w:lineRule="exact"/>
                    <w:jc w:val="center"/>
                    <w:rPr>
                      <w:sz w:val="22"/>
                      <w:szCs w:val="22"/>
                    </w:rPr>
                  </w:pPr>
                </w:p>
              </w:tc>
              <w:tc>
                <w:tcPr>
                  <w:tcW w:w="2449" w:type="dxa"/>
                  <w:noWrap w:val="0"/>
                  <w:vAlign w:val="center"/>
                </w:tcPr>
                <w:p w14:paraId="0104D40F">
                  <w:pPr>
                    <w:pageBreakBefore w:val="0"/>
                    <w:kinsoku/>
                    <w:wordWrap/>
                    <w:topLinePunct w:val="0"/>
                    <w:bidi w:val="0"/>
                    <w:spacing w:line="280" w:lineRule="exact"/>
                    <w:jc w:val="center"/>
                    <w:rPr>
                      <w:szCs w:val="21"/>
                    </w:rPr>
                  </w:pPr>
                  <w:r>
                    <w:rPr>
                      <w:szCs w:val="21"/>
                    </w:rPr>
                    <w:t>砷</w:t>
                  </w:r>
                </w:p>
              </w:tc>
              <w:tc>
                <w:tcPr>
                  <w:tcW w:w="1165" w:type="dxa"/>
                  <w:noWrap w:val="0"/>
                  <w:vAlign w:val="center"/>
                </w:tcPr>
                <w:p w14:paraId="7F10A8B5">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9.05</w:t>
                  </w:r>
                </w:p>
              </w:tc>
              <w:tc>
                <w:tcPr>
                  <w:tcW w:w="1187" w:type="dxa"/>
                  <w:noWrap w:val="0"/>
                  <w:vAlign w:val="center"/>
                </w:tcPr>
                <w:p w14:paraId="5D811C44">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7.45</w:t>
                  </w:r>
                </w:p>
              </w:tc>
              <w:tc>
                <w:tcPr>
                  <w:tcW w:w="1165" w:type="dxa"/>
                  <w:noWrap w:val="0"/>
                  <w:vAlign w:val="center"/>
                </w:tcPr>
                <w:p w14:paraId="43231F98">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8.14</w:t>
                  </w:r>
                </w:p>
              </w:tc>
              <w:tc>
                <w:tcPr>
                  <w:tcW w:w="846" w:type="dxa"/>
                  <w:noWrap w:val="0"/>
                  <w:vAlign w:val="center"/>
                </w:tcPr>
                <w:p w14:paraId="4673CADA">
                  <w:pPr>
                    <w:pageBreakBefore w:val="0"/>
                    <w:kinsoku/>
                    <w:wordWrap/>
                    <w:topLinePunct w:val="0"/>
                    <w:bidi w:val="0"/>
                    <w:spacing w:line="280" w:lineRule="exact"/>
                    <w:jc w:val="center"/>
                    <w:rPr>
                      <w:szCs w:val="21"/>
                    </w:rPr>
                  </w:pPr>
                  <w:r>
                    <w:rPr>
                      <w:szCs w:val="21"/>
                    </w:rPr>
                    <w:t>60</w:t>
                  </w:r>
                </w:p>
              </w:tc>
            </w:tr>
            <w:tr w14:paraId="11D623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071CF8B1">
                  <w:pPr>
                    <w:pageBreakBefore w:val="0"/>
                    <w:kinsoku/>
                    <w:wordWrap/>
                    <w:topLinePunct w:val="0"/>
                    <w:bidi w:val="0"/>
                    <w:spacing w:line="280" w:lineRule="exact"/>
                    <w:jc w:val="center"/>
                    <w:rPr>
                      <w:szCs w:val="21"/>
                    </w:rPr>
                  </w:pPr>
                </w:p>
              </w:tc>
              <w:tc>
                <w:tcPr>
                  <w:tcW w:w="2449" w:type="dxa"/>
                  <w:noWrap w:val="0"/>
                  <w:vAlign w:val="center"/>
                </w:tcPr>
                <w:p w14:paraId="534F0B9D">
                  <w:pPr>
                    <w:pageBreakBefore w:val="0"/>
                    <w:kinsoku/>
                    <w:wordWrap/>
                    <w:topLinePunct w:val="0"/>
                    <w:bidi w:val="0"/>
                    <w:spacing w:line="280" w:lineRule="exact"/>
                    <w:jc w:val="center"/>
                    <w:rPr>
                      <w:szCs w:val="21"/>
                    </w:rPr>
                  </w:pPr>
                  <w:r>
                    <w:rPr>
                      <w:szCs w:val="21"/>
                    </w:rPr>
                    <w:t>镉</w:t>
                  </w:r>
                </w:p>
              </w:tc>
              <w:tc>
                <w:tcPr>
                  <w:tcW w:w="1165" w:type="dxa"/>
                  <w:noWrap w:val="0"/>
                  <w:vAlign w:val="center"/>
                </w:tcPr>
                <w:p w14:paraId="7EE8A8DB">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0.67</w:t>
                  </w:r>
                </w:p>
              </w:tc>
              <w:tc>
                <w:tcPr>
                  <w:tcW w:w="1187" w:type="dxa"/>
                  <w:noWrap w:val="0"/>
                  <w:vAlign w:val="center"/>
                </w:tcPr>
                <w:p w14:paraId="1F72DDEE">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0.22</w:t>
                  </w:r>
                </w:p>
              </w:tc>
              <w:tc>
                <w:tcPr>
                  <w:tcW w:w="1165" w:type="dxa"/>
                  <w:noWrap w:val="0"/>
                  <w:vAlign w:val="center"/>
                </w:tcPr>
                <w:p w14:paraId="4A9072E7">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0.20</w:t>
                  </w:r>
                </w:p>
              </w:tc>
              <w:tc>
                <w:tcPr>
                  <w:tcW w:w="846" w:type="dxa"/>
                  <w:noWrap w:val="0"/>
                  <w:vAlign w:val="center"/>
                </w:tcPr>
                <w:p w14:paraId="32A9F6A6">
                  <w:pPr>
                    <w:pageBreakBefore w:val="0"/>
                    <w:kinsoku/>
                    <w:wordWrap/>
                    <w:topLinePunct w:val="0"/>
                    <w:bidi w:val="0"/>
                    <w:spacing w:line="280" w:lineRule="exact"/>
                    <w:jc w:val="center"/>
                    <w:rPr>
                      <w:szCs w:val="21"/>
                    </w:rPr>
                  </w:pPr>
                  <w:r>
                    <w:rPr>
                      <w:szCs w:val="21"/>
                    </w:rPr>
                    <w:t>65</w:t>
                  </w:r>
                </w:p>
              </w:tc>
            </w:tr>
            <w:tr w14:paraId="6AF2ED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6FFF6CA9">
                  <w:pPr>
                    <w:pageBreakBefore w:val="0"/>
                    <w:kinsoku/>
                    <w:wordWrap/>
                    <w:topLinePunct w:val="0"/>
                    <w:bidi w:val="0"/>
                    <w:spacing w:line="280" w:lineRule="exact"/>
                    <w:jc w:val="center"/>
                    <w:rPr>
                      <w:szCs w:val="21"/>
                    </w:rPr>
                  </w:pPr>
                </w:p>
              </w:tc>
              <w:tc>
                <w:tcPr>
                  <w:tcW w:w="2449" w:type="dxa"/>
                  <w:noWrap w:val="0"/>
                  <w:vAlign w:val="center"/>
                </w:tcPr>
                <w:p w14:paraId="24D11095">
                  <w:pPr>
                    <w:pageBreakBefore w:val="0"/>
                    <w:kinsoku/>
                    <w:wordWrap/>
                    <w:topLinePunct w:val="0"/>
                    <w:bidi w:val="0"/>
                    <w:spacing w:line="280" w:lineRule="exact"/>
                    <w:jc w:val="center"/>
                    <w:rPr>
                      <w:szCs w:val="21"/>
                    </w:rPr>
                  </w:pPr>
                  <w:r>
                    <w:rPr>
                      <w:szCs w:val="21"/>
                    </w:rPr>
                    <w:t>铬（六价）</w:t>
                  </w:r>
                </w:p>
              </w:tc>
              <w:tc>
                <w:tcPr>
                  <w:tcW w:w="1165" w:type="dxa"/>
                  <w:noWrap w:val="0"/>
                  <w:vAlign w:val="center"/>
                </w:tcPr>
                <w:p w14:paraId="7E646FFF">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&lt;0.5</w:t>
                  </w:r>
                </w:p>
              </w:tc>
              <w:tc>
                <w:tcPr>
                  <w:tcW w:w="1187" w:type="dxa"/>
                  <w:noWrap w:val="0"/>
                  <w:vAlign w:val="center"/>
                </w:tcPr>
                <w:p w14:paraId="43FB9317">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&lt;0.5</w:t>
                  </w:r>
                </w:p>
              </w:tc>
              <w:tc>
                <w:tcPr>
                  <w:tcW w:w="1165" w:type="dxa"/>
                  <w:noWrap w:val="0"/>
                  <w:vAlign w:val="center"/>
                </w:tcPr>
                <w:p w14:paraId="34987F9A">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&lt;0.5</w:t>
                  </w:r>
                </w:p>
              </w:tc>
              <w:tc>
                <w:tcPr>
                  <w:tcW w:w="846" w:type="dxa"/>
                  <w:noWrap w:val="0"/>
                  <w:vAlign w:val="center"/>
                </w:tcPr>
                <w:p w14:paraId="06E56D8D">
                  <w:pPr>
                    <w:pageBreakBefore w:val="0"/>
                    <w:kinsoku/>
                    <w:wordWrap/>
                    <w:topLinePunct w:val="0"/>
                    <w:bidi w:val="0"/>
                    <w:spacing w:line="280" w:lineRule="exact"/>
                    <w:jc w:val="center"/>
                    <w:rPr>
                      <w:szCs w:val="21"/>
                    </w:rPr>
                  </w:pPr>
                  <w:r>
                    <w:rPr>
                      <w:szCs w:val="21"/>
                    </w:rPr>
                    <w:t>5.7</w:t>
                  </w:r>
                </w:p>
              </w:tc>
            </w:tr>
            <w:tr w14:paraId="1E6EE7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517708E9">
                  <w:pPr>
                    <w:pageBreakBefore w:val="0"/>
                    <w:kinsoku/>
                    <w:wordWrap/>
                    <w:topLinePunct w:val="0"/>
                    <w:bidi w:val="0"/>
                    <w:spacing w:line="280" w:lineRule="exact"/>
                    <w:jc w:val="center"/>
                    <w:rPr>
                      <w:szCs w:val="21"/>
                    </w:rPr>
                  </w:pPr>
                </w:p>
              </w:tc>
              <w:tc>
                <w:tcPr>
                  <w:tcW w:w="2449" w:type="dxa"/>
                  <w:noWrap w:val="0"/>
                  <w:vAlign w:val="center"/>
                </w:tcPr>
                <w:p w14:paraId="3E05DED6">
                  <w:pPr>
                    <w:pageBreakBefore w:val="0"/>
                    <w:kinsoku/>
                    <w:wordWrap/>
                    <w:topLinePunct w:val="0"/>
                    <w:bidi w:val="0"/>
                    <w:spacing w:line="280" w:lineRule="exact"/>
                    <w:jc w:val="center"/>
                    <w:rPr>
                      <w:szCs w:val="21"/>
                    </w:rPr>
                  </w:pPr>
                  <w:r>
                    <w:rPr>
                      <w:szCs w:val="21"/>
                    </w:rPr>
                    <w:t>铜</w:t>
                  </w:r>
                </w:p>
              </w:tc>
              <w:tc>
                <w:tcPr>
                  <w:tcW w:w="1165" w:type="dxa"/>
                  <w:noWrap w:val="0"/>
                  <w:vAlign w:val="center"/>
                </w:tcPr>
                <w:p w14:paraId="7D189EF5">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39</w:t>
                  </w:r>
                </w:p>
              </w:tc>
              <w:tc>
                <w:tcPr>
                  <w:tcW w:w="1187" w:type="dxa"/>
                  <w:noWrap w:val="0"/>
                  <w:vAlign w:val="center"/>
                </w:tcPr>
                <w:p w14:paraId="41776A44">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31</w:t>
                  </w:r>
                </w:p>
              </w:tc>
              <w:tc>
                <w:tcPr>
                  <w:tcW w:w="1165" w:type="dxa"/>
                  <w:noWrap w:val="0"/>
                  <w:vAlign w:val="center"/>
                </w:tcPr>
                <w:p w14:paraId="60E75BEC">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29</w:t>
                  </w:r>
                </w:p>
              </w:tc>
              <w:tc>
                <w:tcPr>
                  <w:tcW w:w="846" w:type="dxa"/>
                  <w:noWrap w:val="0"/>
                  <w:vAlign w:val="center"/>
                </w:tcPr>
                <w:p w14:paraId="508B8B25">
                  <w:pPr>
                    <w:pageBreakBefore w:val="0"/>
                    <w:kinsoku/>
                    <w:wordWrap/>
                    <w:topLinePunct w:val="0"/>
                    <w:bidi w:val="0"/>
                    <w:spacing w:line="280" w:lineRule="exact"/>
                    <w:jc w:val="center"/>
                    <w:rPr>
                      <w:szCs w:val="21"/>
                    </w:rPr>
                  </w:pPr>
                  <w:r>
                    <w:rPr>
                      <w:szCs w:val="21"/>
                    </w:rPr>
                    <w:t>18000</w:t>
                  </w:r>
                </w:p>
              </w:tc>
            </w:tr>
            <w:tr w14:paraId="0AF58E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17D6B2E7">
                  <w:pPr>
                    <w:pageBreakBefore w:val="0"/>
                    <w:kinsoku/>
                    <w:wordWrap/>
                    <w:topLinePunct w:val="0"/>
                    <w:bidi w:val="0"/>
                    <w:spacing w:line="280" w:lineRule="exact"/>
                    <w:jc w:val="center"/>
                    <w:rPr>
                      <w:szCs w:val="21"/>
                    </w:rPr>
                  </w:pPr>
                </w:p>
              </w:tc>
              <w:tc>
                <w:tcPr>
                  <w:tcW w:w="2449" w:type="dxa"/>
                  <w:noWrap w:val="0"/>
                  <w:vAlign w:val="center"/>
                </w:tcPr>
                <w:p w14:paraId="09BA0DDE">
                  <w:pPr>
                    <w:pageBreakBefore w:val="0"/>
                    <w:kinsoku/>
                    <w:wordWrap/>
                    <w:topLinePunct w:val="0"/>
                    <w:bidi w:val="0"/>
                    <w:spacing w:line="280" w:lineRule="exact"/>
                    <w:jc w:val="center"/>
                    <w:rPr>
                      <w:szCs w:val="21"/>
                    </w:rPr>
                  </w:pPr>
                  <w:r>
                    <w:rPr>
                      <w:szCs w:val="21"/>
                    </w:rPr>
                    <w:t>铅</w:t>
                  </w:r>
                </w:p>
              </w:tc>
              <w:tc>
                <w:tcPr>
                  <w:tcW w:w="1165" w:type="dxa"/>
                  <w:noWrap w:val="0"/>
                  <w:vAlign w:val="center"/>
                </w:tcPr>
                <w:p w14:paraId="3EA82C75">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32.5</w:t>
                  </w:r>
                </w:p>
              </w:tc>
              <w:tc>
                <w:tcPr>
                  <w:tcW w:w="1187" w:type="dxa"/>
                  <w:noWrap w:val="0"/>
                  <w:vAlign w:val="center"/>
                </w:tcPr>
                <w:p w14:paraId="1A903006">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19.1</w:t>
                  </w:r>
                </w:p>
              </w:tc>
              <w:tc>
                <w:tcPr>
                  <w:tcW w:w="1165" w:type="dxa"/>
                  <w:noWrap w:val="0"/>
                  <w:vAlign w:val="center"/>
                </w:tcPr>
                <w:p w14:paraId="245742BF">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17.1</w:t>
                  </w:r>
                </w:p>
              </w:tc>
              <w:tc>
                <w:tcPr>
                  <w:tcW w:w="846" w:type="dxa"/>
                  <w:noWrap w:val="0"/>
                  <w:vAlign w:val="center"/>
                </w:tcPr>
                <w:p w14:paraId="232F0B02">
                  <w:pPr>
                    <w:pageBreakBefore w:val="0"/>
                    <w:kinsoku/>
                    <w:wordWrap/>
                    <w:topLinePunct w:val="0"/>
                    <w:bidi w:val="0"/>
                    <w:spacing w:line="280" w:lineRule="exact"/>
                    <w:jc w:val="center"/>
                    <w:rPr>
                      <w:szCs w:val="21"/>
                    </w:rPr>
                  </w:pPr>
                  <w:r>
                    <w:rPr>
                      <w:szCs w:val="21"/>
                    </w:rPr>
                    <w:t>800</w:t>
                  </w:r>
                </w:p>
              </w:tc>
            </w:tr>
            <w:tr w14:paraId="47AB8E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60FBF0A6">
                  <w:pPr>
                    <w:pageBreakBefore w:val="0"/>
                    <w:kinsoku/>
                    <w:wordWrap/>
                    <w:topLinePunct w:val="0"/>
                    <w:bidi w:val="0"/>
                    <w:spacing w:line="280" w:lineRule="exact"/>
                    <w:jc w:val="center"/>
                    <w:rPr>
                      <w:szCs w:val="21"/>
                    </w:rPr>
                  </w:pPr>
                </w:p>
              </w:tc>
              <w:tc>
                <w:tcPr>
                  <w:tcW w:w="2449" w:type="dxa"/>
                  <w:noWrap w:val="0"/>
                  <w:vAlign w:val="center"/>
                </w:tcPr>
                <w:p w14:paraId="06B50EEA">
                  <w:pPr>
                    <w:pageBreakBefore w:val="0"/>
                    <w:kinsoku/>
                    <w:wordWrap/>
                    <w:topLinePunct w:val="0"/>
                    <w:bidi w:val="0"/>
                    <w:spacing w:line="280" w:lineRule="exact"/>
                    <w:jc w:val="center"/>
                    <w:rPr>
                      <w:szCs w:val="21"/>
                    </w:rPr>
                  </w:pPr>
                  <w:r>
                    <w:rPr>
                      <w:szCs w:val="21"/>
                    </w:rPr>
                    <w:t>汞</w:t>
                  </w:r>
                </w:p>
              </w:tc>
              <w:tc>
                <w:tcPr>
                  <w:tcW w:w="1165" w:type="dxa"/>
                  <w:noWrap w:val="0"/>
                  <w:vAlign w:val="center"/>
                </w:tcPr>
                <w:p w14:paraId="02B5C398">
                  <w:pPr>
                    <w:pageBreakBefore w:val="0"/>
                    <w:widowControl/>
                    <w:kinsoku/>
                    <w:wordWrap/>
                    <w:topLinePunct w:val="0"/>
                    <w:bidi w:val="0"/>
                    <w:spacing w:line="280" w:lineRule="exact"/>
                    <w:jc w:val="center"/>
                    <w:textAlignment w:val="center"/>
                    <w:rPr>
                      <w:szCs w:val="21"/>
                    </w:rPr>
                  </w:pPr>
                  <w:r>
                    <w:rPr>
                      <w:rFonts w:hint="eastAsia"/>
                      <w:szCs w:val="21"/>
                      <w:lang w:val="en-US" w:eastAsia="zh-CN"/>
                    </w:rPr>
                    <w:t>0.134</w:t>
                  </w:r>
                </w:p>
              </w:tc>
              <w:tc>
                <w:tcPr>
                  <w:tcW w:w="1187" w:type="dxa"/>
                  <w:noWrap w:val="0"/>
                  <w:vAlign w:val="center"/>
                </w:tcPr>
                <w:p w14:paraId="0C09DE56">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0.057</w:t>
                  </w:r>
                </w:p>
              </w:tc>
              <w:tc>
                <w:tcPr>
                  <w:tcW w:w="1165" w:type="dxa"/>
                  <w:noWrap w:val="0"/>
                  <w:vAlign w:val="center"/>
                </w:tcPr>
                <w:p w14:paraId="695CC2BC">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0.085</w:t>
                  </w:r>
                </w:p>
              </w:tc>
              <w:tc>
                <w:tcPr>
                  <w:tcW w:w="846" w:type="dxa"/>
                  <w:noWrap w:val="0"/>
                  <w:vAlign w:val="center"/>
                </w:tcPr>
                <w:p w14:paraId="0195193D">
                  <w:pPr>
                    <w:pageBreakBefore w:val="0"/>
                    <w:kinsoku/>
                    <w:wordWrap/>
                    <w:topLinePunct w:val="0"/>
                    <w:bidi w:val="0"/>
                    <w:spacing w:line="280" w:lineRule="exact"/>
                    <w:jc w:val="center"/>
                    <w:rPr>
                      <w:szCs w:val="21"/>
                    </w:rPr>
                  </w:pPr>
                  <w:r>
                    <w:rPr>
                      <w:szCs w:val="21"/>
                    </w:rPr>
                    <w:t>38</w:t>
                  </w:r>
                </w:p>
              </w:tc>
            </w:tr>
            <w:tr w14:paraId="3C47E9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1B4A8222">
                  <w:pPr>
                    <w:pageBreakBefore w:val="0"/>
                    <w:kinsoku/>
                    <w:wordWrap/>
                    <w:topLinePunct w:val="0"/>
                    <w:bidi w:val="0"/>
                    <w:spacing w:line="280" w:lineRule="exact"/>
                    <w:jc w:val="center"/>
                    <w:rPr>
                      <w:szCs w:val="21"/>
                    </w:rPr>
                  </w:pPr>
                </w:p>
              </w:tc>
              <w:tc>
                <w:tcPr>
                  <w:tcW w:w="2449" w:type="dxa"/>
                  <w:noWrap w:val="0"/>
                  <w:vAlign w:val="center"/>
                </w:tcPr>
                <w:p w14:paraId="33E6B18F">
                  <w:pPr>
                    <w:pageBreakBefore w:val="0"/>
                    <w:kinsoku/>
                    <w:wordWrap/>
                    <w:topLinePunct w:val="0"/>
                    <w:bidi w:val="0"/>
                    <w:spacing w:line="280" w:lineRule="exact"/>
                    <w:jc w:val="center"/>
                    <w:rPr>
                      <w:szCs w:val="21"/>
                    </w:rPr>
                  </w:pPr>
                  <w:r>
                    <w:rPr>
                      <w:szCs w:val="21"/>
                    </w:rPr>
                    <w:t>镍</w:t>
                  </w:r>
                </w:p>
              </w:tc>
              <w:tc>
                <w:tcPr>
                  <w:tcW w:w="1165" w:type="dxa"/>
                  <w:noWrap w:val="0"/>
                  <w:vAlign w:val="center"/>
                </w:tcPr>
                <w:p w14:paraId="1CA0ADFC">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41</w:t>
                  </w:r>
                </w:p>
              </w:tc>
              <w:tc>
                <w:tcPr>
                  <w:tcW w:w="1187" w:type="dxa"/>
                  <w:noWrap w:val="0"/>
                  <w:vAlign w:val="center"/>
                </w:tcPr>
                <w:p w14:paraId="6F323472">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24</w:t>
                  </w:r>
                </w:p>
              </w:tc>
              <w:tc>
                <w:tcPr>
                  <w:tcW w:w="1165" w:type="dxa"/>
                  <w:noWrap w:val="0"/>
                  <w:vAlign w:val="center"/>
                </w:tcPr>
                <w:p w14:paraId="1172D687">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25</w:t>
                  </w:r>
                </w:p>
              </w:tc>
              <w:tc>
                <w:tcPr>
                  <w:tcW w:w="846" w:type="dxa"/>
                  <w:noWrap w:val="0"/>
                  <w:vAlign w:val="center"/>
                </w:tcPr>
                <w:p w14:paraId="612F6BB6">
                  <w:pPr>
                    <w:pageBreakBefore w:val="0"/>
                    <w:kinsoku/>
                    <w:wordWrap/>
                    <w:topLinePunct w:val="0"/>
                    <w:bidi w:val="0"/>
                    <w:spacing w:line="280" w:lineRule="exact"/>
                    <w:jc w:val="center"/>
                    <w:rPr>
                      <w:szCs w:val="21"/>
                    </w:rPr>
                  </w:pPr>
                  <w:r>
                    <w:rPr>
                      <w:szCs w:val="21"/>
                    </w:rPr>
                    <w:t>900</w:t>
                  </w:r>
                </w:p>
              </w:tc>
            </w:tr>
            <w:tr w14:paraId="60CEDF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restart"/>
                  <w:noWrap w:val="0"/>
                  <w:vAlign w:val="center"/>
                </w:tcPr>
                <w:p w14:paraId="622795B1">
                  <w:pPr>
                    <w:pageBreakBefore w:val="0"/>
                    <w:kinsoku/>
                    <w:wordWrap/>
                    <w:topLinePunct w:val="0"/>
                    <w:bidi w:val="0"/>
                    <w:spacing w:line="280" w:lineRule="exact"/>
                    <w:jc w:val="center"/>
                    <w:rPr>
                      <w:sz w:val="22"/>
                      <w:szCs w:val="22"/>
                    </w:rPr>
                  </w:pPr>
                  <w:r>
                    <w:rPr>
                      <w:sz w:val="22"/>
                      <w:szCs w:val="22"/>
                    </w:rPr>
                    <w:t>选址内部右侧</w:t>
                  </w:r>
                </w:p>
              </w:tc>
              <w:tc>
                <w:tcPr>
                  <w:tcW w:w="2449" w:type="dxa"/>
                  <w:noWrap w:val="0"/>
                  <w:vAlign w:val="center"/>
                </w:tcPr>
                <w:p w14:paraId="65D579C3">
                  <w:pPr>
                    <w:pageBreakBefore w:val="0"/>
                    <w:kinsoku/>
                    <w:wordWrap/>
                    <w:topLinePunct w:val="0"/>
                    <w:bidi w:val="0"/>
                    <w:spacing w:line="280" w:lineRule="exact"/>
                    <w:jc w:val="center"/>
                    <w:rPr>
                      <w:szCs w:val="21"/>
                    </w:rPr>
                  </w:pPr>
                  <w:r>
                    <w:rPr>
                      <w:szCs w:val="21"/>
                    </w:rPr>
                    <w:t>pH</w:t>
                  </w:r>
                </w:p>
              </w:tc>
              <w:tc>
                <w:tcPr>
                  <w:tcW w:w="1165" w:type="dxa"/>
                  <w:noWrap w:val="0"/>
                  <w:vAlign w:val="center"/>
                </w:tcPr>
                <w:p w14:paraId="73D2438B">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8.7</w:t>
                  </w:r>
                </w:p>
              </w:tc>
              <w:tc>
                <w:tcPr>
                  <w:tcW w:w="1187" w:type="dxa"/>
                  <w:noWrap w:val="0"/>
                  <w:vAlign w:val="center"/>
                </w:tcPr>
                <w:p w14:paraId="10C31226">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8.7</w:t>
                  </w:r>
                </w:p>
              </w:tc>
              <w:tc>
                <w:tcPr>
                  <w:tcW w:w="1165" w:type="dxa"/>
                  <w:noWrap w:val="0"/>
                  <w:vAlign w:val="center"/>
                </w:tcPr>
                <w:p w14:paraId="4C5B6BEF">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8.6</w:t>
                  </w:r>
                </w:p>
              </w:tc>
              <w:tc>
                <w:tcPr>
                  <w:tcW w:w="846" w:type="dxa"/>
                  <w:noWrap w:val="0"/>
                  <w:vAlign w:val="center"/>
                </w:tcPr>
                <w:p w14:paraId="732BE28C">
                  <w:pPr>
                    <w:pageBreakBefore w:val="0"/>
                    <w:kinsoku/>
                    <w:wordWrap/>
                    <w:topLinePunct w:val="0"/>
                    <w:bidi w:val="0"/>
                    <w:spacing w:line="280" w:lineRule="exact"/>
                    <w:jc w:val="center"/>
                    <w:rPr>
                      <w:szCs w:val="21"/>
                    </w:rPr>
                  </w:pPr>
                  <w:r>
                    <w:rPr>
                      <w:szCs w:val="21"/>
                    </w:rPr>
                    <w:t>/</w:t>
                  </w:r>
                </w:p>
              </w:tc>
            </w:tr>
            <w:tr w14:paraId="3E2C92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28B16AFF">
                  <w:pPr>
                    <w:pageBreakBefore w:val="0"/>
                    <w:kinsoku/>
                    <w:wordWrap/>
                    <w:topLinePunct w:val="0"/>
                    <w:bidi w:val="0"/>
                    <w:spacing w:line="280" w:lineRule="exact"/>
                    <w:jc w:val="center"/>
                    <w:rPr>
                      <w:szCs w:val="21"/>
                    </w:rPr>
                  </w:pPr>
                </w:p>
              </w:tc>
              <w:tc>
                <w:tcPr>
                  <w:tcW w:w="2449" w:type="dxa"/>
                  <w:noWrap w:val="0"/>
                  <w:vAlign w:val="center"/>
                </w:tcPr>
                <w:p w14:paraId="6183E593">
                  <w:pPr>
                    <w:pageBreakBefore w:val="0"/>
                    <w:kinsoku/>
                    <w:wordWrap/>
                    <w:topLinePunct w:val="0"/>
                    <w:bidi w:val="0"/>
                    <w:spacing w:line="280" w:lineRule="exact"/>
                    <w:jc w:val="center"/>
                    <w:rPr>
                      <w:szCs w:val="21"/>
                    </w:rPr>
                  </w:pPr>
                  <w:r>
                    <w:rPr>
                      <w:szCs w:val="21"/>
                    </w:rPr>
                    <w:t>砷</w:t>
                  </w:r>
                </w:p>
              </w:tc>
              <w:tc>
                <w:tcPr>
                  <w:tcW w:w="1165" w:type="dxa"/>
                  <w:noWrap w:val="0"/>
                  <w:vAlign w:val="center"/>
                </w:tcPr>
                <w:p w14:paraId="70CE7F0E">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9.21</w:t>
                  </w:r>
                </w:p>
              </w:tc>
              <w:tc>
                <w:tcPr>
                  <w:tcW w:w="1187" w:type="dxa"/>
                  <w:noWrap w:val="0"/>
                  <w:vAlign w:val="center"/>
                </w:tcPr>
                <w:p w14:paraId="058539B9">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7.54</w:t>
                  </w:r>
                </w:p>
              </w:tc>
              <w:tc>
                <w:tcPr>
                  <w:tcW w:w="1165" w:type="dxa"/>
                  <w:noWrap w:val="0"/>
                  <w:vAlign w:val="center"/>
                </w:tcPr>
                <w:p w14:paraId="1FA73F4A">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8.39</w:t>
                  </w:r>
                </w:p>
              </w:tc>
              <w:tc>
                <w:tcPr>
                  <w:tcW w:w="846" w:type="dxa"/>
                  <w:noWrap w:val="0"/>
                  <w:vAlign w:val="center"/>
                </w:tcPr>
                <w:p w14:paraId="1B97DA42">
                  <w:pPr>
                    <w:pageBreakBefore w:val="0"/>
                    <w:kinsoku/>
                    <w:wordWrap/>
                    <w:topLinePunct w:val="0"/>
                    <w:bidi w:val="0"/>
                    <w:spacing w:line="280" w:lineRule="exact"/>
                    <w:jc w:val="center"/>
                    <w:rPr>
                      <w:szCs w:val="21"/>
                    </w:rPr>
                  </w:pPr>
                  <w:r>
                    <w:rPr>
                      <w:szCs w:val="21"/>
                    </w:rPr>
                    <w:t>60</w:t>
                  </w:r>
                </w:p>
              </w:tc>
            </w:tr>
            <w:tr w14:paraId="188747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77F42C6E">
                  <w:pPr>
                    <w:pageBreakBefore w:val="0"/>
                    <w:kinsoku/>
                    <w:wordWrap/>
                    <w:topLinePunct w:val="0"/>
                    <w:bidi w:val="0"/>
                    <w:spacing w:line="280" w:lineRule="exact"/>
                    <w:jc w:val="center"/>
                    <w:rPr>
                      <w:szCs w:val="21"/>
                    </w:rPr>
                  </w:pPr>
                </w:p>
              </w:tc>
              <w:tc>
                <w:tcPr>
                  <w:tcW w:w="2449" w:type="dxa"/>
                  <w:noWrap w:val="0"/>
                  <w:vAlign w:val="center"/>
                </w:tcPr>
                <w:p w14:paraId="41FBDAE1">
                  <w:pPr>
                    <w:pageBreakBefore w:val="0"/>
                    <w:kinsoku/>
                    <w:wordWrap/>
                    <w:topLinePunct w:val="0"/>
                    <w:bidi w:val="0"/>
                    <w:spacing w:line="280" w:lineRule="exact"/>
                    <w:jc w:val="center"/>
                    <w:rPr>
                      <w:szCs w:val="21"/>
                    </w:rPr>
                  </w:pPr>
                  <w:r>
                    <w:rPr>
                      <w:szCs w:val="21"/>
                    </w:rPr>
                    <w:t>镉</w:t>
                  </w:r>
                </w:p>
              </w:tc>
              <w:tc>
                <w:tcPr>
                  <w:tcW w:w="1165" w:type="dxa"/>
                  <w:noWrap w:val="0"/>
                  <w:vAlign w:val="center"/>
                </w:tcPr>
                <w:p w14:paraId="0EF83D4A">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0.78</w:t>
                  </w:r>
                </w:p>
              </w:tc>
              <w:tc>
                <w:tcPr>
                  <w:tcW w:w="1187" w:type="dxa"/>
                  <w:noWrap w:val="0"/>
                  <w:vAlign w:val="center"/>
                </w:tcPr>
                <w:p w14:paraId="06DAD9D8">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0.31</w:t>
                  </w:r>
                </w:p>
              </w:tc>
              <w:tc>
                <w:tcPr>
                  <w:tcW w:w="1165" w:type="dxa"/>
                  <w:noWrap w:val="0"/>
                  <w:vAlign w:val="center"/>
                </w:tcPr>
                <w:p w14:paraId="63EAF28D">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0.32</w:t>
                  </w:r>
                </w:p>
              </w:tc>
              <w:tc>
                <w:tcPr>
                  <w:tcW w:w="846" w:type="dxa"/>
                  <w:noWrap w:val="0"/>
                  <w:vAlign w:val="center"/>
                </w:tcPr>
                <w:p w14:paraId="23FF0930">
                  <w:pPr>
                    <w:pageBreakBefore w:val="0"/>
                    <w:kinsoku/>
                    <w:wordWrap/>
                    <w:topLinePunct w:val="0"/>
                    <w:bidi w:val="0"/>
                    <w:spacing w:line="280" w:lineRule="exact"/>
                    <w:jc w:val="center"/>
                    <w:rPr>
                      <w:szCs w:val="21"/>
                    </w:rPr>
                  </w:pPr>
                  <w:r>
                    <w:rPr>
                      <w:szCs w:val="21"/>
                    </w:rPr>
                    <w:t>65</w:t>
                  </w:r>
                </w:p>
              </w:tc>
            </w:tr>
            <w:tr w14:paraId="0547B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351D41B0">
                  <w:pPr>
                    <w:pageBreakBefore w:val="0"/>
                    <w:kinsoku/>
                    <w:wordWrap/>
                    <w:topLinePunct w:val="0"/>
                    <w:bidi w:val="0"/>
                    <w:spacing w:line="280" w:lineRule="exact"/>
                    <w:jc w:val="center"/>
                    <w:rPr>
                      <w:szCs w:val="21"/>
                    </w:rPr>
                  </w:pPr>
                </w:p>
              </w:tc>
              <w:tc>
                <w:tcPr>
                  <w:tcW w:w="2449" w:type="dxa"/>
                  <w:noWrap w:val="0"/>
                  <w:vAlign w:val="center"/>
                </w:tcPr>
                <w:p w14:paraId="7094A8AB">
                  <w:pPr>
                    <w:pageBreakBefore w:val="0"/>
                    <w:kinsoku/>
                    <w:wordWrap/>
                    <w:topLinePunct w:val="0"/>
                    <w:bidi w:val="0"/>
                    <w:spacing w:line="280" w:lineRule="exact"/>
                    <w:jc w:val="center"/>
                    <w:rPr>
                      <w:szCs w:val="21"/>
                    </w:rPr>
                  </w:pPr>
                  <w:r>
                    <w:rPr>
                      <w:szCs w:val="21"/>
                    </w:rPr>
                    <w:t>铬（六价）</w:t>
                  </w:r>
                </w:p>
              </w:tc>
              <w:tc>
                <w:tcPr>
                  <w:tcW w:w="1165" w:type="dxa"/>
                  <w:noWrap w:val="0"/>
                  <w:vAlign w:val="center"/>
                </w:tcPr>
                <w:p w14:paraId="497BF093">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&lt;0.5</w:t>
                  </w:r>
                </w:p>
              </w:tc>
              <w:tc>
                <w:tcPr>
                  <w:tcW w:w="1187" w:type="dxa"/>
                  <w:noWrap w:val="0"/>
                  <w:vAlign w:val="center"/>
                </w:tcPr>
                <w:p w14:paraId="63AC0081">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&lt;0.5</w:t>
                  </w:r>
                </w:p>
              </w:tc>
              <w:tc>
                <w:tcPr>
                  <w:tcW w:w="1165" w:type="dxa"/>
                  <w:noWrap w:val="0"/>
                  <w:vAlign w:val="center"/>
                </w:tcPr>
                <w:p w14:paraId="3B2D7EA8">
                  <w:pPr>
                    <w:pageBreakBefore w:val="0"/>
                    <w:widowControl/>
                    <w:kinsoku/>
                    <w:wordWrap/>
                    <w:topLinePunct w:val="0"/>
                    <w:bidi w:val="0"/>
                    <w:spacing w:line="280" w:lineRule="exact"/>
                    <w:jc w:val="center"/>
                    <w:textAlignment w:val="center"/>
                    <w:rPr>
                      <w:rFonts w:hint="default"/>
                      <w:szCs w:val="21"/>
                      <w:lang w:val="en-US"/>
                    </w:rPr>
                  </w:pPr>
                  <w:r>
                    <w:rPr>
                      <w:rFonts w:hint="eastAsia"/>
                      <w:szCs w:val="21"/>
                      <w:lang w:val="en-US" w:eastAsia="zh-CN"/>
                    </w:rPr>
                    <w:t>&lt;0.5</w:t>
                  </w:r>
                </w:p>
              </w:tc>
              <w:tc>
                <w:tcPr>
                  <w:tcW w:w="846" w:type="dxa"/>
                  <w:noWrap w:val="0"/>
                  <w:vAlign w:val="center"/>
                </w:tcPr>
                <w:p w14:paraId="4A310D69">
                  <w:pPr>
                    <w:pageBreakBefore w:val="0"/>
                    <w:kinsoku/>
                    <w:wordWrap/>
                    <w:topLinePunct w:val="0"/>
                    <w:bidi w:val="0"/>
                    <w:spacing w:line="280" w:lineRule="exact"/>
                    <w:jc w:val="center"/>
                    <w:rPr>
                      <w:szCs w:val="21"/>
                    </w:rPr>
                  </w:pPr>
                  <w:r>
                    <w:rPr>
                      <w:szCs w:val="21"/>
                    </w:rPr>
                    <w:t>5.7</w:t>
                  </w:r>
                </w:p>
              </w:tc>
            </w:tr>
            <w:tr w14:paraId="33CE4F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59EF6285">
                  <w:pPr>
                    <w:pageBreakBefore w:val="0"/>
                    <w:kinsoku/>
                    <w:wordWrap/>
                    <w:topLinePunct w:val="0"/>
                    <w:bidi w:val="0"/>
                    <w:spacing w:line="280" w:lineRule="exact"/>
                    <w:jc w:val="center"/>
                    <w:rPr>
                      <w:szCs w:val="21"/>
                    </w:rPr>
                  </w:pPr>
                </w:p>
              </w:tc>
              <w:tc>
                <w:tcPr>
                  <w:tcW w:w="2449" w:type="dxa"/>
                  <w:noWrap w:val="0"/>
                  <w:vAlign w:val="center"/>
                </w:tcPr>
                <w:p w14:paraId="012B87CB">
                  <w:pPr>
                    <w:pageBreakBefore w:val="0"/>
                    <w:kinsoku/>
                    <w:wordWrap/>
                    <w:topLinePunct w:val="0"/>
                    <w:bidi w:val="0"/>
                    <w:spacing w:line="280" w:lineRule="exact"/>
                    <w:jc w:val="center"/>
                    <w:rPr>
                      <w:szCs w:val="21"/>
                    </w:rPr>
                  </w:pPr>
                  <w:r>
                    <w:rPr>
                      <w:szCs w:val="21"/>
                    </w:rPr>
                    <w:t>铜</w:t>
                  </w:r>
                </w:p>
              </w:tc>
              <w:tc>
                <w:tcPr>
                  <w:tcW w:w="1165" w:type="dxa"/>
                  <w:noWrap w:val="0"/>
                  <w:vAlign w:val="center"/>
                </w:tcPr>
                <w:p w14:paraId="1391ABFE">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26</w:t>
                  </w:r>
                </w:p>
              </w:tc>
              <w:tc>
                <w:tcPr>
                  <w:tcW w:w="1187" w:type="dxa"/>
                  <w:noWrap w:val="0"/>
                  <w:vAlign w:val="center"/>
                </w:tcPr>
                <w:p w14:paraId="79D8DF28">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29</w:t>
                  </w:r>
                </w:p>
              </w:tc>
              <w:tc>
                <w:tcPr>
                  <w:tcW w:w="1165" w:type="dxa"/>
                  <w:noWrap w:val="0"/>
                  <w:vAlign w:val="center"/>
                </w:tcPr>
                <w:p w14:paraId="17F4C1E4">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28</w:t>
                  </w:r>
                </w:p>
              </w:tc>
              <w:tc>
                <w:tcPr>
                  <w:tcW w:w="846" w:type="dxa"/>
                  <w:noWrap w:val="0"/>
                  <w:vAlign w:val="center"/>
                </w:tcPr>
                <w:p w14:paraId="140F39EC">
                  <w:pPr>
                    <w:pageBreakBefore w:val="0"/>
                    <w:kinsoku/>
                    <w:wordWrap/>
                    <w:topLinePunct w:val="0"/>
                    <w:bidi w:val="0"/>
                    <w:spacing w:line="280" w:lineRule="exact"/>
                    <w:jc w:val="center"/>
                    <w:rPr>
                      <w:szCs w:val="21"/>
                    </w:rPr>
                  </w:pPr>
                  <w:r>
                    <w:rPr>
                      <w:szCs w:val="21"/>
                    </w:rPr>
                    <w:t>18000</w:t>
                  </w:r>
                </w:p>
              </w:tc>
            </w:tr>
            <w:tr w14:paraId="100D1B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00AE4583">
                  <w:pPr>
                    <w:pageBreakBefore w:val="0"/>
                    <w:kinsoku/>
                    <w:wordWrap/>
                    <w:topLinePunct w:val="0"/>
                    <w:bidi w:val="0"/>
                    <w:spacing w:line="280" w:lineRule="exact"/>
                    <w:jc w:val="center"/>
                    <w:rPr>
                      <w:szCs w:val="21"/>
                    </w:rPr>
                  </w:pPr>
                </w:p>
              </w:tc>
              <w:tc>
                <w:tcPr>
                  <w:tcW w:w="2449" w:type="dxa"/>
                  <w:noWrap w:val="0"/>
                  <w:vAlign w:val="center"/>
                </w:tcPr>
                <w:p w14:paraId="22BCEB55">
                  <w:pPr>
                    <w:pageBreakBefore w:val="0"/>
                    <w:kinsoku/>
                    <w:wordWrap/>
                    <w:topLinePunct w:val="0"/>
                    <w:bidi w:val="0"/>
                    <w:spacing w:line="280" w:lineRule="exact"/>
                    <w:jc w:val="center"/>
                    <w:rPr>
                      <w:szCs w:val="21"/>
                    </w:rPr>
                  </w:pPr>
                  <w:r>
                    <w:rPr>
                      <w:szCs w:val="21"/>
                    </w:rPr>
                    <w:t>铅</w:t>
                  </w:r>
                </w:p>
              </w:tc>
              <w:tc>
                <w:tcPr>
                  <w:tcW w:w="1165" w:type="dxa"/>
                  <w:noWrap w:val="0"/>
                  <w:vAlign w:val="center"/>
                </w:tcPr>
                <w:p w14:paraId="3034050F">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31.7</w:t>
                  </w:r>
                </w:p>
              </w:tc>
              <w:tc>
                <w:tcPr>
                  <w:tcW w:w="1187" w:type="dxa"/>
                  <w:noWrap w:val="0"/>
                  <w:vAlign w:val="center"/>
                </w:tcPr>
                <w:p w14:paraId="740CE9DB">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44.4</w:t>
                  </w:r>
                </w:p>
              </w:tc>
              <w:tc>
                <w:tcPr>
                  <w:tcW w:w="1165" w:type="dxa"/>
                  <w:noWrap w:val="0"/>
                  <w:vAlign w:val="center"/>
                </w:tcPr>
                <w:p w14:paraId="2F66EC5B">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34.2</w:t>
                  </w:r>
                </w:p>
              </w:tc>
              <w:tc>
                <w:tcPr>
                  <w:tcW w:w="846" w:type="dxa"/>
                  <w:noWrap w:val="0"/>
                  <w:vAlign w:val="center"/>
                </w:tcPr>
                <w:p w14:paraId="6D3FC22C">
                  <w:pPr>
                    <w:pageBreakBefore w:val="0"/>
                    <w:kinsoku/>
                    <w:wordWrap/>
                    <w:topLinePunct w:val="0"/>
                    <w:bidi w:val="0"/>
                    <w:spacing w:line="280" w:lineRule="exact"/>
                    <w:jc w:val="center"/>
                    <w:rPr>
                      <w:szCs w:val="21"/>
                    </w:rPr>
                  </w:pPr>
                  <w:r>
                    <w:rPr>
                      <w:szCs w:val="21"/>
                    </w:rPr>
                    <w:t>800</w:t>
                  </w:r>
                </w:p>
              </w:tc>
            </w:tr>
            <w:tr w14:paraId="52D7A9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7F5563AE">
                  <w:pPr>
                    <w:pageBreakBefore w:val="0"/>
                    <w:kinsoku/>
                    <w:wordWrap/>
                    <w:topLinePunct w:val="0"/>
                    <w:bidi w:val="0"/>
                    <w:spacing w:line="280" w:lineRule="exact"/>
                    <w:jc w:val="center"/>
                    <w:rPr>
                      <w:szCs w:val="21"/>
                    </w:rPr>
                  </w:pPr>
                </w:p>
              </w:tc>
              <w:tc>
                <w:tcPr>
                  <w:tcW w:w="2449" w:type="dxa"/>
                  <w:noWrap w:val="0"/>
                  <w:vAlign w:val="center"/>
                </w:tcPr>
                <w:p w14:paraId="695372EA">
                  <w:pPr>
                    <w:pageBreakBefore w:val="0"/>
                    <w:kinsoku/>
                    <w:wordWrap/>
                    <w:topLinePunct w:val="0"/>
                    <w:bidi w:val="0"/>
                    <w:spacing w:line="280" w:lineRule="exact"/>
                    <w:jc w:val="center"/>
                    <w:rPr>
                      <w:szCs w:val="21"/>
                    </w:rPr>
                  </w:pPr>
                  <w:r>
                    <w:rPr>
                      <w:szCs w:val="21"/>
                    </w:rPr>
                    <w:t>汞</w:t>
                  </w:r>
                </w:p>
              </w:tc>
              <w:tc>
                <w:tcPr>
                  <w:tcW w:w="1165" w:type="dxa"/>
                  <w:noWrap w:val="0"/>
                  <w:vAlign w:val="center"/>
                </w:tcPr>
                <w:p w14:paraId="4C7B08F5">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0.058</w:t>
                  </w:r>
                </w:p>
              </w:tc>
              <w:tc>
                <w:tcPr>
                  <w:tcW w:w="1187" w:type="dxa"/>
                  <w:noWrap w:val="0"/>
                  <w:vAlign w:val="center"/>
                </w:tcPr>
                <w:p w14:paraId="11269EB3">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0.069</w:t>
                  </w:r>
                </w:p>
              </w:tc>
              <w:tc>
                <w:tcPr>
                  <w:tcW w:w="1165" w:type="dxa"/>
                  <w:noWrap w:val="0"/>
                  <w:vAlign w:val="center"/>
                </w:tcPr>
                <w:p w14:paraId="0E8B7D25">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0.074</w:t>
                  </w:r>
                </w:p>
              </w:tc>
              <w:tc>
                <w:tcPr>
                  <w:tcW w:w="846" w:type="dxa"/>
                  <w:noWrap w:val="0"/>
                  <w:vAlign w:val="center"/>
                </w:tcPr>
                <w:p w14:paraId="7E288EB5">
                  <w:pPr>
                    <w:pageBreakBefore w:val="0"/>
                    <w:kinsoku/>
                    <w:wordWrap/>
                    <w:topLinePunct w:val="0"/>
                    <w:bidi w:val="0"/>
                    <w:spacing w:line="280" w:lineRule="exact"/>
                    <w:jc w:val="center"/>
                    <w:rPr>
                      <w:szCs w:val="21"/>
                    </w:rPr>
                  </w:pPr>
                  <w:r>
                    <w:rPr>
                      <w:szCs w:val="21"/>
                    </w:rPr>
                    <w:t>38</w:t>
                  </w:r>
                </w:p>
              </w:tc>
            </w:tr>
            <w:tr w14:paraId="4913CE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692" w:type="dxa"/>
                  <w:vMerge w:val="continue"/>
                  <w:noWrap w:val="0"/>
                  <w:vAlign w:val="center"/>
                </w:tcPr>
                <w:p w14:paraId="6ADA15AE">
                  <w:pPr>
                    <w:pageBreakBefore w:val="0"/>
                    <w:kinsoku/>
                    <w:wordWrap/>
                    <w:topLinePunct w:val="0"/>
                    <w:bidi w:val="0"/>
                    <w:spacing w:line="280" w:lineRule="exact"/>
                    <w:jc w:val="center"/>
                    <w:rPr>
                      <w:szCs w:val="21"/>
                    </w:rPr>
                  </w:pPr>
                </w:p>
              </w:tc>
              <w:tc>
                <w:tcPr>
                  <w:tcW w:w="2449" w:type="dxa"/>
                  <w:noWrap w:val="0"/>
                  <w:vAlign w:val="center"/>
                </w:tcPr>
                <w:p w14:paraId="5D0EE8B1">
                  <w:pPr>
                    <w:pageBreakBefore w:val="0"/>
                    <w:kinsoku/>
                    <w:wordWrap/>
                    <w:topLinePunct w:val="0"/>
                    <w:bidi w:val="0"/>
                    <w:spacing w:line="280" w:lineRule="exact"/>
                    <w:jc w:val="center"/>
                    <w:rPr>
                      <w:szCs w:val="21"/>
                    </w:rPr>
                  </w:pPr>
                  <w:r>
                    <w:rPr>
                      <w:szCs w:val="21"/>
                    </w:rPr>
                    <w:t>镍</w:t>
                  </w:r>
                </w:p>
              </w:tc>
              <w:tc>
                <w:tcPr>
                  <w:tcW w:w="1165" w:type="dxa"/>
                  <w:noWrap w:val="0"/>
                  <w:vAlign w:val="center"/>
                </w:tcPr>
                <w:p w14:paraId="0D94A4B7">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15</w:t>
                  </w:r>
                </w:p>
              </w:tc>
              <w:tc>
                <w:tcPr>
                  <w:tcW w:w="1187" w:type="dxa"/>
                  <w:noWrap w:val="0"/>
                  <w:vAlign w:val="center"/>
                </w:tcPr>
                <w:p w14:paraId="01EE3EFF">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21</w:t>
                  </w:r>
                </w:p>
              </w:tc>
              <w:tc>
                <w:tcPr>
                  <w:tcW w:w="1165" w:type="dxa"/>
                  <w:noWrap w:val="0"/>
                  <w:vAlign w:val="center"/>
                </w:tcPr>
                <w:p w14:paraId="4363C5A4">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14</w:t>
                  </w:r>
                </w:p>
              </w:tc>
              <w:tc>
                <w:tcPr>
                  <w:tcW w:w="846" w:type="dxa"/>
                  <w:noWrap w:val="0"/>
                  <w:vAlign w:val="center"/>
                </w:tcPr>
                <w:p w14:paraId="044842AA">
                  <w:pPr>
                    <w:pageBreakBefore w:val="0"/>
                    <w:kinsoku/>
                    <w:wordWrap/>
                    <w:topLinePunct w:val="0"/>
                    <w:bidi w:val="0"/>
                    <w:spacing w:line="280" w:lineRule="exact"/>
                    <w:jc w:val="center"/>
                    <w:rPr>
                      <w:szCs w:val="21"/>
                    </w:rPr>
                  </w:pPr>
                  <w:r>
                    <w:rPr>
                      <w:szCs w:val="21"/>
                    </w:rPr>
                    <w:t>900</w:t>
                  </w:r>
                </w:p>
              </w:tc>
            </w:tr>
          </w:tbl>
          <w:p w14:paraId="0DF6C6FE">
            <w:pPr>
              <w:pageBreakBefore w:val="0"/>
              <w:kinsoku/>
              <w:wordWrap/>
              <w:topLinePunct w:val="0"/>
              <w:bidi w:val="0"/>
              <w:spacing w:line="360" w:lineRule="auto"/>
              <w:jc w:val="center"/>
              <w:rPr>
                <w:sz w:val="24"/>
              </w:rPr>
            </w:pPr>
            <w:r>
              <w:rPr>
                <w:rFonts w:eastAsia="黑体"/>
                <w:bCs/>
                <w:kern w:val="0"/>
                <w:szCs w:val="21"/>
              </w:rPr>
              <w:t>表3-</w:t>
            </w:r>
            <w:r>
              <w:rPr>
                <w:rFonts w:hint="eastAsia" w:eastAsia="黑体"/>
                <w:bCs/>
                <w:kern w:val="0"/>
                <w:szCs w:val="21"/>
                <w:lang w:val="en-US" w:eastAsia="zh-CN"/>
              </w:rPr>
              <w:t>10</w:t>
            </w:r>
            <w:r>
              <w:rPr>
                <w:rFonts w:eastAsia="黑体"/>
                <w:bCs/>
                <w:kern w:val="0"/>
                <w:szCs w:val="21"/>
              </w:rPr>
              <w:t xml:space="preserve">  </w:t>
            </w:r>
            <w:r>
              <w:rPr>
                <w:rFonts w:hint="eastAsia" w:eastAsia="黑体"/>
                <w:bCs/>
                <w:kern w:val="0"/>
                <w:szCs w:val="21"/>
              </w:rPr>
              <w:t>表层监测点</w:t>
            </w:r>
            <w:r>
              <w:rPr>
                <w:rFonts w:eastAsia="黑体"/>
                <w:bCs/>
                <w:kern w:val="0"/>
                <w:szCs w:val="21"/>
              </w:rPr>
              <w:t>土壤现状监测结果  单位：mg/kg，pH无量纲</w:t>
            </w:r>
          </w:p>
          <w:tbl>
            <w:tblPr>
              <w:tblStyle w:val="13"/>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2338"/>
              <w:gridCol w:w="3386"/>
              <w:gridCol w:w="1611"/>
              <w:gridCol w:w="1169"/>
            </w:tblGrid>
            <w:tr w14:paraId="01F9BA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noWrap w:val="0"/>
                  <w:vAlign w:val="center"/>
                </w:tcPr>
                <w:p w14:paraId="6C0618E4">
                  <w:pPr>
                    <w:pageBreakBefore w:val="0"/>
                    <w:kinsoku/>
                    <w:wordWrap/>
                    <w:topLinePunct w:val="0"/>
                    <w:bidi w:val="0"/>
                    <w:spacing w:line="280" w:lineRule="exact"/>
                    <w:jc w:val="center"/>
                    <w:rPr>
                      <w:b/>
                      <w:bCs/>
                      <w:sz w:val="22"/>
                      <w:szCs w:val="22"/>
                    </w:rPr>
                  </w:pPr>
                  <w:r>
                    <w:rPr>
                      <w:b/>
                      <w:bCs/>
                      <w:szCs w:val="21"/>
                    </w:rPr>
                    <w:t>监测点位</w:t>
                  </w:r>
                </w:p>
              </w:tc>
              <w:tc>
                <w:tcPr>
                  <w:tcW w:w="3386" w:type="dxa"/>
                  <w:noWrap w:val="0"/>
                  <w:vAlign w:val="center"/>
                </w:tcPr>
                <w:p w14:paraId="4D9DFF22">
                  <w:pPr>
                    <w:pageBreakBefore w:val="0"/>
                    <w:kinsoku/>
                    <w:wordWrap/>
                    <w:topLinePunct w:val="0"/>
                    <w:bidi w:val="0"/>
                    <w:spacing w:line="280" w:lineRule="exact"/>
                    <w:jc w:val="center"/>
                    <w:rPr>
                      <w:b/>
                      <w:bCs/>
                      <w:szCs w:val="21"/>
                    </w:rPr>
                  </w:pPr>
                  <w:r>
                    <w:rPr>
                      <w:b/>
                      <w:bCs/>
                      <w:szCs w:val="21"/>
                    </w:rPr>
                    <w:t>检测项目</w:t>
                  </w:r>
                </w:p>
              </w:tc>
              <w:tc>
                <w:tcPr>
                  <w:tcW w:w="1611" w:type="dxa"/>
                  <w:noWrap w:val="0"/>
                  <w:vAlign w:val="center"/>
                </w:tcPr>
                <w:p w14:paraId="338B0788">
                  <w:pPr>
                    <w:pageBreakBefore w:val="0"/>
                    <w:widowControl/>
                    <w:kinsoku/>
                    <w:wordWrap/>
                    <w:topLinePunct w:val="0"/>
                    <w:bidi w:val="0"/>
                    <w:spacing w:line="280" w:lineRule="exact"/>
                    <w:jc w:val="center"/>
                    <w:textAlignment w:val="center"/>
                    <w:rPr>
                      <w:b/>
                      <w:bCs/>
                      <w:szCs w:val="21"/>
                    </w:rPr>
                  </w:pPr>
                  <w:r>
                    <w:rPr>
                      <w:b/>
                      <w:bCs/>
                      <w:szCs w:val="21"/>
                    </w:rPr>
                    <w:t>检测结果</w:t>
                  </w:r>
                </w:p>
              </w:tc>
              <w:tc>
                <w:tcPr>
                  <w:tcW w:w="1169" w:type="dxa"/>
                  <w:noWrap w:val="0"/>
                  <w:vAlign w:val="center"/>
                </w:tcPr>
                <w:p w14:paraId="57D021CE">
                  <w:pPr>
                    <w:pageBreakBefore w:val="0"/>
                    <w:kinsoku/>
                    <w:wordWrap/>
                    <w:topLinePunct w:val="0"/>
                    <w:bidi w:val="0"/>
                    <w:spacing w:line="280" w:lineRule="exact"/>
                    <w:jc w:val="center"/>
                    <w:rPr>
                      <w:b/>
                      <w:bCs/>
                      <w:szCs w:val="21"/>
                    </w:rPr>
                  </w:pPr>
                  <w:r>
                    <w:rPr>
                      <w:b/>
                      <w:bCs/>
                      <w:szCs w:val="21"/>
                    </w:rPr>
                    <w:t>标准值</w:t>
                  </w:r>
                </w:p>
              </w:tc>
            </w:tr>
            <w:tr w14:paraId="7BD9ED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restart"/>
                  <w:noWrap w:val="0"/>
                  <w:vAlign w:val="center"/>
                </w:tcPr>
                <w:p w14:paraId="5CA3A1D0">
                  <w:pPr>
                    <w:pageBreakBefore w:val="0"/>
                    <w:kinsoku/>
                    <w:wordWrap/>
                    <w:topLinePunct w:val="0"/>
                    <w:bidi w:val="0"/>
                    <w:spacing w:line="280" w:lineRule="exact"/>
                    <w:jc w:val="center"/>
                    <w:rPr>
                      <w:rFonts w:hint="default"/>
                      <w:sz w:val="22"/>
                      <w:szCs w:val="22"/>
                      <w:lang w:val="en-US" w:eastAsia="zh-CN"/>
                    </w:rPr>
                  </w:pPr>
                  <w:r>
                    <w:rPr>
                      <w:rFonts w:hint="eastAsia"/>
                      <w:sz w:val="22"/>
                      <w:szCs w:val="22"/>
                      <w:lang w:val="en-US" w:eastAsia="zh-CN"/>
                    </w:rPr>
                    <w:t>选址外部左侧</w:t>
                  </w:r>
                </w:p>
              </w:tc>
              <w:tc>
                <w:tcPr>
                  <w:tcW w:w="3386" w:type="dxa"/>
                  <w:noWrap w:val="0"/>
                  <w:vAlign w:val="center"/>
                </w:tcPr>
                <w:p w14:paraId="69DA5E09">
                  <w:pPr>
                    <w:pageBreakBefore w:val="0"/>
                    <w:kinsoku/>
                    <w:wordWrap/>
                    <w:topLinePunct w:val="0"/>
                    <w:bidi w:val="0"/>
                    <w:spacing w:line="280" w:lineRule="exact"/>
                    <w:jc w:val="center"/>
                    <w:rPr>
                      <w:szCs w:val="21"/>
                    </w:rPr>
                  </w:pPr>
                  <w:r>
                    <w:rPr>
                      <w:szCs w:val="21"/>
                    </w:rPr>
                    <w:t>pH</w:t>
                  </w:r>
                </w:p>
              </w:tc>
              <w:tc>
                <w:tcPr>
                  <w:tcW w:w="1611" w:type="dxa"/>
                  <w:noWrap w:val="0"/>
                  <w:vAlign w:val="center"/>
                </w:tcPr>
                <w:p w14:paraId="4B3B46E9">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10.1</w:t>
                  </w:r>
                </w:p>
              </w:tc>
              <w:tc>
                <w:tcPr>
                  <w:tcW w:w="1169" w:type="dxa"/>
                  <w:noWrap w:val="0"/>
                  <w:vAlign w:val="center"/>
                </w:tcPr>
                <w:p w14:paraId="0EF5890E">
                  <w:pPr>
                    <w:pageBreakBefore w:val="0"/>
                    <w:kinsoku/>
                    <w:wordWrap/>
                    <w:topLinePunct w:val="0"/>
                    <w:bidi w:val="0"/>
                    <w:spacing w:line="280" w:lineRule="exact"/>
                    <w:jc w:val="center"/>
                    <w:rPr>
                      <w:szCs w:val="21"/>
                    </w:rPr>
                  </w:pPr>
                  <w:r>
                    <w:rPr>
                      <w:szCs w:val="21"/>
                    </w:rPr>
                    <w:t>/</w:t>
                  </w:r>
                </w:p>
              </w:tc>
            </w:tr>
            <w:tr w14:paraId="26FC9D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7AD425B4">
                  <w:pPr>
                    <w:pageBreakBefore w:val="0"/>
                    <w:kinsoku/>
                    <w:wordWrap/>
                    <w:topLinePunct w:val="0"/>
                    <w:bidi w:val="0"/>
                    <w:spacing w:line="280" w:lineRule="exact"/>
                    <w:jc w:val="center"/>
                    <w:rPr>
                      <w:sz w:val="22"/>
                      <w:szCs w:val="22"/>
                    </w:rPr>
                  </w:pPr>
                </w:p>
              </w:tc>
              <w:tc>
                <w:tcPr>
                  <w:tcW w:w="3386" w:type="dxa"/>
                  <w:noWrap w:val="0"/>
                  <w:vAlign w:val="center"/>
                </w:tcPr>
                <w:p w14:paraId="54F7EC35">
                  <w:pPr>
                    <w:pageBreakBefore w:val="0"/>
                    <w:kinsoku/>
                    <w:wordWrap/>
                    <w:topLinePunct w:val="0"/>
                    <w:bidi w:val="0"/>
                    <w:spacing w:line="280" w:lineRule="exact"/>
                    <w:jc w:val="center"/>
                    <w:rPr>
                      <w:szCs w:val="21"/>
                    </w:rPr>
                  </w:pPr>
                  <w:r>
                    <w:rPr>
                      <w:szCs w:val="21"/>
                    </w:rPr>
                    <w:t>砷</w:t>
                  </w:r>
                </w:p>
              </w:tc>
              <w:tc>
                <w:tcPr>
                  <w:tcW w:w="1611" w:type="dxa"/>
                  <w:noWrap w:val="0"/>
                  <w:vAlign w:val="center"/>
                </w:tcPr>
                <w:p w14:paraId="4DC99E99">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6.04</w:t>
                  </w:r>
                </w:p>
              </w:tc>
              <w:tc>
                <w:tcPr>
                  <w:tcW w:w="1169" w:type="dxa"/>
                  <w:noWrap w:val="0"/>
                  <w:vAlign w:val="center"/>
                </w:tcPr>
                <w:p w14:paraId="7A2E904B">
                  <w:pPr>
                    <w:pageBreakBefore w:val="0"/>
                    <w:kinsoku/>
                    <w:wordWrap/>
                    <w:topLinePunct w:val="0"/>
                    <w:bidi w:val="0"/>
                    <w:spacing w:line="280" w:lineRule="exact"/>
                    <w:jc w:val="center"/>
                    <w:rPr>
                      <w:szCs w:val="21"/>
                    </w:rPr>
                  </w:pPr>
                  <w:r>
                    <w:rPr>
                      <w:szCs w:val="21"/>
                    </w:rPr>
                    <w:t>60</w:t>
                  </w:r>
                </w:p>
              </w:tc>
            </w:tr>
            <w:tr w14:paraId="1AA3CE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51AD4248">
                  <w:pPr>
                    <w:pageBreakBefore w:val="0"/>
                    <w:kinsoku/>
                    <w:wordWrap/>
                    <w:topLinePunct w:val="0"/>
                    <w:bidi w:val="0"/>
                    <w:spacing w:line="280" w:lineRule="exact"/>
                    <w:jc w:val="center"/>
                    <w:rPr>
                      <w:szCs w:val="21"/>
                    </w:rPr>
                  </w:pPr>
                </w:p>
              </w:tc>
              <w:tc>
                <w:tcPr>
                  <w:tcW w:w="3386" w:type="dxa"/>
                  <w:noWrap w:val="0"/>
                  <w:vAlign w:val="center"/>
                </w:tcPr>
                <w:p w14:paraId="5030A255">
                  <w:pPr>
                    <w:pageBreakBefore w:val="0"/>
                    <w:kinsoku/>
                    <w:wordWrap/>
                    <w:topLinePunct w:val="0"/>
                    <w:bidi w:val="0"/>
                    <w:spacing w:line="280" w:lineRule="exact"/>
                    <w:jc w:val="center"/>
                    <w:rPr>
                      <w:szCs w:val="21"/>
                    </w:rPr>
                  </w:pPr>
                  <w:r>
                    <w:rPr>
                      <w:szCs w:val="21"/>
                    </w:rPr>
                    <w:t>镉</w:t>
                  </w:r>
                </w:p>
              </w:tc>
              <w:tc>
                <w:tcPr>
                  <w:tcW w:w="1611" w:type="dxa"/>
                  <w:noWrap w:val="0"/>
                  <w:vAlign w:val="center"/>
                </w:tcPr>
                <w:p w14:paraId="42E16C5A">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0.14</w:t>
                  </w:r>
                </w:p>
              </w:tc>
              <w:tc>
                <w:tcPr>
                  <w:tcW w:w="1169" w:type="dxa"/>
                  <w:noWrap w:val="0"/>
                  <w:vAlign w:val="center"/>
                </w:tcPr>
                <w:p w14:paraId="775E0F4F">
                  <w:pPr>
                    <w:pageBreakBefore w:val="0"/>
                    <w:kinsoku/>
                    <w:wordWrap/>
                    <w:topLinePunct w:val="0"/>
                    <w:bidi w:val="0"/>
                    <w:spacing w:line="280" w:lineRule="exact"/>
                    <w:jc w:val="center"/>
                    <w:rPr>
                      <w:szCs w:val="21"/>
                    </w:rPr>
                  </w:pPr>
                  <w:r>
                    <w:rPr>
                      <w:szCs w:val="21"/>
                    </w:rPr>
                    <w:t>65</w:t>
                  </w:r>
                </w:p>
              </w:tc>
            </w:tr>
            <w:tr w14:paraId="2F1B16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604E3858">
                  <w:pPr>
                    <w:pageBreakBefore w:val="0"/>
                    <w:kinsoku/>
                    <w:wordWrap/>
                    <w:topLinePunct w:val="0"/>
                    <w:bidi w:val="0"/>
                    <w:spacing w:line="280" w:lineRule="exact"/>
                    <w:jc w:val="center"/>
                    <w:rPr>
                      <w:szCs w:val="21"/>
                    </w:rPr>
                  </w:pPr>
                </w:p>
              </w:tc>
              <w:tc>
                <w:tcPr>
                  <w:tcW w:w="3386" w:type="dxa"/>
                  <w:noWrap w:val="0"/>
                  <w:vAlign w:val="center"/>
                </w:tcPr>
                <w:p w14:paraId="35B1CE8C">
                  <w:pPr>
                    <w:pageBreakBefore w:val="0"/>
                    <w:kinsoku/>
                    <w:wordWrap/>
                    <w:topLinePunct w:val="0"/>
                    <w:bidi w:val="0"/>
                    <w:spacing w:line="280" w:lineRule="exact"/>
                    <w:jc w:val="center"/>
                    <w:rPr>
                      <w:szCs w:val="21"/>
                    </w:rPr>
                  </w:pPr>
                  <w:r>
                    <w:rPr>
                      <w:szCs w:val="21"/>
                    </w:rPr>
                    <w:t>铬（六价）</w:t>
                  </w:r>
                </w:p>
              </w:tc>
              <w:tc>
                <w:tcPr>
                  <w:tcW w:w="1611" w:type="dxa"/>
                  <w:noWrap w:val="0"/>
                  <w:vAlign w:val="center"/>
                </w:tcPr>
                <w:p w14:paraId="0BCA6DDF">
                  <w:pPr>
                    <w:pageBreakBefore w:val="0"/>
                    <w:widowControl/>
                    <w:kinsoku/>
                    <w:wordWrap/>
                    <w:topLinePunct w:val="0"/>
                    <w:bidi w:val="0"/>
                    <w:spacing w:line="280" w:lineRule="exact"/>
                    <w:jc w:val="center"/>
                    <w:textAlignment w:val="center"/>
                    <w:rPr>
                      <w:szCs w:val="21"/>
                    </w:rPr>
                  </w:pPr>
                  <w:r>
                    <w:rPr>
                      <w:rFonts w:hint="eastAsia"/>
                      <w:szCs w:val="21"/>
                      <w:lang w:val="en-US" w:eastAsia="zh-CN"/>
                    </w:rPr>
                    <w:t>&lt;0.5</w:t>
                  </w:r>
                </w:p>
              </w:tc>
              <w:tc>
                <w:tcPr>
                  <w:tcW w:w="1169" w:type="dxa"/>
                  <w:noWrap w:val="0"/>
                  <w:vAlign w:val="center"/>
                </w:tcPr>
                <w:p w14:paraId="444FF408">
                  <w:pPr>
                    <w:pageBreakBefore w:val="0"/>
                    <w:kinsoku/>
                    <w:wordWrap/>
                    <w:topLinePunct w:val="0"/>
                    <w:bidi w:val="0"/>
                    <w:spacing w:line="280" w:lineRule="exact"/>
                    <w:jc w:val="center"/>
                    <w:rPr>
                      <w:szCs w:val="21"/>
                    </w:rPr>
                  </w:pPr>
                  <w:r>
                    <w:rPr>
                      <w:szCs w:val="21"/>
                    </w:rPr>
                    <w:t>5.7</w:t>
                  </w:r>
                </w:p>
              </w:tc>
            </w:tr>
            <w:tr w14:paraId="1FCE6F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5F9841CB">
                  <w:pPr>
                    <w:pageBreakBefore w:val="0"/>
                    <w:kinsoku/>
                    <w:wordWrap/>
                    <w:topLinePunct w:val="0"/>
                    <w:bidi w:val="0"/>
                    <w:spacing w:line="280" w:lineRule="exact"/>
                    <w:jc w:val="center"/>
                    <w:rPr>
                      <w:szCs w:val="21"/>
                    </w:rPr>
                  </w:pPr>
                </w:p>
              </w:tc>
              <w:tc>
                <w:tcPr>
                  <w:tcW w:w="3386" w:type="dxa"/>
                  <w:noWrap w:val="0"/>
                  <w:vAlign w:val="center"/>
                </w:tcPr>
                <w:p w14:paraId="695970ED">
                  <w:pPr>
                    <w:pageBreakBefore w:val="0"/>
                    <w:kinsoku/>
                    <w:wordWrap/>
                    <w:topLinePunct w:val="0"/>
                    <w:bidi w:val="0"/>
                    <w:spacing w:line="280" w:lineRule="exact"/>
                    <w:jc w:val="center"/>
                    <w:rPr>
                      <w:szCs w:val="21"/>
                    </w:rPr>
                  </w:pPr>
                  <w:r>
                    <w:rPr>
                      <w:szCs w:val="21"/>
                    </w:rPr>
                    <w:t>铜</w:t>
                  </w:r>
                </w:p>
              </w:tc>
              <w:tc>
                <w:tcPr>
                  <w:tcW w:w="1611" w:type="dxa"/>
                  <w:noWrap w:val="0"/>
                  <w:vAlign w:val="center"/>
                </w:tcPr>
                <w:p w14:paraId="30969A33">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21</w:t>
                  </w:r>
                </w:p>
              </w:tc>
              <w:tc>
                <w:tcPr>
                  <w:tcW w:w="1169" w:type="dxa"/>
                  <w:noWrap w:val="0"/>
                  <w:vAlign w:val="center"/>
                </w:tcPr>
                <w:p w14:paraId="5B4DDC45">
                  <w:pPr>
                    <w:pageBreakBefore w:val="0"/>
                    <w:kinsoku/>
                    <w:wordWrap/>
                    <w:topLinePunct w:val="0"/>
                    <w:bidi w:val="0"/>
                    <w:spacing w:line="280" w:lineRule="exact"/>
                    <w:jc w:val="center"/>
                    <w:rPr>
                      <w:szCs w:val="21"/>
                    </w:rPr>
                  </w:pPr>
                  <w:r>
                    <w:rPr>
                      <w:szCs w:val="21"/>
                    </w:rPr>
                    <w:t>18000</w:t>
                  </w:r>
                </w:p>
              </w:tc>
            </w:tr>
            <w:tr w14:paraId="0D9092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76A45D70">
                  <w:pPr>
                    <w:pageBreakBefore w:val="0"/>
                    <w:kinsoku/>
                    <w:wordWrap/>
                    <w:topLinePunct w:val="0"/>
                    <w:bidi w:val="0"/>
                    <w:spacing w:line="280" w:lineRule="exact"/>
                    <w:jc w:val="center"/>
                    <w:rPr>
                      <w:szCs w:val="21"/>
                    </w:rPr>
                  </w:pPr>
                </w:p>
              </w:tc>
              <w:tc>
                <w:tcPr>
                  <w:tcW w:w="3386" w:type="dxa"/>
                  <w:noWrap w:val="0"/>
                  <w:vAlign w:val="center"/>
                </w:tcPr>
                <w:p w14:paraId="757FD617">
                  <w:pPr>
                    <w:pageBreakBefore w:val="0"/>
                    <w:kinsoku/>
                    <w:wordWrap/>
                    <w:topLinePunct w:val="0"/>
                    <w:bidi w:val="0"/>
                    <w:spacing w:line="280" w:lineRule="exact"/>
                    <w:jc w:val="center"/>
                    <w:rPr>
                      <w:szCs w:val="21"/>
                    </w:rPr>
                  </w:pPr>
                  <w:r>
                    <w:rPr>
                      <w:szCs w:val="21"/>
                    </w:rPr>
                    <w:t>铅</w:t>
                  </w:r>
                </w:p>
              </w:tc>
              <w:tc>
                <w:tcPr>
                  <w:tcW w:w="1611" w:type="dxa"/>
                  <w:noWrap w:val="0"/>
                  <w:vAlign w:val="center"/>
                </w:tcPr>
                <w:p w14:paraId="1A448335">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39.8</w:t>
                  </w:r>
                </w:p>
              </w:tc>
              <w:tc>
                <w:tcPr>
                  <w:tcW w:w="1169" w:type="dxa"/>
                  <w:noWrap w:val="0"/>
                  <w:vAlign w:val="center"/>
                </w:tcPr>
                <w:p w14:paraId="06AFB659">
                  <w:pPr>
                    <w:pageBreakBefore w:val="0"/>
                    <w:kinsoku/>
                    <w:wordWrap/>
                    <w:topLinePunct w:val="0"/>
                    <w:bidi w:val="0"/>
                    <w:spacing w:line="280" w:lineRule="exact"/>
                    <w:jc w:val="center"/>
                    <w:rPr>
                      <w:szCs w:val="21"/>
                    </w:rPr>
                  </w:pPr>
                  <w:r>
                    <w:rPr>
                      <w:szCs w:val="21"/>
                    </w:rPr>
                    <w:t>800</w:t>
                  </w:r>
                </w:p>
              </w:tc>
            </w:tr>
            <w:tr w14:paraId="63935C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47CED08A">
                  <w:pPr>
                    <w:pageBreakBefore w:val="0"/>
                    <w:kinsoku/>
                    <w:wordWrap/>
                    <w:topLinePunct w:val="0"/>
                    <w:bidi w:val="0"/>
                    <w:spacing w:line="280" w:lineRule="exact"/>
                    <w:jc w:val="center"/>
                    <w:rPr>
                      <w:szCs w:val="21"/>
                    </w:rPr>
                  </w:pPr>
                </w:p>
              </w:tc>
              <w:tc>
                <w:tcPr>
                  <w:tcW w:w="3386" w:type="dxa"/>
                  <w:noWrap w:val="0"/>
                  <w:vAlign w:val="center"/>
                </w:tcPr>
                <w:p w14:paraId="54B8C580">
                  <w:pPr>
                    <w:pageBreakBefore w:val="0"/>
                    <w:kinsoku/>
                    <w:wordWrap/>
                    <w:topLinePunct w:val="0"/>
                    <w:bidi w:val="0"/>
                    <w:spacing w:line="280" w:lineRule="exact"/>
                    <w:jc w:val="center"/>
                    <w:rPr>
                      <w:szCs w:val="21"/>
                    </w:rPr>
                  </w:pPr>
                  <w:r>
                    <w:rPr>
                      <w:szCs w:val="21"/>
                    </w:rPr>
                    <w:t>汞</w:t>
                  </w:r>
                </w:p>
              </w:tc>
              <w:tc>
                <w:tcPr>
                  <w:tcW w:w="1611" w:type="dxa"/>
                  <w:noWrap w:val="0"/>
                  <w:vAlign w:val="center"/>
                </w:tcPr>
                <w:p w14:paraId="662DB9E5">
                  <w:pPr>
                    <w:pageBreakBefore w:val="0"/>
                    <w:widowControl/>
                    <w:kinsoku/>
                    <w:wordWrap/>
                    <w:topLinePunct w:val="0"/>
                    <w:bidi w:val="0"/>
                    <w:spacing w:line="280" w:lineRule="exact"/>
                    <w:jc w:val="center"/>
                    <w:textAlignment w:val="center"/>
                    <w:rPr>
                      <w:szCs w:val="21"/>
                    </w:rPr>
                  </w:pPr>
                  <w:r>
                    <w:rPr>
                      <w:rFonts w:hint="eastAsia"/>
                      <w:szCs w:val="21"/>
                      <w:lang w:val="en-US" w:eastAsia="zh-CN"/>
                    </w:rPr>
                    <w:t>0.072</w:t>
                  </w:r>
                </w:p>
              </w:tc>
              <w:tc>
                <w:tcPr>
                  <w:tcW w:w="1169" w:type="dxa"/>
                  <w:noWrap w:val="0"/>
                  <w:vAlign w:val="center"/>
                </w:tcPr>
                <w:p w14:paraId="7081EDB3">
                  <w:pPr>
                    <w:pageBreakBefore w:val="0"/>
                    <w:kinsoku/>
                    <w:wordWrap/>
                    <w:topLinePunct w:val="0"/>
                    <w:bidi w:val="0"/>
                    <w:spacing w:line="280" w:lineRule="exact"/>
                    <w:jc w:val="center"/>
                    <w:rPr>
                      <w:szCs w:val="21"/>
                    </w:rPr>
                  </w:pPr>
                  <w:r>
                    <w:rPr>
                      <w:szCs w:val="21"/>
                    </w:rPr>
                    <w:t>38</w:t>
                  </w:r>
                </w:p>
              </w:tc>
            </w:tr>
            <w:tr w14:paraId="34EE4C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495BBA7E">
                  <w:pPr>
                    <w:pageBreakBefore w:val="0"/>
                    <w:kinsoku/>
                    <w:wordWrap/>
                    <w:topLinePunct w:val="0"/>
                    <w:bidi w:val="0"/>
                    <w:spacing w:line="280" w:lineRule="exact"/>
                    <w:jc w:val="center"/>
                    <w:rPr>
                      <w:szCs w:val="21"/>
                    </w:rPr>
                  </w:pPr>
                </w:p>
              </w:tc>
              <w:tc>
                <w:tcPr>
                  <w:tcW w:w="3386" w:type="dxa"/>
                  <w:noWrap w:val="0"/>
                  <w:vAlign w:val="center"/>
                </w:tcPr>
                <w:p w14:paraId="55E39D31">
                  <w:pPr>
                    <w:pageBreakBefore w:val="0"/>
                    <w:kinsoku/>
                    <w:wordWrap/>
                    <w:topLinePunct w:val="0"/>
                    <w:bidi w:val="0"/>
                    <w:spacing w:line="280" w:lineRule="exact"/>
                    <w:jc w:val="center"/>
                    <w:rPr>
                      <w:szCs w:val="21"/>
                    </w:rPr>
                  </w:pPr>
                  <w:r>
                    <w:rPr>
                      <w:szCs w:val="21"/>
                    </w:rPr>
                    <w:t>镍</w:t>
                  </w:r>
                </w:p>
              </w:tc>
              <w:tc>
                <w:tcPr>
                  <w:tcW w:w="1611" w:type="dxa"/>
                  <w:noWrap w:val="0"/>
                  <w:vAlign w:val="center"/>
                </w:tcPr>
                <w:p w14:paraId="55B57514">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10</w:t>
                  </w:r>
                </w:p>
              </w:tc>
              <w:tc>
                <w:tcPr>
                  <w:tcW w:w="1169" w:type="dxa"/>
                  <w:noWrap w:val="0"/>
                  <w:vAlign w:val="center"/>
                </w:tcPr>
                <w:p w14:paraId="4DFF66D7">
                  <w:pPr>
                    <w:pageBreakBefore w:val="0"/>
                    <w:kinsoku/>
                    <w:wordWrap/>
                    <w:topLinePunct w:val="0"/>
                    <w:bidi w:val="0"/>
                    <w:spacing w:line="280" w:lineRule="exact"/>
                    <w:jc w:val="center"/>
                    <w:rPr>
                      <w:szCs w:val="21"/>
                    </w:rPr>
                  </w:pPr>
                  <w:r>
                    <w:rPr>
                      <w:szCs w:val="21"/>
                    </w:rPr>
                    <w:t>900</w:t>
                  </w:r>
                </w:p>
              </w:tc>
            </w:tr>
            <w:tr w14:paraId="422DE1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restart"/>
                  <w:noWrap w:val="0"/>
                  <w:vAlign w:val="center"/>
                </w:tcPr>
                <w:p w14:paraId="63AF19C7">
                  <w:pPr>
                    <w:pageBreakBefore w:val="0"/>
                    <w:kinsoku/>
                    <w:wordWrap/>
                    <w:topLinePunct w:val="0"/>
                    <w:bidi w:val="0"/>
                    <w:spacing w:line="280" w:lineRule="exact"/>
                    <w:jc w:val="center"/>
                    <w:rPr>
                      <w:rFonts w:hint="default"/>
                      <w:sz w:val="22"/>
                      <w:szCs w:val="22"/>
                      <w:lang w:val="en-US" w:eastAsia="zh-CN"/>
                    </w:rPr>
                  </w:pPr>
                  <w:r>
                    <w:rPr>
                      <w:rFonts w:hint="eastAsia"/>
                      <w:sz w:val="22"/>
                      <w:szCs w:val="22"/>
                      <w:lang w:val="en-US" w:eastAsia="zh-CN"/>
                    </w:rPr>
                    <w:t>选址外部右侧</w:t>
                  </w:r>
                </w:p>
              </w:tc>
              <w:tc>
                <w:tcPr>
                  <w:tcW w:w="3386" w:type="dxa"/>
                  <w:noWrap w:val="0"/>
                  <w:vAlign w:val="center"/>
                </w:tcPr>
                <w:p w14:paraId="475D6BC8">
                  <w:pPr>
                    <w:pageBreakBefore w:val="0"/>
                    <w:kinsoku/>
                    <w:wordWrap/>
                    <w:topLinePunct w:val="0"/>
                    <w:bidi w:val="0"/>
                    <w:spacing w:line="280" w:lineRule="exact"/>
                    <w:jc w:val="center"/>
                    <w:rPr>
                      <w:szCs w:val="21"/>
                    </w:rPr>
                  </w:pPr>
                  <w:r>
                    <w:rPr>
                      <w:szCs w:val="21"/>
                    </w:rPr>
                    <w:t>pH</w:t>
                  </w:r>
                </w:p>
              </w:tc>
              <w:tc>
                <w:tcPr>
                  <w:tcW w:w="1611" w:type="dxa"/>
                  <w:noWrap w:val="0"/>
                  <w:vAlign w:val="center"/>
                </w:tcPr>
                <w:p w14:paraId="55BE3D70">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10.8</w:t>
                  </w:r>
                </w:p>
              </w:tc>
              <w:tc>
                <w:tcPr>
                  <w:tcW w:w="1169" w:type="dxa"/>
                  <w:noWrap w:val="0"/>
                  <w:vAlign w:val="center"/>
                </w:tcPr>
                <w:p w14:paraId="27D3C4F3">
                  <w:pPr>
                    <w:pageBreakBefore w:val="0"/>
                    <w:kinsoku/>
                    <w:wordWrap/>
                    <w:topLinePunct w:val="0"/>
                    <w:bidi w:val="0"/>
                    <w:spacing w:line="280" w:lineRule="exact"/>
                    <w:jc w:val="center"/>
                    <w:rPr>
                      <w:szCs w:val="21"/>
                    </w:rPr>
                  </w:pPr>
                  <w:r>
                    <w:rPr>
                      <w:szCs w:val="21"/>
                    </w:rPr>
                    <w:t>/</w:t>
                  </w:r>
                </w:p>
              </w:tc>
            </w:tr>
            <w:tr w14:paraId="3071AD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E11C04B">
                  <w:pPr>
                    <w:pageBreakBefore w:val="0"/>
                    <w:kinsoku/>
                    <w:wordWrap/>
                    <w:topLinePunct w:val="0"/>
                    <w:bidi w:val="0"/>
                    <w:spacing w:line="280" w:lineRule="exact"/>
                    <w:jc w:val="center"/>
                    <w:rPr>
                      <w:szCs w:val="21"/>
                    </w:rPr>
                  </w:pPr>
                </w:p>
              </w:tc>
              <w:tc>
                <w:tcPr>
                  <w:tcW w:w="3386" w:type="dxa"/>
                  <w:noWrap w:val="0"/>
                  <w:vAlign w:val="center"/>
                </w:tcPr>
                <w:p w14:paraId="0F226762">
                  <w:pPr>
                    <w:pageBreakBefore w:val="0"/>
                    <w:kinsoku/>
                    <w:wordWrap/>
                    <w:topLinePunct w:val="0"/>
                    <w:bidi w:val="0"/>
                    <w:spacing w:line="280" w:lineRule="exact"/>
                    <w:jc w:val="center"/>
                    <w:rPr>
                      <w:szCs w:val="21"/>
                    </w:rPr>
                  </w:pPr>
                  <w:r>
                    <w:rPr>
                      <w:szCs w:val="21"/>
                    </w:rPr>
                    <w:t>砷</w:t>
                  </w:r>
                </w:p>
              </w:tc>
              <w:tc>
                <w:tcPr>
                  <w:tcW w:w="1611" w:type="dxa"/>
                  <w:noWrap w:val="0"/>
                  <w:vAlign w:val="center"/>
                </w:tcPr>
                <w:p w14:paraId="36F48AA5">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7.12</w:t>
                  </w:r>
                </w:p>
              </w:tc>
              <w:tc>
                <w:tcPr>
                  <w:tcW w:w="1169" w:type="dxa"/>
                  <w:noWrap w:val="0"/>
                  <w:vAlign w:val="center"/>
                </w:tcPr>
                <w:p w14:paraId="12B4EFBE">
                  <w:pPr>
                    <w:pageBreakBefore w:val="0"/>
                    <w:kinsoku/>
                    <w:wordWrap/>
                    <w:topLinePunct w:val="0"/>
                    <w:bidi w:val="0"/>
                    <w:spacing w:line="280" w:lineRule="exact"/>
                    <w:jc w:val="center"/>
                    <w:rPr>
                      <w:szCs w:val="21"/>
                    </w:rPr>
                  </w:pPr>
                  <w:r>
                    <w:rPr>
                      <w:szCs w:val="21"/>
                    </w:rPr>
                    <w:t>60</w:t>
                  </w:r>
                </w:p>
              </w:tc>
            </w:tr>
            <w:tr w14:paraId="421465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5CA37684">
                  <w:pPr>
                    <w:pageBreakBefore w:val="0"/>
                    <w:kinsoku/>
                    <w:wordWrap/>
                    <w:topLinePunct w:val="0"/>
                    <w:bidi w:val="0"/>
                    <w:spacing w:line="280" w:lineRule="exact"/>
                    <w:jc w:val="center"/>
                    <w:rPr>
                      <w:szCs w:val="21"/>
                    </w:rPr>
                  </w:pPr>
                </w:p>
              </w:tc>
              <w:tc>
                <w:tcPr>
                  <w:tcW w:w="3386" w:type="dxa"/>
                  <w:noWrap w:val="0"/>
                  <w:vAlign w:val="center"/>
                </w:tcPr>
                <w:p w14:paraId="7B3BEE77">
                  <w:pPr>
                    <w:pageBreakBefore w:val="0"/>
                    <w:kinsoku/>
                    <w:wordWrap/>
                    <w:topLinePunct w:val="0"/>
                    <w:bidi w:val="0"/>
                    <w:spacing w:line="280" w:lineRule="exact"/>
                    <w:jc w:val="center"/>
                    <w:rPr>
                      <w:szCs w:val="21"/>
                    </w:rPr>
                  </w:pPr>
                  <w:r>
                    <w:rPr>
                      <w:szCs w:val="21"/>
                    </w:rPr>
                    <w:t>镉</w:t>
                  </w:r>
                </w:p>
              </w:tc>
              <w:tc>
                <w:tcPr>
                  <w:tcW w:w="1611" w:type="dxa"/>
                  <w:noWrap w:val="0"/>
                  <w:vAlign w:val="center"/>
                </w:tcPr>
                <w:p w14:paraId="577FF888">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0.38</w:t>
                  </w:r>
                </w:p>
              </w:tc>
              <w:tc>
                <w:tcPr>
                  <w:tcW w:w="1169" w:type="dxa"/>
                  <w:noWrap w:val="0"/>
                  <w:vAlign w:val="center"/>
                </w:tcPr>
                <w:p w14:paraId="2A7A8764">
                  <w:pPr>
                    <w:pageBreakBefore w:val="0"/>
                    <w:kinsoku/>
                    <w:wordWrap/>
                    <w:topLinePunct w:val="0"/>
                    <w:bidi w:val="0"/>
                    <w:spacing w:line="280" w:lineRule="exact"/>
                    <w:jc w:val="center"/>
                    <w:rPr>
                      <w:szCs w:val="21"/>
                    </w:rPr>
                  </w:pPr>
                  <w:r>
                    <w:rPr>
                      <w:szCs w:val="21"/>
                    </w:rPr>
                    <w:t>65</w:t>
                  </w:r>
                </w:p>
              </w:tc>
            </w:tr>
            <w:tr w14:paraId="2B55FA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2338" w:type="dxa"/>
                  <w:vMerge w:val="continue"/>
                  <w:noWrap w:val="0"/>
                  <w:vAlign w:val="center"/>
                </w:tcPr>
                <w:p w14:paraId="200ABC3A">
                  <w:pPr>
                    <w:pageBreakBefore w:val="0"/>
                    <w:kinsoku/>
                    <w:wordWrap/>
                    <w:topLinePunct w:val="0"/>
                    <w:bidi w:val="0"/>
                    <w:spacing w:line="280" w:lineRule="exact"/>
                    <w:jc w:val="center"/>
                    <w:rPr>
                      <w:szCs w:val="21"/>
                    </w:rPr>
                  </w:pPr>
                </w:p>
              </w:tc>
              <w:tc>
                <w:tcPr>
                  <w:tcW w:w="3386" w:type="dxa"/>
                  <w:noWrap w:val="0"/>
                  <w:vAlign w:val="center"/>
                </w:tcPr>
                <w:p w14:paraId="12D43ABD">
                  <w:pPr>
                    <w:pageBreakBefore w:val="0"/>
                    <w:kinsoku/>
                    <w:wordWrap/>
                    <w:topLinePunct w:val="0"/>
                    <w:bidi w:val="0"/>
                    <w:spacing w:line="280" w:lineRule="exact"/>
                    <w:jc w:val="center"/>
                    <w:rPr>
                      <w:szCs w:val="21"/>
                    </w:rPr>
                  </w:pPr>
                  <w:r>
                    <w:rPr>
                      <w:szCs w:val="21"/>
                    </w:rPr>
                    <w:t>铬（六价）</w:t>
                  </w:r>
                </w:p>
              </w:tc>
              <w:tc>
                <w:tcPr>
                  <w:tcW w:w="1611" w:type="dxa"/>
                  <w:noWrap w:val="0"/>
                  <w:vAlign w:val="center"/>
                </w:tcPr>
                <w:p w14:paraId="65654A96">
                  <w:pPr>
                    <w:pageBreakBefore w:val="0"/>
                    <w:widowControl/>
                    <w:kinsoku/>
                    <w:wordWrap/>
                    <w:topLinePunct w:val="0"/>
                    <w:bidi w:val="0"/>
                    <w:spacing w:line="280" w:lineRule="exact"/>
                    <w:jc w:val="center"/>
                    <w:textAlignment w:val="center"/>
                    <w:rPr>
                      <w:szCs w:val="21"/>
                    </w:rPr>
                  </w:pPr>
                  <w:r>
                    <w:rPr>
                      <w:rFonts w:hint="eastAsia"/>
                      <w:szCs w:val="21"/>
                      <w:lang w:val="en-US" w:eastAsia="zh-CN"/>
                    </w:rPr>
                    <w:t>&lt;0.5</w:t>
                  </w:r>
                </w:p>
              </w:tc>
              <w:tc>
                <w:tcPr>
                  <w:tcW w:w="1169" w:type="dxa"/>
                  <w:noWrap w:val="0"/>
                  <w:vAlign w:val="center"/>
                </w:tcPr>
                <w:p w14:paraId="01B0DEA1">
                  <w:pPr>
                    <w:pageBreakBefore w:val="0"/>
                    <w:kinsoku/>
                    <w:wordWrap/>
                    <w:topLinePunct w:val="0"/>
                    <w:bidi w:val="0"/>
                    <w:spacing w:line="280" w:lineRule="exact"/>
                    <w:jc w:val="center"/>
                    <w:rPr>
                      <w:szCs w:val="21"/>
                    </w:rPr>
                  </w:pPr>
                  <w:r>
                    <w:rPr>
                      <w:szCs w:val="21"/>
                    </w:rPr>
                    <w:t>5.7</w:t>
                  </w:r>
                </w:p>
              </w:tc>
            </w:tr>
            <w:tr w14:paraId="1AE765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75F15F7C">
                  <w:pPr>
                    <w:pageBreakBefore w:val="0"/>
                    <w:kinsoku/>
                    <w:wordWrap/>
                    <w:topLinePunct w:val="0"/>
                    <w:bidi w:val="0"/>
                    <w:spacing w:line="280" w:lineRule="exact"/>
                    <w:jc w:val="center"/>
                    <w:rPr>
                      <w:szCs w:val="21"/>
                    </w:rPr>
                  </w:pPr>
                </w:p>
              </w:tc>
              <w:tc>
                <w:tcPr>
                  <w:tcW w:w="3386" w:type="dxa"/>
                  <w:noWrap w:val="0"/>
                  <w:vAlign w:val="center"/>
                </w:tcPr>
                <w:p w14:paraId="2853C46F">
                  <w:pPr>
                    <w:pageBreakBefore w:val="0"/>
                    <w:kinsoku/>
                    <w:wordWrap/>
                    <w:topLinePunct w:val="0"/>
                    <w:bidi w:val="0"/>
                    <w:spacing w:line="280" w:lineRule="exact"/>
                    <w:jc w:val="center"/>
                    <w:rPr>
                      <w:szCs w:val="21"/>
                    </w:rPr>
                  </w:pPr>
                  <w:r>
                    <w:rPr>
                      <w:szCs w:val="21"/>
                    </w:rPr>
                    <w:t>铜</w:t>
                  </w:r>
                </w:p>
              </w:tc>
              <w:tc>
                <w:tcPr>
                  <w:tcW w:w="1611" w:type="dxa"/>
                  <w:noWrap w:val="0"/>
                  <w:vAlign w:val="center"/>
                </w:tcPr>
                <w:p w14:paraId="79C07E66">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22</w:t>
                  </w:r>
                </w:p>
              </w:tc>
              <w:tc>
                <w:tcPr>
                  <w:tcW w:w="1169" w:type="dxa"/>
                  <w:noWrap w:val="0"/>
                  <w:vAlign w:val="center"/>
                </w:tcPr>
                <w:p w14:paraId="6DDAA590">
                  <w:pPr>
                    <w:pageBreakBefore w:val="0"/>
                    <w:kinsoku/>
                    <w:wordWrap/>
                    <w:topLinePunct w:val="0"/>
                    <w:bidi w:val="0"/>
                    <w:spacing w:line="280" w:lineRule="exact"/>
                    <w:jc w:val="center"/>
                    <w:rPr>
                      <w:szCs w:val="21"/>
                    </w:rPr>
                  </w:pPr>
                  <w:r>
                    <w:rPr>
                      <w:szCs w:val="21"/>
                    </w:rPr>
                    <w:t>18000</w:t>
                  </w:r>
                </w:p>
              </w:tc>
            </w:tr>
            <w:tr w14:paraId="2AA659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341118CB">
                  <w:pPr>
                    <w:pageBreakBefore w:val="0"/>
                    <w:kinsoku/>
                    <w:wordWrap/>
                    <w:topLinePunct w:val="0"/>
                    <w:bidi w:val="0"/>
                    <w:spacing w:line="280" w:lineRule="exact"/>
                    <w:jc w:val="center"/>
                    <w:rPr>
                      <w:szCs w:val="21"/>
                    </w:rPr>
                  </w:pPr>
                </w:p>
              </w:tc>
              <w:tc>
                <w:tcPr>
                  <w:tcW w:w="3386" w:type="dxa"/>
                  <w:noWrap w:val="0"/>
                  <w:vAlign w:val="center"/>
                </w:tcPr>
                <w:p w14:paraId="74CA7FDE">
                  <w:pPr>
                    <w:pageBreakBefore w:val="0"/>
                    <w:kinsoku/>
                    <w:wordWrap/>
                    <w:topLinePunct w:val="0"/>
                    <w:bidi w:val="0"/>
                    <w:spacing w:line="280" w:lineRule="exact"/>
                    <w:jc w:val="center"/>
                    <w:rPr>
                      <w:szCs w:val="21"/>
                    </w:rPr>
                  </w:pPr>
                  <w:r>
                    <w:rPr>
                      <w:szCs w:val="21"/>
                    </w:rPr>
                    <w:t>铅</w:t>
                  </w:r>
                </w:p>
              </w:tc>
              <w:tc>
                <w:tcPr>
                  <w:tcW w:w="1611" w:type="dxa"/>
                  <w:noWrap w:val="0"/>
                  <w:vAlign w:val="center"/>
                </w:tcPr>
                <w:p w14:paraId="5A63A82C">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29.1</w:t>
                  </w:r>
                </w:p>
              </w:tc>
              <w:tc>
                <w:tcPr>
                  <w:tcW w:w="1169" w:type="dxa"/>
                  <w:noWrap w:val="0"/>
                  <w:vAlign w:val="center"/>
                </w:tcPr>
                <w:p w14:paraId="48222B57">
                  <w:pPr>
                    <w:pageBreakBefore w:val="0"/>
                    <w:kinsoku/>
                    <w:wordWrap/>
                    <w:topLinePunct w:val="0"/>
                    <w:bidi w:val="0"/>
                    <w:spacing w:line="280" w:lineRule="exact"/>
                    <w:jc w:val="center"/>
                    <w:rPr>
                      <w:szCs w:val="21"/>
                    </w:rPr>
                  </w:pPr>
                  <w:r>
                    <w:rPr>
                      <w:szCs w:val="21"/>
                    </w:rPr>
                    <w:t>800</w:t>
                  </w:r>
                </w:p>
              </w:tc>
            </w:tr>
            <w:tr w14:paraId="6D531F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3CD59681">
                  <w:pPr>
                    <w:pageBreakBefore w:val="0"/>
                    <w:kinsoku/>
                    <w:wordWrap/>
                    <w:topLinePunct w:val="0"/>
                    <w:bidi w:val="0"/>
                    <w:spacing w:line="280" w:lineRule="exact"/>
                    <w:jc w:val="center"/>
                    <w:rPr>
                      <w:szCs w:val="21"/>
                    </w:rPr>
                  </w:pPr>
                </w:p>
              </w:tc>
              <w:tc>
                <w:tcPr>
                  <w:tcW w:w="3386" w:type="dxa"/>
                  <w:noWrap w:val="0"/>
                  <w:vAlign w:val="center"/>
                </w:tcPr>
                <w:p w14:paraId="2FBAF0B0">
                  <w:pPr>
                    <w:pageBreakBefore w:val="0"/>
                    <w:kinsoku/>
                    <w:wordWrap/>
                    <w:topLinePunct w:val="0"/>
                    <w:bidi w:val="0"/>
                    <w:spacing w:line="280" w:lineRule="exact"/>
                    <w:jc w:val="center"/>
                    <w:rPr>
                      <w:szCs w:val="21"/>
                    </w:rPr>
                  </w:pPr>
                  <w:r>
                    <w:rPr>
                      <w:szCs w:val="21"/>
                    </w:rPr>
                    <w:t>汞</w:t>
                  </w:r>
                </w:p>
              </w:tc>
              <w:tc>
                <w:tcPr>
                  <w:tcW w:w="1611" w:type="dxa"/>
                  <w:noWrap w:val="0"/>
                  <w:vAlign w:val="center"/>
                </w:tcPr>
                <w:p w14:paraId="6F5FFA75">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0.063</w:t>
                  </w:r>
                </w:p>
              </w:tc>
              <w:tc>
                <w:tcPr>
                  <w:tcW w:w="1169" w:type="dxa"/>
                  <w:noWrap w:val="0"/>
                  <w:vAlign w:val="center"/>
                </w:tcPr>
                <w:p w14:paraId="079A7FBA">
                  <w:pPr>
                    <w:pageBreakBefore w:val="0"/>
                    <w:kinsoku/>
                    <w:wordWrap/>
                    <w:topLinePunct w:val="0"/>
                    <w:bidi w:val="0"/>
                    <w:spacing w:line="280" w:lineRule="exact"/>
                    <w:jc w:val="center"/>
                    <w:rPr>
                      <w:szCs w:val="21"/>
                    </w:rPr>
                  </w:pPr>
                  <w:r>
                    <w:rPr>
                      <w:szCs w:val="21"/>
                    </w:rPr>
                    <w:t>38</w:t>
                  </w:r>
                </w:p>
              </w:tc>
            </w:tr>
            <w:tr w14:paraId="5D71BE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45E4F70">
                  <w:pPr>
                    <w:pageBreakBefore w:val="0"/>
                    <w:kinsoku/>
                    <w:wordWrap/>
                    <w:topLinePunct w:val="0"/>
                    <w:bidi w:val="0"/>
                    <w:spacing w:line="280" w:lineRule="exact"/>
                    <w:jc w:val="center"/>
                    <w:rPr>
                      <w:szCs w:val="21"/>
                    </w:rPr>
                  </w:pPr>
                </w:p>
              </w:tc>
              <w:tc>
                <w:tcPr>
                  <w:tcW w:w="3386" w:type="dxa"/>
                  <w:noWrap w:val="0"/>
                  <w:vAlign w:val="center"/>
                </w:tcPr>
                <w:p w14:paraId="29585CFC">
                  <w:pPr>
                    <w:pageBreakBefore w:val="0"/>
                    <w:kinsoku/>
                    <w:wordWrap/>
                    <w:topLinePunct w:val="0"/>
                    <w:bidi w:val="0"/>
                    <w:spacing w:line="280" w:lineRule="exact"/>
                    <w:jc w:val="center"/>
                    <w:rPr>
                      <w:szCs w:val="21"/>
                    </w:rPr>
                  </w:pPr>
                  <w:r>
                    <w:rPr>
                      <w:szCs w:val="21"/>
                    </w:rPr>
                    <w:t>镍</w:t>
                  </w:r>
                </w:p>
              </w:tc>
              <w:tc>
                <w:tcPr>
                  <w:tcW w:w="1611" w:type="dxa"/>
                  <w:noWrap w:val="0"/>
                  <w:vAlign w:val="center"/>
                </w:tcPr>
                <w:p w14:paraId="563C7A5B">
                  <w:pPr>
                    <w:pageBreakBefore w:val="0"/>
                    <w:widowControl/>
                    <w:kinsoku/>
                    <w:wordWrap/>
                    <w:topLinePunct w:val="0"/>
                    <w:bidi w:val="0"/>
                    <w:spacing w:line="280" w:lineRule="exact"/>
                    <w:jc w:val="center"/>
                    <w:textAlignment w:val="center"/>
                    <w:rPr>
                      <w:rFonts w:hint="default" w:eastAsia="宋体"/>
                      <w:szCs w:val="21"/>
                      <w:lang w:val="en-US" w:eastAsia="zh-CN"/>
                    </w:rPr>
                  </w:pPr>
                  <w:r>
                    <w:rPr>
                      <w:rFonts w:hint="eastAsia"/>
                      <w:szCs w:val="21"/>
                      <w:lang w:val="en-US" w:eastAsia="zh-CN"/>
                    </w:rPr>
                    <w:t>19</w:t>
                  </w:r>
                </w:p>
              </w:tc>
              <w:tc>
                <w:tcPr>
                  <w:tcW w:w="1169" w:type="dxa"/>
                  <w:noWrap w:val="0"/>
                  <w:vAlign w:val="center"/>
                </w:tcPr>
                <w:p w14:paraId="45403919">
                  <w:pPr>
                    <w:pageBreakBefore w:val="0"/>
                    <w:kinsoku/>
                    <w:wordWrap/>
                    <w:topLinePunct w:val="0"/>
                    <w:bidi w:val="0"/>
                    <w:spacing w:line="280" w:lineRule="exact"/>
                    <w:jc w:val="center"/>
                    <w:rPr>
                      <w:szCs w:val="21"/>
                    </w:rPr>
                  </w:pPr>
                  <w:r>
                    <w:rPr>
                      <w:szCs w:val="21"/>
                    </w:rPr>
                    <w:t>900</w:t>
                  </w:r>
                </w:p>
              </w:tc>
            </w:tr>
            <w:tr w14:paraId="3951D8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2338" w:type="dxa"/>
                  <w:vMerge w:val="restart"/>
                  <w:noWrap w:val="0"/>
                  <w:vAlign w:val="center"/>
                </w:tcPr>
                <w:p w14:paraId="750BA0F8">
                  <w:pPr>
                    <w:pageBreakBefore w:val="0"/>
                    <w:kinsoku/>
                    <w:wordWrap/>
                    <w:topLinePunct w:val="0"/>
                    <w:bidi w:val="0"/>
                    <w:spacing w:line="280" w:lineRule="exact"/>
                    <w:jc w:val="center"/>
                    <w:rPr>
                      <w:rFonts w:hint="eastAsia"/>
                      <w:szCs w:val="21"/>
                      <w:lang w:val="en-US" w:eastAsia="zh-CN"/>
                    </w:rPr>
                  </w:pPr>
                  <w:r>
                    <w:rPr>
                      <w:rFonts w:hint="eastAsia"/>
                      <w:szCs w:val="21"/>
                      <w:lang w:val="en-US" w:eastAsia="zh-CN"/>
                    </w:rPr>
                    <w:t>选址内部</w:t>
                  </w:r>
                </w:p>
              </w:tc>
              <w:tc>
                <w:tcPr>
                  <w:tcW w:w="3386" w:type="dxa"/>
                  <w:noWrap w:val="0"/>
                  <w:vAlign w:val="center"/>
                </w:tcPr>
                <w:p w14:paraId="4D134420">
                  <w:pPr>
                    <w:pageBreakBefore w:val="0"/>
                    <w:kinsoku/>
                    <w:wordWrap/>
                    <w:topLinePunct w:val="0"/>
                    <w:bidi w:val="0"/>
                    <w:spacing w:line="280" w:lineRule="exact"/>
                    <w:jc w:val="center"/>
                    <w:rPr>
                      <w:szCs w:val="21"/>
                    </w:rPr>
                  </w:pPr>
                  <w:r>
                    <w:rPr>
                      <w:szCs w:val="21"/>
                    </w:rPr>
                    <w:t>pH</w:t>
                  </w:r>
                </w:p>
              </w:tc>
              <w:tc>
                <w:tcPr>
                  <w:tcW w:w="1611" w:type="dxa"/>
                  <w:noWrap w:val="0"/>
                  <w:vAlign w:val="center"/>
                </w:tcPr>
                <w:p w14:paraId="30819217">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10.5</w:t>
                  </w:r>
                </w:p>
              </w:tc>
              <w:tc>
                <w:tcPr>
                  <w:tcW w:w="1169" w:type="dxa"/>
                  <w:noWrap w:val="0"/>
                  <w:vAlign w:val="center"/>
                </w:tcPr>
                <w:p w14:paraId="1E217F3D">
                  <w:pPr>
                    <w:pageBreakBefore w:val="0"/>
                    <w:kinsoku/>
                    <w:wordWrap/>
                    <w:topLinePunct w:val="0"/>
                    <w:bidi w:val="0"/>
                    <w:spacing w:line="280" w:lineRule="exact"/>
                    <w:jc w:val="center"/>
                    <w:rPr>
                      <w:szCs w:val="21"/>
                    </w:rPr>
                  </w:pPr>
                  <w:r>
                    <w:rPr>
                      <w:szCs w:val="21"/>
                    </w:rPr>
                    <w:t>/</w:t>
                  </w:r>
                </w:p>
              </w:tc>
            </w:tr>
            <w:tr w14:paraId="23533A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2D7784AA">
                  <w:pPr>
                    <w:pageBreakBefore w:val="0"/>
                    <w:kinsoku/>
                    <w:wordWrap/>
                    <w:topLinePunct w:val="0"/>
                    <w:bidi w:val="0"/>
                    <w:spacing w:line="280" w:lineRule="exact"/>
                    <w:jc w:val="center"/>
                    <w:rPr>
                      <w:szCs w:val="21"/>
                    </w:rPr>
                  </w:pPr>
                </w:p>
              </w:tc>
              <w:tc>
                <w:tcPr>
                  <w:tcW w:w="3386" w:type="dxa"/>
                  <w:noWrap w:val="0"/>
                  <w:vAlign w:val="center"/>
                </w:tcPr>
                <w:p w14:paraId="203724D5">
                  <w:pPr>
                    <w:pageBreakBefore w:val="0"/>
                    <w:kinsoku/>
                    <w:wordWrap/>
                    <w:topLinePunct w:val="0"/>
                    <w:bidi w:val="0"/>
                    <w:spacing w:line="280" w:lineRule="exact"/>
                    <w:jc w:val="center"/>
                    <w:rPr>
                      <w:szCs w:val="21"/>
                    </w:rPr>
                  </w:pPr>
                  <w:r>
                    <w:rPr>
                      <w:szCs w:val="21"/>
                    </w:rPr>
                    <w:t>砷</w:t>
                  </w:r>
                </w:p>
              </w:tc>
              <w:tc>
                <w:tcPr>
                  <w:tcW w:w="1611" w:type="dxa"/>
                  <w:noWrap w:val="0"/>
                  <w:vAlign w:val="center"/>
                </w:tcPr>
                <w:p w14:paraId="56385067">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6.66</w:t>
                  </w:r>
                </w:p>
              </w:tc>
              <w:tc>
                <w:tcPr>
                  <w:tcW w:w="1169" w:type="dxa"/>
                  <w:noWrap w:val="0"/>
                  <w:vAlign w:val="center"/>
                </w:tcPr>
                <w:p w14:paraId="4FC1CABF">
                  <w:pPr>
                    <w:pageBreakBefore w:val="0"/>
                    <w:kinsoku/>
                    <w:wordWrap/>
                    <w:topLinePunct w:val="0"/>
                    <w:bidi w:val="0"/>
                    <w:spacing w:line="280" w:lineRule="exact"/>
                    <w:jc w:val="center"/>
                    <w:rPr>
                      <w:szCs w:val="21"/>
                    </w:rPr>
                  </w:pPr>
                  <w:r>
                    <w:rPr>
                      <w:szCs w:val="21"/>
                    </w:rPr>
                    <w:t>60</w:t>
                  </w:r>
                </w:p>
              </w:tc>
            </w:tr>
            <w:tr w14:paraId="22DAE9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BE90778">
                  <w:pPr>
                    <w:pageBreakBefore w:val="0"/>
                    <w:kinsoku/>
                    <w:wordWrap/>
                    <w:topLinePunct w:val="0"/>
                    <w:bidi w:val="0"/>
                    <w:spacing w:line="280" w:lineRule="exact"/>
                    <w:jc w:val="center"/>
                    <w:rPr>
                      <w:szCs w:val="21"/>
                    </w:rPr>
                  </w:pPr>
                </w:p>
              </w:tc>
              <w:tc>
                <w:tcPr>
                  <w:tcW w:w="3386" w:type="dxa"/>
                  <w:noWrap w:val="0"/>
                  <w:vAlign w:val="center"/>
                </w:tcPr>
                <w:p w14:paraId="3EC9130B">
                  <w:pPr>
                    <w:pageBreakBefore w:val="0"/>
                    <w:kinsoku/>
                    <w:wordWrap/>
                    <w:topLinePunct w:val="0"/>
                    <w:bidi w:val="0"/>
                    <w:spacing w:line="280" w:lineRule="exact"/>
                    <w:jc w:val="center"/>
                    <w:rPr>
                      <w:szCs w:val="21"/>
                    </w:rPr>
                  </w:pPr>
                  <w:r>
                    <w:rPr>
                      <w:szCs w:val="21"/>
                    </w:rPr>
                    <w:t>镉</w:t>
                  </w:r>
                </w:p>
              </w:tc>
              <w:tc>
                <w:tcPr>
                  <w:tcW w:w="1611" w:type="dxa"/>
                  <w:noWrap w:val="0"/>
                  <w:vAlign w:val="center"/>
                </w:tcPr>
                <w:p w14:paraId="7F684678">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0.44</w:t>
                  </w:r>
                </w:p>
              </w:tc>
              <w:tc>
                <w:tcPr>
                  <w:tcW w:w="1169" w:type="dxa"/>
                  <w:noWrap w:val="0"/>
                  <w:vAlign w:val="center"/>
                </w:tcPr>
                <w:p w14:paraId="65FAFDAB">
                  <w:pPr>
                    <w:pageBreakBefore w:val="0"/>
                    <w:kinsoku/>
                    <w:wordWrap/>
                    <w:topLinePunct w:val="0"/>
                    <w:bidi w:val="0"/>
                    <w:spacing w:line="280" w:lineRule="exact"/>
                    <w:jc w:val="center"/>
                    <w:rPr>
                      <w:szCs w:val="21"/>
                    </w:rPr>
                  </w:pPr>
                  <w:r>
                    <w:rPr>
                      <w:szCs w:val="21"/>
                    </w:rPr>
                    <w:t>65</w:t>
                  </w:r>
                </w:p>
              </w:tc>
            </w:tr>
            <w:tr w14:paraId="5AA203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37A1153F">
                  <w:pPr>
                    <w:pageBreakBefore w:val="0"/>
                    <w:kinsoku/>
                    <w:wordWrap/>
                    <w:topLinePunct w:val="0"/>
                    <w:bidi w:val="0"/>
                    <w:spacing w:line="280" w:lineRule="exact"/>
                    <w:jc w:val="center"/>
                    <w:rPr>
                      <w:szCs w:val="21"/>
                    </w:rPr>
                  </w:pPr>
                </w:p>
              </w:tc>
              <w:tc>
                <w:tcPr>
                  <w:tcW w:w="3386" w:type="dxa"/>
                  <w:noWrap w:val="0"/>
                  <w:vAlign w:val="center"/>
                </w:tcPr>
                <w:p w14:paraId="2AA34F2E">
                  <w:pPr>
                    <w:pageBreakBefore w:val="0"/>
                    <w:kinsoku/>
                    <w:wordWrap/>
                    <w:topLinePunct w:val="0"/>
                    <w:bidi w:val="0"/>
                    <w:spacing w:line="280" w:lineRule="exact"/>
                    <w:jc w:val="center"/>
                    <w:rPr>
                      <w:szCs w:val="21"/>
                    </w:rPr>
                  </w:pPr>
                  <w:r>
                    <w:rPr>
                      <w:szCs w:val="21"/>
                    </w:rPr>
                    <w:t>铬（六价）</w:t>
                  </w:r>
                </w:p>
              </w:tc>
              <w:tc>
                <w:tcPr>
                  <w:tcW w:w="1611" w:type="dxa"/>
                  <w:noWrap w:val="0"/>
                  <w:vAlign w:val="center"/>
                </w:tcPr>
                <w:p w14:paraId="0749DE10">
                  <w:pPr>
                    <w:pageBreakBefore w:val="0"/>
                    <w:kinsoku/>
                    <w:wordWrap/>
                    <w:topLinePunct w:val="0"/>
                    <w:bidi w:val="0"/>
                    <w:spacing w:line="280" w:lineRule="exact"/>
                    <w:jc w:val="center"/>
                    <w:rPr>
                      <w:rFonts w:hint="default"/>
                      <w:szCs w:val="21"/>
                      <w:lang w:val="en-US"/>
                    </w:rPr>
                  </w:pPr>
                  <w:r>
                    <w:rPr>
                      <w:rFonts w:hint="eastAsia"/>
                      <w:szCs w:val="21"/>
                      <w:lang w:val="en-US" w:eastAsia="zh-CN"/>
                    </w:rPr>
                    <w:t>&lt;0.5</w:t>
                  </w:r>
                </w:p>
              </w:tc>
              <w:tc>
                <w:tcPr>
                  <w:tcW w:w="1169" w:type="dxa"/>
                  <w:noWrap w:val="0"/>
                  <w:vAlign w:val="center"/>
                </w:tcPr>
                <w:p w14:paraId="3774F49F">
                  <w:pPr>
                    <w:pageBreakBefore w:val="0"/>
                    <w:kinsoku/>
                    <w:wordWrap/>
                    <w:topLinePunct w:val="0"/>
                    <w:bidi w:val="0"/>
                    <w:spacing w:line="280" w:lineRule="exact"/>
                    <w:jc w:val="center"/>
                    <w:rPr>
                      <w:szCs w:val="21"/>
                    </w:rPr>
                  </w:pPr>
                  <w:r>
                    <w:rPr>
                      <w:szCs w:val="21"/>
                    </w:rPr>
                    <w:t>5.7</w:t>
                  </w:r>
                </w:p>
              </w:tc>
            </w:tr>
            <w:tr w14:paraId="3C3598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4DD3B491">
                  <w:pPr>
                    <w:pageBreakBefore w:val="0"/>
                    <w:kinsoku/>
                    <w:wordWrap/>
                    <w:topLinePunct w:val="0"/>
                    <w:bidi w:val="0"/>
                    <w:spacing w:line="280" w:lineRule="exact"/>
                    <w:jc w:val="center"/>
                    <w:rPr>
                      <w:szCs w:val="21"/>
                    </w:rPr>
                  </w:pPr>
                </w:p>
              </w:tc>
              <w:tc>
                <w:tcPr>
                  <w:tcW w:w="3386" w:type="dxa"/>
                  <w:noWrap w:val="0"/>
                  <w:vAlign w:val="center"/>
                </w:tcPr>
                <w:p w14:paraId="4CE7A5F0">
                  <w:pPr>
                    <w:pageBreakBefore w:val="0"/>
                    <w:kinsoku/>
                    <w:wordWrap/>
                    <w:topLinePunct w:val="0"/>
                    <w:bidi w:val="0"/>
                    <w:spacing w:line="280" w:lineRule="exact"/>
                    <w:jc w:val="center"/>
                    <w:rPr>
                      <w:szCs w:val="21"/>
                    </w:rPr>
                  </w:pPr>
                  <w:r>
                    <w:rPr>
                      <w:szCs w:val="21"/>
                    </w:rPr>
                    <w:t>铜</w:t>
                  </w:r>
                </w:p>
              </w:tc>
              <w:tc>
                <w:tcPr>
                  <w:tcW w:w="1611" w:type="dxa"/>
                  <w:noWrap w:val="0"/>
                  <w:vAlign w:val="center"/>
                </w:tcPr>
                <w:p w14:paraId="25075F2E">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21</w:t>
                  </w:r>
                </w:p>
              </w:tc>
              <w:tc>
                <w:tcPr>
                  <w:tcW w:w="1169" w:type="dxa"/>
                  <w:noWrap w:val="0"/>
                  <w:vAlign w:val="center"/>
                </w:tcPr>
                <w:p w14:paraId="16534BBF">
                  <w:pPr>
                    <w:pageBreakBefore w:val="0"/>
                    <w:kinsoku/>
                    <w:wordWrap/>
                    <w:topLinePunct w:val="0"/>
                    <w:bidi w:val="0"/>
                    <w:spacing w:line="280" w:lineRule="exact"/>
                    <w:jc w:val="center"/>
                    <w:rPr>
                      <w:szCs w:val="21"/>
                    </w:rPr>
                  </w:pPr>
                  <w:r>
                    <w:rPr>
                      <w:szCs w:val="21"/>
                    </w:rPr>
                    <w:t>18000</w:t>
                  </w:r>
                </w:p>
              </w:tc>
            </w:tr>
            <w:tr w14:paraId="57E47F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385B255">
                  <w:pPr>
                    <w:pageBreakBefore w:val="0"/>
                    <w:kinsoku/>
                    <w:wordWrap/>
                    <w:topLinePunct w:val="0"/>
                    <w:bidi w:val="0"/>
                    <w:spacing w:line="280" w:lineRule="exact"/>
                    <w:jc w:val="center"/>
                    <w:rPr>
                      <w:szCs w:val="21"/>
                    </w:rPr>
                  </w:pPr>
                </w:p>
              </w:tc>
              <w:tc>
                <w:tcPr>
                  <w:tcW w:w="3386" w:type="dxa"/>
                  <w:noWrap w:val="0"/>
                  <w:vAlign w:val="center"/>
                </w:tcPr>
                <w:p w14:paraId="65B3CB9D">
                  <w:pPr>
                    <w:pageBreakBefore w:val="0"/>
                    <w:kinsoku/>
                    <w:wordWrap/>
                    <w:topLinePunct w:val="0"/>
                    <w:bidi w:val="0"/>
                    <w:spacing w:line="280" w:lineRule="exact"/>
                    <w:jc w:val="center"/>
                    <w:rPr>
                      <w:szCs w:val="21"/>
                    </w:rPr>
                  </w:pPr>
                  <w:r>
                    <w:rPr>
                      <w:szCs w:val="21"/>
                    </w:rPr>
                    <w:t>铅</w:t>
                  </w:r>
                </w:p>
              </w:tc>
              <w:tc>
                <w:tcPr>
                  <w:tcW w:w="1611" w:type="dxa"/>
                  <w:noWrap w:val="0"/>
                  <w:vAlign w:val="center"/>
                </w:tcPr>
                <w:p w14:paraId="35721F77">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12.0</w:t>
                  </w:r>
                </w:p>
              </w:tc>
              <w:tc>
                <w:tcPr>
                  <w:tcW w:w="1169" w:type="dxa"/>
                  <w:noWrap w:val="0"/>
                  <w:vAlign w:val="center"/>
                </w:tcPr>
                <w:p w14:paraId="01C9018A">
                  <w:pPr>
                    <w:pageBreakBefore w:val="0"/>
                    <w:kinsoku/>
                    <w:wordWrap/>
                    <w:topLinePunct w:val="0"/>
                    <w:bidi w:val="0"/>
                    <w:spacing w:line="280" w:lineRule="exact"/>
                    <w:jc w:val="center"/>
                    <w:rPr>
                      <w:szCs w:val="21"/>
                    </w:rPr>
                  </w:pPr>
                  <w:r>
                    <w:rPr>
                      <w:szCs w:val="21"/>
                    </w:rPr>
                    <w:t>800</w:t>
                  </w:r>
                </w:p>
              </w:tc>
            </w:tr>
            <w:tr w14:paraId="0B007B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FBCD2D6">
                  <w:pPr>
                    <w:pageBreakBefore w:val="0"/>
                    <w:kinsoku/>
                    <w:wordWrap/>
                    <w:topLinePunct w:val="0"/>
                    <w:bidi w:val="0"/>
                    <w:spacing w:line="280" w:lineRule="exact"/>
                    <w:jc w:val="center"/>
                    <w:rPr>
                      <w:szCs w:val="21"/>
                    </w:rPr>
                  </w:pPr>
                </w:p>
              </w:tc>
              <w:tc>
                <w:tcPr>
                  <w:tcW w:w="3386" w:type="dxa"/>
                  <w:noWrap w:val="0"/>
                  <w:vAlign w:val="center"/>
                </w:tcPr>
                <w:p w14:paraId="610299F5">
                  <w:pPr>
                    <w:pageBreakBefore w:val="0"/>
                    <w:kinsoku/>
                    <w:wordWrap/>
                    <w:topLinePunct w:val="0"/>
                    <w:bidi w:val="0"/>
                    <w:spacing w:line="280" w:lineRule="exact"/>
                    <w:jc w:val="center"/>
                    <w:rPr>
                      <w:szCs w:val="21"/>
                    </w:rPr>
                  </w:pPr>
                  <w:r>
                    <w:rPr>
                      <w:szCs w:val="21"/>
                    </w:rPr>
                    <w:t>汞</w:t>
                  </w:r>
                </w:p>
              </w:tc>
              <w:tc>
                <w:tcPr>
                  <w:tcW w:w="1611" w:type="dxa"/>
                  <w:noWrap w:val="0"/>
                  <w:vAlign w:val="center"/>
                </w:tcPr>
                <w:p w14:paraId="03FCF6EA">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0.079</w:t>
                  </w:r>
                </w:p>
              </w:tc>
              <w:tc>
                <w:tcPr>
                  <w:tcW w:w="1169" w:type="dxa"/>
                  <w:noWrap w:val="0"/>
                  <w:vAlign w:val="center"/>
                </w:tcPr>
                <w:p w14:paraId="6D63D69F">
                  <w:pPr>
                    <w:pageBreakBefore w:val="0"/>
                    <w:kinsoku/>
                    <w:wordWrap/>
                    <w:topLinePunct w:val="0"/>
                    <w:bidi w:val="0"/>
                    <w:spacing w:line="280" w:lineRule="exact"/>
                    <w:jc w:val="center"/>
                    <w:rPr>
                      <w:szCs w:val="21"/>
                    </w:rPr>
                  </w:pPr>
                  <w:r>
                    <w:rPr>
                      <w:szCs w:val="21"/>
                    </w:rPr>
                    <w:t>38</w:t>
                  </w:r>
                </w:p>
              </w:tc>
            </w:tr>
            <w:tr w14:paraId="13D4E7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4AD9CD79">
                  <w:pPr>
                    <w:pageBreakBefore w:val="0"/>
                    <w:kinsoku/>
                    <w:wordWrap/>
                    <w:topLinePunct w:val="0"/>
                    <w:bidi w:val="0"/>
                    <w:spacing w:line="280" w:lineRule="exact"/>
                    <w:jc w:val="center"/>
                    <w:rPr>
                      <w:szCs w:val="21"/>
                    </w:rPr>
                  </w:pPr>
                </w:p>
              </w:tc>
              <w:tc>
                <w:tcPr>
                  <w:tcW w:w="3386" w:type="dxa"/>
                  <w:noWrap w:val="0"/>
                  <w:vAlign w:val="center"/>
                </w:tcPr>
                <w:p w14:paraId="70D5711F">
                  <w:pPr>
                    <w:pageBreakBefore w:val="0"/>
                    <w:kinsoku/>
                    <w:wordWrap/>
                    <w:topLinePunct w:val="0"/>
                    <w:bidi w:val="0"/>
                    <w:spacing w:line="280" w:lineRule="exact"/>
                    <w:jc w:val="center"/>
                    <w:rPr>
                      <w:szCs w:val="21"/>
                    </w:rPr>
                  </w:pPr>
                  <w:r>
                    <w:rPr>
                      <w:szCs w:val="21"/>
                    </w:rPr>
                    <w:t>镍</w:t>
                  </w:r>
                </w:p>
              </w:tc>
              <w:tc>
                <w:tcPr>
                  <w:tcW w:w="1611" w:type="dxa"/>
                  <w:noWrap w:val="0"/>
                  <w:vAlign w:val="center"/>
                </w:tcPr>
                <w:p w14:paraId="03855DB9">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12</w:t>
                  </w:r>
                </w:p>
              </w:tc>
              <w:tc>
                <w:tcPr>
                  <w:tcW w:w="1169" w:type="dxa"/>
                  <w:noWrap w:val="0"/>
                  <w:vAlign w:val="center"/>
                </w:tcPr>
                <w:p w14:paraId="5FCAC5A5">
                  <w:pPr>
                    <w:pageBreakBefore w:val="0"/>
                    <w:kinsoku/>
                    <w:wordWrap/>
                    <w:topLinePunct w:val="0"/>
                    <w:bidi w:val="0"/>
                    <w:spacing w:line="280" w:lineRule="exact"/>
                    <w:jc w:val="center"/>
                    <w:rPr>
                      <w:szCs w:val="21"/>
                    </w:rPr>
                  </w:pPr>
                  <w:r>
                    <w:rPr>
                      <w:szCs w:val="21"/>
                    </w:rPr>
                    <w:t>900</w:t>
                  </w:r>
                </w:p>
              </w:tc>
            </w:tr>
            <w:tr w14:paraId="6197D3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357FB725">
                  <w:pPr>
                    <w:pageBreakBefore w:val="0"/>
                    <w:kinsoku/>
                    <w:wordWrap/>
                    <w:topLinePunct w:val="0"/>
                    <w:bidi w:val="0"/>
                    <w:spacing w:line="280" w:lineRule="exact"/>
                    <w:jc w:val="center"/>
                    <w:rPr>
                      <w:szCs w:val="21"/>
                    </w:rPr>
                  </w:pPr>
                </w:p>
              </w:tc>
              <w:tc>
                <w:tcPr>
                  <w:tcW w:w="3386" w:type="dxa"/>
                  <w:noWrap w:val="0"/>
                  <w:vAlign w:val="center"/>
                </w:tcPr>
                <w:p w14:paraId="4E395E54">
                  <w:pPr>
                    <w:pageBreakBefore w:val="0"/>
                    <w:kinsoku/>
                    <w:wordWrap/>
                    <w:topLinePunct w:val="0"/>
                    <w:bidi w:val="0"/>
                    <w:spacing w:line="280" w:lineRule="exact"/>
                    <w:jc w:val="center"/>
                    <w:rPr>
                      <w:szCs w:val="21"/>
                    </w:rPr>
                  </w:pPr>
                  <w:r>
                    <w:rPr>
                      <w:szCs w:val="21"/>
                    </w:rPr>
                    <w:t>四氯化碳</w:t>
                  </w:r>
                </w:p>
              </w:tc>
              <w:tc>
                <w:tcPr>
                  <w:tcW w:w="1611" w:type="dxa"/>
                  <w:noWrap w:val="0"/>
                  <w:vAlign w:val="center"/>
                </w:tcPr>
                <w:p w14:paraId="00E05DBE">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1169" w:type="dxa"/>
                  <w:noWrap w:val="0"/>
                  <w:vAlign w:val="center"/>
                </w:tcPr>
                <w:p w14:paraId="7939402B">
                  <w:pPr>
                    <w:pageBreakBefore w:val="0"/>
                    <w:kinsoku/>
                    <w:wordWrap/>
                    <w:topLinePunct w:val="0"/>
                    <w:bidi w:val="0"/>
                    <w:spacing w:line="280" w:lineRule="exact"/>
                    <w:jc w:val="center"/>
                    <w:rPr>
                      <w:szCs w:val="21"/>
                    </w:rPr>
                  </w:pPr>
                  <w:r>
                    <w:rPr>
                      <w:szCs w:val="21"/>
                    </w:rPr>
                    <w:t>2.8</w:t>
                  </w:r>
                </w:p>
              </w:tc>
            </w:tr>
            <w:tr w14:paraId="321CF4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74A0169C">
                  <w:pPr>
                    <w:pageBreakBefore w:val="0"/>
                    <w:kinsoku/>
                    <w:wordWrap/>
                    <w:topLinePunct w:val="0"/>
                    <w:bidi w:val="0"/>
                    <w:spacing w:line="280" w:lineRule="exact"/>
                    <w:jc w:val="center"/>
                    <w:rPr>
                      <w:szCs w:val="21"/>
                    </w:rPr>
                  </w:pPr>
                </w:p>
              </w:tc>
              <w:tc>
                <w:tcPr>
                  <w:tcW w:w="3386" w:type="dxa"/>
                  <w:noWrap w:val="0"/>
                  <w:vAlign w:val="center"/>
                </w:tcPr>
                <w:p w14:paraId="03B62CF3">
                  <w:pPr>
                    <w:pageBreakBefore w:val="0"/>
                    <w:kinsoku/>
                    <w:wordWrap/>
                    <w:topLinePunct w:val="0"/>
                    <w:bidi w:val="0"/>
                    <w:spacing w:line="280" w:lineRule="exact"/>
                    <w:jc w:val="center"/>
                    <w:rPr>
                      <w:szCs w:val="21"/>
                    </w:rPr>
                  </w:pPr>
                  <w:r>
                    <w:rPr>
                      <w:szCs w:val="21"/>
                    </w:rPr>
                    <w:t>氯仿</w:t>
                  </w:r>
                </w:p>
              </w:tc>
              <w:tc>
                <w:tcPr>
                  <w:tcW w:w="1611" w:type="dxa"/>
                  <w:noWrap w:val="0"/>
                  <w:vAlign w:val="center"/>
                </w:tcPr>
                <w:p w14:paraId="642833AC">
                  <w:pPr>
                    <w:pageBreakBefore w:val="0"/>
                    <w:widowControl/>
                    <w:kinsoku/>
                    <w:wordWrap/>
                    <w:topLinePunct w:val="0"/>
                    <w:bidi w:val="0"/>
                    <w:spacing w:line="280" w:lineRule="exact"/>
                    <w:jc w:val="center"/>
                    <w:textAlignment w:val="center"/>
                    <w:rPr>
                      <w:szCs w:val="21"/>
                    </w:rPr>
                  </w:pPr>
                  <w:r>
                    <w:rPr>
                      <w:rFonts w:hint="eastAsia"/>
                      <w:szCs w:val="21"/>
                      <w:lang w:val="en-US" w:eastAsia="zh-CN"/>
                    </w:rPr>
                    <w:t>&lt;</w:t>
                  </w:r>
                  <w:r>
                    <w:rPr>
                      <w:rFonts w:hint="eastAsia"/>
                      <w:kern w:val="0"/>
                      <w:szCs w:val="21"/>
                      <w:lang w:val="en-US" w:eastAsia="zh-CN" w:bidi="ar"/>
                    </w:rPr>
                    <w:t>0.0011</w:t>
                  </w:r>
                </w:p>
              </w:tc>
              <w:tc>
                <w:tcPr>
                  <w:tcW w:w="1169" w:type="dxa"/>
                  <w:noWrap w:val="0"/>
                  <w:vAlign w:val="center"/>
                </w:tcPr>
                <w:p w14:paraId="3C038B10">
                  <w:pPr>
                    <w:pageBreakBefore w:val="0"/>
                    <w:kinsoku/>
                    <w:wordWrap/>
                    <w:topLinePunct w:val="0"/>
                    <w:bidi w:val="0"/>
                    <w:spacing w:line="280" w:lineRule="exact"/>
                    <w:jc w:val="center"/>
                    <w:rPr>
                      <w:szCs w:val="21"/>
                    </w:rPr>
                  </w:pPr>
                  <w:r>
                    <w:rPr>
                      <w:szCs w:val="21"/>
                    </w:rPr>
                    <w:t>0.9</w:t>
                  </w:r>
                </w:p>
              </w:tc>
            </w:tr>
            <w:tr w14:paraId="047072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08994B6F">
                  <w:pPr>
                    <w:pageBreakBefore w:val="0"/>
                    <w:kinsoku/>
                    <w:wordWrap/>
                    <w:topLinePunct w:val="0"/>
                    <w:bidi w:val="0"/>
                    <w:spacing w:line="280" w:lineRule="exact"/>
                    <w:jc w:val="center"/>
                    <w:rPr>
                      <w:szCs w:val="21"/>
                    </w:rPr>
                  </w:pPr>
                </w:p>
              </w:tc>
              <w:tc>
                <w:tcPr>
                  <w:tcW w:w="3386" w:type="dxa"/>
                  <w:noWrap w:val="0"/>
                  <w:vAlign w:val="center"/>
                </w:tcPr>
                <w:p w14:paraId="345DC971">
                  <w:pPr>
                    <w:pageBreakBefore w:val="0"/>
                    <w:kinsoku/>
                    <w:wordWrap/>
                    <w:topLinePunct w:val="0"/>
                    <w:bidi w:val="0"/>
                    <w:spacing w:line="280" w:lineRule="exact"/>
                    <w:jc w:val="center"/>
                    <w:rPr>
                      <w:szCs w:val="21"/>
                    </w:rPr>
                  </w:pPr>
                  <w:r>
                    <w:rPr>
                      <w:szCs w:val="21"/>
                    </w:rPr>
                    <w:t>氯甲烷</w:t>
                  </w:r>
                </w:p>
              </w:tc>
              <w:tc>
                <w:tcPr>
                  <w:tcW w:w="1611" w:type="dxa"/>
                  <w:noWrap w:val="0"/>
                  <w:vAlign w:val="center"/>
                </w:tcPr>
                <w:p w14:paraId="4535E776">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w:t>
                  </w:r>
                </w:p>
              </w:tc>
              <w:tc>
                <w:tcPr>
                  <w:tcW w:w="1169" w:type="dxa"/>
                  <w:noWrap w:val="0"/>
                  <w:vAlign w:val="center"/>
                </w:tcPr>
                <w:p w14:paraId="19F30F5E">
                  <w:pPr>
                    <w:pageBreakBefore w:val="0"/>
                    <w:kinsoku/>
                    <w:wordWrap/>
                    <w:topLinePunct w:val="0"/>
                    <w:bidi w:val="0"/>
                    <w:spacing w:line="280" w:lineRule="exact"/>
                    <w:jc w:val="center"/>
                    <w:rPr>
                      <w:szCs w:val="21"/>
                    </w:rPr>
                  </w:pPr>
                  <w:r>
                    <w:rPr>
                      <w:szCs w:val="21"/>
                    </w:rPr>
                    <w:t>37</w:t>
                  </w:r>
                </w:p>
              </w:tc>
            </w:tr>
            <w:tr w14:paraId="23CC76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7E0AF1BF">
                  <w:pPr>
                    <w:pageBreakBefore w:val="0"/>
                    <w:kinsoku/>
                    <w:wordWrap/>
                    <w:topLinePunct w:val="0"/>
                    <w:bidi w:val="0"/>
                    <w:spacing w:line="280" w:lineRule="exact"/>
                    <w:jc w:val="center"/>
                    <w:rPr>
                      <w:szCs w:val="21"/>
                    </w:rPr>
                  </w:pPr>
                </w:p>
              </w:tc>
              <w:tc>
                <w:tcPr>
                  <w:tcW w:w="3386" w:type="dxa"/>
                  <w:noWrap w:val="0"/>
                  <w:vAlign w:val="center"/>
                </w:tcPr>
                <w:p w14:paraId="1A91C3FA">
                  <w:pPr>
                    <w:pageBreakBefore w:val="0"/>
                    <w:kinsoku/>
                    <w:wordWrap/>
                    <w:topLinePunct w:val="0"/>
                    <w:bidi w:val="0"/>
                    <w:spacing w:line="280" w:lineRule="exact"/>
                    <w:jc w:val="center"/>
                    <w:rPr>
                      <w:szCs w:val="21"/>
                    </w:rPr>
                  </w:pPr>
                  <w:r>
                    <w:rPr>
                      <w:szCs w:val="21"/>
                    </w:rPr>
                    <w:t>1，1-二氯乙烷</w:t>
                  </w:r>
                </w:p>
              </w:tc>
              <w:tc>
                <w:tcPr>
                  <w:tcW w:w="1611" w:type="dxa"/>
                  <w:noWrap w:val="0"/>
                  <w:vAlign w:val="center"/>
                </w:tcPr>
                <w:p w14:paraId="7DC5BDBB">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9" w:type="dxa"/>
                  <w:noWrap w:val="0"/>
                  <w:vAlign w:val="center"/>
                </w:tcPr>
                <w:p w14:paraId="4406C547">
                  <w:pPr>
                    <w:pageBreakBefore w:val="0"/>
                    <w:kinsoku/>
                    <w:wordWrap/>
                    <w:topLinePunct w:val="0"/>
                    <w:bidi w:val="0"/>
                    <w:spacing w:line="280" w:lineRule="exact"/>
                    <w:jc w:val="center"/>
                    <w:rPr>
                      <w:szCs w:val="21"/>
                    </w:rPr>
                  </w:pPr>
                  <w:r>
                    <w:rPr>
                      <w:szCs w:val="21"/>
                    </w:rPr>
                    <w:t>9</w:t>
                  </w:r>
                </w:p>
              </w:tc>
            </w:tr>
            <w:tr w14:paraId="17AB52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2338" w:type="dxa"/>
                  <w:vMerge w:val="continue"/>
                  <w:noWrap w:val="0"/>
                  <w:vAlign w:val="center"/>
                </w:tcPr>
                <w:p w14:paraId="28E7D120">
                  <w:pPr>
                    <w:pageBreakBefore w:val="0"/>
                    <w:kinsoku/>
                    <w:wordWrap/>
                    <w:topLinePunct w:val="0"/>
                    <w:bidi w:val="0"/>
                    <w:spacing w:line="280" w:lineRule="exact"/>
                    <w:jc w:val="center"/>
                    <w:rPr>
                      <w:szCs w:val="21"/>
                    </w:rPr>
                  </w:pPr>
                </w:p>
              </w:tc>
              <w:tc>
                <w:tcPr>
                  <w:tcW w:w="3386" w:type="dxa"/>
                  <w:noWrap w:val="0"/>
                  <w:vAlign w:val="center"/>
                </w:tcPr>
                <w:p w14:paraId="3C0D9318">
                  <w:pPr>
                    <w:pageBreakBefore w:val="0"/>
                    <w:kinsoku/>
                    <w:wordWrap/>
                    <w:topLinePunct w:val="0"/>
                    <w:bidi w:val="0"/>
                    <w:spacing w:line="280" w:lineRule="exact"/>
                    <w:jc w:val="center"/>
                    <w:rPr>
                      <w:szCs w:val="21"/>
                    </w:rPr>
                  </w:pPr>
                  <w:r>
                    <w:rPr>
                      <w:szCs w:val="21"/>
                    </w:rPr>
                    <w:t>1，2-二氯乙烷</w:t>
                  </w:r>
                </w:p>
              </w:tc>
              <w:tc>
                <w:tcPr>
                  <w:tcW w:w="1611" w:type="dxa"/>
                  <w:noWrap w:val="0"/>
                  <w:vAlign w:val="center"/>
                </w:tcPr>
                <w:p w14:paraId="692B82C7">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1169" w:type="dxa"/>
                  <w:noWrap w:val="0"/>
                  <w:vAlign w:val="center"/>
                </w:tcPr>
                <w:p w14:paraId="47F7D487">
                  <w:pPr>
                    <w:pageBreakBefore w:val="0"/>
                    <w:kinsoku/>
                    <w:wordWrap/>
                    <w:topLinePunct w:val="0"/>
                    <w:bidi w:val="0"/>
                    <w:spacing w:line="280" w:lineRule="exact"/>
                    <w:jc w:val="center"/>
                    <w:rPr>
                      <w:szCs w:val="21"/>
                    </w:rPr>
                  </w:pPr>
                  <w:r>
                    <w:rPr>
                      <w:szCs w:val="21"/>
                    </w:rPr>
                    <w:t>5</w:t>
                  </w:r>
                </w:p>
              </w:tc>
            </w:tr>
            <w:tr w14:paraId="2CE0B7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461C1C81">
                  <w:pPr>
                    <w:pageBreakBefore w:val="0"/>
                    <w:kinsoku/>
                    <w:wordWrap/>
                    <w:topLinePunct w:val="0"/>
                    <w:bidi w:val="0"/>
                    <w:spacing w:line="280" w:lineRule="exact"/>
                    <w:jc w:val="center"/>
                    <w:rPr>
                      <w:szCs w:val="21"/>
                    </w:rPr>
                  </w:pPr>
                </w:p>
              </w:tc>
              <w:tc>
                <w:tcPr>
                  <w:tcW w:w="3386" w:type="dxa"/>
                  <w:noWrap w:val="0"/>
                  <w:vAlign w:val="center"/>
                </w:tcPr>
                <w:p w14:paraId="5DD8EC6B">
                  <w:pPr>
                    <w:pageBreakBefore w:val="0"/>
                    <w:kinsoku/>
                    <w:wordWrap/>
                    <w:topLinePunct w:val="0"/>
                    <w:bidi w:val="0"/>
                    <w:spacing w:line="280" w:lineRule="exact"/>
                    <w:jc w:val="center"/>
                    <w:rPr>
                      <w:szCs w:val="21"/>
                    </w:rPr>
                  </w:pPr>
                  <w:r>
                    <w:rPr>
                      <w:szCs w:val="21"/>
                    </w:rPr>
                    <w:t>1，1-二氯乙烯</w:t>
                  </w:r>
                </w:p>
              </w:tc>
              <w:tc>
                <w:tcPr>
                  <w:tcW w:w="1611" w:type="dxa"/>
                  <w:noWrap w:val="0"/>
                  <w:vAlign w:val="center"/>
                </w:tcPr>
                <w:p w14:paraId="4DB8B7AC">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w:t>
                  </w:r>
                </w:p>
              </w:tc>
              <w:tc>
                <w:tcPr>
                  <w:tcW w:w="1169" w:type="dxa"/>
                  <w:noWrap w:val="0"/>
                  <w:vAlign w:val="center"/>
                </w:tcPr>
                <w:p w14:paraId="634B4BE0">
                  <w:pPr>
                    <w:pageBreakBefore w:val="0"/>
                    <w:kinsoku/>
                    <w:wordWrap/>
                    <w:topLinePunct w:val="0"/>
                    <w:bidi w:val="0"/>
                    <w:spacing w:line="280" w:lineRule="exact"/>
                    <w:jc w:val="center"/>
                    <w:rPr>
                      <w:szCs w:val="21"/>
                    </w:rPr>
                  </w:pPr>
                  <w:r>
                    <w:rPr>
                      <w:szCs w:val="21"/>
                    </w:rPr>
                    <w:t>66</w:t>
                  </w:r>
                </w:p>
              </w:tc>
            </w:tr>
            <w:tr w14:paraId="4A9EA0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586D6D4">
                  <w:pPr>
                    <w:pageBreakBefore w:val="0"/>
                    <w:kinsoku/>
                    <w:wordWrap/>
                    <w:topLinePunct w:val="0"/>
                    <w:bidi w:val="0"/>
                    <w:spacing w:line="280" w:lineRule="exact"/>
                    <w:jc w:val="center"/>
                    <w:rPr>
                      <w:szCs w:val="21"/>
                    </w:rPr>
                  </w:pPr>
                </w:p>
              </w:tc>
              <w:tc>
                <w:tcPr>
                  <w:tcW w:w="3386" w:type="dxa"/>
                  <w:noWrap w:val="0"/>
                  <w:vAlign w:val="center"/>
                </w:tcPr>
                <w:p w14:paraId="0087DD1F">
                  <w:pPr>
                    <w:pageBreakBefore w:val="0"/>
                    <w:kinsoku/>
                    <w:wordWrap/>
                    <w:topLinePunct w:val="0"/>
                    <w:bidi w:val="0"/>
                    <w:spacing w:line="280" w:lineRule="exact"/>
                    <w:jc w:val="center"/>
                    <w:rPr>
                      <w:szCs w:val="21"/>
                    </w:rPr>
                  </w:pPr>
                  <w:r>
                    <w:rPr>
                      <w:szCs w:val="21"/>
                    </w:rPr>
                    <w:t>顺-1，2-二氯乙烯</w:t>
                  </w:r>
                </w:p>
              </w:tc>
              <w:tc>
                <w:tcPr>
                  <w:tcW w:w="1611" w:type="dxa"/>
                  <w:noWrap w:val="0"/>
                  <w:vAlign w:val="center"/>
                </w:tcPr>
                <w:p w14:paraId="3F8698E3">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1169" w:type="dxa"/>
                  <w:noWrap w:val="0"/>
                  <w:vAlign w:val="center"/>
                </w:tcPr>
                <w:p w14:paraId="25F56BAD">
                  <w:pPr>
                    <w:pageBreakBefore w:val="0"/>
                    <w:kinsoku/>
                    <w:wordWrap/>
                    <w:topLinePunct w:val="0"/>
                    <w:bidi w:val="0"/>
                    <w:spacing w:line="280" w:lineRule="exact"/>
                    <w:jc w:val="center"/>
                    <w:rPr>
                      <w:szCs w:val="21"/>
                    </w:rPr>
                  </w:pPr>
                  <w:r>
                    <w:rPr>
                      <w:szCs w:val="21"/>
                    </w:rPr>
                    <w:t>596</w:t>
                  </w:r>
                </w:p>
              </w:tc>
            </w:tr>
            <w:tr w14:paraId="65EF16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4C3B955A">
                  <w:pPr>
                    <w:pageBreakBefore w:val="0"/>
                    <w:kinsoku/>
                    <w:wordWrap/>
                    <w:topLinePunct w:val="0"/>
                    <w:bidi w:val="0"/>
                    <w:spacing w:line="280" w:lineRule="exact"/>
                    <w:jc w:val="center"/>
                    <w:rPr>
                      <w:szCs w:val="21"/>
                    </w:rPr>
                  </w:pPr>
                </w:p>
              </w:tc>
              <w:tc>
                <w:tcPr>
                  <w:tcW w:w="3386" w:type="dxa"/>
                  <w:noWrap w:val="0"/>
                  <w:vAlign w:val="center"/>
                </w:tcPr>
                <w:p w14:paraId="202005A2">
                  <w:pPr>
                    <w:pageBreakBefore w:val="0"/>
                    <w:kinsoku/>
                    <w:wordWrap/>
                    <w:topLinePunct w:val="0"/>
                    <w:bidi w:val="0"/>
                    <w:spacing w:line="280" w:lineRule="exact"/>
                    <w:jc w:val="center"/>
                    <w:rPr>
                      <w:szCs w:val="21"/>
                    </w:rPr>
                  </w:pPr>
                  <w:r>
                    <w:rPr>
                      <w:szCs w:val="21"/>
                    </w:rPr>
                    <w:t>反-1，2-二氯乙烯</w:t>
                  </w:r>
                </w:p>
              </w:tc>
              <w:tc>
                <w:tcPr>
                  <w:tcW w:w="1611" w:type="dxa"/>
                  <w:noWrap w:val="0"/>
                  <w:vAlign w:val="center"/>
                </w:tcPr>
                <w:p w14:paraId="579EF084">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&lt;0.0014</w:t>
                  </w:r>
                </w:p>
              </w:tc>
              <w:tc>
                <w:tcPr>
                  <w:tcW w:w="1169" w:type="dxa"/>
                  <w:noWrap w:val="0"/>
                  <w:vAlign w:val="center"/>
                </w:tcPr>
                <w:p w14:paraId="1C00888B">
                  <w:pPr>
                    <w:pageBreakBefore w:val="0"/>
                    <w:kinsoku/>
                    <w:wordWrap/>
                    <w:topLinePunct w:val="0"/>
                    <w:bidi w:val="0"/>
                    <w:spacing w:line="280" w:lineRule="exact"/>
                    <w:jc w:val="center"/>
                    <w:rPr>
                      <w:szCs w:val="21"/>
                    </w:rPr>
                  </w:pPr>
                  <w:r>
                    <w:rPr>
                      <w:szCs w:val="21"/>
                    </w:rPr>
                    <w:t>54</w:t>
                  </w:r>
                </w:p>
              </w:tc>
            </w:tr>
            <w:tr w14:paraId="3CB671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599CC1D">
                  <w:pPr>
                    <w:pageBreakBefore w:val="0"/>
                    <w:kinsoku/>
                    <w:wordWrap/>
                    <w:topLinePunct w:val="0"/>
                    <w:bidi w:val="0"/>
                    <w:spacing w:line="280" w:lineRule="exact"/>
                    <w:jc w:val="center"/>
                    <w:rPr>
                      <w:szCs w:val="21"/>
                    </w:rPr>
                  </w:pPr>
                </w:p>
              </w:tc>
              <w:tc>
                <w:tcPr>
                  <w:tcW w:w="3386" w:type="dxa"/>
                  <w:noWrap w:val="0"/>
                  <w:vAlign w:val="center"/>
                </w:tcPr>
                <w:p w14:paraId="36904526">
                  <w:pPr>
                    <w:pageBreakBefore w:val="0"/>
                    <w:kinsoku/>
                    <w:wordWrap/>
                    <w:topLinePunct w:val="0"/>
                    <w:bidi w:val="0"/>
                    <w:spacing w:line="280" w:lineRule="exact"/>
                    <w:jc w:val="center"/>
                    <w:rPr>
                      <w:szCs w:val="21"/>
                    </w:rPr>
                  </w:pPr>
                  <w:r>
                    <w:rPr>
                      <w:szCs w:val="21"/>
                    </w:rPr>
                    <w:t>二氯甲烷</w:t>
                  </w:r>
                </w:p>
              </w:tc>
              <w:tc>
                <w:tcPr>
                  <w:tcW w:w="1611" w:type="dxa"/>
                  <w:noWrap w:val="0"/>
                  <w:vAlign w:val="center"/>
                </w:tcPr>
                <w:p w14:paraId="41BEBD84">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&lt;0.0015</w:t>
                  </w:r>
                </w:p>
              </w:tc>
              <w:tc>
                <w:tcPr>
                  <w:tcW w:w="1169" w:type="dxa"/>
                  <w:noWrap w:val="0"/>
                  <w:vAlign w:val="center"/>
                </w:tcPr>
                <w:p w14:paraId="1EF17153">
                  <w:pPr>
                    <w:pageBreakBefore w:val="0"/>
                    <w:kinsoku/>
                    <w:wordWrap/>
                    <w:topLinePunct w:val="0"/>
                    <w:bidi w:val="0"/>
                    <w:spacing w:line="280" w:lineRule="exact"/>
                    <w:jc w:val="center"/>
                    <w:rPr>
                      <w:szCs w:val="21"/>
                    </w:rPr>
                  </w:pPr>
                  <w:r>
                    <w:rPr>
                      <w:szCs w:val="21"/>
                    </w:rPr>
                    <w:t>616</w:t>
                  </w:r>
                </w:p>
              </w:tc>
            </w:tr>
            <w:tr w14:paraId="7C255A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2A1FCE51">
                  <w:pPr>
                    <w:pageBreakBefore w:val="0"/>
                    <w:kinsoku/>
                    <w:wordWrap/>
                    <w:topLinePunct w:val="0"/>
                    <w:bidi w:val="0"/>
                    <w:spacing w:line="280" w:lineRule="exact"/>
                    <w:jc w:val="center"/>
                    <w:rPr>
                      <w:szCs w:val="21"/>
                    </w:rPr>
                  </w:pPr>
                </w:p>
              </w:tc>
              <w:tc>
                <w:tcPr>
                  <w:tcW w:w="3386" w:type="dxa"/>
                  <w:noWrap w:val="0"/>
                  <w:vAlign w:val="center"/>
                </w:tcPr>
                <w:p w14:paraId="47F65E8B">
                  <w:pPr>
                    <w:pageBreakBefore w:val="0"/>
                    <w:kinsoku/>
                    <w:wordWrap/>
                    <w:topLinePunct w:val="0"/>
                    <w:bidi w:val="0"/>
                    <w:spacing w:line="280" w:lineRule="exact"/>
                    <w:jc w:val="center"/>
                    <w:rPr>
                      <w:szCs w:val="21"/>
                    </w:rPr>
                  </w:pPr>
                  <w:r>
                    <w:rPr>
                      <w:szCs w:val="21"/>
                    </w:rPr>
                    <w:t>1，2-二氯丙烷</w:t>
                  </w:r>
                </w:p>
              </w:tc>
              <w:tc>
                <w:tcPr>
                  <w:tcW w:w="1611" w:type="dxa"/>
                  <w:noWrap w:val="0"/>
                  <w:vAlign w:val="center"/>
                </w:tcPr>
                <w:p w14:paraId="56056067">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&lt;0.0011</w:t>
                  </w:r>
                </w:p>
              </w:tc>
              <w:tc>
                <w:tcPr>
                  <w:tcW w:w="1169" w:type="dxa"/>
                  <w:noWrap w:val="0"/>
                  <w:vAlign w:val="center"/>
                </w:tcPr>
                <w:p w14:paraId="703B736E">
                  <w:pPr>
                    <w:pageBreakBefore w:val="0"/>
                    <w:kinsoku/>
                    <w:wordWrap/>
                    <w:topLinePunct w:val="0"/>
                    <w:bidi w:val="0"/>
                    <w:spacing w:line="280" w:lineRule="exact"/>
                    <w:jc w:val="center"/>
                    <w:rPr>
                      <w:szCs w:val="21"/>
                    </w:rPr>
                  </w:pPr>
                  <w:r>
                    <w:rPr>
                      <w:szCs w:val="21"/>
                    </w:rPr>
                    <w:t>5</w:t>
                  </w:r>
                </w:p>
              </w:tc>
            </w:tr>
            <w:tr w14:paraId="386DD1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2338" w:type="dxa"/>
                  <w:vMerge w:val="continue"/>
                  <w:noWrap w:val="0"/>
                  <w:vAlign w:val="center"/>
                </w:tcPr>
                <w:p w14:paraId="45977023">
                  <w:pPr>
                    <w:pageBreakBefore w:val="0"/>
                    <w:kinsoku/>
                    <w:wordWrap/>
                    <w:topLinePunct w:val="0"/>
                    <w:bidi w:val="0"/>
                    <w:spacing w:line="280" w:lineRule="exact"/>
                    <w:jc w:val="center"/>
                    <w:rPr>
                      <w:szCs w:val="21"/>
                    </w:rPr>
                  </w:pPr>
                </w:p>
              </w:tc>
              <w:tc>
                <w:tcPr>
                  <w:tcW w:w="3386" w:type="dxa"/>
                  <w:noWrap w:val="0"/>
                  <w:vAlign w:val="center"/>
                </w:tcPr>
                <w:p w14:paraId="39BB7E1C">
                  <w:pPr>
                    <w:pageBreakBefore w:val="0"/>
                    <w:kinsoku/>
                    <w:wordWrap/>
                    <w:topLinePunct w:val="0"/>
                    <w:bidi w:val="0"/>
                    <w:spacing w:line="280" w:lineRule="exact"/>
                    <w:jc w:val="center"/>
                    <w:rPr>
                      <w:szCs w:val="21"/>
                    </w:rPr>
                  </w:pPr>
                  <w:r>
                    <w:rPr>
                      <w:szCs w:val="21"/>
                    </w:rPr>
                    <w:t>1，1，1，2-四氯乙烷</w:t>
                  </w:r>
                </w:p>
              </w:tc>
              <w:tc>
                <w:tcPr>
                  <w:tcW w:w="1611" w:type="dxa"/>
                  <w:noWrap w:val="0"/>
                  <w:vAlign w:val="center"/>
                </w:tcPr>
                <w:p w14:paraId="43DBE482">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9" w:type="dxa"/>
                  <w:noWrap w:val="0"/>
                  <w:vAlign w:val="center"/>
                </w:tcPr>
                <w:p w14:paraId="019781B9">
                  <w:pPr>
                    <w:pageBreakBefore w:val="0"/>
                    <w:kinsoku/>
                    <w:wordWrap/>
                    <w:topLinePunct w:val="0"/>
                    <w:bidi w:val="0"/>
                    <w:spacing w:line="280" w:lineRule="exact"/>
                    <w:jc w:val="center"/>
                    <w:rPr>
                      <w:szCs w:val="21"/>
                    </w:rPr>
                  </w:pPr>
                  <w:r>
                    <w:rPr>
                      <w:szCs w:val="21"/>
                    </w:rPr>
                    <w:t>10</w:t>
                  </w:r>
                </w:p>
              </w:tc>
            </w:tr>
            <w:tr w14:paraId="042889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53E03A0">
                  <w:pPr>
                    <w:pageBreakBefore w:val="0"/>
                    <w:kinsoku/>
                    <w:wordWrap/>
                    <w:topLinePunct w:val="0"/>
                    <w:bidi w:val="0"/>
                    <w:spacing w:line="280" w:lineRule="exact"/>
                    <w:jc w:val="center"/>
                    <w:rPr>
                      <w:szCs w:val="21"/>
                    </w:rPr>
                  </w:pPr>
                </w:p>
              </w:tc>
              <w:tc>
                <w:tcPr>
                  <w:tcW w:w="3386" w:type="dxa"/>
                  <w:noWrap w:val="0"/>
                  <w:vAlign w:val="center"/>
                </w:tcPr>
                <w:p w14:paraId="40871D70">
                  <w:pPr>
                    <w:pageBreakBefore w:val="0"/>
                    <w:kinsoku/>
                    <w:wordWrap/>
                    <w:topLinePunct w:val="0"/>
                    <w:bidi w:val="0"/>
                    <w:spacing w:line="280" w:lineRule="exact"/>
                    <w:jc w:val="center"/>
                    <w:rPr>
                      <w:szCs w:val="21"/>
                    </w:rPr>
                  </w:pPr>
                  <w:r>
                    <w:rPr>
                      <w:szCs w:val="21"/>
                    </w:rPr>
                    <w:t>1，1，2，2-四氯乙烷</w:t>
                  </w:r>
                </w:p>
              </w:tc>
              <w:tc>
                <w:tcPr>
                  <w:tcW w:w="1611" w:type="dxa"/>
                  <w:noWrap w:val="0"/>
                  <w:vAlign w:val="center"/>
                </w:tcPr>
                <w:p w14:paraId="0969FF7B">
                  <w:pPr>
                    <w:pageBreakBefore w:val="0"/>
                    <w:widowControl/>
                    <w:kinsoku/>
                    <w:wordWrap/>
                    <w:topLinePunct w:val="0"/>
                    <w:bidi w:val="0"/>
                    <w:spacing w:line="280" w:lineRule="exact"/>
                    <w:jc w:val="center"/>
                    <w:textAlignment w:val="center"/>
                    <w:rPr>
                      <w:szCs w:val="21"/>
                    </w:rPr>
                  </w:pPr>
                  <w:r>
                    <w:rPr>
                      <w:rFonts w:hint="eastAsia"/>
                      <w:kern w:val="0"/>
                      <w:szCs w:val="21"/>
                      <w:lang w:val="en-US" w:eastAsia="zh-CN" w:bidi="ar"/>
                    </w:rPr>
                    <w:t>0.0012</w:t>
                  </w:r>
                </w:p>
              </w:tc>
              <w:tc>
                <w:tcPr>
                  <w:tcW w:w="1169" w:type="dxa"/>
                  <w:noWrap w:val="0"/>
                  <w:vAlign w:val="center"/>
                </w:tcPr>
                <w:p w14:paraId="17FFCFB8">
                  <w:pPr>
                    <w:pageBreakBefore w:val="0"/>
                    <w:kinsoku/>
                    <w:wordWrap/>
                    <w:topLinePunct w:val="0"/>
                    <w:bidi w:val="0"/>
                    <w:spacing w:line="280" w:lineRule="exact"/>
                    <w:jc w:val="center"/>
                    <w:rPr>
                      <w:szCs w:val="21"/>
                    </w:rPr>
                  </w:pPr>
                  <w:r>
                    <w:rPr>
                      <w:szCs w:val="21"/>
                    </w:rPr>
                    <w:t>6.8</w:t>
                  </w:r>
                </w:p>
              </w:tc>
            </w:tr>
            <w:tr w14:paraId="3D396D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1AA3C5B">
                  <w:pPr>
                    <w:pageBreakBefore w:val="0"/>
                    <w:kinsoku/>
                    <w:wordWrap/>
                    <w:topLinePunct w:val="0"/>
                    <w:bidi w:val="0"/>
                    <w:spacing w:line="280" w:lineRule="exact"/>
                    <w:jc w:val="center"/>
                    <w:rPr>
                      <w:szCs w:val="21"/>
                    </w:rPr>
                  </w:pPr>
                </w:p>
              </w:tc>
              <w:tc>
                <w:tcPr>
                  <w:tcW w:w="3386" w:type="dxa"/>
                  <w:noWrap w:val="0"/>
                  <w:vAlign w:val="center"/>
                </w:tcPr>
                <w:p w14:paraId="63BB6028">
                  <w:pPr>
                    <w:pageBreakBefore w:val="0"/>
                    <w:kinsoku/>
                    <w:wordWrap/>
                    <w:topLinePunct w:val="0"/>
                    <w:bidi w:val="0"/>
                    <w:spacing w:line="280" w:lineRule="exact"/>
                    <w:jc w:val="center"/>
                    <w:rPr>
                      <w:szCs w:val="21"/>
                    </w:rPr>
                  </w:pPr>
                  <w:r>
                    <w:rPr>
                      <w:szCs w:val="21"/>
                    </w:rPr>
                    <w:t>四氯乙烯</w:t>
                  </w:r>
                </w:p>
              </w:tc>
              <w:tc>
                <w:tcPr>
                  <w:tcW w:w="1611" w:type="dxa"/>
                  <w:noWrap w:val="0"/>
                  <w:vAlign w:val="center"/>
                </w:tcPr>
                <w:p w14:paraId="06EA86C8">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&lt;0.0014</w:t>
                  </w:r>
                </w:p>
              </w:tc>
              <w:tc>
                <w:tcPr>
                  <w:tcW w:w="1169" w:type="dxa"/>
                  <w:noWrap w:val="0"/>
                  <w:vAlign w:val="center"/>
                </w:tcPr>
                <w:p w14:paraId="07FB1A63">
                  <w:pPr>
                    <w:pageBreakBefore w:val="0"/>
                    <w:kinsoku/>
                    <w:wordWrap/>
                    <w:topLinePunct w:val="0"/>
                    <w:bidi w:val="0"/>
                    <w:spacing w:line="280" w:lineRule="exact"/>
                    <w:jc w:val="center"/>
                    <w:rPr>
                      <w:szCs w:val="21"/>
                    </w:rPr>
                  </w:pPr>
                  <w:r>
                    <w:rPr>
                      <w:szCs w:val="21"/>
                    </w:rPr>
                    <w:t>53</w:t>
                  </w:r>
                </w:p>
              </w:tc>
            </w:tr>
            <w:tr w14:paraId="381D36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0814FF3C">
                  <w:pPr>
                    <w:pageBreakBefore w:val="0"/>
                    <w:kinsoku/>
                    <w:wordWrap/>
                    <w:topLinePunct w:val="0"/>
                    <w:bidi w:val="0"/>
                    <w:spacing w:line="280" w:lineRule="exact"/>
                    <w:jc w:val="center"/>
                    <w:rPr>
                      <w:szCs w:val="21"/>
                    </w:rPr>
                  </w:pPr>
                </w:p>
              </w:tc>
              <w:tc>
                <w:tcPr>
                  <w:tcW w:w="3386" w:type="dxa"/>
                  <w:noWrap w:val="0"/>
                  <w:vAlign w:val="center"/>
                </w:tcPr>
                <w:p w14:paraId="2605375D">
                  <w:pPr>
                    <w:pageBreakBefore w:val="0"/>
                    <w:kinsoku/>
                    <w:wordWrap/>
                    <w:topLinePunct w:val="0"/>
                    <w:bidi w:val="0"/>
                    <w:spacing w:line="280" w:lineRule="exact"/>
                    <w:jc w:val="center"/>
                    <w:rPr>
                      <w:szCs w:val="21"/>
                    </w:rPr>
                  </w:pPr>
                  <w:r>
                    <w:rPr>
                      <w:szCs w:val="21"/>
                    </w:rPr>
                    <w:t>1，1，1-三氯乙烷</w:t>
                  </w:r>
                </w:p>
              </w:tc>
              <w:tc>
                <w:tcPr>
                  <w:tcW w:w="1611" w:type="dxa"/>
                  <w:noWrap w:val="0"/>
                  <w:vAlign w:val="center"/>
                </w:tcPr>
                <w:p w14:paraId="72898907">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1169" w:type="dxa"/>
                  <w:noWrap w:val="0"/>
                  <w:vAlign w:val="center"/>
                </w:tcPr>
                <w:p w14:paraId="4C7FF5CC">
                  <w:pPr>
                    <w:pageBreakBefore w:val="0"/>
                    <w:kinsoku/>
                    <w:wordWrap/>
                    <w:topLinePunct w:val="0"/>
                    <w:bidi w:val="0"/>
                    <w:spacing w:line="280" w:lineRule="exact"/>
                    <w:jc w:val="center"/>
                    <w:rPr>
                      <w:szCs w:val="21"/>
                    </w:rPr>
                  </w:pPr>
                  <w:r>
                    <w:rPr>
                      <w:szCs w:val="21"/>
                    </w:rPr>
                    <w:t>840</w:t>
                  </w:r>
                </w:p>
              </w:tc>
            </w:tr>
            <w:tr w14:paraId="4FF415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2338" w:type="dxa"/>
                  <w:vMerge w:val="continue"/>
                  <w:noWrap w:val="0"/>
                  <w:vAlign w:val="center"/>
                </w:tcPr>
                <w:p w14:paraId="78F9FD0F">
                  <w:pPr>
                    <w:pageBreakBefore w:val="0"/>
                    <w:kinsoku/>
                    <w:wordWrap/>
                    <w:topLinePunct w:val="0"/>
                    <w:bidi w:val="0"/>
                    <w:spacing w:line="280" w:lineRule="exact"/>
                    <w:jc w:val="center"/>
                    <w:rPr>
                      <w:szCs w:val="21"/>
                    </w:rPr>
                  </w:pPr>
                </w:p>
              </w:tc>
              <w:tc>
                <w:tcPr>
                  <w:tcW w:w="3386" w:type="dxa"/>
                  <w:noWrap w:val="0"/>
                  <w:vAlign w:val="center"/>
                </w:tcPr>
                <w:p w14:paraId="39017262">
                  <w:pPr>
                    <w:pageBreakBefore w:val="0"/>
                    <w:kinsoku/>
                    <w:wordWrap/>
                    <w:topLinePunct w:val="0"/>
                    <w:bidi w:val="0"/>
                    <w:spacing w:line="280" w:lineRule="exact"/>
                    <w:jc w:val="center"/>
                    <w:rPr>
                      <w:szCs w:val="21"/>
                    </w:rPr>
                  </w:pPr>
                  <w:r>
                    <w:rPr>
                      <w:szCs w:val="21"/>
                    </w:rPr>
                    <w:t>1，1，2-三氯乙烷</w:t>
                  </w:r>
                </w:p>
              </w:tc>
              <w:tc>
                <w:tcPr>
                  <w:tcW w:w="1611" w:type="dxa"/>
                  <w:noWrap w:val="0"/>
                  <w:vAlign w:val="center"/>
                </w:tcPr>
                <w:p w14:paraId="237FAAB7">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9" w:type="dxa"/>
                  <w:noWrap w:val="0"/>
                  <w:vAlign w:val="center"/>
                </w:tcPr>
                <w:p w14:paraId="2EE0ECEA">
                  <w:pPr>
                    <w:pageBreakBefore w:val="0"/>
                    <w:kinsoku/>
                    <w:wordWrap/>
                    <w:topLinePunct w:val="0"/>
                    <w:bidi w:val="0"/>
                    <w:spacing w:line="280" w:lineRule="exact"/>
                    <w:jc w:val="center"/>
                    <w:rPr>
                      <w:szCs w:val="21"/>
                    </w:rPr>
                  </w:pPr>
                  <w:r>
                    <w:rPr>
                      <w:szCs w:val="21"/>
                    </w:rPr>
                    <w:t>2.8</w:t>
                  </w:r>
                </w:p>
              </w:tc>
            </w:tr>
            <w:tr w14:paraId="50E1E5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3B2A78F0">
                  <w:pPr>
                    <w:pageBreakBefore w:val="0"/>
                    <w:kinsoku/>
                    <w:wordWrap/>
                    <w:topLinePunct w:val="0"/>
                    <w:bidi w:val="0"/>
                    <w:spacing w:line="280" w:lineRule="exact"/>
                    <w:jc w:val="center"/>
                    <w:rPr>
                      <w:szCs w:val="21"/>
                    </w:rPr>
                  </w:pPr>
                </w:p>
              </w:tc>
              <w:tc>
                <w:tcPr>
                  <w:tcW w:w="3386" w:type="dxa"/>
                  <w:noWrap w:val="0"/>
                  <w:vAlign w:val="center"/>
                </w:tcPr>
                <w:p w14:paraId="31C49A52">
                  <w:pPr>
                    <w:pageBreakBefore w:val="0"/>
                    <w:kinsoku/>
                    <w:wordWrap/>
                    <w:topLinePunct w:val="0"/>
                    <w:bidi w:val="0"/>
                    <w:spacing w:line="280" w:lineRule="exact"/>
                    <w:jc w:val="center"/>
                    <w:rPr>
                      <w:szCs w:val="21"/>
                    </w:rPr>
                  </w:pPr>
                  <w:r>
                    <w:rPr>
                      <w:szCs w:val="21"/>
                    </w:rPr>
                    <w:t>三氯乙烯</w:t>
                  </w:r>
                </w:p>
              </w:tc>
              <w:tc>
                <w:tcPr>
                  <w:tcW w:w="1611" w:type="dxa"/>
                  <w:noWrap w:val="0"/>
                  <w:vAlign w:val="center"/>
                </w:tcPr>
                <w:p w14:paraId="11E9822C">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9" w:type="dxa"/>
                  <w:noWrap w:val="0"/>
                  <w:vAlign w:val="center"/>
                </w:tcPr>
                <w:p w14:paraId="236209D6">
                  <w:pPr>
                    <w:pageBreakBefore w:val="0"/>
                    <w:kinsoku/>
                    <w:wordWrap/>
                    <w:topLinePunct w:val="0"/>
                    <w:bidi w:val="0"/>
                    <w:spacing w:line="280" w:lineRule="exact"/>
                    <w:jc w:val="center"/>
                    <w:rPr>
                      <w:szCs w:val="21"/>
                    </w:rPr>
                  </w:pPr>
                  <w:r>
                    <w:rPr>
                      <w:szCs w:val="21"/>
                    </w:rPr>
                    <w:t>2.8</w:t>
                  </w:r>
                </w:p>
              </w:tc>
            </w:tr>
            <w:tr w14:paraId="7E4490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4C626250">
                  <w:pPr>
                    <w:pageBreakBefore w:val="0"/>
                    <w:kinsoku/>
                    <w:wordWrap/>
                    <w:topLinePunct w:val="0"/>
                    <w:bidi w:val="0"/>
                    <w:spacing w:line="280" w:lineRule="exact"/>
                    <w:jc w:val="center"/>
                    <w:rPr>
                      <w:szCs w:val="21"/>
                    </w:rPr>
                  </w:pPr>
                </w:p>
              </w:tc>
              <w:tc>
                <w:tcPr>
                  <w:tcW w:w="3386" w:type="dxa"/>
                  <w:noWrap w:val="0"/>
                  <w:vAlign w:val="center"/>
                </w:tcPr>
                <w:p w14:paraId="4BD3637F">
                  <w:pPr>
                    <w:pageBreakBefore w:val="0"/>
                    <w:kinsoku/>
                    <w:wordWrap/>
                    <w:topLinePunct w:val="0"/>
                    <w:bidi w:val="0"/>
                    <w:spacing w:line="280" w:lineRule="exact"/>
                    <w:jc w:val="center"/>
                    <w:rPr>
                      <w:szCs w:val="21"/>
                    </w:rPr>
                  </w:pPr>
                  <w:r>
                    <w:rPr>
                      <w:szCs w:val="21"/>
                    </w:rPr>
                    <w:t>1，2，3-三氯丙烷</w:t>
                  </w:r>
                </w:p>
              </w:tc>
              <w:tc>
                <w:tcPr>
                  <w:tcW w:w="1611" w:type="dxa"/>
                  <w:noWrap w:val="0"/>
                  <w:vAlign w:val="center"/>
                </w:tcPr>
                <w:p w14:paraId="5416A3E1">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9" w:type="dxa"/>
                  <w:noWrap w:val="0"/>
                  <w:vAlign w:val="center"/>
                </w:tcPr>
                <w:p w14:paraId="17BE6BCD">
                  <w:pPr>
                    <w:pageBreakBefore w:val="0"/>
                    <w:kinsoku/>
                    <w:wordWrap/>
                    <w:topLinePunct w:val="0"/>
                    <w:bidi w:val="0"/>
                    <w:spacing w:line="280" w:lineRule="exact"/>
                    <w:jc w:val="center"/>
                    <w:rPr>
                      <w:szCs w:val="21"/>
                    </w:rPr>
                  </w:pPr>
                  <w:r>
                    <w:rPr>
                      <w:szCs w:val="21"/>
                    </w:rPr>
                    <w:t>0.5</w:t>
                  </w:r>
                </w:p>
              </w:tc>
            </w:tr>
            <w:tr w14:paraId="7887AA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44B30ACE">
                  <w:pPr>
                    <w:pageBreakBefore w:val="0"/>
                    <w:kinsoku/>
                    <w:wordWrap/>
                    <w:topLinePunct w:val="0"/>
                    <w:bidi w:val="0"/>
                    <w:spacing w:line="280" w:lineRule="exact"/>
                    <w:jc w:val="center"/>
                    <w:rPr>
                      <w:szCs w:val="21"/>
                    </w:rPr>
                  </w:pPr>
                </w:p>
              </w:tc>
              <w:tc>
                <w:tcPr>
                  <w:tcW w:w="3386" w:type="dxa"/>
                  <w:noWrap w:val="0"/>
                  <w:vAlign w:val="center"/>
                </w:tcPr>
                <w:p w14:paraId="4BF140D4">
                  <w:pPr>
                    <w:pageBreakBefore w:val="0"/>
                    <w:kinsoku/>
                    <w:wordWrap/>
                    <w:topLinePunct w:val="0"/>
                    <w:bidi w:val="0"/>
                    <w:spacing w:line="280" w:lineRule="exact"/>
                    <w:jc w:val="center"/>
                    <w:rPr>
                      <w:szCs w:val="21"/>
                    </w:rPr>
                  </w:pPr>
                  <w:r>
                    <w:rPr>
                      <w:szCs w:val="21"/>
                    </w:rPr>
                    <w:t>氯乙烯</w:t>
                  </w:r>
                </w:p>
              </w:tc>
              <w:tc>
                <w:tcPr>
                  <w:tcW w:w="1611" w:type="dxa"/>
                  <w:noWrap w:val="0"/>
                  <w:vAlign w:val="center"/>
                </w:tcPr>
                <w:p w14:paraId="4AD8A1C5">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w:t>
                  </w:r>
                </w:p>
              </w:tc>
              <w:tc>
                <w:tcPr>
                  <w:tcW w:w="1169" w:type="dxa"/>
                  <w:noWrap w:val="0"/>
                  <w:vAlign w:val="center"/>
                </w:tcPr>
                <w:p w14:paraId="654555CC">
                  <w:pPr>
                    <w:pageBreakBefore w:val="0"/>
                    <w:kinsoku/>
                    <w:wordWrap/>
                    <w:topLinePunct w:val="0"/>
                    <w:bidi w:val="0"/>
                    <w:spacing w:line="280" w:lineRule="exact"/>
                    <w:jc w:val="center"/>
                    <w:rPr>
                      <w:szCs w:val="21"/>
                    </w:rPr>
                  </w:pPr>
                  <w:r>
                    <w:rPr>
                      <w:szCs w:val="21"/>
                    </w:rPr>
                    <w:t>0.43</w:t>
                  </w:r>
                </w:p>
              </w:tc>
            </w:tr>
            <w:tr w14:paraId="6A280E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3B313182">
                  <w:pPr>
                    <w:pageBreakBefore w:val="0"/>
                    <w:kinsoku/>
                    <w:wordWrap/>
                    <w:topLinePunct w:val="0"/>
                    <w:bidi w:val="0"/>
                    <w:spacing w:line="280" w:lineRule="exact"/>
                    <w:jc w:val="center"/>
                    <w:rPr>
                      <w:szCs w:val="21"/>
                    </w:rPr>
                  </w:pPr>
                </w:p>
              </w:tc>
              <w:tc>
                <w:tcPr>
                  <w:tcW w:w="3386" w:type="dxa"/>
                  <w:noWrap w:val="0"/>
                  <w:vAlign w:val="center"/>
                </w:tcPr>
                <w:p w14:paraId="0C0D6D86">
                  <w:pPr>
                    <w:pageBreakBefore w:val="0"/>
                    <w:kinsoku/>
                    <w:wordWrap/>
                    <w:topLinePunct w:val="0"/>
                    <w:bidi w:val="0"/>
                    <w:spacing w:line="280" w:lineRule="exact"/>
                    <w:jc w:val="center"/>
                    <w:rPr>
                      <w:szCs w:val="21"/>
                    </w:rPr>
                  </w:pPr>
                  <w:r>
                    <w:rPr>
                      <w:szCs w:val="21"/>
                    </w:rPr>
                    <w:t>苯</w:t>
                  </w:r>
                </w:p>
              </w:tc>
              <w:tc>
                <w:tcPr>
                  <w:tcW w:w="1611" w:type="dxa"/>
                  <w:noWrap w:val="0"/>
                  <w:vAlign w:val="center"/>
                </w:tcPr>
                <w:p w14:paraId="1F93845B">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&lt;0.0019</w:t>
                  </w:r>
                </w:p>
              </w:tc>
              <w:tc>
                <w:tcPr>
                  <w:tcW w:w="1169" w:type="dxa"/>
                  <w:noWrap w:val="0"/>
                  <w:vAlign w:val="center"/>
                </w:tcPr>
                <w:p w14:paraId="71F89569">
                  <w:pPr>
                    <w:pageBreakBefore w:val="0"/>
                    <w:widowControl/>
                    <w:kinsoku/>
                    <w:wordWrap/>
                    <w:topLinePunct w:val="0"/>
                    <w:bidi w:val="0"/>
                    <w:spacing w:line="280" w:lineRule="exact"/>
                    <w:jc w:val="center"/>
                    <w:textAlignment w:val="center"/>
                    <w:rPr>
                      <w:szCs w:val="21"/>
                    </w:rPr>
                  </w:pPr>
                  <w:r>
                    <w:rPr>
                      <w:szCs w:val="21"/>
                    </w:rPr>
                    <w:t>20</w:t>
                  </w:r>
                </w:p>
              </w:tc>
            </w:tr>
            <w:tr w14:paraId="05BA3B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4523FD53">
                  <w:pPr>
                    <w:pageBreakBefore w:val="0"/>
                    <w:kinsoku/>
                    <w:wordWrap/>
                    <w:topLinePunct w:val="0"/>
                    <w:bidi w:val="0"/>
                    <w:spacing w:line="280" w:lineRule="exact"/>
                    <w:jc w:val="center"/>
                    <w:rPr>
                      <w:szCs w:val="21"/>
                    </w:rPr>
                  </w:pPr>
                </w:p>
              </w:tc>
              <w:tc>
                <w:tcPr>
                  <w:tcW w:w="3386" w:type="dxa"/>
                  <w:noWrap w:val="0"/>
                  <w:vAlign w:val="center"/>
                </w:tcPr>
                <w:p w14:paraId="799CBC02">
                  <w:pPr>
                    <w:pageBreakBefore w:val="0"/>
                    <w:kinsoku/>
                    <w:wordWrap/>
                    <w:topLinePunct w:val="0"/>
                    <w:bidi w:val="0"/>
                    <w:spacing w:line="280" w:lineRule="exact"/>
                    <w:jc w:val="center"/>
                    <w:rPr>
                      <w:szCs w:val="21"/>
                    </w:rPr>
                  </w:pPr>
                  <w:r>
                    <w:rPr>
                      <w:szCs w:val="21"/>
                    </w:rPr>
                    <w:t>氯苯</w:t>
                  </w:r>
                </w:p>
              </w:tc>
              <w:tc>
                <w:tcPr>
                  <w:tcW w:w="1611" w:type="dxa"/>
                  <w:noWrap w:val="0"/>
                  <w:vAlign w:val="center"/>
                </w:tcPr>
                <w:p w14:paraId="058FA543">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9" w:type="dxa"/>
                  <w:noWrap w:val="0"/>
                  <w:vAlign w:val="center"/>
                </w:tcPr>
                <w:p w14:paraId="2DC33B5A">
                  <w:pPr>
                    <w:pageBreakBefore w:val="0"/>
                    <w:widowControl/>
                    <w:kinsoku/>
                    <w:wordWrap/>
                    <w:topLinePunct w:val="0"/>
                    <w:bidi w:val="0"/>
                    <w:spacing w:line="280" w:lineRule="exact"/>
                    <w:jc w:val="center"/>
                    <w:textAlignment w:val="center"/>
                    <w:rPr>
                      <w:szCs w:val="21"/>
                    </w:rPr>
                  </w:pPr>
                  <w:r>
                    <w:rPr>
                      <w:szCs w:val="21"/>
                    </w:rPr>
                    <w:t>270</w:t>
                  </w:r>
                </w:p>
              </w:tc>
            </w:tr>
            <w:tr w14:paraId="51922D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2338" w:type="dxa"/>
                  <w:vMerge w:val="continue"/>
                  <w:noWrap w:val="0"/>
                  <w:vAlign w:val="center"/>
                </w:tcPr>
                <w:p w14:paraId="52D536E6">
                  <w:pPr>
                    <w:pageBreakBefore w:val="0"/>
                    <w:kinsoku/>
                    <w:wordWrap/>
                    <w:topLinePunct w:val="0"/>
                    <w:bidi w:val="0"/>
                    <w:spacing w:line="280" w:lineRule="exact"/>
                    <w:jc w:val="center"/>
                    <w:rPr>
                      <w:szCs w:val="21"/>
                    </w:rPr>
                  </w:pPr>
                </w:p>
              </w:tc>
              <w:tc>
                <w:tcPr>
                  <w:tcW w:w="3386" w:type="dxa"/>
                  <w:noWrap w:val="0"/>
                  <w:vAlign w:val="center"/>
                </w:tcPr>
                <w:p w14:paraId="3B5D8F87">
                  <w:pPr>
                    <w:pageBreakBefore w:val="0"/>
                    <w:kinsoku/>
                    <w:wordWrap/>
                    <w:topLinePunct w:val="0"/>
                    <w:bidi w:val="0"/>
                    <w:spacing w:line="280" w:lineRule="exact"/>
                    <w:jc w:val="center"/>
                    <w:rPr>
                      <w:szCs w:val="21"/>
                    </w:rPr>
                  </w:pPr>
                  <w:r>
                    <w:rPr>
                      <w:szCs w:val="21"/>
                    </w:rPr>
                    <w:t>1，2-二氯苯</w:t>
                  </w:r>
                </w:p>
              </w:tc>
              <w:tc>
                <w:tcPr>
                  <w:tcW w:w="1611" w:type="dxa"/>
                  <w:noWrap w:val="0"/>
                  <w:vAlign w:val="center"/>
                </w:tcPr>
                <w:p w14:paraId="0A7C3421">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&lt;0.0015</w:t>
                  </w:r>
                </w:p>
              </w:tc>
              <w:tc>
                <w:tcPr>
                  <w:tcW w:w="1169" w:type="dxa"/>
                  <w:noWrap w:val="0"/>
                  <w:vAlign w:val="center"/>
                </w:tcPr>
                <w:p w14:paraId="787CD7C7">
                  <w:pPr>
                    <w:pageBreakBefore w:val="0"/>
                    <w:widowControl/>
                    <w:kinsoku/>
                    <w:wordWrap/>
                    <w:topLinePunct w:val="0"/>
                    <w:bidi w:val="0"/>
                    <w:spacing w:line="280" w:lineRule="exact"/>
                    <w:jc w:val="center"/>
                    <w:textAlignment w:val="center"/>
                    <w:rPr>
                      <w:szCs w:val="21"/>
                    </w:rPr>
                  </w:pPr>
                  <w:r>
                    <w:rPr>
                      <w:szCs w:val="21"/>
                    </w:rPr>
                    <w:t>560</w:t>
                  </w:r>
                </w:p>
              </w:tc>
            </w:tr>
            <w:tr w14:paraId="593D4E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52E6F0B1">
                  <w:pPr>
                    <w:pageBreakBefore w:val="0"/>
                    <w:kinsoku/>
                    <w:wordWrap/>
                    <w:topLinePunct w:val="0"/>
                    <w:bidi w:val="0"/>
                    <w:spacing w:line="280" w:lineRule="exact"/>
                    <w:jc w:val="center"/>
                    <w:rPr>
                      <w:szCs w:val="21"/>
                    </w:rPr>
                  </w:pPr>
                </w:p>
              </w:tc>
              <w:tc>
                <w:tcPr>
                  <w:tcW w:w="3386" w:type="dxa"/>
                  <w:noWrap w:val="0"/>
                  <w:vAlign w:val="center"/>
                </w:tcPr>
                <w:p w14:paraId="18C7EEC1">
                  <w:pPr>
                    <w:pageBreakBefore w:val="0"/>
                    <w:kinsoku/>
                    <w:wordWrap/>
                    <w:topLinePunct w:val="0"/>
                    <w:bidi w:val="0"/>
                    <w:spacing w:line="280" w:lineRule="exact"/>
                    <w:jc w:val="center"/>
                    <w:rPr>
                      <w:szCs w:val="21"/>
                    </w:rPr>
                  </w:pPr>
                  <w:r>
                    <w:rPr>
                      <w:szCs w:val="21"/>
                    </w:rPr>
                    <w:t>1，4-二氯苯</w:t>
                  </w:r>
                </w:p>
              </w:tc>
              <w:tc>
                <w:tcPr>
                  <w:tcW w:w="1611" w:type="dxa"/>
                  <w:noWrap w:val="0"/>
                  <w:vAlign w:val="center"/>
                </w:tcPr>
                <w:p w14:paraId="67ACB828">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&lt;0.0015</w:t>
                  </w:r>
                </w:p>
              </w:tc>
              <w:tc>
                <w:tcPr>
                  <w:tcW w:w="1169" w:type="dxa"/>
                  <w:noWrap w:val="0"/>
                  <w:vAlign w:val="center"/>
                </w:tcPr>
                <w:p w14:paraId="7A2BE153">
                  <w:pPr>
                    <w:pageBreakBefore w:val="0"/>
                    <w:widowControl/>
                    <w:kinsoku/>
                    <w:wordWrap/>
                    <w:topLinePunct w:val="0"/>
                    <w:bidi w:val="0"/>
                    <w:spacing w:line="280" w:lineRule="exact"/>
                    <w:jc w:val="center"/>
                    <w:textAlignment w:val="center"/>
                    <w:rPr>
                      <w:szCs w:val="21"/>
                    </w:rPr>
                  </w:pPr>
                  <w:r>
                    <w:rPr>
                      <w:szCs w:val="21"/>
                    </w:rPr>
                    <w:t>20</w:t>
                  </w:r>
                </w:p>
              </w:tc>
            </w:tr>
            <w:tr w14:paraId="0742D2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F0324A7">
                  <w:pPr>
                    <w:pageBreakBefore w:val="0"/>
                    <w:kinsoku/>
                    <w:wordWrap/>
                    <w:topLinePunct w:val="0"/>
                    <w:bidi w:val="0"/>
                    <w:spacing w:line="280" w:lineRule="exact"/>
                    <w:jc w:val="center"/>
                    <w:rPr>
                      <w:szCs w:val="21"/>
                    </w:rPr>
                  </w:pPr>
                </w:p>
              </w:tc>
              <w:tc>
                <w:tcPr>
                  <w:tcW w:w="3386" w:type="dxa"/>
                  <w:noWrap w:val="0"/>
                  <w:vAlign w:val="center"/>
                </w:tcPr>
                <w:p w14:paraId="2A669A5D">
                  <w:pPr>
                    <w:pageBreakBefore w:val="0"/>
                    <w:kinsoku/>
                    <w:wordWrap/>
                    <w:topLinePunct w:val="0"/>
                    <w:bidi w:val="0"/>
                    <w:spacing w:line="280" w:lineRule="exact"/>
                    <w:jc w:val="center"/>
                    <w:rPr>
                      <w:szCs w:val="21"/>
                    </w:rPr>
                  </w:pPr>
                  <w:r>
                    <w:rPr>
                      <w:szCs w:val="21"/>
                    </w:rPr>
                    <w:t>乙苯</w:t>
                  </w:r>
                </w:p>
              </w:tc>
              <w:tc>
                <w:tcPr>
                  <w:tcW w:w="1611" w:type="dxa"/>
                  <w:noWrap w:val="0"/>
                  <w:vAlign w:val="center"/>
                </w:tcPr>
                <w:p w14:paraId="3D5D2FE9">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9" w:type="dxa"/>
                  <w:noWrap w:val="0"/>
                  <w:vAlign w:val="center"/>
                </w:tcPr>
                <w:p w14:paraId="37D43883">
                  <w:pPr>
                    <w:pageBreakBefore w:val="0"/>
                    <w:kinsoku/>
                    <w:wordWrap/>
                    <w:topLinePunct w:val="0"/>
                    <w:bidi w:val="0"/>
                    <w:spacing w:line="280" w:lineRule="exact"/>
                    <w:jc w:val="center"/>
                    <w:rPr>
                      <w:szCs w:val="21"/>
                    </w:rPr>
                  </w:pPr>
                  <w:r>
                    <w:rPr>
                      <w:szCs w:val="21"/>
                    </w:rPr>
                    <w:t>28</w:t>
                  </w:r>
                </w:p>
              </w:tc>
            </w:tr>
            <w:tr w14:paraId="0961DB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6F9019CB">
                  <w:pPr>
                    <w:pageBreakBefore w:val="0"/>
                    <w:kinsoku/>
                    <w:wordWrap/>
                    <w:topLinePunct w:val="0"/>
                    <w:bidi w:val="0"/>
                    <w:spacing w:line="280" w:lineRule="exact"/>
                    <w:jc w:val="center"/>
                    <w:rPr>
                      <w:szCs w:val="21"/>
                    </w:rPr>
                  </w:pPr>
                </w:p>
              </w:tc>
              <w:tc>
                <w:tcPr>
                  <w:tcW w:w="3386" w:type="dxa"/>
                  <w:noWrap w:val="0"/>
                  <w:vAlign w:val="center"/>
                </w:tcPr>
                <w:p w14:paraId="22507847">
                  <w:pPr>
                    <w:pageBreakBefore w:val="0"/>
                    <w:kinsoku/>
                    <w:wordWrap/>
                    <w:topLinePunct w:val="0"/>
                    <w:bidi w:val="0"/>
                    <w:spacing w:line="280" w:lineRule="exact"/>
                    <w:jc w:val="center"/>
                    <w:rPr>
                      <w:szCs w:val="21"/>
                    </w:rPr>
                  </w:pPr>
                  <w:r>
                    <w:rPr>
                      <w:szCs w:val="21"/>
                    </w:rPr>
                    <w:t>苯乙烯</w:t>
                  </w:r>
                </w:p>
              </w:tc>
              <w:tc>
                <w:tcPr>
                  <w:tcW w:w="1611" w:type="dxa"/>
                  <w:noWrap w:val="0"/>
                  <w:vAlign w:val="center"/>
                </w:tcPr>
                <w:p w14:paraId="1A80B448">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&lt;0.0011</w:t>
                  </w:r>
                </w:p>
              </w:tc>
              <w:tc>
                <w:tcPr>
                  <w:tcW w:w="1169" w:type="dxa"/>
                  <w:noWrap w:val="0"/>
                  <w:vAlign w:val="center"/>
                </w:tcPr>
                <w:p w14:paraId="052B5033">
                  <w:pPr>
                    <w:pageBreakBefore w:val="0"/>
                    <w:kinsoku/>
                    <w:wordWrap/>
                    <w:topLinePunct w:val="0"/>
                    <w:bidi w:val="0"/>
                    <w:spacing w:line="280" w:lineRule="exact"/>
                    <w:jc w:val="center"/>
                    <w:rPr>
                      <w:szCs w:val="21"/>
                    </w:rPr>
                  </w:pPr>
                  <w:r>
                    <w:rPr>
                      <w:szCs w:val="21"/>
                    </w:rPr>
                    <w:t>1290</w:t>
                  </w:r>
                </w:p>
              </w:tc>
            </w:tr>
            <w:tr w14:paraId="3494E3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24734E56">
                  <w:pPr>
                    <w:pageBreakBefore w:val="0"/>
                    <w:kinsoku/>
                    <w:wordWrap/>
                    <w:topLinePunct w:val="0"/>
                    <w:bidi w:val="0"/>
                    <w:spacing w:line="280" w:lineRule="exact"/>
                    <w:jc w:val="center"/>
                    <w:rPr>
                      <w:szCs w:val="21"/>
                    </w:rPr>
                  </w:pPr>
                </w:p>
              </w:tc>
              <w:tc>
                <w:tcPr>
                  <w:tcW w:w="3386" w:type="dxa"/>
                  <w:noWrap w:val="0"/>
                  <w:vAlign w:val="center"/>
                </w:tcPr>
                <w:p w14:paraId="224ED844">
                  <w:pPr>
                    <w:pageBreakBefore w:val="0"/>
                    <w:kinsoku/>
                    <w:wordWrap/>
                    <w:topLinePunct w:val="0"/>
                    <w:bidi w:val="0"/>
                    <w:spacing w:line="280" w:lineRule="exact"/>
                    <w:jc w:val="center"/>
                    <w:rPr>
                      <w:szCs w:val="21"/>
                    </w:rPr>
                  </w:pPr>
                  <w:r>
                    <w:rPr>
                      <w:szCs w:val="21"/>
                    </w:rPr>
                    <w:t>甲苯</w:t>
                  </w:r>
                </w:p>
              </w:tc>
              <w:tc>
                <w:tcPr>
                  <w:tcW w:w="1611" w:type="dxa"/>
                  <w:noWrap w:val="0"/>
                  <w:vAlign w:val="center"/>
                </w:tcPr>
                <w:p w14:paraId="2203FF5F">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&lt;0.0013</w:t>
                  </w:r>
                </w:p>
              </w:tc>
              <w:tc>
                <w:tcPr>
                  <w:tcW w:w="1169" w:type="dxa"/>
                  <w:noWrap w:val="0"/>
                  <w:vAlign w:val="center"/>
                </w:tcPr>
                <w:p w14:paraId="063E813E">
                  <w:pPr>
                    <w:pageBreakBefore w:val="0"/>
                    <w:kinsoku/>
                    <w:wordWrap/>
                    <w:topLinePunct w:val="0"/>
                    <w:bidi w:val="0"/>
                    <w:spacing w:line="280" w:lineRule="exact"/>
                    <w:jc w:val="center"/>
                    <w:rPr>
                      <w:szCs w:val="21"/>
                    </w:rPr>
                  </w:pPr>
                  <w:r>
                    <w:rPr>
                      <w:szCs w:val="21"/>
                    </w:rPr>
                    <w:t>1200</w:t>
                  </w:r>
                </w:p>
              </w:tc>
            </w:tr>
            <w:tr w14:paraId="0647F8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58FD6CA4">
                  <w:pPr>
                    <w:pageBreakBefore w:val="0"/>
                    <w:kinsoku/>
                    <w:wordWrap/>
                    <w:topLinePunct w:val="0"/>
                    <w:bidi w:val="0"/>
                    <w:spacing w:line="280" w:lineRule="exact"/>
                    <w:jc w:val="center"/>
                    <w:rPr>
                      <w:szCs w:val="21"/>
                    </w:rPr>
                  </w:pPr>
                </w:p>
              </w:tc>
              <w:tc>
                <w:tcPr>
                  <w:tcW w:w="3386" w:type="dxa"/>
                  <w:noWrap w:val="0"/>
                  <w:vAlign w:val="center"/>
                </w:tcPr>
                <w:p w14:paraId="5ED099D7">
                  <w:pPr>
                    <w:pageBreakBefore w:val="0"/>
                    <w:kinsoku/>
                    <w:wordWrap/>
                    <w:topLinePunct w:val="0"/>
                    <w:bidi w:val="0"/>
                    <w:spacing w:line="280" w:lineRule="exact"/>
                    <w:jc w:val="center"/>
                    <w:rPr>
                      <w:szCs w:val="21"/>
                    </w:rPr>
                  </w:pPr>
                  <w:r>
                    <w:rPr>
                      <w:szCs w:val="21"/>
                    </w:rPr>
                    <w:t>间-二甲苯+对-二甲苯</w:t>
                  </w:r>
                </w:p>
              </w:tc>
              <w:tc>
                <w:tcPr>
                  <w:tcW w:w="1611" w:type="dxa"/>
                  <w:noWrap w:val="0"/>
                  <w:vAlign w:val="center"/>
                </w:tcPr>
                <w:p w14:paraId="410A330E">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9" w:type="dxa"/>
                  <w:noWrap w:val="0"/>
                  <w:vAlign w:val="center"/>
                </w:tcPr>
                <w:p w14:paraId="03530C22">
                  <w:pPr>
                    <w:pageBreakBefore w:val="0"/>
                    <w:kinsoku/>
                    <w:wordWrap/>
                    <w:topLinePunct w:val="0"/>
                    <w:bidi w:val="0"/>
                    <w:spacing w:line="280" w:lineRule="exact"/>
                    <w:jc w:val="center"/>
                    <w:rPr>
                      <w:szCs w:val="21"/>
                    </w:rPr>
                  </w:pPr>
                  <w:r>
                    <w:rPr>
                      <w:szCs w:val="21"/>
                    </w:rPr>
                    <w:t>570</w:t>
                  </w:r>
                </w:p>
              </w:tc>
            </w:tr>
            <w:tr w14:paraId="4F91E4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71EBE9A7">
                  <w:pPr>
                    <w:pageBreakBefore w:val="0"/>
                    <w:kinsoku/>
                    <w:wordWrap/>
                    <w:topLinePunct w:val="0"/>
                    <w:bidi w:val="0"/>
                    <w:spacing w:line="280" w:lineRule="exact"/>
                    <w:jc w:val="center"/>
                    <w:rPr>
                      <w:szCs w:val="21"/>
                    </w:rPr>
                  </w:pPr>
                </w:p>
              </w:tc>
              <w:tc>
                <w:tcPr>
                  <w:tcW w:w="3386" w:type="dxa"/>
                  <w:noWrap w:val="0"/>
                  <w:vAlign w:val="center"/>
                </w:tcPr>
                <w:p w14:paraId="6D3110D4">
                  <w:pPr>
                    <w:pageBreakBefore w:val="0"/>
                    <w:kinsoku/>
                    <w:wordWrap/>
                    <w:topLinePunct w:val="0"/>
                    <w:bidi w:val="0"/>
                    <w:spacing w:line="280" w:lineRule="exact"/>
                    <w:jc w:val="center"/>
                    <w:rPr>
                      <w:szCs w:val="21"/>
                    </w:rPr>
                  </w:pPr>
                  <w:r>
                    <w:rPr>
                      <w:szCs w:val="21"/>
                    </w:rPr>
                    <w:t>邻-二甲苯</w:t>
                  </w:r>
                </w:p>
              </w:tc>
              <w:tc>
                <w:tcPr>
                  <w:tcW w:w="1611" w:type="dxa"/>
                  <w:noWrap w:val="0"/>
                  <w:vAlign w:val="center"/>
                </w:tcPr>
                <w:p w14:paraId="4B529CE0">
                  <w:pPr>
                    <w:pageBreakBefore w:val="0"/>
                    <w:widowControl/>
                    <w:kinsoku/>
                    <w:wordWrap/>
                    <w:topLinePunct w:val="0"/>
                    <w:bidi w:val="0"/>
                    <w:spacing w:line="280" w:lineRule="exact"/>
                    <w:jc w:val="center"/>
                    <w:textAlignment w:val="center"/>
                    <w:rPr>
                      <w:szCs w:val="21"/>
                    </w:rPr>
                  </w:pPr>
                  <w:r>
                    <w:rPr>
                      <w:rFonts w:hint="eastAsia"/>
                      <w:szCs w:val="21"/>
                      <w:lang w:val="en-US" w:eastAsia="zh-CN"/>
                    </w:rPr>
                    <w:t>&lt;0.0012</w:t>
                  </w:r>
                </w:p>
              </w:tc>
              <w:tc>
                <w:tcPr>
                  <w:tcW w:w="1169" w:type="dxa"/>
                  <w:noWrap w:val="0"/>
                  <w:vAlign w:val="center"/>
                </w:tcPr>
                <w:p w14:paraId="633A459C">
                  <w:pPr>
                    <w:pageBreakBefore w:val="0"/>
                    <w:kinsoku/>
                    <w:wordWrap/>
                    <w:topLinePunct w:val="0"/>
                    <w:bidi w:val="0"/>
                    <w:spacing w:line="280" w:lineRule="exact"/>
                    <w:jc w:val="center"/>
                    <w:rPr>
                      <w:szCs w:val="21"/>
                    </w:rPr>
                  </w:pPr>
                  <w:r>
                    <w:rPr>
                      <w:szCs w:val="21"/>
                    </w:rPr>
                    <w:t>640</w:t>
                  </w:r>
                </w:p>
              </w:tc>
            </w:tr>
            <w:tr w14:paraId="0AACCF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03B07B8E">
                  <w:pPr>
                    <w:pageBreakBefore w:val="0"/>
                    <w:kinsoku/>
                    <w:wordWrap/>
                    <w:topLinePunct w:val="0"/>
                    <w:bidi w:val="0"/>
                    <w:spacing w:line="280" w:lineRule="exact"/>
                    <w:jc w:val="center"/>
                    <w:rPr>
                      <w:szCs w:val="21"/>
                    </w:rPr>
                  </w:pPr>
                </w:p>
              </w:tc>
              <w:tc>
                <w:tcPr>
                  <w:tcW w:w="3386" w:type="dxa"/>
                  <w:noWrap w:val="0"/>
                  <w:vAlign w:val="center"/>
                </w:tcPr>
                <w:p w14:paraId="635C1B0A">
                  <w:pPr>
                    <w:pageBreakBefore w:val="0"/>
                    <w:kinsoku/>
                    <w:wordWrap/>
                    <w:topLinePunct w:val="0"/>
                    <w:bidi w:val="0"/>
                    <w:spacing w:line="280" w:lineRule="exact"/>
                    <w:jc w:val="center"/>
                    <w:rPr>
                      <w:szCs w:val="21"/>
                    </w:rPr>
                  </w:pPr>
                  <w:r>
                    <w:rPr>
                      <w:szCs w:val="21"/>
                    </w:rPr>
                    <w:t>硝基苯</w:t>
                  </w:r>
                </w:p>
              </w:tc>
              <w:tc>
                <w:tcPr>
                  <w:tcW w:w="1611" w:type="dxa"/>
                  <w:noWrap w:val="0"/>
                  <w:vAlign w:val="center"/>
                </w:tcPr>
                <w:p w14:paraId="1ADB96DA">
                  <w:pPr>
                    <w:pageBreakBefore w:val="0"/>
                    <w:widowControl/>
                    <w:kinsoku/>
                    <w:wordWrap/>
                    <w:topLinePunct w:val="0"/>
                    <w:bidi w:val="0"/>
                    <w:spacing w:line="280" w:lineRule="exact"/>
                    <w:jc w:val="center"/>
                    <w:textAlignment w:val="center"/>
                    <w:rPr>
                      <w:szCs w:val="21"/>
                    </w:rPr>
                  </w:pPr>
                  <w:r>
                    <w:rPr>
                      <w:rFonts w:hint="eastAsia"/>
                      <w:szCs w:val="21"/>
                      <w:lang w:val="en-US" w:eastAsia="zh-CN"/>
                    </w:rPr>
                    <w:t>&lt;0.09</w:t>
                  </w:r>
                </w:p>
              </w:tc>
              <w:tc>
                <w:tcPr>
                  <w:tcW w:w="1169" w:type="dxa"/>
                  <w:noWrap w:val="0"/>
                  <w:vAlign w:val="center"/>
                </w:tcPr>
                <w:p w14:paraId="0FFC303A">
                  <w:pPr>
                    <w:pageBreakBefore w:val="0"/>
                    <w:kinsoku/>
                    <w:wordWrap/>
                    <w:topLinePunct w:val="0"/>
                    <w:bidi w:val="0"/>
                    <w:spacing w:line="280" w:lineRule="exact"/>
                    <w:jc w:val="center"/>
                    <w:rPr>
                      <w:szCs w:val="21"/>
                    </w:rPr>
                  </w:pPr>
                  <w:r>
                    <w:rPr>
                      <w:szCs w:val="21"/>
                    </w:rPr>
                    <w:t>76</w:t>
                  </w:r>
                </w:p>
              </w:tc>
            </w:tr>
            <w:tr w14:paraId="59C7FA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2338" w:type="dxa"/>
                  <w:vMerge w:val="continue"/>
                  <w:noWrap w:val="0"/>
                  <w:vAlign w:val="center"/>
                </w:tcPr>
                <w:p w14:paraId="4CF8E454">
                  <w:pPr>
                    <w:pageBreakBefore w:val="0"/>
                    <w:kinsoku/>
                    <w:wordWrap/>
                    <w:topLinePunct w:val="0"/>
                    <w:bidi w:val="0"/>
                    <w:spacing w:line="280" w:lineRule="exact"/>
                    <w:jc w:val="center"/>
                    <w:rPr>
                      <w:szCs w:val="21"/>
                    </w:rPr>
                  </w:pPr>
                </w:p>
              </w:tc>
              <w:tc>
                <w:tcPr>
                  <w:tcW w:w="3386" w:type="dxa"/>
                  <w:noWrap w:val="0"/>
                  <w:vAlign w:val="center"/>
                </w:tcPr>
                <w:p w14:paraId="5FEC7BED">
                  <w:pPr>
                    <w:pageBreakBefore w:val="0"/>
                    <w:kinsoku/>
                    <w:wordWrap/>
                    <w:topLinePunct w:val="0"/>
                    <w:bidi w:val="0"/>
                    <w:spacing w:line="280" w:lineRule="exact"/>
                    <w:jc w:val="center"/>
                    <w:rPr>
                      <w:szCs w:val="21"/>
                    </w:rPr>
                  </w:pPr>
                  <w:r>
                    <w:rPr>
                      <w:szCs w:val="21"/>
                    </w:rPr>
                    <w:t>苯胺</w:t>
                  </w:r>
                </w:p>
              </w:tc>
              <w:tc>
                <w:tcPr>
                  <w:tcW w:w="1611" w:type="dxa"/>
                  <w:noWrap w:val="0"/>
                  <w:vAlign w:val="center"/>
                </w:tcPr>
                <w:p w14:paraId="5283C638">
                  <w:pPr>
                    <w:pageBreakBefore w:val="0"/>
                    <w:widowControl/>
                    <w:kinsoku/>
                    <w:wordWrap/>
                    <w:topLinePunct w:val="0"/>
                    <w:bidi w:val="0"/>
                    <w:spacing w:line="280" w:lineRule="exact"/>
                    <w:jc w:val="center"/>
                    <w:textAlignment w:val="center"/>
                    <w:rPr>
                      <w:szCs w:val="21"/>
                    </w:rPr>
                  </w:pPr>
                  <w:r>
                    <w:rPr>
                      <w:rFonts w:hint="eastAsia"/>
                      <w:szCs w:val="21"/>
                      <w:lang w:val="en-US" w:eastAsia="zh-CN"/>
                    </w:rPr>
                    <w:t>&lt;0.06</w:t>
                  </w:r>
                </w:p>
              </w:tc>
              <w:tc>
                <w:tcPr>
                  <w:tcW w:w="1169" w:type="dxa"/>
                  <w:noWrap w:val="0"/>
                  <w:vAlign w:val="center"/>
                </w:tcPr>
                <w:p w14:paraId="4A6F463A">
                  <w:pPr>
                    <w:pageBreakBefore w:val="0"/>
                    <w:kinsoku/>
                    <w:wordWrap/>
                    <w:topLinePunct w:val="0"/>
                    <w:bidi w:val="0"/>
                    <w:spacing w:line="280" w:lineRule="exact"/>
                    <w:jc w:val="center"/>
                    <w:rPr>
                      <w:szCs w:val="21"/>
                    </w:rPr>
                  </w:pPr>
                  <w:r>
                    <w:rPr>
                      <w:szCs w:val="21"/>
                    </w:rPr>
                    <w:t>260</w:t>
                  </w:r>
                </w:p>
              </w:tc>
            </w:tr>
            <w:tr w14:paraId="29A79A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75675D8E">
                  <w:pPr>
                    <w:pageBreakBefore w:val="0"/>
                    <w:kinsoku/>
                    <w:wordWrap/>
                    <w:topLinePunct w:val="0"/>
                    <w:bidi w:val="0"/>
                    <w:spacing w:line="280" w:lineRule="exact"/>
                    <w:jc w:val="center"/>
                    <w:rPr>
                      <w:szCs w:val="21"/>
                    </w:rPr>
                  </w:pPr>
                </w:p>
              </w:tc>
              <w:tc>
                <w:tcPr>
                  <w:tcW w:w="3386" w:type="dxa"/>
                  <w:noWrap w:val="0"/>
                  <w:vAlign w:val="center"/>
                </w:tcPr>
                <w:p w14:paraId="29A20775">
                  <w:pPr>
                    <w:pageBreakBefore w:val="0"/>
                    <w:kinsoku/>
                    <w:wordWrap/>
                    <w:topLinePunct w:val="0"/>
                    <w:bidi w:val="0"/>
                    <w:spacing w:line="280" w:lineRule="exact"/>
                    <w:jc w:val="center"/>
                    <w:rPr>
                      <w:szCs w:val="21"/>
                    </w:rPr>
                  </w:pPr>
                  <w:r>
                    <w:rPr>
                      <w:szCs w:val="21"/>
                    </w:rPr>
                    <w:t>2-氯酚</w:t>
                  </w:r>
                </w:p>
              </w:tc>
              <w:tc>
                <w:tcPr>
                  <w:tcW w:w="1611" w:type="dxa"/>
                  <w:noWrap w:val="0"/>
                  <w:vAlign w:val="center"/>
                </w:tcPr>
                <w:p w14:paraId="0111FE9E">
                  <w:pPr>
                    <w:pageBreakBefore w:val="0"/>
                    <w:widowControl/>
                    <w:kinsoku/>
                    <w:wordWrap/>
                    <w:topLinePunct w:val="0"/>
                    <w:bidi w:val="0"/>
                    <w:spacing w:line="280" w:lineRule="exact"/>
                    <w:jc w:val="center"/>
                    <w:textAlignment w:val="center"/>
                    <w:rPr>
                      <w:szCs w:val="21"/>
                    </w:rPr>
                  </w:pPr>
                  <w:r>
                    <w:rPr>
                      <w:rFonts w:hint="eastAsia"/>
                      <w:szCs w:val="21"/>
                      <w:lang w:val="en-US" w:eastAsia="zh-CN"/>
                    </w:rPr>
                    <w:t>&lt;0.06</w:t>
                  </w:r>
                </w:p>
              </w:tc>
              <w:tc>
                <w:tcPr>
                  <w:tcW w:w="1169" w:type="dxa"/>
                  <w:noWrap w:val="0"/>
                  <w:vAlign w:val="center"/>
                </w:tcPr>
                <w:p w14:paraId="6470E6F1">
                  <w:pPr>
                    <w:pageBreakBefore w:val="0"/>
                    <w:kinsoku/>
                    <w:wordWrap/>
                    <w:topLinePunct w:val="0"/>
                    <w:bidi w:val="0"/>
                    <w:spacing w:line="280" w:lineRule="exact"/>
                    <w:jc w:val="center"/>
                    <w:rPr>
                      <w:szCs w:val="21"/>
                    </w:rPr>
                  </w:pPr>
                  <w:r>
                    <w:rPr>
                      <w:szCs w:val="21"/>
                    </w:rPr>
                    <w:t>2256</w:t>
                  </w:r>
                </w:p>
              </w:tc>
            </w:tr>
            <w:tr w14:paraId="0FC56C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52346BD">
                  <w:pPr>
                    <w:pageBreakBefore w:val="0"/>
                    <w:kinsoku/>
                    <w:wordWrap/>
                    <w:topLinePunct w:val="0"/>
                    <w:bidi w:val="0"/>
                    <w:spacing w:line="280" w:lineRule="exact"/>
                    <w:jc w:val="center"/>
                    <w:rPr>
                      <w:szCs w:val="21"/>
                    </w:rPr>
                  </w:pPr>
                </w:p>
              </w:tc>
              <w:tc>
                <w:tcPr>
                  <w:tcW w:w="3386" w:type="dxa"/>
                  <w:noWrap w:val="0"/>
                  <w:vAlign w:val="center"/>
                </w:tcPr>
                <w:p w14:paraId="7E4CDE6D">
                  <w:pPr>
                    <w:pageBreakBefore w:val="0"/>
                    <w:kinsoku/>
                    <w:wordWrap/>
                    <w:topLinePunct w:val="0"/>
                    <w:bidi w:val="0"/>
                    <w:spacing w:line="280" w:lineRule="exact"/>
                    <w:jc w:val="center"/>
                    <w:rPr>
                      <w:szCs w:val="21"/>
                    </w:rPr>
                  </w:pPr>
                  <w:r>
                    <w:rPr>
                      <w:szCs w:val="21"/>
                    </w:rPr>
                    <w:t>苯并[a]蒽</w:t>
                  </w:r>
                </w:p>
              </w:tc>
              <w:tc>
                <w:tcPr>
                  <w:tcW w:w="1611" w:type="dxa"/>
                  <w:noWrap w:val="0"/>
                  <w:vAlign w:val="center"/>
                </w:tcPr>
                <w:p w14:paraId="40A84C7E">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9" w:type="dxa"/>
                  <w:noWrap w:val="0"/>
                  <w:vAlign w:val="center"/>
                </w:tcPr>
                <w:p w14:paraId="2119B3CC">
                  <w:pPr>
                    <w:pageBreakBefore w:val="0"/>
                    <w:kinsoku/>
                    <w:wordWrap/>
                    <w:topLinePunct w:val="0"/>
                    <w:bidi w:val="0"/>
                    <w:spacing w:line="280" w:lineRule="exact"/>
                    <w:jc w:val="center"/>
                    <w:rPr>
                      <w:szCs w:val="21"/>
                    </w:rPr>
                  </w:pPr>
                  <w:r>
                    <w:rPr>
                      <w:szCs w:val="21"/>
                    </w:rPr>
                    <w:t>15</w:t>
                  </w:r>
                </w:p>
              </w:tc>
            </w:tr>
            <w:tr w14:paraId="4EDBE8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4357154A">
                  <w:pPr>
                    <w:pageBreakBefore w:val="0"/>
                    <w:kinsoku/>
                    <w:wordWrap/>
                    <w:topLinePunct w:val="0"/>
                    <w:bidi w:val="0"/>
                    <w:spacing w:line="280" w:lineRule="exact"/>
                    <w:jc w:val="center"/>
                    <w:rPr>
                      <w:szCs w:val="21"/>
                    </w:rPr>
                  </w:pPr>
                </w:p>
              </w:tc>
              <w:tc>
                <w:tcPr>
                  <w:tcW w:w="3386" w:type="dxa"/>
                  <w:noWrap w:val="0"/>
                  <w:vAlign w:val="center"/>
                </w:tcPr>
                <w:p w14:paraId="5561D949">
                  <w:pPr>
                    <w:pageBreakBefore w:val="0"/>
                    <w:kinsoku/>
                    <w:wordWrap/>
                    <w:topLinePunct w:val="0"/>
                    <w:bidi w:val="0"/>
                    <w:spacing w:line="280" w:lineRule="exact"/>
                    <w:jc w:val="center"/>
                    <w:rPr>
                      <w:szCs w:val="21"/>
                    </w:rPr>
                  </w:pPr>
                  <w:r>
                    <w:rPr>
                      <w:szCs w:val="21"/>
                    </w:rPr>
                    <w:t>苯并[a]芘</w:t>
                  </w:r>
                </w:p>
              </w:tc>
              <w:tc>
                <w:tcPr>
                  <w:tcW w:w="1611" w:type="dxa"/>
                  <w:noWrap w:val="0"/>
                  <w:vAlign w:val="center"/>
                </w:tcPr>
                <w:p w14:paraId="274BD5BF">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9" w:type="dxa"/>
                  <w:noWrap w:val="0"/>
                  <w:vAlign w:val="center"/>
                </w:tcPr>
                <w:p w14:paraId="1873C15C">
                  <w:pPr>
                    <w:pageBreakBefore w:val="0"/>
                    <w:kinsoku/>
                    <w:wordWrap/>
                    <w:topLinePunct w:val="0"/>
                    <w:bidi w:val="0"/>
                    <w:spacing w:line="280" w:lineRule="exact"/>
                    <w:jc w:val="center"/>
                    <w:rPr>
                      <w:szCs w:val="21"/>
                    </w:rPr>
                  </w:pPr>
                  <w:r>
                    <w:rPr>
                      <w:szCs w:val="21"/>
                    </w:rPr>
                    <w:t>1.5</w:t>
                  </w:r>
                </w:p>
              </w:tc>
            </w:tr>
            <w:tr w14:paraId="178B6D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6E411340">
                  <w:pPr>
                    <w:pageBreakBefore w:val="0"/>
                    <w:kinsoku/>
                    <w:wordWrap/>
                    <w:topLinePunct w:val="0"/>
                    <w:bidi w:val="0"/>
                    <w:spacing w:line="280" w:lineRule="exact"/>
                    <w:jc w:val="center"/>
                    <w:rPr>
                      <w:szCs w:val="21"/>
                    </w:rPr>
                  </w:pPr>
                </w:p>
              </w:tc>
              <w:tc>
                <w:tcPr>
                  <w:tcW w:w="3386" w:type="dxa"/>
                  <w:noWrap w:val="0"/>
                  <w:vAlign w:val="center"/>
                </w:tcPr>
                <w:p w14:paraId="29A7421D">
                  <w:pPr>
                    <w:pageBreakBefore w:val="0"/>
                    <w:kinsoku/>
                    <w:wordWrap/>
                    <w:topLinePunct w:val="0"/>
                    <w:bidi w:val="0"/>
                    <w:spacing w:line="280" w:lineRule="exact"/>
                    <w:jc w:val="center"/>
                    <w:rPr>
                      <w:szCs w:val="21"/>
                    </w:rPr>
                  </w:pPr>
                  <w:r>
                    <w:rPr>
                      <w:szCs w:val="21"/>
                    </w:rPr>
                    <w:t>苯并[b]荧蒽</w:t>
                  </w:r>
                </w:p>
              </w:tc>
              <w:tc>
                <w:tcPr>
                  <w:tcW w:w="1611" w:type="dxa"/>
                  <w:noWrap w:val="0"/>
                  <w:vAlign w:val="center"/>
                </w:tcPr>
                <w:p w14:paraId="4E104CB0">
                  <w:pPr>
                    <w:pageBreakBefore w:val="0"/>
                    <w:widowControl/>
                    <w:kinsoku/>
                    <w:wordWrap/>
                    <w:topLinePunct w:val="0"/>
                    <w:bidi w:val="0"/>
                    <w:spacing w:line="280" w:lineRule="exact"/>
                    <w:jc w:val="center"/>
                    <w:textAlignment w:val="center"/>
                    <w:rPr>
                      <w:szCs w:val="21"/>
                    </w:rPr>
                  </w:pPr>
                  <w:r>
                    <w:rPr>
                      <w:rFonts w:hint="eastAsia"/>
                      <w:szCs w:val="21"/>
                      <w:lang w:val="en-US" w:eastAsia="zh-CN"/>
                    </w:rPr>
                    <w:t>&lt;0.2</w:t>
                  </w:r>
                </w:p>
              </w:tc>
              <w:tc>
                <w:tcPr>
                  <w:tcW w:w="1169" w:type="dxa"/>
                  <w:noWrap w:val="0"/>
                  <w:vAlign w:val="center"/>
                </w:tcPr>
                <w:p w14:paraId="7EAF9FE5">
                  <w:pPr>
                    <w:pageBreakBefore w:val="0"/>
                    <w:kinsoku/>
                    <w:wordWrap/>
                    <w:topLinePunct w:val="0"/>
                    <w:bidi w:val="0"/>
                    <w:spacing w:line="280" w:lineRule="exact"/>
                    <w:jc w:val="center"/>
                    <w:rPr>
                      <w:szCs w:val="21"/>
                    </w:rPr>
                  </w:pPr>
                  <w:r>
                    <w:rPr>
                      <w:szCs w:val="21"/>
                    </w:rPr>
                    <w:t>15</w:t>
                  </w:r>
                </w:p>
              </w:tc>
            </w:tr>
            <w:tr w14:paraId="5FF2B7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06822D84">
                  <w:pPr>
                    <w:pageBreakBefore w:val="0"/>
                    <w:kinsoku/>
                    <w:wordWrap/>
                    <w:topLinePunct w:val="0"/>
                    <w:bidi w:val="0"/>
                    <w:spacing w:line="280" w:lineRule="exact"/>
                    <w:jc w:val="center"/>
                    <w:rPr>
                      <w:szCs w:val="21"/>
                    </w:rPr>
                  </w:pPr>
                </w:p>
              </w:tc>
              <w:tc>
                <w:tcPr>
                  <w:tcW w:w="3386" w:type="dxa"/>
                  <w:noWrap w:val="0"/>
                  <w:vAlign w:val="center"/>
                </w:tcPr>
                <w:p w14:paraId="72EA20E4">
                  <w:pPr>
                    <w:pageBreakBefore w:val="0"/>
                    <w:kinsoku/>
                    <w:wordWrap/>
                    <w:topLinePunct w:val="0"/>
                    <w:bidi w:val="0"/>
                    <w:spacing w:line="280" w:lineRule="exact"/>
                    <w:jc w:val="center"/>
                    <w:rPr>
                      <w:szCs w:val="21"/>
                    </w:rPr>
                  </w:pPr>
                  <w:r>
                    <w:rPr>
                      <w:szCs w:val="21"/>
                    </w:rPr>
                    <w:t>苯并[k]荧蒽</w:t>
                  </w:r>
                </w:p>
              </w:tc>
              <w:tc>
                <w:tcPr>
                  <w:tcW w:w="1611" w:type="dxa"/>
                  <w:noWrap w:val="0"/>
                  <w:vAlign w:val="center"/>
                </w:tcPr>
                <w:p w14:paraId="5CC0580A">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9" w:type="dxa"/>
                  <w:noWrap w:val="0"/>
                  <w:vAlign w:val="center"/>
                </w:tcPr>
                <w:p w14:paraId="789E00CF">
                  <w:pPr>
                    <w:pageBreakBefore w:val="0"/>
                    <w:kinsoku/>
                    <w:wordWrap/>
                    <w:topLinePunct w:val="0"/>
                    <w:bidi w:val="0"/>
                    <w:spacing w:line="280" w:lineRule="exact"/>
                    <w:jc w:val="center"/>
                    <w:rPr>
                      <w:szCs w:val="21"/>
                    </w:rPr>
                  </w:pPr>
                  <w:r>
                    <w:rPr>
                      <w:szCs w:val="21"/>
                    </w:rPr>
                    <w:t>151</w:t>
                  </w:r>
                </w:p>
              </w:tc>
            </w:tr>
            <w:tr w14:paraId="678AA9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4D544726">
                  <w:pPr>
                    <w:pageBreakBefore w:val="0"/>
                    <w:kinsoku/>
                    <w:wordWrap/>
                    <w:topLinePunct w:val="0"/>
                    <w:bidi w:val="0"/>
                    <w:spacing w:line="280" w:lineRule="exact"/>
                    <w:jc w:val="center"/>
                    <w:rPr>
                      <w:szCs w:val="21"/>
                    </w:rPr>
                  </w:pPr>
                </w:p>
              </w:tc>
              <w:tc>
                <w:tcPr>
                  <w:tcW w:w="3386" w:type="dxa"/>
                  <w:noWrap w:val="0"/>
                  <w:vAlign w:val="center"/>
                </w:tcPr>
                <w:p w14:paraId="6A3AA666">
                  <w:pPr>
                    <w:pageBreakBefore w:val="0"/>
                    <w:kinsoku/>
                    <w:wordWrap/>
                    <w:topLinePunct w:val="0"/>
                    <w:bidi w:val="0"/>
                    <w:spacing w:line="280" w:lineRule="exact"/>
                    <w:jc w:val="center"/>
                    <w:rPr>
                      <w:szCs w:val="21"/>
                    </w:rPr>
                  </w:pPr>
                  <w:r>
                    <w:rPr>
                      <w:szCs w:val="21"/>
                    </w:rPr>
                    <w:t>䓛</w:t>
                  </w:r>
                </w:p>
              </w:tc>
              <w:tc>
                <w:tcPr>
                  <w:tcW w:w="1611" w:type="dxa"/>
                  <w:noWrap w:val="0"/>
                  <w:vAlign w:val="center"/>
                </w:tcPr>
                <w:p w14:paraId="19901A10">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9" w:type="dxa"/>
                  <w:noWrap w:val="0"/>
                  <w:vAlign w:val="center"/>
                </w:tcPr>
                <w:p w14:paraId="00BE158A">
                  <w:pPr>
                    <w:pageBreakBefore w:val="0"/>
                    <w:kinsoku/>
                    <w:wordWrap/>
                    <w:topLinePunct w:val="0"/>
                    <w:bidi w:val="0"/>
                    <w:spacing w:line="280" w:lineRule="exact"/>
                    <w:jc w:val="center"/>
                    <w:rPr>
                      <w:szCs w:val="21"/>
                    </w:rPr>
                  </w:pPr>
                  <w:r>
                    <w:rPr>
                      <w:szCs w:val="21"/>
                    </w:rPr>
                    <w:t>1293</w:t>
                  </w:r>
                </w:p>
              </w:tc>
            </w:tr>
            <w:tr w14:paraId="5A455B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22247966">
                  <w:pPr>
                    <w:pageBreakBefore w:val="0"/>
                    <w:kinsoku/>
                    <w:wordWrap/>
                    <w:topLinePunct w:val="0"/>
                    <w:bidi w:val="0"/>
                    <w:spacing w:line="280" w:lineRule="exact"/>
                    <w:jc w:val="center"/>
                    <w:rPr>
                      <w:szCs w:val="21"/>
                    </w:rPr>
                  </w:pPr>
                </w:p>
              </w:tc>
              <w:tc>
                <w:tcPr>
                  <w:tcW w:w="3386" w:type="dxa"/>
                  <w:noWrap w:val="0"/>
                  <w:vAlign w:val="center"/>
                </w:tcPr>
                <w:p w14:paraId="7C8FA74C">
                  <w:pPr>
                    <w:pageBreakBefore w:val="0"/>
                    <w:kinsoku/>
                    <w:wordWrap/>
                    <w:topLinePunct w:val="0"/>
                    <w:bidi w:val="0"/>
                    <w:spacing w:line="280" w:lineRule="exact"/>
                    <w:jc w:val="center"/>
                    <w:rPr>
                      <w:szCs w:val="21"/>
                    </w:rPr>
                  </w:pPr>
                  <w:r>
                    <w:rPr>
                      <w:szCs w:val="21"/>
                    </w:rPr>
                    <w:t>二苯并[a，h]蒽</w:t>
                  </w:r>
                </w:p>
              </w:tc>
              <w:tc>
                <w:tcPr>
                  <w:tcW w:w="1611" w:type="dxa"/>
                  <w:noWrap w:val="0"/>
                  <w:vAlign w:val="center"/>
                </w:tcPr>
                <w:p w14:paraId="683D5073">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9" w:type="dxa"/>
                  <w:noWrap w:val="0"/>
                  <w:vAlign w:val="center"/>
                </w:tcPr>
                <w:p w14:paraId="3B03CA69">
                  <w:pPr>
                    <w:pageBreakBefore w:val="0"/>
                    <w:kinsoku/>
                    <w:wordWrap/>
                    <w:topLinePunct w:val="0"/>
                    <w:bidi w:val="0"/>
                    <w:spacing w:line="280" w:lineRule="exact"/>
                    <w:jc w:val="center"/>
                    <w:rPr>
                      <w:szCs w:val="21"/>
                    </w:rPr>
                  </w:pPr>
                  <w:r>
                    <w:rPr>
                      <w:szCs w:val="21"/>
                    </w:rPr>
                    <w:t>1.5</w:t>
                  </w:r>
                </w:p>
              </w:tc>
            </w:tr>
            <w:tr w14:paraId="7D5BF5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19FB7B09">
                  <w:pPr>
                    <w:pageBreakBefore w:val="0"/>
                    <w:kinsoku/>
                    <w:wordWrap/>
                    <w:topLinePunct w:val="0"/>
                    <w:bidi w:val="0"/>
                    <w:spacing w:line="280" w:lineRule="exact"/>
                    <w:jc w:val="center"/>
                    <w:rPr>
                      <w:szCs w:val="21"/>
                    </w:rPr>
                  </w:pPr>
                </w:p>
              </w:tc>
              <w:tc>
                <w:tcPr>
                  <w:tcW w:w="3386" w:type="dxa"/>
                  <w:noWrap w:val="0"/>
                  <w:vAlign w:val="center"/>
                </w:tcPr>
                <w:p w14:paraId="494891DD">
                  <w:pPr>
                    <w:pageBreakBefore w:val="0"/>
                    <w:kinsoku/>
                    <w:wordWrap/>
                    <w:topLinePunct w:val="0"/>
                    <w:bidi w:val="0"/>
                    <w:spacing w:line="280" w:lineRule="exact"/>
                    <w:jc w:val="center"/>
                    <w:rPr>
                      <w:szCs w:val="21"/>
                    </w:rPr>
                  </w:pPr>
                  <w:r>
                    <w:rPr>
                      <w:szCs w:val="21"/>
                    </w:rPr>
                    <w:t>茚并[1，2，3-cd]芘</w:t>
                  </w:r>
                </w:p>
              </w:tc>
              <w:tc>
                <w:tcPr>
                  <w:tcW w:w="1611" w:type="dxa"/>
                  <w:noWrap w:val="0"/>
                  <w:vAlign w:val="center"/>
                </w:tcPr>
                <w:p w14:paraId="10A99CB0">
                  <w:pPr>
                    <w:pageBreakBefore w:val="0"/>
                    <w:widowControl/>
                    <w:kinsoku/>
                    <w:wordWrap/>
                    <w:topLinePunct w:val="0"/>
                    <w:bidi w:val="0"/>
                    <w:spacing w:line="280" w:lineRule="exact"/>
                    <w:jc w:val="center"/>
                    <w:textAlignment w:val="center"/>
                    <w:rPr>
                      <w:szCs w:val="21"/>
                    </w:rPr>
                  </w:pPr>
                  <w:r>
                    <w:rPr>
                      <w:rFonts w:hint="eastAsia"/>
                      <w:szCs w:val="21"/>
                      <w:lang w:val="en-US" w:eastAsia="zh-CN"/>
                    </w:rPr>
                    <w:t>&lt;0.1</w:t>
                  </w:r>
                </w:p>
              </w:tc>
              <w:tc>
                <w:tcPr>
                  <w:tcW w:w="1169" w:type="dxa"/>
                  <w:noWrap w:val="0"/>
                  <w:vAlign w:val="center"/>
                </w:tcPr>
                <w:p w14:paraId="35B34EBA">
                  <w:pPr>
                    <w:pageBreakBefore w:val="0"/>
                    <w:kinsoku/>
                    <w:wordWrap/>
                    <w:topLinePunct w:val="0"/>
                    <w:bidi w:val="0"/>
                    <w:spacing w:line="280" w:lineRule="exact"/>
                    <w:jc w:val="center"/>
                    <w:rPr>
                      <w:szCs w:val="21"/>
                    </w:rPr>
                  </w:pPr>
                  <w:r>
                    <w:rPr>
                      <w:szCs w:val="21"/>
                    </w:rPr>
                    <w:t>15</w:t>
                  </w:r>
                </w:p>
              </w:tc>
            </w:tr>
            <w:tr w14:paraId="3D88E1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2338" w:type="dxa"/>
                  <w:vMerge w:val="continue"/>
                  <w:noWrap w:val="0"/>
                  <w:vAlign w:val="center"/>
                </w:tcPr>
                <w:p w14:paraId="252ED043">
                  <w:pPr>
                    <w:pageBreakBefore w:val="0"/>
                    <w:kinsoku/>
                    <w:wordWrap/>
                    <w:topLinePunct w:val="0"/>
                    <w:bidi w:val="0"/>
                    <w:spacing w:line="280" w:lineRule="exact"/>
                    <w:jc w:val="center"/>
                    <w:rPr>
                      <w:szCs w:val="21"/>
                    </w:rPr>
                  </w:pPr>
                </w:p>
              </w:tc>
              <w:tc>
                <w:tcPr>
                  <w:tcW w:w="3386" w:type="dxa"/>
                  <w:noWrap w:val="0"/>
                  <w:vAlign w:val="center"/>
                </w:tcPr>
                <w:p w14:paraId="4527A715">
                  <w:pPr>
                    <w:pageBreakBefore w:val="0"/>
                    <w:kinsoku/>
                    <w:wordWrap/>
                    <w:topLinePunct w:val="0"/>
                    <w:bidi w:val="0"/>
                    <w:spacing w:line="280" w:lineRule="exact"/>
                    <w:jc w:val="center"/>
                    <w:rPr>
                      <w:szCs w:val="21"/>
                    </w:rPr>
                  </w:pPr>
                  <w:r>
                    <w:rPr>
                      <w:szCs w:val="21"/>
                    </w:rPr>
                    <w:t>萘</w:t>
                  </w:r>
                </w:p>
              </w:tc>
              <w:tc>
                <w:tcPr>
                  <w:tcW w:w="1611" w:type="dxa"/>
                  <w:noWrap w:val="0"/>
                  <w:vAlign w:val="center"/>
                </w:tcPr>
                <w:p w14:paraId="6E00436E">
                  <w:pPr>
                    <w:pageBreakBefore w:val="0"/>
                    <w:widowControl/>
                    <w:kinsoku/>
                    <w:wordWrap/>
                    <w:topLinePunct w:val="0"/>
                    <w:bidi w:val="0"/>
                    <w:spacing w:line="280" w:lineRule="exact"/>
                    <w:jc w:val="center"/>
                    <w:textAlignment w:val="center"/>
                    <w:rPr>
                      <w:szCs w:val="21"/>
                    </w:rPr>
                  </w:pPr>
                  <w:r>
                    <w:rPr>
                      <w:rFonts w:hint="eastAsia"/>
                      <w:szCs w:val="21"/>
                      <w:lang w:val="en-US" w:eastAsia="zh-CN"/>
                    </w:rPr>
                    <w:t>&lt;0.09</w:t>
                  </w:r>
                </w:p>
              </w:tc>
              <w:tc>
                <w:tcPr>
                  <w:tcW w:w="1169" w:type="dxa"/>
                  <w:noWrap w:val="0"/>
                  <w:vAlign w:val="center"/>
                </w:tcPr>
                <w:p w14:paraId="1339AE1C">
                  <w:pPr>
                    <w:pageBreakBefore w:val="0"/>
                    <w:kinsoku/>
                    <w:wordWrap/>
                    <w:topLinePunct w:val="0"/>
                    <w:bidi w:val="0"/>
                    <w:spacing w:line="280" w:lineRule="exact"/>
                    <w:jc w:val="center"/>
                    <w:rPr>
                      <w:szCs w:val="21"/>
                    </w:rPr>
                  </w:pPr>
                  <w:r>
                    <w:rPr>
                      <w:szCs w:val="21"/>
                    </w:rPr>
                    <w:t>70</w:t>
                  </w:r>
                </w:p>
              </w:tc>
            </w:tr>
          </w:tbl>
          <w:p w14:paraId="5888F34D">
            <w:pPr>
              <w:pageBreakBefore w:val="0"/>
              <w:kinsoku/>
              <w:wordWrap/>
              <w:topLinePunct w:val="0"/>
              <w:bidi w:val="0"/>
              <w:spacing w:line="360" w:lineRule="auto"/>
              <w:ind w:firstLine="480" w:firstLineChars="200"/>
              <w:rPr>
                <w:kern w:val="0"/>
                <w:sz w:val="24"/>
              </w:rPr>
            </w:pPr>
            <w:r>
              <w:rPr>
                <w:sz w:val="24"/>
              </w:rPr>
              <w:t>根据监测结果可知，拟建场区</w:t>
            </w:r>
            <w:r>
              <w:rPr>
                <w:rFonts w:hint="eastAsia"/>
                <w:sz w:val="24"/>
              </w:rPr>
              <w:t>范围内及范围外</w:t>
            </w:r>
            <w:r>
              <w:rPr>
                <w:sz w:val="24"/>
              </w:rPr>
              <w:t>各监测点土壤环境质量结果均满足</w:t>
            </w:r>
            <w:r>
              <w:rPr>
                <w:bCs/>
                <w:sz w:val="24"/>
                <w:shd w:val="clear" w:color="auto" w:fill="FFFFFF"/>
              </w:rPr>
              <w:t>《土壤环境质量 建设用地土壤污染风险管控标准（试行）》（GB 36600-2018）第二类用地筛选值限值，</w:t>
            </w:r>
            <w:r>
              <w:rPr>
                <w:sz w:val="24"/>
              </w:rPr>
              <w:t>评价范围内土壤环境质量状况良好。</w:t>
            </w:r>
          </w:p>
        </w:tc>
      </w:tr>
      <w:tr w14:paraId="220F3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jc w:val="center"/>
        </w:trPr>
        <w:tc>
          <w:tcPr>
            <w:tcW w:w="697" w:type="dxa"/>
            <w:noWrap w:val="0"/>
            <w:vAlign w:val="center"/>
          </w:tcPr>
          <w:p w14:paraId="383D4071">
            <w:pPr>
              <w:pageBreakBefore w:val="0"/>
              <w:kinsoku/>
              <w:wordWrap/>
              <w:topLinePunct w:val="0"/>
              <w:autoSpaceDE w:val="0"/>
              <w:autoSpaceDN w:val="0"/>
              <w:bidi w:val="0"/>
              <w:jc w:val="center"/>
              <w:rPr>
                <w:kern w:val="0"/>
                <w:szCs w:val="21"/>
              </w:rPr>
            </w:pPr>
            <w:r>
              <w:rPr>
                <w:kern w:val="0"/>
                <w:szCs w:val="21"/>
              </w:rPr>
              <w:t>环境</w:t>
            </w:r>
          </w:p>
          <w:p w14:paraId="2076B5A1">
            <w:pPr>
              <w:pageBreakBefore w:val="0"/>
              <w:kinsoku/>
              <w:wordWrap/>
              <w:topLinePunct w:val="0"/>
              <w:autoSpaceDE w:val="0"/>
              <w:autoSpaceDN w:val="0"/>
              <w:bidi w:val="0"/>
              <w:jc w:val="center"/>
              <w:rPr>
                <w:kern w:val="0"/>
                <w:szCs w:val="21"/>
              </w:rPr>
            </w:pPr>
            <w:r>
              <w:rPr>
                <w:kern w:val="0"/>
                <w:szCs w:val="21"/>
              </w:rPr>
              <w:t>保护</w:t>
            </w:r>
          </w:p>
          <w:p w14:paraId="1B46E291">
            <w:pPr>
              <w:pageBreakBefore w:val="0"/>
              <w:kinsoku/>
              <w:wordWrap/>
              <w:topLinePunct w:val="0"/>
              <w:autoSpaceDE w:val="0"/>
              <w:autoSpaceDN w:val="0"/>
              <w:bidi w:val="0"/>
              <w:jc w:val="center"/>
              <w:rPr>
                <w:kern w:val="0"/>
                <w:szCs w:val="21"/>
              </w:rPr>
            </w:pPr>
            <w:r>
              <w:rPr>
                <w:kern w:val="0"/>
                <w:szCs w:val="21"/>
              </w:rPr>
              <w:t>目标</w:t>
            </w:r>
          </w:p>
        </w:tc>
        <w:tc>
          <w:tcPr>
            <w:tcW w:w="8714" w:type="dxa"/>
            <w:noWrap w:val="0"/>
            <w:vAlign w:val="center"/>
          </w:tcPr>
          <w:p w14:paraId="2DA796F1">
            <w:pPr>
              <w:pageBreakBefore w:val="0"/>
              <w:kinsoku/>
              <w:wordWrap/>
              <w:topLinePunct w:val="0"/>
              <w:autoSpaceDE w:val="0"/>
              <w:autoSpaceDN w:val="0"/>
              <w:bidi w:val="0"/>
              <w:spacing w:line="360" w:lineRule="auto"/>
              <w:ind w:firstLine="482" w:firstLineChars="200"/>
              <w:rPr>
                <w:kern w:val="0"/>
                <w:sz w:val="24"/>
              </w:rPr>
            </w:pPr>
            <w:r>
              <w:rPr>
                <w:b/>
                <w:bCs/>
                <w:kern w:val="0"/>
                <w:sz w:val="24"/>
              </w:rPr>
              <w:t>1 大气环境保护目标</w:t>
            </w:r>
          </w:p>
          <w:p w14:paraId="54355819">
            <w:pPr>
              <w:pageBreakBefore w:val="0"/>
              <w:kinsoku/>
              <w:wordWrap/>
              <w:topLinePunct w:val="0"/>
              <w:autoSpaceDE w:val="0"/>
              <w:autoSpaceDN w:val="0"/>
              <w:bidi w:val="0"/>
              <w:spacing w:line="360" w:lineRule="auto"/>
              <w:ind w:firstLine="480" w:firstLineChars="200"/>
              <w:rPr>
                <w:kern w:val="0"/>
                <w:sz w:val="24"/>
              </w:rPr>
            </w:pPr>
            <w:r>
              <w:rPr>
                <w:kern w:val="0"/>
                <w:sz w:val="24"/>
              </w:rPr>
              <w:t>本项目选址厂界外500m范围内无自然保护区、风景名胜区、居住区、文化区和农村地区中人群较集中的区域，无大气环境保护目标。</w:t>
            </w:r>
          </w:p>
          <w:p w14:paraId="51252F95">
            <w:pPr>
              <w:pageBreakBefore w:val="0"/>
              <w:kinsoku/>
              <w:wordWrap/>
              <w:topLinePunct w:val="0"/>
              <w:autoSpaceDE w:val="0"/>
              <w:autoSpaceDN w:val="0"/>
              <w:bidi w:val="0"/>
              <w:spacing w:line="360" w:lineRule="auto"/>
              <w:ind w:firstLine="482" w:firstLineChars="200"/>
              <w:rPr>
                <w:kern w:val="0"/>
                <w:sz w:val="24"/>
              </w:rPr>
            </w:pPr>
            <w:r>
              <w:rPr>
                <w:b/>
                <w:bCs/>
                <w:kern w:val="0"/>
                <w:sz w:val="24"/>
              </w:rPr>
              <w:t>2 声环境</w:t>
            </w:r>
            <w:r>
              <w:rPr>
                <w:rFonts w:hint="eastAsia"/>
                <w:b/>
                <w:bCs/>
                <w:kern w:val="0"/>
                <w:sz w:val="24"/>
              </w:rPr>
              <w:t>保护目标</w:t>
            </w:r>
          </w:p>
          <w:p w14:paraId="7EA12998">
            <w:pPr>
              <w:pageBreakBefore w:val="0"/>
              <w:kinsoku/>
              <w:wordWrap/>
              <w:topLinePunct w:val="0"/>
              <w:autoSpaceDE w:val="0"/>
              <w:autoSpaceDN w:val="0"/>
              <w:bidi w:val="0"/>
              <w:spacing w:line="360" w:lineRule="auto"/>
              <w:ind w:firstLine="480" w:firstLineChars="200"/>
              <w:rPr>
                <w:kern w:val="0"/>
                <w:sz w:val="24"/>
              </w:rPr>
            </w:pPr>
            <w:r>
              <w:rPr>
                <w:kern w:val="0"/>
                <w:sz w:val="24"/>
              </w:rPr>
              <w:t>本项目</w:t>
            </w:r>
            <w:r>
              <w:rPr>
                <w:bCs/>
                <w:sz w:val="24"/>
              </w:rPr>
              <w:t>选址区域</w:t>
            </w:r>
            <w:r>
              <w:rPr>
                <w:kern w:val="0"/>
                <w:sz w:val="24"/>
              </w:rPr>
              <w:t>周边50m范围内现状无声环境保护目标，经核实周边50m范围内无未规划建设对声环境敏感的项目。</w:t>
            </w:r>
          </w:p>
          <w:p w14:paraId="26674A02">
            <w:pPr>
              <w:pageBreakBefore w:val="0"/>
              <w:kinsoku/>
              <w:wordWrap/>
              <w:topLinePunct w:val="0"/>
              <w:autoSpaceDE w:val="0"/>
              <w:autoSpaceDN w:val="0"/>
              <w:bidi w:val="0"/>
              <w:spacing w:line="360" w:lineRule="auto"/>
              <w:ind w:firstLine="482" w:firstLineChars="200"/>
              <w:rPr>
                <w:b/>
                <w:kern w:val="0"/>
                <w:sz w:val="24"/>
              </w:rPr>
            </w:pPr>
            <w:r>
              <w:rPr>
                <w:b/>
                <w:kern w:val="0"/>
                <w:sz w:val="24"/>
              </w:rPr>
              <w:t>3 地下水环境</w:t>
            </w:r>
            <w:r>
              <w:rPr>
                <w:rFonts w:hint="eastAsia"/>
                <w:b/>
                <w:bCs/>
                <w:kern w:val="0"/>
                <w:sz w:val="24"/>
              </w:rPr>
              <w:t>保护目标</w:t>
            </w:r>
          </w:p>
          <w:p w14:paraId="037CFBA2">
            <w:pPr>
              <w:pageBreakBefore w:val="0"/>
              <w:kinsoku/>
              <w:wordWrap/>
              <w:topLinePunct w:val="0"/>
              <w:autoSpaceDE w:val="0"/>
              <w:autoSpaceDN w:val="0"/>
              <w:bidi w:val="0"/>
              <w:spacing w:line="360" w:lineRule="auto"/>
              <w:ind w:firstLine="480" w:firstLineChars="200"/>
              <w:rPr>
                <w:kern w:val="0"/>
                <w:sz w:val="24"/>
              </w:rPr>
            </w:pPr>
            <w:r>
              <w:rPr>
                <w:kern w:val="0"/>
                <w:sz w:val="24"/>
              </w:rPr>
              <w:t>本项目选址厂界外500m范围内无地下集中式饮用水水源和热水、矿泉水、温泉等特殊地下水资源。</w:t>
            </w:r>
          </w:p>
          <w:p w14:paraId="784ED523">
            <w:pPr>
              <w:pageBreakBefore w:val="0"/>
              <w:kinsoku/>
              <w:wordWrap/>
              <w:topLinePunct w:val="0"/>
              <w:autoSpaceDE w:val="0"/>
              <w:autoSpaceDN w:val="0"/>
              <w:bidi w:val="0"/>
              <w:spacing w:line="360" w:lineRule="auto"/>
              <w:ind w:firstLine="482" w:firstLineChars="200"/>
              <w:rPr>
                <w:b/>
                <w:kern w:val="0"/>
                <w:sz w:val="24"/>
              </w:rPr>
            </w:pPr>
            <w:r>
              <w:rPr>
                <w:b/>
                <w:kern w:val="0"/>
                <w:sz w:val="24"/>
              </w:rPr>
              <w:t>4 生态环境</w:t>
            </w:r>
            <w:r>
              <w:rPr>
                <w:rFonts w:hint="eastAsia"/>
                <w:b/>
                <w:bCs/>
                <w:kern w:val="0"/>
                <w:sz w:val="24"/>
              </w:rPr>
              <w:t>保护目标</w:t>
            </w:r>
          </w:p>
          <w:p w14:paraId="27EF6B62">
            <w:pPr>
              <w:pageBreakBefore w:val="0"/>
              <w:kinsoku/>
              <w:wordWrap/>
              <w:topLinePunct w:val="0"/>
              <w:autoSpaceDE w:val="0"/>
              <w:autoSpaceDN w:val="0"/>
              <w:bidi w:val="0"/>
              <w:spacing w:line="360" w:lineRule="auto"/>
              <w:ind w:firstLine="480" w:firstLineChars="200"/>
            </w:pPr>
            <w:r>
              <w:rPr>
                <w:rFonts w:hint="eastAsia"/>
                <w:kern w:val="0"/>
                <w:sz w:val="24"/>
              </w:rPr>
              <w:t>本</w:t>
            </w:r>
            <w:r>
              <w:rPr>
                <w:sz w:val="24"/>
              </w:rPr>
              <w:t>项目周围环境较空旷，地势平坦，项目选址不涉及国家公园、自然保护区、世界自然遗产、重要生境，不涉及自然公园，不涉及生态保护红线，不涉及天然林、公益林、湿地等生态保护目标。</w:t>
            </w:r>
          </w:p>
        </w:tc>
      </w:tr>
      <w:tr w14:paraId="372A0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jc w:val="center"/>
        </w:trPr>
        <w:tc>
          <w:tcPr>
            <w:tcW w:w="697" w:type="dxa"/>
            <w:noWrap w:val="0"/>
            <w:tcMar>
              <w:left w:w="28" w:type="dxa"/>
              <w:right w:w="28" w:type="dxa"/>
            </w:tcMar>
            <w:vAlign w:val="center"/>
          </w:tcPr>
          <w:p w14:paraId="7096F896">
            <w:pPr>
              <w:pageBreakBefore w:val="0"/>
              <w:kinsoku/>
              <w:wordWrap/>
              <w:topLinePunct w:val="0"/>
              <w:autoSpaceDE w:val="0"/>
              <w:autoSpaceDN w:val="0"/>
              <w:bidi w:val="0"/>
              <w:jc w:val="center"/>
              <w:rPr>
                <w:kern w:val="0"/>
                <w:szCs w:val="21"/>
              </w:rPr>
            </w:pPr>
            <w:r>
              <w:rPr>
                <w:kern w:val="0"/>
                <w:szCs w:val="21"/>
              </w:rPr>
              <w:t>污染</w:t>
            </w:r>
          </w:p>
          <w:p w14:paraId="2241BBBE">
            <w:pPr>
              <w:pageBreakBefore w:val="0"/>
              <w:kinsoku/>
              <w:wordWrap/>
              <w:topLinePunct w:val="0"/>
              <w:autoSpaceDE w:val="0"/>
              <w:autoSpaceDN w:val="0"/>
              <w:bidi w:val="0"/>
              <w:jc w:val="center"/>
              <w:rPr>
                <w:kern w:val="0"/>
                <w:szCs w:val="21"/>
              </w:rPr>
            </w:pPr>
            <w:r>
              <w:rPr>
                <w:kern w:val="0"/>
                <w:szCs w:val="21"/>
              </w:rPr>
              <w:t>物排</w:t>
            </w:r>
          </w:p>
          <w:p w14:paraId="3D6AE221">
            <w:pPr>
              <w:pageBreakBefore w:val="0"/>
              <w:kinsoku/>
              <w:wordWrap/>
              <w:topLinePunct w:val="0"/>
              <w:autoSpaceDE w:val="0"/>
              <w:autoSpaceDN w:val="0"/>
              <w:bidi w:val="0"/>
              <w:jc w:val="center"/>
              <w:rPr>
                <w:kern w:val="0"/>
                <w:szCs w:val="21"/>
              </w:rPr>
            </w:pPr>
            <w:r>
              <w:rPr>
                <w:kern w:val="0"/>
                <w:szCs w:val="21"/>
              </w:rPr>
              <w:t>放控</w:t>
            </w:r>
          </w:p>
          <w:p w14:paraId="61DD0136">
            <w:pPr>
              <w:pageBreakBefore w:val="0"/>
              <w:kinsoku/>
              <w:wordWrap/>
              <w:topLinePunct w:val="0"/>
              <w:autoSpaceDE w:val="0"/>
              <w:autoSpaceDN w:val="0"/>
              <w:bidi w:val="0"/>
              <w:jc w:val="center"/>
              <w:rPr>
                <w:kern w:val="0"/>
                <w:szCs w:val="21"/>
              </w:rPr>
            </w:pPr>
            <w:r>
              <w:rPr>
                <w:kern w:val="0"/>
                <w:szCs w:val="21"/>
              </w:rPr>
              <w:t>制标</w:t>
            </w:r>
          </w:p>
          <w:p w14:paraId="6669B14F">
            <w:pPr>
              <w:pageBreakBefore w:val="0"/>
              <w:kinsoku/>
              <w:wordWrap/>
              <w:topLinePunct w:val="0"/>
              <w:autoSpaceDE w:val="0"/>
              <w:autoSpaceDN w:val="0"/>
              <w:bidi w:val="0"/>
              <w:jc w:val="center"/>
              <w:rPr>
                <w:kern w:val="0"/>
                <w:szCs w:val="21"/>
              </w:rPr>
            </w:pPr>
            <w:r>
              <w:rPr>
                <w:kern w:val="0"/>
                <w:szCs w:val="21"/>
              </w:rPr>
              <w:t>准</w:t>
            </w:r>
          </w:p>
        </w:tc>
        <w:tc>
          <w:tcPr>
            <w:tcW w:w="8714" w:type="dxa"/>
            <w:noWrap w:val="0"/>
            <w:vAlign w:val="center"/>
          </w:tcPr>
          <w:p w14:paraId="66AFA882">
            <w:pPr>
              <w:pageBreakBefore w:val="0"/>
              <w:kinsoku/>
              <w:wordWrap/>
              <w:topLinePunct w:val="0"/>
              <w:autoSpaceDE w:val="0"/>
              <w:autoSpaceDN w:val="0"/>
              <w:bidi w:val="0"/>
              <w:spacing w:line="360" w:lineRule="auto"/>
              <w:ind w:firstLine="482" w:firstLineChars="200"/>
              <w:rPr>
                <w:kern w:val="0"/>
                <w:sz w:val="24"/>
              </w:rPr>
            </w:pPr>
            <w:r>
              <w:rPr>
                <w:b/>
                <w:bCs/>
                <w:kern w:val="0"/>
                <w:sz w:val="24"/>
              </w:rPr>
              <w:t>1 废气排放标准</w:t>
            </w:r>
          </w:p>
          <w:p w14:paraId="5CB44E9C">
            <w:pPr>
              <w:pageBreakBefore w:val="0"/>
              <w:kinsoku/>
              <w:wordWrap/>
              <w:topLinePunct w:val="0"/>
              <w:autoSpaceDE w:val="0"/>
              <w:autoSpaceDN w:val="0"/>
              <w:bidi w:val="0"/>
              <w:spacing w:line="360" w:lineRule="auto"/>
              <w:ind w:firstLine="480" w:firstLineChars="200"/>
              <w:rPr>
                <w:kern w:val="0"/>
                <w:sz w:val="24"/>
              </w:rPr>
            </w:pPr>
            <w:r>
              <w:rPr>
                <w:rFonts w:hint="eastAsia"/>
                <w:kern w:val="0"/>
                <w:sz w:val="24"/>
              </w:rPr>
              <w:t>本</w:t>
            </w:r>
            <w:r>
              <w:rPr>
                <w:kern w:val="0"/>
                <w:sz w:val="24"/>
              </w:rPr>
              <w:t>项目施工期</w:t>
            </w:r>
            <w:r>
              <w:rPr>
                <w:rFonts w:hint="eastAsia"/>
                <w:kern w:val="0"/>
                <w:sz w:val="24"/>
                <w:lang w:val="en-US" w:eastAsia="zh-CN"/>
              </w:rPr>
              <w:t>和运营期</w:t>
            </w:r>
            <w:r>
              <w:rPr>
                <w:kern w:val="0"/>
                <w:sz w:val="24"/>
              </w:rPr>
              <w:t>执行</w:t>
            </w:r>
            <w:r>
              <w:rPr>
                <w:kern w:val="28"/>
                <w:sz w:val="24"/>
              </w:rPr>
              <w:t>《大气污染物综合排放标准》（GB 16297-1996）表2周界外浓度最高点浓度，</w:t>
            </w:r>
            <w:r>
              <w:rPr>
                <w:kern w:val="0"/>
                <w:sz w:val="24"/>
              </w:rPr>
              <w:t>详见</w:t>
            </w:r>
            <w:r>
              <w:rPr>
                <w:rFonts w:hint="eastAsia"/>
                <w:kern w:val="0"/>
                <w:sz w:val="24"/>
                <w:lang w:val="en-US" w:eastAsia="zh-CN"/>
              </w:rPr>
              <w:t>下</w:t>
            </w:r>
            <w:r>
              <w:rPr>
                <w:kern w:val="0"/>
                <w:sz w:val="24"/>
              </w:rPr>
              <w:t>表。</w:t>
            </w:r>
          </w:p>
          <w:p w14:paraId="1753FDDD">
            <w:pPr>
              <w:pageBreakBefore w:val="0"/>
              <w:kinsoku/>
              <w:wordWrap/>
              <w:topLinePunct w:val="0"/>
              <w:autoSpaceDE w:val="0"/>
              <w:autoSpaceDN w:val="0"/>
              <w:bidi w:val="0"/>
              <w:spacing w:line="360" w:lineRule="auto"/>
              <w:jc w:val="center"/>
              <w:rPr>
                <w:kern w:val="0"/>
                <w:sz w:val="24"/>
              </w:rPr>
            </w:pPr>
            <w:r>
              <w:rPr>
                <w:rFonts w:eastAsia="黑体"/>
                <w:bCs/>
                <w:szCs w:val="21"/>
              </w:rPr>
              <w:t>表3-</w:t>
            </w:r>
            <w:r>
              <w:rPr>
                <w:rFonts w:hint="eastAsia" w:eastAsia="黑体"/>
                <w:bCs/>
                <w:szCs w:val="21"/>
              </w:rPr>
              <w:t>1</w:t>
            </w:r>
            <w:r>
              <w:rPr>
                <w:rFonts w:hint="eastAsia" w:eastAsia="黑体"/>
                <w:bCs/>
                <w:szCs w:val="21"/>
                <w:lang w:val="en-US" w:eastAsia="zh-CN"/>
              </w:rPr>
              <w:t>1</w:t>
            </w:r>
            <w:r>
              <w:rPr>
                <w:rFonts w:eastAsia="黑体"/>
                <w:bCs/>
                <w:szCs w:val="21"/>
              </w:rPr>
              <w:t xml:space="preserve">  施工期废气排放标准一览表  单位：</w:t>
            </w:r>
            <w:r>
              <w:rPr>
                <w:kern w:val="0"/>
                <w:szCs w:val="21"/>
              </w:rPr>
              <w:t>mg/m</w:t>
            </w:r>
            <w:r>
              <w:rPr>
                <w:kern w:val="0"/>
                <w:szCs w:val="21"/>
                <w:vertAlign w:val="superscript"/>
              </w:rPr>
              <w:t>3</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405"/>
              <w:gridCol w:w="1144"/>
              <w:gridCol w:w="4911"/>
              <w:gridCol w:w="930"/>
            </w:tblGrid>
            <w:tr w14:paraId="01B2CDE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0" w:type="auto"/>
                  <w:noWrap w:val="0"/>
                  <w:vAlign w:val="center"/>
                </w:tcPr>
                <w:p w14:paraId="4F4F6478">
                  <w:pPr>
                    <w:pageBreakBefore w:val="0"/>
                    <w:kinsoku/>
                    <w:wordWrap/>
                    <w:topLinePunct w:val="0"/>
                    <w:autoSpaceDE w:val="0"/>
                    <w:autoSpaceDN w:val="0"/>
                    <w:bidi w:val="0"/>
                    <w:spacing w:line="280" w:lineRule="exact"/>
                    <w:jc w:val="center"/>
                    <w:rPr>
                      <w:b/>
                      <w:bCs/>
                      <w:kern w:val="0"/>
                      <w:szCs w:val="21"/>
                    </w:rPr>
                  </w:pPr>
                  <w:r>
                    <w:rPr>
                      <w:b/>
                      <w:bCs/>
                      <w:kern w:val="0"/>
                      <w:szCs w:val="21"/>
                    </w:rPr>
                    <w:t>污染因子</w:t>
                  </w:r>
                </w:p>
              </w:tc>
              <w:tc>
                <w:tcPr>
                  <w:tcW w:w="0" w:type="auto"/>
                  <w:noWrap w:val="0"/>
                  <w:vAlign w:val="center"/>
                </w:tcPr>
                <w:p w14:paraId="5CB5CD5A">
                  <w:pPr>
                    <w:pageBreakBefore w:val="0"/>
                    <w:kinsoku/>
                    <w:wordWrap/>
                    <w:topLinePunct w:val="0"/>
                    <w:autoSpaceDE w:val="0"/>
                    <w:autoSpaceDN w:val="0"/>
                    <w:bidi w:val="0"/>
                    <w:spacing w:line="280" w:lineRule="exact"/>
                    <w:jc w:val="center"/>
                    <w:rPr>
                      <w:b/>
                      <w:bCs/>
                      <w:kern w:val="0"/>
                      <w:szCs w:val="21"/>
                    </w:rPr>
                  </w:pPr>
                  <w:r>
                    <w:rPr>
                      <w:b/>
                      <w:bCs/>
                      <w:kern w:val="0"/>
                      <w:szCs w:val="21"/>
                    </w:rPr>
                    <w:t>排放限值</w:t>
                  </w:r>
                </w:p>
              </w:tc>
              <w:tc>
                <w:tcPr>
                  <w:tcW w:w="4911" w:type="dxa"/>
                  <w:tcBorders>
                    <w:right w:val="single" w:color="auto" w:sz="4" w:space="0"/>
                  </w:tcBorders>
                  <w:noWrap w:val="0"/>
                  <w:vAlign w:val="center"/>
                </w:tcPr>
                <w:p w14:paraId="47DB9B97">
                  <w:pPr>
                    <w:pageBreakBefore w:val="0"/>
                    <w:kinsoku/>
                    <w:wordWrap/>
                    <w:topLinePunct w:val="0"/>
                    <w:autoSpaceDE w:val="0"/>
                    <w:autoSpaceDN w:val="0"/>
                    <w:bidi w:val="0"/>
                    <w:spacing w:line="280" w:lineRule="exact"/>
                    <w:jc w:val="center"/>
                    <w:rPr>
                      <w:b/>
                      <w:bCs/>
                      <w:kern w:val="0"/>
                      <w:szCs w:val="21"/>
                    </w:rPr>
                  </w:pPr>
                  <w:r>
                    <w:rPr>
                      <w:b/>
                      <w:bCs/>
                      <w:kern w:val="0"/>
                      <w:szCs w:val="21"/>
                    </w:rPr>
                    <w:t>标准名称</w:t>
                  </w:r>
                </w:p>
              </w:tc>
              <w:tc>
                <w:tcPr>
                  <w:tcW w:w="930" w:type="dxa"/>
                  <w:tcBorders>
                    <w:left w:val="single" w:color="auto" w:sz="4" w:space="0"/>
                  </w:tcBorders>
                  <w:noWrap w:val="0"/>
                  <w:vAlign w:val="center"/>
                </w:tcPr>
                <w:p w14:paraId="3C9C5077">
                  <w:pPr>
                    <w:pageBreakBefore w:val="0"/>
                    <w:kinsoku/>
                    <w:wordWrap/>
                    <w:topLinePunct w:val="0"/>
                    <w:autoSpaceDE w:val="0"/>
                    <w:autoSpaceDN w:val="0"/>
                    <w:bidi w:val="0"/>
                    <w:spacing w:line="280" w:lineRule="exact"/>
                    <w:jc w:val="center"/>
                    <w:rPr>
                      <w:rFonts w:hint="default" w:eastAsia="宋体"/>
                      <w:b/>
                      <w:bCs/>
                      <w:kern w:val="0"/>
                      <w:szCs w:val="21"/>
                      <w:lang w:val="en-US" w:eastAsia="zh-CN"/>
                    </w:rPr>
                  </w:pPr>
                  <w:r>
                    <w:rPr>
                      <w:rFonts w:hint="eastAsia"/>
                      <w:b/>
                      <w:bCs/>
                      <w:kern w:val="0"/>
                      <w:szCs w:val="21"/>
                      <w:lang w:val="en-US" w:eastAsia="zh-CN"/>
                    </w:rPr>
                    <w:t>工程期</w:t>
                  </w:r>
                </w:p>
              </w:tc>
            </w:tr>
            <w:tr w14:paraId="4AF6F1E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0" w:type="auto"/>
                  <w:noWrap w:val="0"/>
                  <w:vAlign w:val="center"/>
                </w:tcPr>
                <w:p w14:paraId="2630688B">
                  <w:pPr>
                    <w:pageBreakBefore w:val="0"/>
                    <w:kinsoku/>
                    <w:wordWrap/>
                    <w:topLinePunct w:val="0"/>
                    <w:autoSpaceDE w:val="0"/>
                    <w:autoSpaceDN w:val="0"/>
                    <w:bidi w:val="0"/>
                    <w:spacing w:line="280" w:lineRule="exact"/>
                    <w:jc w:val="center"/>
                    <w:rPr>
                      <w:kern w:val="0"/>
                      <w:szCs w:val="21"/>
                    </w:rPr>
                  </w:pPr>
                  <w:r>
                    <w:rPr>
                      <w:kern w:val="0"/>
                      <w:szCs w:val="21"/>
                    </w:rPr>
                    <w:t>颗粒物</w:t>
                  </w:r>
                </w:p>
              </w:tc>
              <w:tc>
                <w:tcPr>
                  <w:tcW w:w="0" w:type="auto"/>
                  <w:noWrap w:val="0"/>
                  <w:vAlign w:val="center"/>
                </w:tcPr>
                <w:p w14:paraId="7E0B4C95">
                  <w:pPr>
                    <w:pageBreakBefore w:val="0"/>
                    <w:kinsoku/>
                    <w:wordWrap/>
                    <w:topLinePunct w:val="0"/>
                    <w:autoSpaceDE w:val="0"/>
                    <w:autoSpaceDN w:val="0"/>
                    <w:bidi w:val="0"/>
                    <w:spacing w:line="280" w:lineRule="exact"/>
                    <w:jc w:val="center"/>
                    <w:rPr>
                      <w:kern w:val="0"/>
                      <w:szCs w:val="21"/>
                    </w:rPr>
                  </w:pPr>
                  <w:r>
                    <w:rPr>
                      <w:kern w:val="0"/>
                      <w:szCs w:val="21"/>
                    </w:rPr>
                    <w:t>1.0</w:t>
                  </w:r>
                </w:p>
              </w:tc>
              <w:tc>
                <w:tcPr>
                  <w:tcW w:w="4911" w:type="dxa"/>
                  <w:vMerge w:val="restart"/>
                  <w:tcBorders>
                    <w:right w:val="single" w:color="auto" w:sz="4" w:space="0"/>
                  </w:tcBorders>
                  <w:noWrap w:val="0"/>
                  <w:vAlign w:val="center"/>
                </w:tcPr>
                <w:p w14:paraId="2F2AC4BE">
                  <w:pPr>
                    <w:pageBreakBefore w:val="0"/>
                    <w:kinsoku/>
                    <w:wordWrap/>
                    <w:topLinePunct w:val="0"/>
                    <w:autoSpaceDE w:val="0"/>
                    <w:autoSpaceDN w:val="0"/>
                    <w:bidi w:val="0"/>
                    <w:spacing w:line="280" w:lineRule="exact"/>
                    <w:jc w:val="center"/>
                    <w:rPr>
                      <w:kern w:val="0"/>
                      <w:szCs w:val="21"/>
                    </w:rPr>
                  </w:pPr>
                  <w:r>
                    <w:rPr>
                      <w:kern w:val="0"/>
                      <w:szCs w:val="21"/>
                    </w:rPr>
                    <w:t>《大气污染物综合排放标准》</w:t>
                  </w:r>
                  <w:r>
                    <w:rPr>
                      <w:sz w:val="24"/>
                    </w:rPr>
                    <w:t>（</w:t>
                  </w:r>
                  <w:r>
                    <w:rPr>
                      <w:kern w:val="0"/>
                      <w:szCs w:val="21"/>
                    </w:rPr>
                    <w:t>GB 16297-1996）</w:t>
                  </w:r>
                </w:p>
                <w:p w14:paraId="50F97F9E">
                  <w:pPr>
                    <w:pageBreakBefore w:val="0"/>
                    <w:kinsoku/>
                    <w:wordWrap/>
                    <w:topLinePunct w:val="0"/>
                    <w:autoSpaceDE w:val="0"/>
                    <w:autoSpaceDN w:val="0"/>
                    <w:bidi w:val="0"/>
                    <w:spacing w:line="280" w:lineRule="exact"/>
                    <w:jc w:val="center"/>
                    <w:rPr>
                      <w:kern w:val="0"/>
                      <w:szCs w:val="21"/>
                    </w:rPr>
                  </w:pPr>
                  <w:r>
                    <w:rPr>
                      <w:kern w:val="0"/>
                      <w:szCs w:val="21"/>
                    </w:rPr>
                    <w:t>表2周界外浓度最高点浓度</w:t>
                  </w:r>
                </w:p>
              </w:tc>
              <w:tc>
                <w:tcPr>
                  <w:tcW w:w="930" w:type="dxa"/>
                  <w:tcBorders>
                    <w:left w:val="single" w:color="auto" w:sz="4" w:space="0"/>
                  </w:tcBorders>
                  <w:noWrap w:val="0"/>
                  <w:vAlign w:val="center"/>
                </w:tcPr>
                <w:p w14:paraId="27F67B80">
                  <w:pPr>
                    <w:pageBreakBefore w:val="0"/>
                    <w:kinsoku/>
                    <w:wordWrap/>
                    <w:topLinePunct w:val="0"/>
                    <w:autoSpaceDE w:val="0"/>
                    <w:autoSpaceDN w:val="0"/>
                    <w:bidi w:val="0"/>
                    <w:spacing w:line="280" w:lineRule="exact"/>
                    <w:jc w:val="center"/>
                    <w:rPr>
                      <w:rFonts w:hint="eastAsia" w:eastAsia="宋体"/>
                      <w:kern w:val="0"/>
                      <w:szCs w:val="21"/>
                      <w:lang w:val="en-US" w:eastAsia="zh-CN"/>
                    </w:rPr>
                  </w:pPr>
                  <w:r>
                    <w:rPr>
                      <w:rFonts w:hint="eastAsia"/>
                      <w:kern w:val="0"/>
                      <w:szCs w:val="21"/>
                      <w:lang w:val="en-US" w:eastAsia="zh-CN"/>
                    </w:rPr>
                    <w:t>施工期</w:t>
                  </w:r>
                </w:p>
              </w:tc>
            </w:tr>
            <w:tr w14:paraId="27DD22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0" w:type="auto"/>
                  <w:noWrap w:val="0"/>
                  <w:vAlign w:val="center"/>
                </w:tcPr>
                <w:p w14:paraId="495FA099">
                  <w:pPr>
                    <w:pageBreakBefore w:val="0"/>
                    <w:kinsoku/>
                    <w:wordWrap/>
                    <w:topLinePunct w:val="0"/>
                    <w:autoSpaceDE w:val="0"/>
                    <w:autoSpaceDN w:val="0"/>
                    <w:bidi w:val="0"/>
                    <w:spacing w:line="280" w:lineRule="exact"/>
                    <w:jc w:val="center"/>
                    <w:rPr>
                      <w:rFonts w:hint="default" w:eastAsia="宋体"/>
                      <w:kern w:val="0"/>
                      <w:szCs w:val="21"/>
                      <w:lang w:val="en-US" w:eastAsia="zh-CN"/>
                    </w:rPr>
                  </w:pPr>
                  <w:r>
                    <w:rPr>
                      <w:rFonts w:hint="eastAsia"/>
                      <w:kern w:val="0"/>
                      <w:szCs w:val="21"/>
                      <w:lang w:val="en-US" w:eastAsia="zh-CN"/>
                    </w:rPr>
                    <w:t>非甲烷总烃</w:t>
                  </w:r>
                </w:p>
              </w:tc>
              <w:tc>
                <w:tcPr>
                  <w:tcW w:w="0" w:type="auto"/>
                  <w:noWrap w:val="0"/>
                  <w:vAlign w:val="center"/>
                </w:tcPr>
                <w:p w14:paraId="4A67F440">
                  <w:pPr>
                    <w:pageBreakBefore w:val="0"/>
                    <w:kinsoku/>
                    <w:wordWrap/>
                    <w:topLinePunct w:val="0"/>
                    <w:autoSpaceDE w:val="0"/>
                    <w:autoSpaceDN w:val="0"/>
                    <w:bidi w:val="0"/>
                    <w:spacing w:line="280" w:lineRule="exact"/>
                    <w:jc w:val="center"/>
                    <w:rPr>
                      <w:rFonts w:hint="default" w:eastAsia="宋体"/>
                      <w:kern w:val="0"/>
                      <w:szCs w:val="21"/>
                      <w:lang w:val="en-US" w:eastAsia="zh-CN"/>
                    </w:rPr>
                  </w:pPr>
                  <w:r>
                    <w:rPr>
                      <w:rFonts w:hint="eastAsia"/>
                      <w:kern w:val="0"/>
                      <w:szCs w:val="21"/>
                      <w:lang w:val="en-US" w:eastAsia="zh-CN"/>
                    </w:rPr>
                    <w:t>4.0</w:t>
                  </w:r>
                </w:p>
              </w:tc>
              <w:tc>
                <w:tcPr>
                  <w:tcW w:w="4911" w:type="dxa"/>
                  <w:vMerge w:val="continue"/>
                  <w:tcBorders>
                    <w:right w:val="single" w:color="auto" w:sz="4" w:space="0"/>
                  </w:tcBorders>
                  <w:noWrap w:val="0"/>
                  <w:vAlign w:val="center"/>
                </w:tcPr>
                <w:p w14:paraId="183167E9">
                  <w:pPr>
                    <w:pageBreakBefore w:val="0"/>
                    <w:kinsoku/>
                    <w:wordWrap/>
                    <w:topLinePunct w:val="0"/>
                    <w:autoSpaceDE w:val="0"/>
                    <w:autoSpaceDN w:val="0"/>
                    <w:bidi w:val="0"/>
                    <w:spacing w:line="280" w:lineRule="exact"/>
                    <w:jc w:val="center"/>
                    <w:rPr>
                      <w:kern w:val="0"/>
                      <w:szCs w:val="21"/>
                    </w:rPr>
                  </w:pPr>
                </w:p>
              </w:tc>
              <w:tc>
                <w:tcPr>
                  <w:tcW w:w="930" w:type="dxa"/>
                  <w:tcBorders>
                    <w:left w:val="single" w:color="auto" w:sz="4" w:space="0"/>
                  </w:tcBorders>
                  <w:noWrap w:val="0"/>
                  <w:vAlign w:val="center"/>
                </w:tcPr>
                <w:p w14:paraId="4298AE94">
                  <w:pPr>
                    <w:pageBreakBefore w:val="0"/>
                    <w:kinsoku/>
                    <w:wordWrap/>
                    <w:topLinePunct w:val="0"/>
                    <w:autoSpaceDE w:val="0"/>
                    <w:autoSpaceDN w:val="0"/>
                    <w:bidi w:val="0"/>
                    <w:spacing w:line="280" w:lineRule="exact"/>
                    <w:jc w:val="center"/>
                    <w:rPr>
                      <w:rFonts w:hint="eastAsia" w:eastAsia="宋体"/>
                      <w:kern w:val="0"/>
                      <w:szCs w:val="21"/>
                      <w:lang w:val="en-US" w:eastAsia="zh-CN"/>
                    </w:rPr>
                  </w:pPr>
                  <w:r>
                    <w:rPr>
                      <w:rFonts w:hint="eastAsia"/>
                      <w:kern w:val="0"/>
                      <w:szCs w:val="21"/>
                      <w:lang w:val="en-US" w:eastAsia="zh-CN"/>
                    </w:rPr>
                    <w:t>运营期</w:t>
                  </w:r>
                </w:p>
              </w:tc>
            </w:tr>
          </w:tbl>
          <w:p w14:paraId="105F9A6B">
            <w:pPr>
              <w:pageBreakBefore w:val="0"/>
              <w:kinsoku/>
              <w:wordWrap/>
              <w:topLinePunct w:val="0"/>
              <w:autoSpaceDE w:val="0"/>
              <w:autoSpaceDN w:val="0"/>
              <w:bidi w:val="0"/>
              <w:spacing w:line="360" w:lineRule="auto"/>
              <w:ind w:firstLine="482" w:firstLineChars="200"/>
              <w:rPr>
                <w:kern w:val="0"/>
                <w:sz w:val="24"/>
              </w:rPr>
            </w:pPr>
            <w:r>
              <w:rPr>
                <w:b/>
                <w:bCs/>
                <w:kern w:val="0"/>
                <w:sz w:val="24"/>
              </w:rPr>
              <w:t>2 废水排放标准</w:t>
            </w:r>
          </w:p>
          <w:p w14:paraId="1D404A44">
            <w:pPr>
              <w:pageBreakBefore w:val="0"/>
              <w:kinsoku/>
              <w:wordWrap/>
              <w:topLinePunct w:val="0"/>
              <w:autoSpaceDE w:val="0"/>
              <w:autoSpaceDN w:val="0"/>
              <w:bidi w:val="0"/>
              <w:spacing w:line="360" w:lineRule="auto"/>
              <w:ind w:firstLine="480" w:firstLineChars="200"/>
              <w:rPr>
                <w:kern w:val="0"/>
                <w:sz w:val="24"/>
              </w:rPr>
            </w:pPr>
            <w:r>
              <w:rPr>
                <w:rFonts w:hint="eastAsia"/>
                <w:kern w:val="0"/>
                <w:sz w:val="24"/>
              </w:rPr>
              <w:t>本</w:t>
            </w:r>
            <w:r>
              <w:rPr>
                <w:kern w:val="0"/>
                <w:sz w:val="24"/>
              </w:rPr>
              <w:t>项目运营期产生的</w:t>
            </w:r>
            <w:r>
              <w:rPr>
                <w:rFonts w:hint="eastAsia"/>
                <w:kern w:val="0"/>
                <w:sz w:val="24"/>
              </w:rPr>
              <w:t>生活污水依托</w:t>
            </w:r>
            <w:r>
              <w:rPr>
                <w:rFonts w:hint="eastAsia"/>
                <w:bCs/>
                <w:sz w:val="24"/>
              </w:rPr>
              <w:t>新疆圣雄电石有限公司生活污水处理站</w:t>
            </w:r>
            <w:r>
              <w:rPr>
                <w:kern w:val="0"/>
                <w:sz w:val="24"/>
              </w:rPr>
              <w:t>进行处理，执行《污水综合排放标准》（GB 8978-1996）表4的三级排放标准，详见</w:t>
            </w:r>
            <w:r>
              <w:rPr>
                <w:rFonts w:hint="eastAsia"/>
                <w:kern w:val="0"/>
                <w:sz w:val="24"/>
                <w:lang w:val="en-US" w:eastAsia="zh-CN"/>
              </w:rPr>
              <w:t>下</w:t>
            </w:r>
            <w:r>
              <w:rPr>
                <w:kern w:val="0"/>
                <w:sz w:val="24"/>
              </w:rPr>
              <w:t>表。</w:t>
            </w:r>
          </w:p>
          <w:p w14:paraId="6EA1F89F">
            <w:pPr>
              <w:pageBreakBefore w:val="0"/>
              <w:kinsoku/>
              <w:wordWrap/>
              <w:topLinePunct w:val="0"/>
              <w:autoSpaceDE w:val="0"/>
              <w:autoSpaceDN w:val="0"/>
              <w:bidi w:val="0"/>
              <w:spacing w:line="360" w:lineRule="auto"/>
              <w:jc w:val="center"/>
              <w:rPr>
                <w:rFonts w:eastAsia="黑体"/>
                <w:kern w:val="0"/>
                <w:sz w:val="24"/>
              </w:rPr>
            </w:pPr>
            <w:r>
              <w:rPr>
                <w:rFonts w:eastAsia="黑体"/>
                <w:bCs/>
                <w:szCs w:val="21"/>
              </w:rPr>
              <w:t>表3-</w:t>
            </w:r>
            <w:r>
              <w:rPr>
                <w:rFonts w:hint="eastAsia" w:eastAsia="黑体"/>
                <w:bCs/>
                <w:szCs w:val="21"/>
              </w:rPr>
              <w:t>1</w:t>
            </w:r>
            <w:r>
              <w:rPr>
                <w:rFonts w:hint="eastAsia" w:eastAsia="黑体"/>
                <w:bCs/>
                <w:szCs w:val="21"/>
                <w:lang w:val="en-US" w:eastAsia="zh-CN"/>
              </w:rPr>
              <w:t>2</w:t>
            </w:r>
            <w:r>
              <w:rPr>
                <w:rFonts w:eastAsia="黑体"/>
                <w:bCs/>
                <w:szCs w:val="21"/>
              </w:rPr>
              <w:t xml:space="preserve">  废水排放标准一览表  单位：</w:t>
            </w:r>
            <w:r>
              <w:rPr>
                <w:kern w:val="0"/>
                <w:szCs w:val="21"/>
              </w:rPr>
              <w:t>mg/L</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2083"/>
              <w:gridCol w:w="2358"/>
              <w:gridCol w:w="3949"/>
            </w:tblGrid>
            <w:tr w14:paraId="38199F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83" w:type="dxa"/>
                  <w:noWrap w:val="0"/>
                  <w:tcMar>
                    <w:top w:w="28" w:type="dxa"/>
                    <w:left w:w="28" w:type="dxa"/>
                    <w:bottom w:w="28" w:type="dxa"/>
                    <w:right w:w="28" w:type="dxa"/>
                  </w:tcMar>
                  <w:vAlign w:val="center"/>
                </w:tcPr>
                <w:p w14:paraId="3DA2E8EC">
                  <w:pPr>
                    <w:pageBreakBefore w:val="0"/>
                    <w:kinsoku/>
                    <w:wordWrap/>
                    <w:topLinePunct w:val="0"/>
                    <w:autoSpaceDE w:val="0"/>
                    <w:autoSpaceDN w:val="0"/>
                    <w:bidi w:val="0"/>
                    <w:spacing w:line="280" w:lineRule="atLeast"/>
                    <w:jc w:val="center"/>
                    <w:rPr>
                      <w:b/>
                      <w:bCs/>
                      <w:kern w:val="0"/>
                      <w:szCs w:val="21"/>
                    </w:rPr>
                  </w:pPr>
                  <w:r>
                    <w:rPr>
                      <w:b/>
                      <w:bCs/>
                      <w:kern w:val="0"/>
                      <w:szCs w:val="21"/>
                    </w:rPr>
                    <w:t>污染因子</w:t>
                  </w:r>
                </w:p>
              </w:tc>
              <w:tc>
                <w:tcPr>
                  <w:tcW w:w="2358" w:type="dxa"/>
                  <w:noWrap w:val="0"/>
                  <w:tcMar>
                    <w:top w:w="28" w:type="dxa"/>
                    <w:left w:w="28" w:type="dxa"/>
                    <w:bottom w:w="28" w:type="dxa"/>
                    <w:right w:w="28" w:type="dxa"/>
                  </w:tcMar>
                  <w:vAlign w:val="center"/>
                </w:tcPr>
                <w:p w14:paraId="5E92BD28">
                  <w:pPr>
                    <w:pageBreakBefore w:val="0"/>
                    <w:kinsoku/>
                    <w:wordWrap/>
                    <w:topLinePunct w:val="0"/>
                    <w:autoSpaceDE w:val="0"/>
                    <w:autoSpaceDN w:val="0"/>
                    <w:bidi w:val="0"/>
                    <w:spacing w:line="280" w:lineRule="atLeast"/>
                    <w:jc w:val="center"/>
                    <w:rPr>
                      <w:b/>
                      <w:bCs/>
                      <w:kern w:val="0"/>
                      <w:szCs w:val="21"/>
                    </w:rPr>
                  </w:pPr>
                  <w:r>
                    <w:rPr>
                      <w:b/>
                      <w:bCs/>
                      <w:kern w:val="0"/>
                      <w:szCs w:val="21"/>
                    </w:rPr>
                    <w:t>排放限值</w:t>
                  </w:r>
                </w:p>
              </w:tc>
              <w:tc>
                <w:tcPr>
                  <w:tcW w:w="3949" w:type="dxa"/>
                  <w:noWrap w:val="0"/>
                  <w:tcMar>
                    <w:top w:w="28" w:type="dxa"/>
                    <w:left w:w="28" w:type="dxa"/>
                    <w:bottom w:w="28" w:type="dxa"/>
                    <w:right w:w="28" w:type="dxa"/>
                  </w:tcMar>
                  <w:vAlign w:val="center"/>
                </w:tcPr>
                <w:p w14:paraId="5D2C0823">
                  <w:pPr>
                    <w:pageBreakBefore w:val="0"/>
                    <w:kinsoku/>
                    <w:wordWrap/>
                    <w:topLinePunct w:val="0"/>
                    <w:autoSpaceDE w:val="0"/>
                    <w:autoSpaceDN w:val="0"/>
                    <w:bidi w:val="0"/>
                    <w:spacing w:line="280" w:lineRule="atLeast"/>
                    <w:jc w:val="center"/>
                    <w:rPr>
                      <w:b/>
                      <w:bCs/>
                      <w:kern w:val="0"/>
                      <w:szCs w:val="21"/>
                    </w:rPr>
                  </w:pPr>
                  <w:r>
                    <w:rPr>
                      <w:b/>
                      <w:bCs/>
                      <w:kern w:val="0"/>
                      <w:szCs w:val="21"/>
                    </w:rPr>
                    <w:t>标准名称</w:t>
                  </w:r>
                </w:p>
              </w:tc>
            </w:tr>
            <w:tr w14:paraId="22B7A8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83" w:type="dxa"/>
                  <w:noWrap w:val="0"/>
                  <w:tcMar>
                    <w:top w:w="28" w:type="dxa"/>
                    <w:left w:w="28" w:type="dxa"/>
                    <w:bottom w:w="28" w:type="dxa"/>
                    <w:right w:w="28" w:type="dxa"/>
                  </w:tcMar>
                  <w:vAlign w:val="center"/>
                </w:tcPr>
                <w:p w14:paraId="510C5C48">
                  <w:pPr>
                    <w:pageBreakBefore w:val="0"/>
                    <w:kinsoku/>
                    <w:wordWrap/>
                    <w:topLinePunct w:val="0"/>
                    <w:autoSpaceDE w:val="0"/>
                    <w:autoSpaceDN w:val="0"/>
                    <w:bidi w:val="0"/>
                    <w:spacing w:line="280" w:lineRule="atLeast"/>
                    <w:jc w:val="center"/>
                    <w:rPr>
                      <w:kern w:val="0"/>
                      <w:szCs w:val="21"/>
                    </w:rPr>
                  </w:pPr>
                  <w:r>
                    <w:rPr>
                      <w:kern w:val="0"/>
                      <w:szCs w:val="21"/>
                    </w:rPr>
                    <w:t>悬浮物</w:t>
                  </w:r>
                </w:p>
              </w:tc>
              <w:tc>
                <w:tcPr>
                  <w:tcW w:w="2358" w:type="dxa"/>
                  <w:noWrap w:val="0"/>
                  <w:tcMar>
                    <w:top w:w="28" w:type="dxa"/>
                    <w:left w:w="28" w:type="dxa"/>
                    <w:bottom w:w="28" w:type="dxa"/>
                    <w:right w:w="28" w:type="dxa"/>
                  </w:tcMar>
                  <w:vAlign w:val="center"/>
                </w:tcPr>
                <w:p w14:paraId="4176C5BA">
                  <w:pPr>
                    <w:pageBreakBefore w:val="0"/>
                    <w:kinsoku/>
                    <w:wordWrap/>
                    <w:topLinePunct w:val="0"/>
                    <w:autoSpaceDE w:val="0"/>
                    <w:autoSpaceDN w:val="0"/>
                    <w:bidi w:val="0"/>
                    <w:spacing w:line="280" w:lineRule="atLeast"/>
                    <w:jc w:val="center"/>
                    <w:rPr>
                      <w:kern w:val="0"/>
                      <w:szCs w:val="21"/>
                    </w:rPr>
                  </w:pPr>
                  <w:r>
                    <w:rPr>
                      <w:kern w:val="0"/>
                      <w:szCs w:val="21"/>
                    </w:rPr>
                    <w:t>400</w:t>
                  </w:r>
                </w:p>
              </w:tc>
              <w:tc>
                <w:tcPr>
                  <w:tcW w:w="3949" w:type="dxa"/>
                  <w:vMerge w:val="restart"/>
                  <w:noWrap w:val="0"/>
                  <w:tcMar>
                    <w:top w:w="28" w:type="dxa"/>
                    <w:left w:w="28" w:type="dxa"/>
                    <w:bottom w:w="28" w:type="dxa"/>
                    <w:right w:w="28" w:type="dxa"/>
                  </w:tcMar>
                  <w:vAlign w:val="center"/>
                </w:tcPr>
                <w:p w14:paraId="7902B386">
                  <w:pPr>
                    <w:pageBreakBefore w:val="0"/>
                    <w:kinsoku/>
                    <w:wordWrap/>
                    <w:topLinePunct w:val="0"/>
                    <w:autoSpaceDE w:val="0"/>
                    <w:autoSpaceDN w:val="0"/>
                    <w:bidi w:val="0"/>
                    <w:spacing w:line="280" w:lineRule="atLeast"/>
                    <w:jc w:val="center"/>
                    <w:rPr>
                      <w:kern w:val="0"/>
                      <w:szCs w:val="21"/>
                    </w:rPr>
                  </w:pPr>
                  <w:r>
                    <w:rPr>
                      <w:kern w:val="0"/>
                      <w:szCs w:val="21"/>
                    </w:rPr>
                    <w:t>《污水综合排放标准》（GB 8978-1996）</w:t>
                  </w:r>
                </w:p>
                <w:p w14:paraId="1366788F">
                  <w:pPr>
                    <w:pageBreakBefore w:val="0"/>
                    <w:kinsoku/>
                    <w:wordWrap/>
                    <w:topLinePunct w:val="0"/>
                    <w:autoSpaceDE w:val="0"/>
                    <w:autoSpaceDN w:val="0"/>
                    <w:bidi w:val="0"/>
                    <w:spacing w:line="280" w:lineRule="atLeast"/>
                    <w:jc w:val="center"/>
                    <w:rPr>
                      <w:kern w:val="0"/>
                      <w:szCs w:val="21"/>
                    </w:rPr>
                  </w:pPr>
                  <w:r>
                    <w:rPr>
                      <w:kern w:val="0"/>
                      <w:szCs w:val="21"/>
                    </w:rPr>
                    <w:t>表4三级排放标准</w:t>
                  </w:r>
                </w:p>
              </w:tc>
            </w:tr>
            <w:tr w14:paraId="0DAAD2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83" w:type="dxa"/>
                  <w:noWrap w:val="0"/>
                  <w:tcMar>
                    <w:top w:w="28" w:type="dxa"/>
                    <w:left w:w="28" w:type="dxa"/>
                    <w:bottom w:w="28" w:type="dxa"/>
                    <w:right w:w="28" w:type="dxa"/>
                  </w:tcMar>
                  <w:vAlign w:val="center"/>
                </w:tcPr>
                <w:p w14:paraId="0A23C57E">
                  <w:pPr>
                    <w:pageBreakBefore w:val="0"/>
                    <w:kinsoku/>
                    <w:wordWrap/>
                    <w:topLinePunct w:val="0"/>
                    <w:autoSpaceDE w:val="0"/>
                    <w:autoSpaceDN w:val="0"/>
                    <w:bidi w:val="0"/>
                    <w:spacing w:line="280" w:lineRule="atLeast"/>
                    <w:jc w:val="center"/>
                    <w:rPr>
                      <w:kern w:val="0"/>
                      <w:szCs w:val="21"/>
                    </w:rPr>
                  </w:pPr>
                  <w:r>
                    <w:rPr>
                      <w:kern w:val="0"/>
                      <w:szCs w:val="21"/>
                    </w:rPr>
                    <w:t>五日生化需氧量</w:t>
                  </w:r>
                </w:p>
              </w:tc>
              <w:tc>
                <w:tcPr>
                  <w:tcW w:w="2358" w:type="dxa"/>
                  <w:noWrap w:val="0"/>
                  <w:tcMar>
                    <w:top w:w="28" w:type="dxa"/>
                    <w:left w:w="28" w:type="dxa"/>
                    <w:bottom w:w="28" w:type="dxa"/>
                    <w:right w:w="28" w:type="dxa"/>
                  </w:tcMar>
                  <w:vAlign w:val="center"/>
                </w:tcPr>
                <w:p w14:paraId="2FF8C050">
                  <w:pPr>
                    <w:pageBreakBefore w:val="0"/>
                    <w:kinsoku/>
                    <w:wordWrap/>
                    <w:topLinePunct w:val="0"/>
                    <w:autoSpaceDE w:val="0"/>
                    <w:autoSpaceDN w:val="0"/>
                    <w:bidi w:val="0"/>
                    <w:spacing w:line="280" w:lineRule="atLeast"/>
                    <w:jc w:val="center"/>
                    <w:rPr>
                      <w:kern w:val="0"/>
                      <w:szCs w:val="21"/>
                    </w:rPr>
                  </w:pPr>
                  <w:r>
                    <w:rPr>
                      <w:kern w:val="0"/>
                      <w:szCs w:val="21"/>
                    </w:rPr>
                    <w:t>300</w:t>
                  </w:r>
                </w:p>
              </w:tc>
              <w:tc>
                <w:tcPr>
                  <w:tcW w:w="3949" w:type="dxa"/>
                  <w:vMerge w:val="continue"/>
                  <w:noWrap w:val="0"/>
                  <w:tcMar>
                    <w:top w:w="28" w:type="dxa"/>
                    <w:left w:w="28" w:type="dxa"/>
                    <w:bottom w:w="28" w:type="dxa"/>
                    <w:right w:w="28" w:type="dxa"/>
                  </w:tcMar>
                  <w:vAlign w:val="center"/>
                </w:tcPr>
                <w:p w14:paraId="37978B3B">
                  <w:pPr>
                    <w:pageBreakBefore w:val="0"/>
                    <w:kinsoku/>
                    <w:wordWrap/>
                    <w:topLinePunct w:val="0"/>
                    <w:autoSpaceDE w:val="0"/>
                    <w:autoSpaceDN w:val="0"/>
                    <w:bidi w:val="0"/>
                    <w:spacing w:line="280" w:lineRule="atLeast"/>
                    <w:jc w:val="center"/>
                    <w:rPr>
                      <w:kern w:val="0"/>
                      <w:szCs w:val="21"/>
                    </w:rPr>
                  </w:pPr>
                </w:p>
              </w:tc>
            </w:tr>
            <w:tr w14:paraId="1C360B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83" w:type="dxa"/>
                  <w:noWrap w:val="0"/>
                  <w:tcMar>
                    <w:top w:w="28" w:type="dxa"/>
                    <w:left w:w="28" w:type="dxa"/>
                    <w:bottom w:w="28" w:type="dxa"/>
                    <w:right w:w="28" w:type="dxa"/>
                  </w:tcMar>
                  <w:vAlign w:val="center"/>
                </w:tcPr>
                <w:p w14:paraId="53711B5D">
                  <w:pPr>
                    <w:pageBreakBefore w:val="0"/>
                    <w:kinsoku/>
                    <w:wordWrap/>
                    <w:topLinePunct w:val="0"/>
                    <w:autoSpaceDE w:val="0"/>
                    <w:autoSpaceDN w:val="0"/>
                    <w:bidi w:val="0"/>
                    <w:spacing w:line="280" w:lineRule="atLeast"/>
                    <w:jc w:val="center"/>
                    <w:rPr>
                      <w:kern w:val="0"/>
                      <w:szCs w:val="21"/>
                    </w:rPr>
                  </w:pPr>
                  <w:r>
                    <w:rPr>
                      <w:kern w:val="0"/>
                      <w:szCs w:val="21"/>
                    </w:rPr>
                    <w:t>化学需氧量</w:t>
                  </w:r>
                </w:p>
              </w:tc>
              <w:tc>
                <w:tcPr>
                  <w:tcW w:w="2358" w:type="dxa"/>
                  <w:noWrap w:val="0"/>
                  <w:tcMar>
                    <w:top w:w="28" w:type="dxa"/>
                    <w:left w:w="28" w:type="dxa"/>
                    <w:bottom w:w="28" w:type="dxa"/>
                    <w:right w:w="28" w:type="dxa"/>
                  </w:tcMar>
                  <w:vAlign w:val="center"/>
                </w:tcPr>
                <w:p w14:paraId="7CC59714">
                  <w:pPr>
                    <w:pageBreakBefore w:val="0"/>
                    <w:kinsoku/>
                    <w:wordWrap/>
                    <w:topLinePunct w:val="0"/>
                    <w:autoSpaceDE w:val="0"/>
                    <w:autoSpaceDN w:val="0"/>
                    <w:bidi w:val="0"/>
                    <w:spacing w:line="280" w:lineRule="atLeast"/>
                    <w:jc w:val="center"/>
                    <w:rPr>
                      <w:kern w:val="0"/>
                      <w:szCs w:val="21"/>
                    </w:rPr>
                  </w:pPr>
                  <w:r>
                    <w:rPr>
                      <w:kern w:val="0"/>
                      <w:szCs w:val="21"/>
                    </w:rPr>
                    <w:t>500</w:t>
                  </w:r>
                </w:p>
              </w:tc>
              <w:tc>
                <w:tcPr>
                  <w:tcW w:w="3949" w:type="dxa"/>
                  <w:vMerge w:val="continue"/>
                  <w:noWrap w:val="0"/>
                  <w:tcMar>
                    <w:top w:w="28" w:type="dxa"/>
                    <w:left w:w="28" w:type="dxa"/>
                    <w:bottom w:w="28" w:type="dxa"/>
                    <w:right w:w="28" w:type="dxa"/>
                  </w:tcMar>
                  <w:vAlign w:val="center"/>
                </w:tcPr>
                <w:p w14:paraId="10F4137E">
                  <w:pPr>
                    <w:pageBreakBefore w:val="0"/>
                    <w:kinsoku/>
                    <w:wordWrap/>
                    <w:topLinePunct w:val="0"/>
                    <w:autoSpaceDE w:val="0"/>
                    <w:autoSpaceDN w:val="0"/>
                    <w:bidi w:val="0"/>
                    <w:spacing w:line="280" w:lineRule="atLeast"/>
                    <w:jc w:val="center"/>
                    <w:rPr>
                      <w:kern w:val="0"/>
                      <w:szCs w:val="21"/>
                    </w:rPr>
                  </w:pPr>
                </w:p>
              </w:tc>
            </w:tr>
            <w:tr w14:paraId="1F19DA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83" w:type="dxa"/>
                  <w:noWrap w:val="0"/>
                  <w:tcMar>
                    <w:top w:w="28" w:type="dxa"/>
                    <w:left w:w="28" w:type="dxa"/>
                    <w:bottom w:w="28" w:type="dxa"/>
                    <w:right w:w="28" w:type="dxa"/>
                  </w:tcMar>
                  <w:vAlign w:val="center"/>
                </w:tcPr>
                <w:p w14:paraId="01BE115E">
                  <w:pPr>
                    <w:pageBreakBefore w:val="0"/>
                    <w:kinsoku/>
                    <w:wordWrap/>
                    <w:topLinePunct w:val="0"/>
                    <w:autoSpaceDE w:val="0"/>
                    <w:autoSpaceDN w:val="0"/>
                    <w:bidi w:val="0"/>
                    <w:spacing w:line="280" w:lineRule="atLeast"/>
                    <w:jc w:val="center"/>
                    <w:rPr>
                      <w:kern w:val="0"/>
                      <w:szCs w:val="21"/>
                    </w:rPr>
                  </w:pPr>
                  <w:r>
                    <w:rPr>
                      <w:kern w:val="0"/>
                      <w:szCs w:val="21"/>
                    </w:rPr>
                    <w:t>氨氮</w:t>
                  </w:r>
                </w:p>
              </w:tc>
              <w:tc>
                <w:tcPr>
                  <w:tcW w:w="2358" w:type="dxa"/>
                  <w:noWrap w:val="0"/>
                  <w:tcMar>
                    <w:top w:w="28" w:type="dxa"/>
                    <w:left w:w="28" w:type="dxa"/>
                    <w:bottom w:w="28" w:type="dxa"/>
                    <w:right w:w="28" w:type="dxa"/>
                  </w:tcMar>
                  <w:vAlign w:val="center"/>
                </w:tcPr>
                <w:p w14:paraId="697ADB2A">
                  <w:pPr>
                    <w:pageBreakBefore w:val="0"/>
                    <w:kinsoku/>
                    <w:wordWrap/>
                    <w:topLinePunct w:val="0"/>
                    <w:autoSpaceDE w:val="0"/>
                    <w:autoSpaceDN w:val="0"/>
                    <w:bidi w:val="0"/>
                    <w:spacing w:line="280" w:lineRule="atLeast"/>
                    <w:jc w:val="center"/>
                    <w:rPr>
                      <w:kern w:val="0"/>
                      <w:szCs w:val="21"/>
                    </w:rPr>
                  </w:pPr>
                  <w:r>
                    <w:rPr>
                      <w:kern w:val="0"/>
                      <w:szCs w:val="21"/>
                    </w:rPr>
                    <w:t>-</w:t>
                  </w:r>
                </w:p>
              </w:tc>
              <w:tc>
                <w:tcPr>
                  <w:tcW w:w="3949" w:type="dxa"/>
                  <w:vMerge w:val="continue"/>
                  <w:noWrap w:val="0"/>
                  <w:tcMar>
                    <w:top w:w="28" w:type="dxa"/>
                    <w:left w:w="28" w:type="dxa"/>
                    <w:bottom w:w="28" w:type="dxa"/>
                    <w:right w:w="28" w:type="dxa"/>
                  </w:tcMar>
                  <w:vAlign w:val="center"/>
                </w:tcPr>
                <w:p w14:paraId="4156C441">
                  <w:pPr>
                    <w:pageBreakBefore w:val="0"/>
                    <w:kinsoku/>
                    <w:wordWrap/>
                    <w:topLinePunct w:val="0"/>
                    <w:autoSpaceDE w:val="0"/>
                    <w:autoSpaceDN w:val="0"/>
                    <w:bidi w:val="0"/>
                    <w:spacing w:line="280" w:lineRule="atLeast"/>
                    <w:jc w:val="center"/>
                    <w:rPr>
                      <w:kern w:val="0"/>
                      <w:szCs w:val="21"/>
                    </w:rPr>
                  </w:pPr>
                </w:p>
              </w:tc>
            </w:tr>
            <w:tr w14:paraId="1FD350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83" w:type="dxa"/>
                  <w:noWrap w:val="0"/>
                  <w:tcMar>
                    <w:top w:w="28" w:type="dxa"/>
                    <w:left w:w="28" w:type="dxa"/>
                    <w:bottom w:w="28" w:type="dxa"/>
                    <w:right w:w="28" w:type="dxa"/>
                  </w:tcMar>
                  <w:vAlign w:val="center"/>
                </w:tcPr>
                <w:p w14:paraId="424DF0C1">
                  <w:pPr>
                    <w:pageBreakBefore w:val="0"/>
                    <w:kinsoku/>
                    <w:wordWrap/>
                    <w:topLinePunct w:val="0"/>
                    <w:autoSpaceDE w:val="0"/>
                    <w:autoSpaceDN w:val="0"/>
                    <w:bidi w:val="0"/>
                    <w:spacing w:line="280" w:lineRule="atLeast"/>
                    <w:jc w:val="center"/>
                    <w:rPr>
                      <w:kern w:val="0"/>
                      <w:szCs w:val="21"/>
                    </w:rPr>
                  </w:pPr>
                  <w:r>
                    <w:rPr>
                      <w:kern w:val="0"/>
                      <w:szCs w:val="21"/>
                    </w:rPr>
                    <w:t>总磷</w:t>
                  </w:r>
                </w:p>
              </w:tc>
              <w:tc>
                <w:tcPr>
                  <w:tcW w:w="2358" w:type="dxa"/>
                  <w:noWrap w:val="0"/>
                  <w:tcMar>
                    <w:top w:w="28" w:type="dxa"/>
                    <w:left w:w="28" w:type="dxa"/>
                    <w:bottom w:w="28" w:type="dxa"/>
                    <w:right w:w="28" w:type="dxa"/>
                  </w:tcMar>
                  <w:vAlign w:val="center"/>
                </w:tcPr>
                <w:p w14:paraId="6C447AD9">
                  <w:pPr>
                    <w:pageBreakBefore w:val="0"/>
                    <w:kinsoku/>
                    <w:wordWrap/>
                    <w:topLinePunct w:val="0"/>
                    <w:autoSpaceDE w:val="0"/>
                    <w:autoSpaceDN w:val="0"/>
                    <w:bidi w:val="0"/>
                    <w:spacing w:line="280" w:lineRule="atLeast"/>
                    <w:jc w:val="center"/>
                    <w:rPr>
                      <w:kern w:val="0"/>
                      <w:szCs w:val="21"/>
                    </w:rPr>
                  </w:pPr>
                  <w:r>
                    <w:rPr>
                      <w:kern w:val="0"/>
                      <w:szCs w:val="21"/>
                    </w:rPr>
                    <w:t>-</w:t>
                  </w:r>
                </w:p>
              </w:tc>
              <w:tc>
                <w:tcPr>
                  <w:tcW w:w="3949" w:type="dxa"/>
                  <w:vMerge w:val="continue"/>
                  <w:noWrap w:val="0"/>
                  <w:tcMar>
                    <w:top w:w="28" w:type="dxa"/>
                    <w:left w:w="28" w:type="dxa"/>
                    <w:bottom w:w="28" w:type="dxa"/>
                    <w:right w:w="28" w:type="dxa"/>
                  </w:tcMar>
                  <w:vAlign w:val="center"/>
                </w:tcPr>
                <w:p w14:paraId="7C08382B">
                  <w:pPr>
                    <w:pageBreakBefore w:val="0"/>
                    <w:kinsoku/>
                    <w:wordWrap/>
                    <w:topLinePunct w:val="0"/>
                    <w:autoSpaceDE w:val="0"/>
                    <w:autoSpaceDN w:val="0"/>
                    <w:bidi w:val="0"/>
                    <w:spacing w:line="280" w:lineRule="atLeast"/>
                    <w:jc w:val="center"/>
                    <w:rPr>
                      <w:kern w:val="0"/>
                      <w:szCs w:val="21"/>
                    </w:rPr>
                  </w:pPr>
                </w:p>
              </w:tc>
            </w:tr>
            <w:tr w14:paraId="1E4ABA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83" w:type="dxa"/>
                  <w:noWrap w:val="0"/>
                  <w:tcMar>
                    <w:top w:w="28" w:type="dxa"/>
                    <w:left w:w="28" w:type="dxa"/>
                    <w:bottom w:w="28" w:type="dxa"/>
                    <w:right w:w="28" w:type="dxa"/>
                  </w:tcMar>
                  <w:vAlign w:val="center"/>
                </w:tcPr>
                <w:p w14:paraId="65C47A3A">
                  <w:pPr>
                    <w:pageBreakBefore w:val="0"/>
                    <w:kinsoku/>
                    <w:wordWrap/>
                    <w:topLinePunct w:val="0"/>
                    <w:autoSpaceDE w:val="0"/>
                    <w:autoSpaceDN w:val="0"/>
                    <w:bidi w:val="0"/>
                    <w:spacing w:line="280" w:lineRule="atLeast"/>
                    <w:jc w:val="center"/>
                    <w:rPr>
                      <w:kern w:val="0"/>
                      <w:szCs w:val="21"/>
                    </w:rPr>
                  </w:pPr>
                  <w:r>
                    <w:rPr>
                      <w:kern w:val="0"/>
                      <w:szCs w:val="21"/>
                    </w:rPr>
                    <w:t>石油类</w:t>
                  </w:r>
                </w:p>
              </w:tc>
              <w:tc>
                <w:tcPr>
                  <w:tcW w:w="2358" w:type="dxa"/>
                  <w:noWrap w:val="0"/>
                  <w:tcMar>
                    <w:top w:w="28" w:type="dxa"/>
                    <w:left w:w="28" w:type="dxa"/>
                    <w:bottom w:w="28" w:type="dxa"/>
                    <w:right w:w="28" w:type="dxa"/>
                  </w:tcMar>
                  <w:vAlign w:val="center"/>
                </w:tcPr>
                <w:p w14:paraId="4F47A530">
                  <w:pPr>
                    <w:pageBreakBefore w:val="0"/>
                    <w:kinsoku/>
                    <w:wordWrap/>
                    <w:topLinePunct w:val="0"/>
                    <w:autoSpaceDE w:val="0"/>
                    <w:autoSpaceDN w:val="0"/>
                    <w:bidi w:val="0"/>
                    <w:spacing w:line="280" w:lineRule="atLeast"/>
                    <w:jc w:val="center"/>
                    <w:rPr>
                      <w:kern w:val="0"/>
                      <w:szCs w:val="21"/>
                    </w:rPr>
                  </w:pPr>
                  <w:r>
                    <w:rPr>
                      <w:kern w:val="0"/>
                      <w:szCs w:val="21"/>
                    </w:rPr>
                    <w:t>20</w:t>
                  </w:r>
                </w:p>
              </w:tc>
              <w:tc>
                <w:tcPr>
                  <w:tcW w:w="3949" w:type="dxa"/>
                  <w:vMerge w:val="continue"/>
                  <w:noWrap w:val="0"/>
                  <w:tcMar>
                    <w:top w:w="28" w:type="dxa"/>
                    <w:left w:w="28" w:type="dxa"/>
                    <w:bottom w:w="28" w:type="dxa"/>
                    <w:right w:w="28" w:type="dxa"/>
                  </w:tcMar>
                  <w:vAlign w:val="center"/>
                </w:tcPr>
                <w:p w14:paraId="314D55DF">
                  <w:pPr>
                    <w:pageBreakBefore w:val="0"/>
                    <w:kinsoku/>
                    <w:wordWrap/>
                    <w:topLinePunct w:val="0"/>
                    <w:autoSpaceDE w:val="0"/>
                    <w:autoSpaceDN w:val="0"/>
                    <w:bidi w:val="0"/>
                    <w:spacing w:line="280" w:lineRule="atLeast"/>
                    <w:jc w:val="center"/>
                    <w:rPr>
                      <w:kern w:val="0"/>
                      <w:szCs w:val="21"/>
                    </w:rPr>
                  </w:pPr>
                </w:p>
              </w:tc>
            </w:tr>
          </w:tbl>
          <w:p w14:paraId="224CC06F">
            <w:pPr>
              <w:pageBreakBefore w:val="0"/>
              <w:kinsoku/>
              <w:wordWrap/>
              <w:topLinePunct w:val="0"/>
              <w:autoSpaceDE w:val="0"/>
              <w:autoSpaceDN w:val="0"/>
              <w:bidi w:val="0"/>
              <w:spacing w:line="360" w:lineRule="auto"/>
              <w:ind w:firstLine="482" w:firstLineChars="200"/>
              <w:rPr>
                <w:kern w:val="0"/>
                <w:sz w:val="24"/>
              </w:rPr>
            </w:pPr>
            <w:r>
              <w:rPr>
                <w:b/>
                <w:bCs/>
                <w:kern w:val="0"/>
                <w:sz w:val="24"/>
              </w:rPr>
              <w:t>3 噪声排放标准</w:t>
            </w:r>
          </w:p>
          <w:p w14:paraId="7E2B1170">
            <w:pPr>
              <w:pageBreakBefore w:val="0"/>
              <w:kinsoku/>
              <w:wordWrap/>
              <w:topLinePunct w:val="0"/>
              <w:autoSpaceDE w:val="0"/>
              <w:autoSpaceDN w:val="0"/>
              <w:bidi w:val="0"/>
              <w:spacing w:line="360" w:lineRule="auto"/>
              <w:ind w:firstLine="480" w:firstLineChars="200"/>
              <w:jc w:val="left"/>
              <w:rPr>
                <w:kern w:val="0"/>
                <w:sz w:val="24"/>
                <w:lang w:bidi="ar"/>
              </w:rPr>
            </w:pPr>
            <w:r>
              <w:rPr>
                <w:rFonts w:hint="eastAsia"/>
                <w:kern w:val="0"/>
                <w:sz w:val="24"/>
              </w:rPr>
              <w:t>本</w:t>
            </w:r>
            <w:r>
              <w:rPr>
                <w:kern w:val="0"/>
                <w:sz w:val="24"/>
              </w:rPr>
              <w:t>项目选址用地为</w:t>
            </w:r>
            <w:r>
              <w:rPr>
                <w:rFonts w:hint="eastAsia"/>
                <w:kern w:val="0"/>
                <w:sz w:val="24"/>
              </w:rPr>
              <w:t>现有工程</w:t>
            </w:r>
            <w:r>
              <w:rPr>
                <w:rFonts w:hint="eastAsia"/>
                <w:bCs/>
                <w:sz w:val="24"/>
              </w:rPr>
              <w:t>规划用地范围内，无新增用地</w:t>
            </w:r>
            <w:r>
              <w:rPr>
                <w:bCs/>
                <w:sz w:val="24"/>
              </w:rPr>
              <w:t>。项目选址周边500m范围内无声环境敏感点</w:t>
            </w:r>
            <w:r>
              <w:rPr>
                <w:kern w:val="0"/>
                <w:sz w:val="24"/>
              </w:rPr>
              <w:t>，施工期噪声执行《建筑施工场界环境噪声排放标准》（GB 12523-2011）表1标准限值，运营期厂界噪声执行</w:t>
            </w:r>
            <w:r>
              <w:rPr>
                <w:kern w:val="0"/>
                <w:sz w:val="24"/>
                <w:lang w:bidi="ar"/>
              </w:rPr>
              <w:t>《工业企业厂界环境噪声排放标准》（GB 12348-2008）中</w:t>
            </w:r>
            <w:r>
              <w:rPr>
                <w:rFonts w:hint="eastAsia"/>
                <w:kern w:val="0"/>
                <w:sz w:val="24"/>
                <w:lang w:bidi="ar"/>
              </w:rPr>
              <w:t>3</w:t>
            </w:r>
            <w:r>
              <w:rPr>
                <w:kern w:val="0"/>
                <w:sz w:val="24"/>
                <w:lang w:bidi="ar"/>
              </w:rPr>
              <w:t>类排放标准。详见</w:t>
            </w:r>
            <w:r>
              <w:rPr>
                <w:rFonts w:hint="eastAsia"/>
                <w:kern w:val="0"/>
                <w:sz w:val="24"/>
                <w:lang w:val="en-US" w:eastAsia="zh-CN" w:bidi="ar"/>
              </w:rPr>
              <w:t>下</w:t>
            </w:r>
            <w:r>
              <w:rPr>
                <w:kern w:val="0"/>
                <w:sz w:val="24"/>
                <w:lang w:bidi="ar"/>
              </w:rPr>
              <w:t>表3-1</w:t>
            </w:r>
            <w:r>
              <w:rPr>
                <w:rFonts w:hint="eastAsia"/>
                <w:kern w:val="0"/>
                <w:sz w:val="24"/>
                <w:lang w:bidi="ar"/>
              </w:rPr>
              <w:t>2</w:t>
            </w:r>
            <w:r>
              <w:rPr>
                <w:kern w:val="0"/>
                <w:sz w:val="24"/>
                <w:lang w:bidi="ar"/>
              </w:rPr>
              <w:t>、表3-1</w:t>
            </w:r>
            <w:r>
              <w:rPr>
                <w:rFonts w:hint="eastAsia"/>
                <w:kern w:val="0"/>
                <w:sz w:val="24"/>
                <w:lang w:bidi="ar"/>
              </w:rPr>
              <w:t>3</w:t>
            </w:r>
            <w:r>
              <w:rPr>
                <w:kern w:val="0"/>
                <w:sz w:val="24"/>
                <w:lang w:bidi="ar"/>
              </w:rPr>
              <w:t>。</w:t>
            </w:r>
          </w:p>
          <w:p w14:paraId="3C8C1C58">
            <w:pPr>
              <w:pageBreakBefore w:val="0"/>
              <w:kinsoku/>
              <w:wordWrap/>
              <w:topLinePunct w:val="0"/>
              <w:autoSpaceDE w:val="0"/>
              <w:autoSpaceDN w:val="0"/>
              <w:bidi w:val="0"/>
              <w:spacing w:line="360" w:lineRule="auto"/>
              <w:jc w:val="center"/>
              <w:rPr>
                <w:b/>
                <w:bCs/>
                <w:szCs w:val="21"/>
              </w:rPr>
            </w:pPr>
            <w:r>
              <w:rPr>
                <w:rFonts w:eastAsia="黑体"/>
                <w:bCs/>
                <w:szCs w:val="21"/>
              </w:rPr>
              <w:t>表3-1</w:t>
            </w:r>
            <w:r>
              <w:rPr>
                <w:rFonts w:hint="eastAsia" w:eastAsia="黑体"/>
                <w:bCs/>
                <w:szCs w:val="21"/>
                <w:lang w:val="en-US" w:eastAsia="zh-CN"/>
              </w:rPr>
              <w:t>3</w:t>
            </w:r>
            <w:r>
              <w:rPr>
                <w:rFonts w:eastAsia="黑体"/>
                <w:bCs/>
                <w:szCs w:val="21"/>
              </w:rPr>
              <w:t xml:space="preserve">  建设施工场界环境噪声排放标准  单位：dB(A)</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4400"/>
              <w:gridCol w:w="3990"/>
            </w:tblGrid>
            <w:tr w14:paraId="215E42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400" w:type="dxa"/>
                  <w:noWrap w:val="0"/>
                  <w:vAlign w:val="center"/>
                </w:tcPr>
                <w:p w14:paraId="5CC96190">
                  <w:pPr>
                    <w:pageBreakBefore w:val="0"/>
                    <w:kinsoku/>
                    <w:wordWrap/>
                    <w:topLinePunct w:val="0"/>
                    <w:autoSpaceDE w:val="0"/>
                    <w:autoSpaceDN w:val="0"/>
                    <w:bidi w:val="0"/>
                    <w:spacing w:line="280" w:lineRule="exact"/>
                    <w:jc w:val="center"/>
                    <w:rPr>
                      <w:b/>
                      <w:bCs/>
                    </w:rPr>
                  </w:pPr>
                  <w:r>
                    <w:rPr>
                      <w:b/>
                      <w:bCs/>
                    </w:rPr>
                    <w:t>昼间</w:t>
                  </w:r>
                </w:p>
              </w:tc>
              <w:tc>
                <w:tcPr>
                  <w:tcW w:w="3990" w:type="dxa"/>
                  <w:noWrap w:val="0"/>
                  <w:vAlign w:val="center"/>
                </w:tcPr>
                <w:p w14:paraId="7E340AFB">
                  <w:pPr>
                    <w:pageBreakBefore w:val="0"/>
                    <w:kinsoku/>
                    <w:wordWrap/>
                    <w:topLinePunct w:val="0"/>
                    <w:autoSpaceDE w:val="0"/>
                    <w:autoSpaceDN w:val="0"/>
                    <w:bidi w:val="0"/>
                    <w:spacing w:line="280" w:lineRule="exact"/>
                    <w:jc w:val="center"/>
                    <w:rPr>
                      <w:b/>
                      <w:bCs/>
                    </w:rPr>
                  </w:pPr>
                  <w:r>
                    <w:rPr>
                      <w:b/>
                      <w:bCs/>
                    </w:rPr>
                    <w:t>夜间</w:t>
                  </w:r>
                </w:p>
              </w:tc>
            </w:tr>
            <w:tr w14:paraId="4D4A8F4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400" w:type="dxa"/>
                  <w:noWrap w:val="0"/>
                  <w:vAlign w:val="center"/>
                </w:tcPr>
                <w:p w14:paraId="382F282F">
                  <w:pPr>
                    <w:pageBreakBefore w:val="0"/>
                    <w:kinsoku/>
                    <w:wordWrap/>
                    <w:topLinePunct w:val="0"/>
                    <w:autoSpaceDE w:val="0"/>
                    <w:autoSpaceDN w:val="0"/>
                    <w:bidi w:val="0"/>
                    <w:spacing w:line="280" w:lineRule="exact"/>
                    <w:jc w:val="center"/>
                    <w:rPr>
                      <w:bCs/>
                    </w:rPr>
                  </w:pPr>
                  <w:r>
                    <w:rPr>
                      <w:bCs/>
                    </w:rPr>
                    <w:t>70</w:t>
                  </w:r>
                </w:p>
              </w:tc>
              <w:tc>
                <w:tcPr>
                  <w:tcW w:w="3990" w:type="dxa"/>
                  <w:noWrap w:val="0"/>
                  <w:vAlign w:val="center"/>
                </w:tcPr>
                <w:p w14:paraId="74959F7D">
                  <w:pPr>
                    <w:pageBreakBefore w:val="0"/>
                    <w:kinsoku/>
                    <w:wordWrap/>
                    <w:topLinePunct w:val="0"/>
                    <w:autoSpaceDE w:val="0"/>
                    <w:autoSpaceDN w:val="0"/>
                    <w:bidi w:val="0"/>
                    <w:spacing w:line="280" w:lineRule="exact"/>
                    <w:jc w:val="center"/>
                    <w:rPr>
                      <w:bCs/>
                    </w:rPr>
                  </w:pPr>
                  <w:r>
                    <w:rPr>
                      <w:bCs/>
                    </w:rPr>
                    <w:t>55</w:t>
                  </w:r>
                </w:p>
              </w:tc>
            </w:tr>
          </w:tbl>
          <w:p w14:paraId="06B44D1F">
            <w:pPr>
              <w:pageBreakBefore w:val="0"/>
              <w:kinsoku/>
              <w:wordWrap/>
              <w:topLinePunct w:val="0"/>
              <w:autoSpaceDE w:val="0"/>
              <w:autoSpaceDN w:val="0"/>
              <w:bidi w:val="0"/>
              <w:spacing w:line="360" w:lineRule="auto"/>
              <w:jc w:val="center"/>
              <w:rPr>
                <w:rFonts w:eastAsia="黑体"/>
                <w:bCs/>
                <w:szCs w:val="21"/>
              </w:rPr>
            </w:pPr>
          </w:p>
          <w:p w14:paraId="04181085">
            <w:pPr>
              <w:pageBreakBefore w:val="0"/>
              <w:kinsoku/>
              <w:wordWrap/>
              <w:topLinePunct w:val="0"/>
              <w:autoSpaceDE w:val="0"/>
              <w:autoSpaceDN w:val="0"/>
              <w:bidi w:val="0"/>
              <w:spacing w:line="360" w:lineRule="auto"/>
              <w:jc w:val="center"/>
              <w:rPr>
                <w:rFonts w:eastAsia="黑体"/>
                <w:b/>
                <w:bCs/>
                <w:sz w:val="24"/>
              </w:rPr>
            </w:pPr>
            <w:r>
              <w:rPr>
                <w:rFonts w:eastAsia="黑体"/>
                <w:bCs/>
                <w:szCs w:val="21"/>
              </w:rPr>
              <w:t>表3-1</w:t>
            </w:r>
            <w:r>
              <w:rPr>
                <w:rFonts w:hint="eastAsia" w:eastAsia="黑体"/>
                <w:bCs/>
                <w:szCs w:val="21"/>
                <w:lang w:val="en-US" w:eastAsia="zh-CN"/>
              </w:rPr>
              <w:t>4</w:t>
            </w:r>
            <w:r>
              <w:rPr>
                <w:rFonts w:eastAsia="黑体"/>
                <w:bCs/>
                <w:szCs w:val="21"/>
              </w:rPr>
              <w:t xml:space="preserve">  工业企业厂界环境噪声排放标准  单位：dB(A)</w:t>
            </w:r>
          </w:p>
          <w:tbl>
            <w:tblPr>
              <w:tblStyle w:val="13"/>
              <w:tblW w:w="8390"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28" w:type="dxa"/>
                <w:bottom w:w="0" w:type="dxa"/>
                <w:right w:w="28" w:type="dxa"/>
              </w:tblCellMar>
            </w:tblPr>
            <w:tblGrid>
              <w:gridCol w:w="2033"/>
              <w:gridCol w:w="2627"/>
              <w:gridCol w:w="1844"/>
              <w:gridCol w:w="1886"/>
            </w:tblGrid>
            <w:tr w14:paraId="027CC45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2033" w:type="dxa"/>
                  <w:noWrap w:val="0"/>
                  <w:tcMar>
                    <w:top w:w="28" w:type="dxa"/>
                    <w:left w:w="28" w:type="dxa"/>
                    <w:bottom w:w="28" w:type="dxa"/>
                    <w:right w:w="28" w:type="dxa"/>
                  </w:tcMar>
                  <w:vAlign w:val="center"/>
                </w:tcPr>
                <w:p w14:paraId="1577D01E">
                  <w:pPr>
                    <w:pageBreakBefore w:val="0"/>
                    <w:kinsoku/>
                    <w:wordWrap/>
                    <w:topLinePunct w:val="0"/>
                    <w:autoSpaceDE w:val="0"/>
                    <w:autoSpaceDN w:val="0"/>
                    <w:bidi w:val="0"/>
                    <w:spacing w:line="280" w:lineRule="exact"/>
                    <w:ind w:hanging="10"/>
                    <w:jc w:val="center"/>
                    <w:rPr>
                      <w:b/>
                      <w:bCs/>
                      <w:kern w:val="0"/>
                    </w:rPr>
                  </w:pPr>
                  <w:r>
                    <w:rPr>
                      <w:b/>
                      <w:bCs/>
                      <w:kern w:val="0"/>
                    </w:rPr>
                    <w:t>声环境功能区类别</w:t>
                  </w:r>
                </w:p>
              </w:tc>
              <w:tc>
                <w:tcPr>
                  <w:tcW w:w="2627" w:type="dxa"/>
                  <w:noWrap w:val="0"/>
                  <w:tcMar>
                    <w:top w:w="28" w:type="dxa"/>
                    <w:left w:w="28" w:type="dxa"/>
                    <w:bottom w:w="28" w:type="dxa"/>
                    <w:right w:w="28" w:type="dxa"/>
                  </w:tcMar>
                  <w:vAlign w:val="center"/>
                </w:tcPr>
                <w:p w14:paraId="32BA9D61">
                  <w:pPr>
                    <w:pageBreakBefore w:val="0"/>
                    <w:kinsoku/>
                    <w:wordWrap/>
                    <w:topLinePunct w:val="0"/>
                    <w:autoSpaceDE w:val="0"/>
                    <w:autoSpaceDN w:val="0"/>
                    <w:bidi w:val="0"/>
                    <w:spacing w:line="280" w:lineRule="exact"/>
                    <w:ind w:hanging="10"/>
                    <w:jc w:val="center"/>
                    <w:rPr>
                      <w:b/>
                      <w:bCs/>
                      <w:kern w:val="0"/>
                    </w:rPr>
                  </w:pPr>
                  <w:r>
                    <w:rPr>
                      <w:b/>
                      <w:bCs/>
                      <w:kern w:val="0"/>
                    </w:rPr>
                    <w:t>适用区域</w:t>
                  </w:r>
                </w:p>
              </w:tc>
              <w:tc>
                <w:tcPr>
                  <w:tcW w:w="3730" w:type="dxa"/>
                  <w:gridSpan w:val="2"/>
                  <w:noWrap w:val="0"/>
                  <w:tcMar>
                    <w:top w:w="28" w:type="dxa"/>
                    <w:left w:w="28" w:type="dxa"/>
                    <w:bottom w:w="28" w:type="dxa"/>
                    <w:right w:w="28" w:type="dxa"/>
                  </w:tcMar>
                  <w:vAlign w:val="center"/>
                </w:tcPr>
                <w:p w14:paraId="3C5B22F7">
                  <w:pPr>
                    <w:pageBreakBefore w:val="0"/>
                    <w:kinsoku/>
                    <w:wordWrap/>
                    <w:topLinePunct w:val="0"/>
                    <w:autoSpaceDE w:val="0"/>
                    <w:autoSpaceDN w:val="0"/>
                    <w:bidi w:val="0"/>
                    <w:spacing w:line="280" w:lineRule="exact"/>
                    <w:ind w:hanging="10"/>
                    <w:jc w:val="center"/>
                    <w:rPr>
                      <w:b/>
                      <w:bCs/>
                      <w:kern w:val="0"/>
                    </w:rPr>
                  </w:pPr>
                  <w:r>
                    <w:rPr>
                      <w:b/>
                      <w:bCs/>
                      <w:kern w:val="0"/>
                    </w:rPr>
                    <w:t>等效连续A声级</w:t>
                  </w:r>
                </w:p>
              </w:tc>
            </w:tr>
            <w:tr w14:paraId="1B2A473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2033" w:type="dxa"/>
                  <w:vMerge w:val="restart"/>
                  <w:noWrap w:val="0"/>
                  <w:tcMar>
                    <w:top w:w="28" w:type="dxa"/>
                    <w:left w:w="28" w:type="dxa"/>
                    <w:bottom w:w="28" w:type="dxa"/>
                    <w:right w:w="28" w:type="dxa"/>
                  </w:tcMar>
                  <w:vAlign w:val="center"/>
                </w:tcPr>
                <w:p w14:paraId="60B0B7FB">
                  <w:pPr>
                    <w:pageBreakBefore w:val="0"/>
                    <w:kinsoku/>
                    <w:wordWrap/>
                    <w:topLinePunct w:val="0"/>
                    <w:autoSpaceDE w:val="0"/>
                    <w:autoSpaceDN w:val="0"/>
                    <w:bidi w:val="0"/>
                    <w:spacing w:line="280" w:lineRule="exact"/>
                    <w:jc w:val="center"/>
                    <w:rPr>
                      <w:kern w:val="0"/>
                    </w:rPr>
                  </w:pPr>
                  <w:r>
                    <w:rPr>
                      <w:rFonts w:hint="eastAsia"/>
                      <w:kern w:val="0"/>
                    </w:rPr>
                    <w:t>3</w:t>
                  </w:r>
                  <w:r>
                    <w:rPr>
                      <w:kern w:val="0"/>
                    </w:rPr>
                    <w:t>类</w:t>
                  </w:r>
                </w:p>
              </w:tc>
              <w:tc>
                <w:tcPr>
                  <w:tcW w:w="2627" w:type="dxa"/>
                  <w:vMerge w:val="restart"/>
                  <w:noWrap w:val="0"/>
                  <w:tcMar>
                    <w:top w:w="28" w:type="dxa"/>
                    <w:left w:w="28" w:type="dxa"/>
                    <w:bottom w:w="28" w:type="dxa"/>
                    <w:right w:w="28" w:type="dxa"/>
                  </w:tcMar>
                  <w:vAlign w:val="center"/>
                </w:tcPr>
                <w:p w14:paraId="7DB1CC40">
                  <w:pPr>
                    <w:pageBreakBefore w:val="0"/>
                    <w:kinsoku/>
                    <w:wordWrap/>
                    <w:topLinePunct w:val="0"/>
                    <w:autoSpaceDE w:val="0"/>
                    <w:autoSpaceDN w:val="0"/>
                    <w:bidi w:val="0"/>
                    <w:spacing w:line="280" w:lineRule="exact"/>
                    <w:jc w:val="center"/>
                    <w:rPr>
                      <w:kern w:val="0"/>
                    </w:rPr>
                  </w:pPr>
                  <w:r>
                    <w:rPr>
                      <w:kern w:val="0"/>
                    </w:rPr>
                    <w:t>项目厂界外1m</w:t>
                  </w:r>
                </w:p>
              </w:tc>
              <w:tc>
                <w:tcPr>
                  <w:tcW w:w="1844" w:type="dxa"/>
                  <w:noWrap w:val="0"/>
                  <w:tcMar>
                    <w:top w:w="28" w:type="dxa"/>
                    <w:left w:w="28" w:type="dxa"/>
                    <w:bottom w:w="28" w:type="dxa"/>
                    <w:right w:w="28" w:type="dxa"/>
                  </w:tcMar>
                  <w:vAlign w:val="center"/>
                </w:tcPr>
                <w:p w14:paraId="6072E8E4">
                  <w:pPr>
                    <w:pageBreakBefore w:val="0"/>
                    <w:kinsoku/>
                    <w:wordWrap/>
                    <w:topLinePunct w:val="0"/>
                    <w:autoSpaceDE w:val="0"/>
                    <w:autoSpaceDN w:val="0"/>
                    <w:bidi w:val="0"/>
                    <w:spacing w:line="280" w:lineRule="exact"/>
                    <w:jc w:val="center"/>
                    <w:rPr>
                      <w:kern w:val="0"/>
                    </w:rPr>
                  </w:pPr>
                  <w:r>
                    <w:rPr>
                      <w:kern w:val="0"/>
                    </w:rPr>
                    <w:t>昼间</w:t>
                  </w:r>
                </w:p>
              </w:tc>
              <w:tc>
                <w:tcPr>
                  <w:tcW w:w="1886" w:type="dxa"/>
                  <w:noWrap w:val="0"/>
                  <w:tcMar>
                    <w:top w:w="28" w:type="dxa"/>
                    <w:left w:w="28" w:type="dxa"/>
                    <w:bottom w:w="28" w:type="dxa"/>
                    <w:right w:w="28" w:type="dxa"/>
                  </w:tcMar>
                  <w:vAlign w:val="center"/>
                </w:tcPr>
                <w:p w14:paraId="62E4FF2D">
                  <w:pPr>
                    <w:pageBreakBefore w:val="0"/>
                    <w:kinsoku/>
                    <w:wordWrap/>
                    <w:topLinePunct w:val="0"/>
                    <w:autoSpaceDE w:val="0"/>
                    <w:autoSpaceDN w:val="0"/>
                    <w:bidi w:val="0"/>
                    <w:spacing w:line="280" w:lineRule="exact"/>
                    <w:jc w:val="center"/>
                    <w:rPr>
                      <w:kern w:val="0"/>
                    </w:rPr>
                  </w:pPr>
                  <w:r>
                    <w:rPr>
                      <w:kern w:val="0"/>
                    </w:rPr>
                    <w:t>夜间</w:t>
                  </w:r>
                </w:p>
              </w:tc>
            </w:tr>
            <w:tr w14:paraId="67BC77E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2033" w:type="dxa"/>
                  <w:vMerge w:val="continue"/>
                  <w:noWrap w:val="0"/>
                  <w:tcMar>
                    <w:top w:w="28" w:type="dxa"/>
                    <w:left w:w="28" w:type="dxa"/>
                    <w:bottom w:w="28" w:type="dxa"/>
                    <w:right w:w="28" w:type="dxa"/>
                  </w:tcMar>
                  <w:vAlign w:val="center"/>
                </w:tcPr>
                <w:p w14:paraId="751B3E34">
                  <w:pPr>
                    <w:pageBreakBefore w:val="0"/>
                    <w:kinsoku/>
                    <w:wordWrap/>
                    <w:topLinePunct w:val="0"/>
                    <w:autoSpaceDE w:val="0"/>
                    <w:autoSpaceDN w:val="0"/>
                    <w:bidi w:val="0"/>
                    <w:spacing w:line="280" w:lineRule="exact"/>
                    <w:jc w:val="center"/>
                    <w:rPr>
                      <w:kern w:val="0"/>
                    </w:rPr>
                  </w:pPr>
                </w:p>
              </w:tc>
              <w:tc>
                <w:tcPr>
                  <w:tcW w:w="2627" w:type="dxa"/>
                  <w:vMerge w:val="continue"/>
                  <w:noWrap w:val="0"/>
                  <w:tcMar>
                    <w:top w:w="28" w:type="dxa"/>
                    <w:left w:w="28" w:type="dxa"/>
                    <w:bottom w:w="28" w:type="dxa"/>
                    <w:right w:w="28" w:type="dxa"/>
                  </w:tcMar>
                  <w:vAlign w:val="center"/>
                </w:tcPr>
                <w:p w14:paraId="38B52DEB">
                  <w:pPr>
                    <w:pageBreakBefore w:val="0"/>
                    <w:kinsoku/>
                    <w:wordWrap/>
                    <w:topLinePunct w:val="0"/>
                    <w:autoSpaceDE w:val="0"/>
                    <w:autoSpaceDN w:val="0"/>
                    <w:bidi w:val="0"/>
                    <w:spacing w:line="280" w:lineRule="exact"/>
                    <w:jc w:val="center"/>
                    <w:rPr>
                      <w:kern w:val="0"/>
                    </w:rPr>
                  </w:pPr>
                </w:p>
              </w:tc>
              <w:tc>
                <w:tcPr>
                  <w:tcW w:w="1844" w:type="dxa"/>
                  <w:noWrap w:val="0"/>
                  <w:tcMar>
                    <w:top w:w="28" w:type="dxa"/>
                    <w:left w:w="28" w:type="dxa"/>
                    <w:bottom w:w="28" w:type="dxa"/>
                    <w:right w:w="28" w:type="dxa"/>
                  </w:tcMar>
                  <w:vAlign w:val="center"/>
                </w:tcPr>
                <w:p w14:paraId="5A26DEC9">
                  <w:pPr>
                    <w:pageBreakBefore w:val="0"/>
                    <w:kinsoku/>
                    <w:wordWrap/>
                    <w:topLinePunct w:val="0"/>
                    <w:autoSpaceDE w:val="0"/>
                    <w:autoSpaceDN w:val="0"/>
                    <w:bidi w:val="0"/>
                    <w:spacing w:line="280" w:lineRule="exact"/>
                    <w:jc w:val="center"/>
                    <w:rPr>
                      <w:kern w:val="0"/>
                    </w:rPr>
                  </w:pPr>
                  <w:r>
                    <w:rPr>
                      <w:kern w:val="0"/>
                    </w:rPr>
                    <w:t>6</w:t>
                  </w:r>
                  <w:r>
                    <w:rPr>
                      <w:rFonts w:hint="eastAsia"/>
                      <w:kern w:val="0"/>
                    </w:rPr>
                    <w:t>5</w:t>
                  </w:r>
                </w:p>
              </w:tc>
              <w:tc>
                <w:tcPr>
                  <w:tcW w:w="1886" w:type="dxa"/>
                  <w:noWrap w:val="0"/>
                  <w:tcMar>
                    <w:top w:w="28" w:type="dxa"/>
                    <w:left w:w="28" w:type="dxa"/>
                    <w:bottom w:w="28" w:type="dxa"/>
                    <w:right w:w="28" w:type="dxa"/>
                  </w:tcMar>
                  <w:vAlign w:val="center"/>
                </w:tcPr>
                <w:p w14:paraId="07FAF146">
                  <w:pPr>
                    <w:pageBreakBefore w:val="0"/>
                    <w:kinsoku/>
                    <w:wordWrap/>
                    <w:topLinePunct w:val="0"/>
                    <w:autoSpaceDE w:val="0"/>
                    <w:autoSpaceDN w:val="0"/>
                    <w:bidi w:val="0"/>
                    <w:spacing w:line="280" w:lineRule="exact"/>
                    <w:jc w:val="center"/>
                    <w:rPr>
                      <w:kern w:val="0"/>
                    </w:rPr>
                  </w:pPr>
                  <w:r>
                    <w:rPr>
                      <w:kern w:val="0"/>
                    </w:rPr>
                    <w:t>5</w:t>
                  </w:r>
                  <w:r>
                    <w:rPr>
                      <w:rFonts w:hint="eastAsia"/>
                      <w:kern w:val="0"/>
                    </w:rPr>
                    <w:t>5</w:t>
                  </w:r>
                </w:p>
              </w:tc>
            </w:tr>
          </w:tbl>
          <w:p w14:paraId="0C04020B">
            <w:pPr>
              <w:pageBreakBefore w:val="0"/>
              <w:kinsoku/>
              <w:wordWrap/>
              <w:topLinePunct w:val="0"/>
              <w:autoSpaceDE w:val="0"/>
              <w:autoSpaceDN w:val="0"/>
              <w:bidi w:val="0"/>
              <w:spacing w:line="360" w:lineRule="auto"/>
              <w:ind w:firstLine="482" w:firstLineChars="200"/>
              <w:rPr>
                <w:kern w:val="0"/>
                <w:sz w:val="24"/>
              </w:rPr>
            </w:pPr>
            <w:r>
              <w:rPr>
                <w:b/>
                <w:bCs/>
                <w:kern w:val="21"/>
                <w:sz w:val="24"/>
              </w:rPr>
              <w:t>4 固体废物排放标准</w:t>
            </w:r>
          </w:p>
          <w:p w14:paraId="46724CBC">
            <w:pPr>
              <w:pageBreakBefore w:val="0"/>
              <w:kinsoku/>
              <w:wordWrap/>
              <w:topLinePunct w:val="0"/>
              <w:autoSpaceDE w:val="0"/>
              <w:autoSpaceDN w:val="0"/>
              <w:bidi w:val="0"/>
              <w:spacing w:line="360" w:lineRule="auto"/>
              <w:ind w:firstLine="480" w:firstLineChars="200"/>
              <w:rPr>
                <w:sz w:val="24"/>
                <w:lang w:val="zh-CN"/>
              </w:rPr>
            </w:pPr>
            <w:r>
              <w:rPr>
                <w:sz w:val="24"/>
              </w:rPr>
              <w:t>一般固废的收集、贮运环节严格按照《一般工业固体废物贮存和填埋污染控制标准》</w:t>
            </w:r>
            <w:r>
              <w:rPr>
                <w:rFonts w:hint="eastAsia"/>
                <w:sz w:val="24"/>
              </w:rPr>
              <w:t>（</w:t>
            </w:r>
            <w:r>
              <w:rPr>
                <w:sz w:val="24"/>
              </w:rPr>
              <w:t>GB</w:t>
            </w:r>
            <w:r>
              <w:rPr>
                <w:rFonts w:hint="eastAsia"/>
                <w:sz w:val="24"/>
              </w:rPr>
              <w:t xml:space="preserve"> </w:t>
            </w:r>
            <w:r>
              <w:rPr>
                <w:sz w:val="24"/>
              </w:rPr>
              <w:t>18599-2020）要求进行，生活垃圾参照执行；危险废物收集、贮运环节严格按照《危险废物贮存污染控制标准》（GB 18597-2023）、《危险废物收集 贮存 运输技术规范》（HJ 2025-2012）要求执行。</w:t>
            </w:r>
          </w:p>
        </w:tc>
      </w:tr>
      <w:tr w14:paraId="099A9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jc w:val="center"/>
        </w:trPr>
        <w:tc>
          <w:tcPr>
            <w:tcW w:w="697" w:type="dxa"/>
            <w:tcBorders>
              <w:bottom w:val="single" w:color="auto" w:sz="8" w:space="0"/>
            </w:tcBorders>
            <w:noWrap w:val="0"/>
            <w:vAlign w:val="center"/>
          </w:tcPr>
          <w:p w14:paraId="30599B68">
            <w:pPr>
              <w:pageBreakBefore w:val="0"/>
              <w:kinsoku/>
              <w:wordWrap/>
              <w:topLinePunct w:val="0"/>
              <w:autoSpaceDE w:val="0"/>
              <w:autoSpaceDN w:val="0"/>
              <w:bidi w:val="0"/>
              <w:jc w:val="center"/>
              <w:rPr>
                <w:kern w:val="0"/>
                <w:szCs w:val="21"/>
              </w:rPr>
            </w:pPr>
            <w:r>
              <w:rPr>
                <w:kern w:val="0"/>
                <w:szCs w:val="21"/>
              </w:rPr>
              <w:t>总量</w:t>
            </w:r>
          </w:p>
          <w:p w14:paraId="2E42EA51">
            <w:pPr>
              <w:pageBreakBefore w:val="0"/>
              <w:kinsoku/>
              <w:wordWrap/>
              <w:topLinePunct w:val="0"/>
              <w:autoSpaceDE w:val="0"/>
              <w:autoSpaceDN w:val="0"/>
              <w:bidi w:val="0"/>
              <w:jc w:val="center"/>
              <w:rPr>
                <w:kern w:val="0"/>
                <w:szCs w:val="21"/>
              </w:rPr>
            </w:pPr>
            <w:r>
              <w:rPr>
                <w:kern w:val="0"/>
                <w:szCs w:val="21"/>
              </w:rPr>
              <w:t>控制</w:t>
            </w:r>
          </w:p>
          <w:p w14:paraId="3538230F">
            <w:pPr>
              <w:pageBreakBefore w:val="0"/>
              <w:kinsoku/>
              <w:wordWrap/>
              <w:topLinePunct w:val="0"/>
              <w:autoSpaceDE w:val="0"/>
              <w:autoSpaceDN w:val="0"/>
              <w:bidi w:val="0"/>
              <w:jc w:val="center"/>
              <w:rPr>
                <w:kern w:val="0"/>
                <w:szCs w:val="21"/>
              </w:rPr>
            </w:pPr>
            <w:r>
              <w:rPr>
                <w:kern w:val="0"/>
                <w:szCs w:val="21"/>
              </w:rPr>
              <w:t>指标</w:t>
            </w:r>
          </w:p>
        </w:tc>
        <w:tc>
          <w:tcPr>
            <w:tcW w:w="8714" w:type="dxa"/>
            <w:tcBorders>
              <w:bottom w:val="single" w:color="auto" w:sz="8" w:space="0"/>
            </w:tcBorders>
            <w:noWrap w:val="0"/>
            <w:vAlign w:val="center"/>
          </w:tcPr>
          <w:p w14:paraId="65AFC58A">
            <w:pPr>
              <w:pageBreakBefore w:val="0"/>
              <w:kinsoku/>
              <w:wordWrap/>
              <w:topLinePunct w:val="0"/>
              <w:bidi w:val="0"/>
              <w:spacing w:line="360" w:lineRule="auto"/>
              <w:ind w:firstLine="480" w:firstLineChars="200"/>
              <w:rPr>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本项目不</w:t>
            </w:r>
            <w:r>
              <w:rPr>
                <w:rFonts w:hint="eastAsia" w:ascii="宋体" w:hAnsi="宋体" w:cs="宋体"/>
                <w:bCs/>
                <w:color w:val="000000" w:themeColor="text1"/>
                <w:sz w:val="24"/>
                <w:lang w:val="en-US" w:eastAsia="zh-CN"/>
                <w14:textFill>
                  <w14:solidFill>
                    <w14:schemeClr w14:val="tx1"/>
                  </w14:solidFill>
                </w14:textFill>
              </w:rPr>
              <w:t>单独</w:t>
            </w:r>
            <w:r>
              <w:rPr>
                <w:rFonts w:hint="eastAsia" w:ascii="宋体" w:hAnsi="宋体" w:cs="宋体"/>
                <w:bCs/>
                <w:color w:val="000000" w:themeColor="text1"/>
                <w:sz w:val="24"/>
                <w14:textFill>
                  <w14:solidFill>
                    <w14:schemeClr w14:val="tx1"/>
                  </w14:solidFill>
                </w14:textFill>
              </w:rPr>
              <w:t>设置污水处理设施，</w:t>
            </w:r>
            <w:r>
              <w:rPr>
                <w:rFonts w:hint="eastAsia" w:ascii="宋体" w:hAnsi="宋体" w:cs="宋体"/>
                <w:bCs/>
                <w:color w:val="000000" w:themeColor="text1"/>
                <w:sz w:val="24"/>
                <w:lang w:val="en-US" w:eastAsia="zh-CN"/>
                <w14:textFill>
                  <w14:solidFill>
                    <w14:schemeClr w14:val="tx1"/>
                  </w14:solidFill>
                </w14:textFill>
              </w:rPr>
              <w:t>运营期产生的废水</w:t>
            </w:r>
            <w:r>
              <w:rPr>
                <w:rFonts w:hint="eastAsia" w:ascii="宋体" w:hAnsi="宋体" w:cs="宋体"/>
                <w:bCs/>
                <w:color w:val="000000" w:themeColor="text1"/>
                <w:sz w:val="24"/>
                <w14:textFill>
                  <w14:solidFill>
                    <w14:schemeClr w14:val="tx1"/>
                  </w14:solidFill>
                </w14:textFill>
              </w:rPr>
              <w:t>全部经管线排入“新疆圣雄电石有限公司煤电盐化循环经济一期工程年产60万吨电石、60万吨石灰、75万吨兰炭项目”污水处理设施进行处理。循环设施排水和生活污水排入地埋式一体化污水处理设施进行处理。处理后的各类污废水全部回用，</w:t>
            </w:r>
            <w:r>
              <w:rPr>
                <w:color w:val="000000" w:themeColor="text1"/>
                <w:kern w:val="0"/>
                <w:sz w:val="24"/>
                <w14:textFill>
                  <w14:solidFill>
                    <w14:schemeClr w14:val="tx1"/>
                  </w14:solidFill>
                </w14:textFill>
              </w:rPr>
              <w:t>因此不设置废水总量控制指标。</w:t>
            </w:r>
          </w:p>
          <w:p w14:paraId="5B05F5FB">
            <w:pPr>
              <w:pageBreakBefore w:val="0"/>
              <w:kinsoku/>
              <w:wordWrap/>
              <w:topLinePunct w:val="0"/>
              <w:autoSpaceDE w:val="0"/>
              <w:autoSpaceDN w:val="0"/>
              <w:bidi w:val="0"/>
              <w:spacing w:line="360" w:lineRule="auto"/>
              <w:ind w:firstLine="480" w:firstLineChars="200"/>
              <w:rPr>
                <w:rFonts w:hint="default" w:eastAsia="宋体"/>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本项目利用</w:t>
            </w:r>
            <w:r>
              <w:rPr>
                <w:rFonts w:hint="default" w:ascii="Times New Roman" w:hAnsi="Times New Roman" w:cs="Times New Roman"/>
                <w:bCs/>
                <w:color w:val="000000" w:themeColor="text1"/>
                <w:sz w:val="24"/>
                <w14:textFill>
                  <w14:solidFill>
                    <w14:schemeClr w14:val="tx1"/>
                  </w14:solidFill>
                </w14:textFill>
              </w:rPr>
              <w:t>“新疆圣雄电石有限公司煤电盐化循环经济一期工程年产60万吨电石、60万吨石灰、75万吨兰炭项目”</w:t>
            </w:r>
            <w:r>
              <w:rPr>
                <w:rFonts w:hint="default" w:ascii="Times New Roman" w:hAnsi="Times New Roman" w:cs="Times New Roman"/>
                <w:bCs/>
                <w:color w:val="000000" w:themeColor="text1"/>
                <w:sz w:val="24"/>
                <w:lang w:val="en-US" w:eastAsia="zh-CN"/>
                <w14:textFill>
                  <w14:solidFill>
                    <w14:schemeClr w14:val="tx1"/>
                  </w14:solidFill>
                </w14:textFill>
              </w:rPr>
              <w:t>产生</w:t>
            </w:r>
            <w:r>
              <w:rPr>
                <w:rFonts w:hint="eastAsia"/>
                <w:bCs/>
                <w:color w:val="000000" w:themeColor="text1"/>
                <w:sz w:val="24"/>
                <w14:textFill>
                  <w14:solidFill>
                    <w14:schemeClr w14:val="tx1"/>
                  </w14:solidFill>
                </w14:textFill>
              </w:rPr>
              <w:t>的荒煤气</w:t>
            </w:r>
            <w:r>
              <w:rPr>
                <w:rFonts w:hint="eastAsia"/>
                <w:bCs/>
                <w:color w:val="000000" w:themeColor="text1"/>
                <w:sz w:val="24"/>
                <w:lang w:eastAsia="zh-CN"/>
                <w14:textFill>
                  <w14:solidFill>
                    <w14:schemeClr w14:val="tx1"/>
                  </w14:solidFill>
                </w14:textFill>
              </w:rPr>
              <w:t>，将其中的氢气提取后用于制甲醇生产线，提取后的解吸气作为燃料输送至“新疆冠达能源有限公司圣雄尾气综合利用绿色环保减排型示范项目”。</w:t>
            </w:r>
            <w:r>
              <w:rPr>
                <w:rFonts w:hint="eastAsia"/>
                <w:color w:val="000000" w:themeColor="text1"/>
                <w:kern w:val="0"/>
                <w:sz w:val="24"/>
                <w:lang w:val="en-US" w:eastAsia="zh-CN"/>
                <w14:textFill>
                  <w14:solidFill>
                    <w14:schemeClr w14:val="tx1"/>
                  </w14:solidFill>
                </w14:textFill>
              </w:rPr>
              <w:t>“新疆冠达能源有限公司圣雄尾气综合利用绿色环保减排型示范项目”已编制完成环评报告，并于2023年6月1日获取相关环评批复（吐市环监函</w:t>
            </w:r>
            <w:r>
              <w:rPr>
                <w:rFonts w:hint="eastAsia" w:ascii="宋体" w:hAnsi="宋体" w:eastAsia="宋体" w:cs="宋体"/>
                <w:color w:val="000000" w:themeColor="text1"/>
                <w:kern w:val="0"/>
                <w:sz w:val="24"/>
                <w:lang w:val="en-US"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2023</w:t>
            </w:r>
            <w:r>
              <w:rPr>
                <w:rFonts w:hint="eastAsia" w:ascii="宋体" w:hAnsi="宋体" w:eastAsia="宋体" w:cs="宋体"/>
                <w:color w:val="000000" w:themeColor="text1"/>
                <w:kern w:val="0"/>
                <w:sz w:val="24"/>
                <w:lang w:val="en-US"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27号），该项目报告中申请总量控制指标为氮氧化物51.08t/a、二氧化硫32.08t/a，相关总量从新疆圣雄电石有限公司许可总量中进行调剂，不额外申请总量控制指标。</w:t>
            </w:r>
          </w:p>
          <w:p w14:paraId="5E745019">
            <w:pPr>
              <w:pageBreakBefore w:val="0"/>
              <w:kinsoku/>
              <w:wordWrap/>
              <w:topLinePunct w:val="0"/>
              <w:autoSpaceDE w:val="0"/>
              <w:autoSpaceDN w:val="0"/>
              <w:bidi w:val="0"/>
              <w:spacing w:line="360" w:lineRule="auto"/>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本项目</w:t>
            </w:r>
            <w:r>
              <w:rPr>
                <w:rFonts w:hint="eastAsia"/>
                <w:color w:val="000000" w:themeColor="text1"/>
                <w:kern w:val="0"/>
                <w:sz w:val="24"/>
                <w:lang w:val="en-US" w:eastAsia="zh-CN"/>
                <w14:textFill>
                  <w14:solidFill>
                    <w14:schemeClr w14:val="tx1"/>
                  </w14:solidFill>
                </w14:textFill>
              </w:rPr>
              <w:t>生产工序仅对荒煤气组分进行分离，</w:t>
            </w:r>
            <w:r>
              <w:rPr>
                <w:color w:val="000000" w:themeColor="text1"/>
                <w:kern w:val="0"/>
                <w:sz w:val="24"/>
                <w14:textFill>
                  <w14:solidFill>
                    <w14:schemeClr w14:val="tx1"/>
                  </w14:solidFill>
                </w14:textFill>
              </w:rPr>
              <w:t>运营期</w:t>
            </w:r>
            <w:r>
              <w:rPr>
                <w:rFonts w:hint="eastAsia"/>
                <w:color w:val="000000" w:themeColor="text1"/>
                <w:kern w:val="0"/>
                <w:sz w:val="24"/>
                <w14:textFill>
                  <w14:solidFill>
                    <w14:schemeClr w14:val="tx1"/>
                  </w14:solidFill>
                </w14:textFill>
              </w:rPr>
              <w:t>无</w:t>
            </w:r>
            <w:r>
              <w:rPr>
                <w:rFonts w:hint="eastAsia"/>
                <w:color w:val="000000" w:themeColor="text1"/>
                <w:kern w:val="0"/>
                <w:sz w:val="24"/>
                <w:lang w:val="en-US" w:eastAsia="zh-CN"/>
                <w14:textFill>
                  <w14:solidFill>
                    <w14:schemeClr w14:val="tx1"/>
                  </w14:solidFill>
                </w14:textFill>
              </w:rPr>
              <w:t>大气污染总量控制指标</w:t>
            </w:r>
            <w:r>
              <w:rPr>
                <w:rFonts w:hint="eastAsia"/>
                <w:color w:val="000000" w:themeColor="text1"/>
                <w:kern w:val="0"/>
                <w:sz w:val="24"/>
                <w14:textFill>
                  <w14:solidFill>
                    <w14:schemeClr w14:val="tx1"/>
                  </w14:solidFill>
                </w14:textFill>
              </w:rPr>
              <w:t>产生，</w:t>
            </w:r>
            <w:r>
              <w:rPr>
                <w:color w:val="000000" w:themeColor="text1"/>
                <w:sz w:val="24"/>
                <w14:textFill>
                  <w14:solidFill>
                    <w14:schemeClr w14:val="tx1"/>
                  </w14:solidFill>
                </w14:textFill>
              </w:rPr>
              <w:t>因此不设置废气总量控制指标。</w:t>
            </w:r>
          </w:p>
          <w:p w14:paraId="273E9CE2">
            <w:pPr>
              <w:pageBreakBefore w:val="0"/>
              <w:kinsoku/>
              <w:wordWrap/>
              <w:topLinePunct w:val="0"/>
              <w:autoSpaceDE w:val="0"/>
              <w:autoSpaceDN w:val="0"/>
              <w:bidi w:val="0"/>
              <w:spacing w:line="360" w:lineRule="auto"/>
              <w:ind w:firstLine="480" w:firstLineChars="200"/>
              <w:rPr>
                <w:kern w:val="0"/>
                <w:sz w:val="24"/>
              </w:rPr>
            </w:pPr>
          </w:p>
          <w:p w14:paraId="2B70FA76">
            <w:pPr>
              <w:pageBreakBefore w:val="0"/>
              <w:kinsoku/>
              <w:wordWrap/>
              <w:topLinePunct w:val="0"/>
              <w:autoSpaceDE w:val="0"/>
              <w:autoSpaceDN w:val="0"/>
              <w:bidi w:val="0"/>
              <w:spacing w:line="360" w:lineRule="auto"/>
              <w:ind w:firstLine="480" w:firstLineChars="200"/>
              <w:rPr>
                <w:kern w:val="0"/>
                <w:sz w:val="24"/>
              </w:rPr>
            </w:pPr>
          </w:p>
          <w:p w14:paraId="01254818">
            <w:pPr>
              <w:pageBreakBefore w:val="0"/>
              <w:kinsoku/>
              <w:wordWrap/>
              <w:topLinePunct w:val="0"/>
              <w:autoSpaceDE w:val="0"/>
              <w:autoSpaceDN w:val="0"/>
              <w:bidi w:val="0"/>
              <w:spacing w:line="360" w:lineRule="auto"/>
              <w:ind w:firstLine="480" w:firstLineChars="200"/>
              <w:rPr>
                <w:kern w:val="0"/>
                <w:sz w:val="24"/>
              </w:rPr>
            </w:pPr>
          </w:p>
          <w:p w14:paraId="53F4FC2D">
            <w:pPr>
              <w:pageBreakBefore w:val="0"/>
              <w:kinsoku/>
              <w:wordWrap/>
              <w:topLinePunct w:val="0"/>
              <w:autoSpaceDE w:val="0"/>
              <w:autoSpaceDN w:val="0"/>
              <w:bidi w:val="0"/>
              <w:spacing w:line="360" w:lineRule="auto"/>
              <w:ind w:firstLine="480" w:firstLineChars="200"/>
              <w:rPr>
                <w:kern w:val="0"/>
                <w:sz w:val="24"/>
              </w:rPr>
            </w:pPr>
          </w:p>
          <w:p w14:paraId="788400CC">
            <w:pPr>
              <w:pageBreakBefore w:val="0"/>
              <w:kinsoku/>
              <w:wordWrap/>
              <w:topLinePunct w:val="0"/>
              <w:autoSpaceDE w:val="0"/>
              <w:autoSpaceDN w:val="0"/>
              <w:bidi w:val="0"/>
              <w:spacing w:line="360" w:lineRule="auto"/>
              <w:ind w:firstLine="480" w:firstLineChars="200"/>
              <w:rPr>
                <w:kern w:val="0"/>
                <w:sz w:val="24"/>
              </w:rPr>
            </w:pPr>
          </w:p>
          <w:p w14:paraId="0098C54D">
            <w:pPr>
              <w:pageBreakBefore w:val="0"/>
              <w:kinsoku/>
              <w:wordWrap/>
              <w:topLinePunct w:val="0"/>
              <w:autoSpaceDE w:val="0"/>
              <w:autoSpaceDN w:val="0"/>
              <w:bidi w:val="0"/>
              <w:spacing w:line="360" w:lineRule="auto"/>
              <w:ind w:firstLine="480" w:firstLineChars="200"/>
              <w:rPr>
                <w:kern w:val="0"/>
                <w:sz w:val="24"/>
              </w:rPr>
            </w:pPr>
          </w:p>
          <w:p w14:paraId="03AAE073">
            <w:pPr>
              <w:pageBreakBefore w:val="0"/>
              <w:kinsoku/>
              <w:wordWrap/>
              <w:topLinePunct w:val="0"/>
              <w:autoSpaceDE w:val="0"/>
              <w:autoSpaceDN w:val="0"/>
              <w:bidi w:val="0"/>
              <w:spacing w:line="360" w:lineRule="auto"/>
              <w:ind w:firstLine="480" w:firstLineChars="200"/>
              <w:rPr>
                <w:kern w:val="0"/>
                <w:sz w:val="24"/>
              </w:rPr>
            </w:pPr>
          </w:p>
        </w:tc>
      </w:tr>
    </w:tbl>
    <w:p w14:paraId="0E2C735D">
      <w:pPr>
        <w:pageBreakBefore w:val="0"/>
        <w:kinsoku/>
        <w:wordWrap/>
        <w:topLinePunct w:val="0"/>
        <w:bidi w:val="0"/>
        <w:spacing w:line="360" w:lineRule="auto"/>
        <w:jc w:val="center"/>
        <w:outlineLvl w:val="0"/>
        <w:rPr>
          <w:rFonts w:eastAsia="黑体"/>
          <w:snapToGrid w:val="0"/>
          <w:sz w:val="30"/>
          <w:szCs w:val="30"/>
        </w:rPr>
      </w:pPr>
      <w:r>
        <w:rPr>
          <w:rFonts w:eastAsia="黑体"/>
          <w:snapToGrid w:val="0"/>
          <w:szCs w:val="21"/>
        </w:rPr>
        <w:br w:type="page"/>
      </w:r>
      <w:bookmarkStart w:id="9" w:name="_Toc31727"/>
      <w:r>
        <w:rPr>
          <w:rFonts w:eastAsia="黑体"/>
          <w:snapToGrid w:val="0"/>
          <w:sz w:val="30"/>
          <w:szCs w:val="30"/>
        </w:rPr>
        <w:t>四、主要环境影响和保护措施</w:t>
      </w:r>
      <w:bookmarkEnd w:id="9"/>
    </w:p>
    <w:tbl>
      <w:tblPr>
        <w:tblStyle w:val="13"/>
        <w:tblW w:w="94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57" w:type="dxa"/>
          <w:bottom w:w="57" w:type="dxa"/>
          <w:right w:w="57" w:type="dxa"/>
        </w:tblCellMar>
      </w:tblPr>
      <w:tblGrid>
        <w:gridCol w:w="704"/>
        <w:gridCol w:w="8707"/>
      </w:tblGrid>
      <w:tr w14:paraId="573F3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jc w:val="center"/>
        </w:trPr>
        <w:tc>
          <w:tcPr>
            <w:tcW w:w="704" w:type="dxa"/>
            <w:tcBorders>
              <w:top w:val="single" w:color="auto" w:sz="8" w:space="0"/>
            </w:tcBorders>
            <w:noWrap w:val="0"/>
            <w:tcMar>
              <w:left w:w="28" w:type="dxa"/>
              <w:right w:w="28" w:type="dxa"/>
            </w:tcMar>
            <w:vAlign w:val="center"/>
          </w:tcPr>
          <w:p w14:paraId="5D45E896">
            <w:pPr>
              <w:pageBreakBefore w:val="0"/>
              <w:kinsoku/>
              <w:wordWrap/>
              <w:topLinePunct w:val="0"/>
              <w:bidi w:val="0"/>
              <w:jc w:val="center"/>
              <w:rPr>
                <w:szCs w:val="21"/>
              </w:rPr>
            </w:pPr>
            <w:r>
              <w:rPr>
                <w:szCs w:val="21"/>
              </w:rPr>
              <w:t>施工</w:t>
            </w:r>
          </w:p>
          <w:p w14:paraId="0A6007AA">
            <w:pPr>
              <w:pageBreakBefore w:val="0"/>
              <w:kinsoku/>
              <w:wordWrap/>
              <w:topLinePunct w:val="0"/>
              <w:bidi w:val="0"/>
              <w:jc w:val="center"/>
              <w:rPr>
                <w:szCs w:val="21"/>
              </w:rPr>
            </w:pPr>
            <w:r>
              <w:rPr>
                <w:szCs w:val="21"/>
              </w:rPr>
              <w:t>期环</w:t>
            </w:r>
          </w:p>
          <w:p w14:paraId="51BD2962">
            <w:pPr>
              <w:pageBreakBefore w:val="0"/>
              <w:kinsoku/>
              <w:wordWrap/>
              <w:topLinePunct w:val="0"/>
              <w:bidi w:val="0"/>
              <w:jc w:val="center"/>
              <w:rPr>
                <w:szCs w:val="21"/>
              </w:rPr>
            </w:pPr>
            <w:r>
              <w:rPr>
                <w:szCs w:val="21"/>
              </w:rPr>
              <w:t>境保</w:t>
            </w:r>
          </w:p>
          <w:p w14:paraId="21E0AEB3">
            <w:pPr>
              <w:pageBreakBefore w:val="0"/>
              <w:kinsoku/>
              <w:wordWrap/>
              <w:topLinePunct w:val="0"/>
              <w:bidi w:val="0"/>
              <w:jc w:val="center"/>
              <w:rPr>
                <w:szCs w:val="21"/>
              </w:rPr>
            </w:pPr>
            <w:r>
              <w:rPr>
                <w:szCs w:val="21"/>
              </w:rPr>
              <w:t>护措</w:t>
            </w:r>
          </w:p>
          <w:p w14:paraId="4BE8F617">
            <w:pPr>
              <w:pageBreakBefore w:val="0"/>
              <w:kinsoku/>
              <w:wordWrap/>
              <w:topLinePunct w:val="0"/>
              <w:bidi w:val="0"/>
              <w:jc w:val="center"/>
              <w:rPr>
                <w:bCs/>
                <w:szCs w:val="21"/>
              </w:rPr>
            </w:pPr>
            <w:r>
              <w:rPr>
                <w:szCs w:val="21"/>
              </w:rPr>
              <w:t>施</w:t>
            </w:r>
          </w:p>
        </w:tc>
        <w:tc>
          <w:tcPr>
            <w:tcW w:w="8707" w:type="dxa"/>
            <w:tcBorders>
              <w:top w:val="single" w:color="auto" w:sz="8" w:space="0"/>
            </w:tcBorders>
            <w:noWrap w:val="0"/>
            <w:vAlign w:val="center"/>
          </w:tcPr>
          <w:p w14:paraId="14BC9657">
            <w:pPr>
              <w:pageBreakBefore w:val="0"/>
              <w:kinsoku/>
              <w:wordWrap/>
              <w:topLinePunct w:val="0"/>
              <w:bidi w:val="0"/>
              <w:spacing w:line="360" w:lineRule="auto"/>
              <w:ind w:firstLine="482" w:firstLineChars="200"/>
              <w:rPr>
                <w:sz w:val="24"/>
              </w:rPr>
            </w:pPr>
            <w:r>
              <w:rPr>
                <w:b/>
                <w:bCs/>
                <w:sz w:val="24"/>
              </w:rPr>
              <w:t>1 施工期大气污染防治措施</w:t>
            </w:r>
          </w:p>
          <w:p w14:paraId="14134A19">
            <w:pPr>
              <w:pageBreakBefore w:val="0"/>
              <w:kinsoku/>
              <w:wordWrap/>
              <w:topLinePunct w:val="0"/>
              <w:bidi w:val="0"/>
              <w:spacing w:line="360" w:lineRule="auto"/>
              <w:ind w:firstLine="482" w:firstLineChars="200"/>
              <w:rPr>
                <w:sz w:val="24"/>
              </w:rPr>
            </w:pPr>
            <w:r>
              <w:rPr>
                <w:b/>
                <w:bCs/>
                <w:sz w:val="24"/>
              </w:rPr>
              <w:t>1.1 施工扬尘</w:t>
            </w:r>
          </w:p>
          <w:p w14:paraId="7A367DB4">
            <w:pPr>
              <w:pageBreakBefore w:val="0"/>
              <w:kinsoku/>
              <w:wordWrap/>
              <w:topLinePunct w:val="0"/>
              <w:bidi w:val="0"/>
              <w:spacing w:line="360" w:lineRule="auto"/>
              <w:ind w:firstLine="480" w:firstLineChars="200"/>
              <w:rPr>
                <w:sz w:val="24"/>
              </w:rPr>
            </w:pPr>
            <w:r>
              <w:rPr>
                <w:sz w:val="24"/>
              </w:rPr>
              <w:t>施工扬尘的主要来源有：土方挖掘扬尘及现场堆放物料扬尘；建筑材料的装卸及堆放扬尘；施工垃圾的清理及堆放扬尘；运输车辆行驶所造成的现场道路扬尘等。</w:t>
            </w:r>
          </w:p>
          <w:p w14:paraId="3B14FA24">
            <w:pPr>
              <w:pageBreakBefore w:val="0"/>
              <w:kinsoku/>
              <w:wordWrap/>
              <w:topLinePunct w:val="0"/>
              <w:bidi w:val="0"/>
              <w:spacing w:line="360" w:lineRule="auto"/>
              <w:ind w:firstLine="480" w:firstLineChars="200"/>
              <w:rPr>
                <w:sz w:val="24"/>
              </w:rPr>
            </w:pPr>
            <w:r>
              <w:rPr>
                <w:sz w:val="24"/>
              </w:rPr>
              <w:t>本项目拟采取如下扬尘防治措施：</w:t>
            </w:r>
          </w:p>
          <w:p w14:paraId="575CA379">
            <w:pPr>
              <w:pageBreakBefore w:val="0"/>
              <w:kinsoku/>
              <w:wordWrap/>
              <w:topLinePunct w:val="0"/>
              <w:bidi w:val="0"/>
              <w:spacing w:line="360" w:lineRule="auto"/>
              <w:ind w:firstLine="480" w:firstLineChars="200"/>
              <w:rPr>
                <w:sz w:val="24"/>
              </w:rPr>
            </w:pPr>
            <w:r>
              <w:rPr>
                <w:sz w:val="24"/>
              </w:rPr>
              <w:t>（1）环保施工标牌的设立：施工现场出入口设置环境保护牌，公示举报电话、扬尘污染控制措施、建设工地负责人、环保监督员、扬尘监管行政主管部门等有关信息，接受社会监督；</w:t>
            </w:r>
          </w:p>
          <w:p w14:paraId="3587223A">
            <w:pPr>
              <w:pageBreakBefore w:val="0"/>
              <w:kinsoku/>
              <w:wordWrap/>
              <w:topLinePunct w:val="0"/>
              <w:bidi w:val="0"/>
              <w:spacing w:line="360" w:lineRule="auto"/>
              <w:ind w:firstLine="480" w:firstLineChars="200"/>
              <w:rPr>
                <w:sz w:val="24"/>
              </w:rPr>
            </w:pPr>
            <w:r>
              <w:rPr>
                <w:sz w:val="24"/>
              </w:rPr>
              <w:t>（2）施工场地围挡：施工</w:t>
            </w:r>
            <w:r>
              <w:rPr>
                <w:rFonts w:hint="eastAsia"/>
                <w:sz w:val="24"/>
              </w:rPr>
              <w:t>场地</w:t>
            </w:r>
            <w:r>
              <w:rPr>
                <w:sz w:val="24"/>
              </w:rPr>
              <w:t>周围按照规范设置硬质材料密闭围挡（其高度不得低于1.8m；围挡底部设置不低于20cm的防溢座，顶端设置压顶），可最大限度减少施工扬尘对其产生的影响；</w:t>
            </w:r>
          </w:p>
          <w:p w14:paraId="412B766B">
            <w:pPr>
              <w:pageBreakBefore w:val="0"/>
              <w:kinsoku/>
              <w:wordWrap/>
              <w:topLinePunct w:val="0"/>
              <w:bidi w:val="0"/>
              <w:spacing w:line="360" w:lineRule="auto"/>
              <w:ind w:firstLine="480" w:firstLineChars="200"/>
              <w:rPr>
                <w:sz w:val="24"/>
              </w:rPr>
            </w:pPr>
            <w:r>
              <w:rPr>
                <w:sz w:val="24"/>
              </w:rPr>
              <w:t>（3）进出车辆的清洗：建筑施工工地进出口应当设置车辆清洗设备及配套的排水、泥浆沉淀设施，按规定处置泥浆和废水排放，沉淀池需定期清理；运送建筑物料的车辆驶出工地应当进行冲洗，防止泥水溢流，周边一百米以内的道路应当保持清洁，不得存留建筑垃圾和泥土；</w:t>
            </w:r>
          </w:p>
          <w:p w14:paraId="74D5E892">
            <w:pPr>
              <w:pageBreakBefore w:val="0"/>
              <w:kinsoku/>
              <w:wordWrap/>
              <w:topLinePunct w:val="0"/>
              <w:bidi w:val="0"/>
              <w:spacing w:line="360" w:lineRule="auto"/>
              <w:ind w:firstLine="480" w:firstLineChars="200"/>
              <w:rPr>
                <w:sz w:val="24"/>
              </w:rPr>
            </w:pPr>
            <w:r>
              <w:rPr>
                <w:sz w:val="24"/>
              </w:rPr>
              <w:t>（4）施工工地硬化：施工工地生活区路面、出入口、车行道路应当采取硬化、洒水等降尘措施；</w:t>
            </w:r>
          </w:p>
          <w:p w14:paraId="636773F0">
            <w:pPr>
              <w:pageBreakBefore w:val="0"/>
              <w:kinsoku/>
              <w:wordWrap/>
              <w:topLinePunct w:val="0"/>
              <w:bidi w:val="0"/>
              <w:spacing w:line="360" w:lineRule="auto"/>
              <w:ind w:firstLine="480" w:firstLineChars="200"/>
              <w:rPr>
                <w:sz w:val="24"/>
              </w:rPr>
            </w:pPr>
            <w:r>
              <w:rPr>
                <w:sz w:val="24"/>
              </w:rPr>
              <w:t>（5）工程堆料的防尘：工地内堆放的工程材料、砂石、土方等易产生扬尘的物料应当在库房内存放或者采取覆盖防尘网或者防尘布，定期采取喷洒粉尘抑制剂、洒水等措施，防止风蚀起尘；</w:t>
            </w:r>
          </w:p>
          <w:p w14:paraId="34A9AA49">
            <w:pPr>
              <w:pageBreakBefore w:val="0"/>
              <w:kinsoku/>
              <w:wordWrap/>
              <w:topLinePunct w:val="0"/>
              <w:bidi w:val="0"/>
              <w:spacing w:line="360" w:lineRule="auto"/>
              <w:ind w:firstLine="480" w:firstLineChars="200"/>
              <w:rPr>
                <w:sz w:val="24"/>
              </w:rPr>
            </w:pPr>
            <w:r>
              <w:rPr>
                <w:sz w:val="24"/>
              </w:rPr>
              <w:t>（6）建筑垃圾覆盖运输：建筑垃圾、工程渣土不能在规定的时间内及时清运的，应当在施工场地内实施覆盖或者采取其他有效防尘措施；</w:t>
            </w:r>
          </w:p>
          <w:p w14:paraId="3A40A666">
            <w:pPr>
              <w:pageBreakBefore w:val="0"/>
              <w:kinsoku/>
              <w:wordWrap/>
              <w:topLinePunct w:val="0"/>
              <w:bidi w:val="0"/>
              <w:spacing w:line="360" w:lineRule="auto"/>
              <w:ind w:firstLine="480" w:firstLineChars="200"/>
              <w:rPr>
                <w:sz w:val="24"/>
              </w:rPr>
            </w:pPr>
            <w:r>
              <w:rPr>
                <w:sz w:val="24"/>
              </w:rPr>
              <w:t>（7）施工湿法作业：施工</w:t>
            </w:r>
            <w:r>
              <w:rPr>
                <w:rFonts w:hint="eastAsia"/>
                <w:sz w:val="24"/>
              </w:rPr>
              <w:t>场地</w:t>
            </w:r>
            <w:r>
              <w:rPr>
                <w:sz w:val="24"/>
              </w:rPr>
              <w:t>倒土时必须配备洒水设施，实施湿法作业，机械拆除建筑物、构筑物时，必须辅以持续加压洒水或喷淋措施；</w:t>
            </w:r>
          </w:p>
          <w:p w14:paraId="196772E7">
            <w:pPr>
              <w:pageBreakBefore w:val="0"/>
              <w:kinsoku/>
              <w:wordWrap/>
              <w:topLinePunct w:val="0"/>
              <w:bidi w:val="0"/>
              <w:spacing w:line="360" w:lineRule="auto"/>
              <w:ind w:firstLine="480" w:firstLineChars="200"/>
              <w:rPr>
                <w:sz w:val="24"/>
              </w:rPr>
            </w:pPr>
            <w:r>
              <w:rPr>
                <w:sz w:val="24"/>
              </w:rPr>
              <w:t>（8）泥浆工程环保施工：有泥浆的施工作业，应当配备相应的泥浆池、泥浆沟，做到泥浆不外流，废浆应当采用密封式罐车外运；</w:t>
            </w:r>
          </w:p>
          <w:p w14:paraId="02446CAD">
            <w:pPr>
              <w:pageBreakBefore w:val="0"/>
              <w:kinsoku/>
              <w:wordWrap/>
              <w:topLinePunct w:val="0"/>
              <w:bidi w:val="0"/>
              <w:spacing w:line="360" w:lineRule="auto"/>
              <w:ind w:firstLine="480" w:firstLineChars="200"/>
              <w:rPr>
                <w:sz w:val="24"/>
              </w:rPr>
            </w:pPr>
            <w:r>
              <w:rPr>
                <w:sz w:val="24"/>
              </w:rPr>
              <w:t>（9）场地防风覆盖：工地内暂未施工的区域应当覆盖、硬化或者绿化，暂未开工的建设用地，由土地使用权人负责对裸露地面进行覆盖，超过三个月的，应当进行绿化；</w:t>
            </w:r>
          </w:p>
          <w:p w14:paraId="4B84AEDC">
            <w:pPr>
              <w:pageBreakBefore w:val="0"/>
              <w:kinsoku/>
              <w:wordWrap/>
              <w:topLinePunct w:val="0"/>
              <w:bidi w:val="0"/>
              <w:spacing w:line="360" w:lineRule="auto"/>
              <w:ind w:firstLine="480" w:firstLineChars="200"/>
              <w:rPr>
                <w:sz w:val="24"/>
              </w:rPr>
            </w:pPr>
            <w:r>
              <w:rPr>
                <w:sz w:val="24"/>
              </w:rPr>
              <w:t>（10）防尘分段施工：土方、拆除、洗刨工程作业时应当分段作业，采取洒水压尘措施，缩短起尘操作时间；</w:t>
            </w:r>
          </w:p>
          <w:p w14:paraId="23E358B4">
            <w:pPr>
              <w:pageBreakBefore w:val="0"/>
              <w:kinsoku/>
              <w:wordWrap/>
              <w:topLinePunct w:val="0"/>
              <w:bidi w:val="0"/>
              <w:spacing w:line="360" w:lineRule="auto"/>
              <w:ind w:firstLine="480" w:firstLineChars="200"/>
              <w:rPr>
                <w:sz w:val="24"/>
              </w:rPr>
            </w:pPr>
            <w:r>
              <w:rPr>
                <w:sz w:val="24"/>
              </w:rPr>
              <w:t>（11）大风天禁止施工：气象预报风速达到四级以上或出现重污染天气状况时，严禁土石方、开挖、回填、倒土、土地平整等可能产生扬尘的施工作业，同时要对现场采取覆盖、洒水等降尘措施；</w:t>
            </w:r>
          </w:p>
          <w:p w14:paraId="7D6E715E">
            <w:pPr>
              <w:pageBreakBefore w:val="0"/>
              <w:kinsoku/>
              <w:wordWrap/>
              <w:topLinePunct w:val="0"/>
              <w:bidi w:val="0"/>
              <w:spacing w:line="360" w:lineRule="auto"/>
              <w:ind w:firstLine="480" w:firstLineChars="200"/>
              <w:rPr>
                <w:sz w:val="24"/>
              </w:rPr>
            </w:pPr>
            <w:r>
              <w:rPr>
                <w:sz w:val="24"/>
              </w:rPr>
              <w:t>（12）建筑防尘网：建筑施工脚手架外侧应当设置有效抑尘的密目防尘网或防尘布，拆除时应当采取洒水、喷雾等防尘措施；</w:t>
            </w:r>
          </w:p>
          <w:p w14:paraId="09F42D51">
            <w:pPr>
              <w:pageBreakBefore w:val="0"/>
              <w:kinsoku/>
              <w:wordWrap/>
              <w:topLinePunct w:val="0"/>
              <w:bidi w:val="0"/>
              <w:spacing w:line="360" w:lineRule="auto"/>
              <w:ind w:firstLine="480" w:firstLineChars="200"/>
              <w:rPr>
                <w:sz w:val="24"/>
              </w:rPr>
            </w:pPr>
            <w:r>
              <w:rPr>
                <w:sz w:val="24"/>
              </w:rPr>
              <w:t>（13）其他要求：在建筑物、构筑物上空运送散装物料、建筑垃圾和渣土的，应当采用密闭方式清理运输，禁止高空抛掷、扬撒；城区施工工地禁止现场搅拌混凝土和砂浆，强制使用预拌混凝土和预拌砂浆。其他区域的建设工程在现场搅拌砂浆的，应当配备降尘防尘装置。</w:t>
            </w:r>
          </w:p>
          <w:p w14:paraId="7DE79F20">
            <w:pPr>
              <w:pageBreakBefore w:val="0"/>
              <w:kinsoku/>
              <w:wordWrap/>
              <w:topLinePunct w:val="0"/>
              <w:bidi w:val="0"/>
              <w:spacing w:line="360" w:lineRule="auto"/>
              <w:ind w:firstLine="482" w:firstLineChars="200"/>
              <w:rPr>
                <w:sz w:val="24"/>
              </w:rPr>
            </w:pPr>
            <w:r>
              <w:rPr>
                <w:b/>
                <w:bCs/>
                <w:sz w:val="24"/>
              </w:rPr>
              <w:t>1.2 施工机械废气</w:t>
            </w:r>
          </w:p>
          <w:p w14:paraId="1307BD79">
            <w:pPr>
              <w:pageBreakBefore w:val="0"/>
              <w:kinsoku/>
              <w:wordWrap/>
              <w:topLinePunct w:val="0"/>
              <w:bidi w:val="0"/>
              <w:spacing w:line="360" w:lineRule="auto"/>
              <w:ind w:firstLine="480" w:firstLineChars="200"/>
              <w:rPr>
                <w:sz w:val="24"/>
              </w:rPr>
            </w:pPr>
            <w:r>
              <w:rPr>
                <w:sz w:val="24"/>
              </w:rPr>
              <w:t>（1）施工机械达标排放</w:t>
            </w:r>
          </w:p>
          <w:p w14:paraId="0F88CF8E">
            <w:pPr>
              <w:pageBreakBefore w:val="0"/>
              <w:kinsoku/>
              <w:wordWrap/>
              <w:topLinePunct w:val="0"/>
              <w:bidi w:val="0"/>
              <w:spacing w:line="360" w:lineRule="auto"/>
              <w:ind w:firstLine="480" w:firstLineChars="200"/>
              <w:rPr>
                <w:sz w:val="24"/>
              </w:rPr>
            </w:pPr>
            <w:r>
              <w:rPr>
                <w:sz w:val="24"/>
              </w:rPr>
              <w:t>施工过程中非道路移动机械用柴油机废气排放，必须执行并满足《非道路移动机械用柴油机排气污染物排放限值及测量方法（中国第三、四阶段）》（GB 20891-2014）（含修改单）中有关规定及排放限值要求；</w:t>
            </w:r>
          </w:p>
          <w:p w14:paraId="60065C28">
            <w:pPr>
              <w:pageBreakBefore w:val="0"/>
              <w:kinsoku/>
              <w:wordWrap/>
              <w:topLinePunct w:val="0"/>
              <w:bidi w:val="0"/>
              <w:spacing w:line="360" w:lineRule="auto"/>
              <w:ind w:firstLine="480" w:firstLineChars="200"/>
              <w:rPr>
                <w:sz w:val="24"/>
              </w:rPr>
            </w:pPr>
            <w:r>
              <w:rPr>
                <w:sz w:val="24"/>
              </w:rPr>
              <w:t>（2）施工机械合理调度</w:t>
            </w:r>
          </w:p>
          <w:p w14:paraId="560B27E0">
            <w:pPr>
              <w:pageBreakBefore w:val="0"/>
              <w:kinsoku/>
              <w:wordWrap/>
              <w:topLinePunct w:val="0"/>
              <w:bidi w:val="0"/>
              <w:spacing w:line="360" w:lineRule="auto"/>
              <w:ind w:firstLine="480" w:firstLineChars="200"/>
              <w:rPr>
                <w:sz w:val="24"/>
              </w:rPr>
            </w:pPr>
            <w:r>
              <w:rPr>
                <w:sz w:val="24"/>
              </w:rPr>
              <w:t>合理调度施工机械设备，确保设备有效使用，避免空转，减少污染物排放。</w:t>
            </w:r>
          </w:p>
          <w:p w14:paraId="1AB7D8B7">
            <w:pPr>
              <w:pageBreakBefore w:val="0"/>
              <w:kinsoku/>
              <w:wordWrap/>
              <w:topLinePunct w:val="0"/>
              <w:bidi w:val="0"/>
              <w:spacing w:line="360" w:lineRule="auto"/>
              <w:ind w:firstLine="482" w:firstLineChars="200"/>
              <w:rPr>
                <w:b/>
                <w:sz w:val="24"/>
              </w:rPr>
            </w:pPr>
            <w:r>
              <w:rPr>
                <w:b/>
                <w:sz w:val="24"/>
              </w:rPr>
              <w:t>1.3 施工期废气影响小结</w:t>
            </w:r>
          </w:p>
          <w:p w14:paraId="076F7488">
            <w:pPr>
              <w:pageBreakBefore w:val="0"/>
              <w:kinsoku/>
              <w:wordWrap/>
              <w:topLinePunct w:val="0"/>
              <w:bidi w:val="0"/>
              <w:spacing w:line="360" w:lineRule="auto"/>
              <w:ind w:firstLine="480" w:firstLineChars="200"/>
              <w:rPr>
                <w:sz w:val="24"/>
              </w:rPr>
            </w:pPr>
            <w:r>
              <w:rPr>
                <w:sz w:val="24"/>
              </w:rPr>
              <w:t>本项目</w:t>
            </w:r>
            <w:r>
              <w:rPr>
                <w:rFonts w:hint="eastAsia"/>
                <w:sz w:val="24"/>
              </w:rPr>
              <w:t>位于新疆圣雄能源股份有限公司同心工业园内，项目大气评价范围内</w:t>
            </w:r>
            <w:r>
              <w:rPr>
                <w:sz w:val="24"/>
              </w:rPr>
              <w:t>无环境敏感点。施工期大气影响以施工扬尘为主，仅存在于场区周边范围内，因此不会对当地大气环境造成显著影响。</w:t>
            </w:r>
          </w:p>
          <w:p w14:paraId="59C4F0EE">
            <w:pPr>
              <w:pageBreakBefore w:val="0"/>
              <w:kinsoku/>
              <w:wordWrap/>
              <w:topLinePunct w:val="0"/>
              <w:bidi w:val="0"/>
              <w:spacing w:line="360" w:lineRule="auto"/>
              <w:ind w:firstLine="482" w:firstLineChars="200"/>
              <w:rPr>
                <w:kern w:val="0"/>
                <w:sz w:val="24"/>
              </w:rPr>
            </w:pPr>
            <w:r>
              <w:rPr>
                <w:b/>
                <w:bCs/>
                <w:kern w:val="0"/>
                <w:sz w:val="24"/>
              </w:rPr>
              <w:t xml:space="preserve">2 </w:t>
            </w:r>
            <w:r>
              <w:rPr>
                <w:b/>
                <w:bCs/>
                <w:sz w:val="24"/>
              </w:rPr>
              <w:t>施工期</w:t>
            </w:r>
            <w:r>
              <w:rPr>
                <w:b/>
                <w:bCs/>
                <w:kern w:val="0"/>
                <w:sz w:val="24"/>
              </w:rPr>
              <w:t>水污染防治措施</w:t>
            </w:r>
          </w:p>
          <w:p w14:paraId="23FE88F1">
            <w:pPr>
              <w:pageBreakBefore w:val="0"/>
              <w:kinsoku/>
              <w:wordWrap/>
              <w:topLinePunct w:val="0"/>
              <w:bidi w:val="0"/>
              <w:spacing w:line="360" w:lineRule="auto"/>
              <w:ind w:firstLine="480" w:firstLineChars="200"/>
              <w:rPr>
                <w:sz w:val="24"/>
              </w:rPr>
            </w:pPr>
            <w:r>
              <w:rPr>
                <w:rFonts w:hint="eastAsia"/>
                <w:sz w:val="24"/>
              </w:rPr>
              <w:t>本</w:t>
            </w:r>
            <w:r>
              <w:rPr>
                <w:sz w:val="24"/>
              </w:rPr>
              <w:t>项目施工期废水包括施工人员</w:t>
            </w:r>
            <w:r>
              <w:rPr>
                <w:rFonts w:hint="eastAsia"/>
                <w:sz w:val="24"/>
              </w:rPr>
              <w:t>生活污水</w:t>
            </w:r>
            <w:r>
              <w:rPr>
                <w:sz w:val="24"/>
              </w:rPr>
              <w:t>和施工废水</w:t>
            </w:r>
            <w:r>
              <w:rPr>
                <w:rFonts w:hint="eastAsia"/>
                <w:sz w:val="24"/>
              </w:rPr>
              <w:t>。</w:t>
            </w:r>
            <w:r>
              <w:rPr>
                <w:sz w:val="24"/>
              </w:rPr>
              <w:t>为避免施工期废水肆意排放对环境的不良影响，评价要求项目建设单位必须加强施工场地管理：</w:t>
            </w:r>
          </w:p>
          <w:p w14:paraId="7AB495B3">
            <w:pPr>
              <w:pageBreakBefore w:val="0"/>
              <w:kinsoku/>
              <w:wordWrap/>
              <w:topLinePunct w:val="0"/>
              <w:bidi w:val="0"/>
              <w:spacing w:line="360" w:lineRule="auto"/>
              <w:ind w:firstLine="480" w:firstLineChars="200"/>
              <w:rPr>
                <w:sz w:val="24"/>
              </w:rPr>
            </w:pPr>
            <w:r>
              <w:rPr>
                <w:sz w:val="24"/>
              </w:rPr>
              <w:t>（1）</w:t>
            </w:r>
            <w:r>
              <w:rPr>
                <w:rFonts w:hint="eastAsia"/>
                <w:sz w:val="24"/>
              </w:rPr>
              <w:t>本项目施工期不设置宿舍，</w:t>
            </w:r>
            <w:r>
              <w:rPr>
                <w:sz w:val="24"/>
              </w:rPr>
              <w:t>施工人员生活污水依托</w:t>
            </w:r>
            <w:r>
              <w:rPr>
                <w:rFonts w:hint="eastAsia"/>
                <w:sz w:val="24"/>
              </w:rPr>
              <w:t>现有项目公共厕所和园区排水管网排放，最终汇入圣雄电石有限公司生活污水处理站进行统一处理</w:t>
            </w:r>
            <w:r>
              <w:rPr>
                <w:sz w:val="24"/>
              </w:rPr>
              <w:t>；</w:t>
            </w:r>
          </w:p>
          <w:p w14:paraId="66F71CA7">
            <w:pPr>
              <w:pageBreakBefore w:val="0"/>
              <w:kinsoku/>
              <w:wordWrap/>
              <w:topLinePunct w:val="0"/>
              <w:bidi w:val="0"/>
              <w:spacing w:line="360" w:lineRule="auto"/>
              <w:ind w:firstLine="480" w:firstLineChars="200"/>
              <w:rPr>
                <w:sz w:val="24"/>
              </w:rPr>
            </w:pPr>
            <w:r>
              <w:rPr>
                <w:sz w:val="24"/>
              </w:rPr>
              <w:t>（2）施工初期，场地平整、地基开挖和混凝土养护等，会产生浑浊的施工废水，将这类施工废水设沉砂池沉淀处理后尽量循环使用；</w:t>
            </w:r>
          </w:p>
          <w:p w14:paraId="29D03DEF">
            <w:pPr>
              <w:pageBreakBefore w:val="0"/>
              <w:kinsoku/>
              <w:wordWrap/>
              <w:topLinePunct w:val="0"/>
              <w:bidi w:val="0"/>
              <w:spacing w:line="360" w:lineRule="auto"/>
              <w:ind w:firstLine="480" w:firstLineChars="200"/>
              <w:rPr>
                <w:sz w:val="24"/>
              </w:rPr>
            </w:pPr>
            <w:r>
              <w:rPr>
                <w:sz w:val="24"/>
              </w:rPr>
              <w:t>（3）施工机械在保养和冲洗时将产生含石油类废水，经隔油、沉淀处理后对场地进行洒水降尘</w:t>
            </w:r>
            <w:r>
              <w:rPr>
                <w:rFonts w:hint="eastAsia"/>
                <w:sz w:val="24"/>
              </w:rPr>
              <w:t>，收集后的表层油类经封装后委托有对应类别危废处置资质的单位负责清运并处置</w:t>
            </w:r>
            <w:r>
              <w:rPr>
                <w:sz w:val="24"/>
              </w:rPr>
              <w:t>。</w:t>
            </w:r>
          </w:p>
          <w:p w14:paraId="41681873">
            <w:pPr>
              <w:pageBreakBefore w:val="0"/>
              <w:kinsoku/>
              <w:wordWrap/>
              <w:topLinePunct w:val="0"/>
              <w:bidi w:val="0"/>
              <w:spacing w:line="360" w:lineRule="auto"/>
              <w:ind w:firstLine="482" w:firstLineChars="200"/>
              <w:rPr>
                <w:kern w:val="0"/>
                <w:sz w:val="24"/>
              </w:rPr>
            </w:pPr>
            <w:r>
              <w:rPr>
                <w:b/>
                <w:bCs/>
                <w:kern w:val="0"/>
                <w:sz w:val="24"/>
              </w:rPr>
              <w:t xml:space="preserve">3 </w:t>
            </w:r>
            <w:r>
              <w:rPr>
                <w:b/>
                <w:bCs/>
                <w:sz w:val="24"/>
              </w:rPr>
              <w:t>施工期</w:t>
            </w:r>
            <w:r>
              <w:rPr>
                <w:b/>
                <w:bCs/>
                <w:kern w:val="0"/>
                <w:sz w:val="24"/>
              </w:rPr>
              <w:t>噪声污染防治措施</w:t>
            </w:r>
          </w:p>
          <w:p w14:paraId="238B9809">
            <w:pPr>
              <w:pageBreakBefore w:val="0"/>
              <w:kinsoku/>
              <w:wordWrap/>
              <w:topLinePunct w:val="0"/>
              <w:bidi w:val="0"/>
              <w:spacing w:line="360" w:lineRule="auto"/>
              <w:ind w:firstLine="480" w:firstLineChars="200"/>
              <w:rPr>
                <w:sz w:val="24"/>
              </w:rPr>
            </w:pPr>
            <w:r>
              <w:rPr>
                <w:sz w:val="24"/>
              </w:rPr>
              <w:t>为最大限度地减少施工噪声对环境的影响，确保施工期噪声达到《建筑施工场界环境噪声排放标准》（GB 12523-2011），并结合本项目的施工实际，要求如下：</w:t>
            </w:r>
          </w:p>
          <w:p w14:paraId="7D3EFCAB">
            <w:pPr>
              <w:pageBreakBefore w:val="0"/>
              <w:kinsoku/>
              <w:wordWrap/>
              <w:topLinePunct w:val="0"/>
              <w:bidi w:val="0"/>
              <w:spacing w:line="360" w:lineRule="auto"/>
              <w:ind w:firstLine="480" w:firstLineChars="200"/>
              <w:rPr>
                <w:sz w:val="24"/>
              </w:rPr>
            </w:pPr>
            <w:r>
              <w:rPr>
                <w:sz w:val="24"/>
              </w:rPr>
              <w:t>（1）加强施工时间管控：合理安排施工时间，避免大量高噪声设备同时施工，采用先进的混凝土施工工艺；</w:t>
            </w:r>
          </w:p>
          <w:p w14:paraId="03249B1B">
            <w:pPr>
              <w:pageBreakBefore w:val="0"/>
              <w:kinsoku/>
              <w:wordWrap/>
              <w:topLinePunct w:val="0"/>
              <w:bidi w:val="0"/>
              <w:spacing w:line="360" w:lineRule="auto"/>
              <w:ind w:firstLine="480" w:firstLineChars="200"/>
              <w:rPr>
                <w:sz w:val="24"/>
              </w:rPr>
            </w:pPr>
            <w:r>
              <w:rPr>
                <w:sz w:val="24"/>
              </w:rPr>
              <w:t>（2）施工场地优化布局：合理布置施工现场，避免在施工现场的同一地点安排大量的高噪声设备，造成局部声级过高；将高噪声设备尽量放置在场地中部，减弱对厂界噪声贡献值；合理安排强噪声施工机械的工作频次，合理调配车辆来往行车密度；</w:t>
            </w:r>
          </w:p>
          <w:p w14:paraId="4A20AC7B">
            <w:pPr>
              <w:pageBreakBefore w:val="0"/>
              <w:kinsoku/>
              <w:wordWrap/>
              <w:topLinePunct w:val="0"/>
              <w:bidi w:val="0"/>
              <w:spacing w:line="360" w:lineRule="auto"/>
              <w:ind w:firstLine="480" w:firstLineChars="200"/>
              <w:rPr>
                <w:sz w:val="24"/>
              </w:rPr>
            </w:pPr>
            <w:r>
              <w:rPr>
                <w:sz w:val="24"/>
              </w:rPr>
              <w:t>（3）噪声源头控制：采用低噪声的施工工艺和施工方法，选用低噪声设备，如振捣器采用高频振捣器等，使用商品混凝土，避免混凝土搅拌机等噪声的影响；对动力机械设备定期进行维修和养护，避免因松动部件振动或消声器损坏而加大设备工作时的声级；模板、支架拆卸过程中，遵守作业规定，减少碰撞噪声；少用哨子、喇叭、笛等指挥作业，减少人为噪声；运输车辆在进入施工区附近区域后要降低车速，避免鸣笛；在不影响施工情况下将噪声设备尽量不集中安排，并将其移至距离居民住宅等敏感点较远处，对位置相对固定的机械设备，能设在隔声棚内操作的尽量进入隔声棚，隔声棚的墙高度应超过设备1.5m以上，墙宽度要使噪声敏感点阻隔在噪声发射角以外，顶部可用双层石棉瓦加盖；对不能入棚的机械设备，可适当建立单面声屏障，声屏障可选用砖石料、混凝土、木材、金属、轻型多孔吸声复合材料建造，当采用木材、多孔吸声材料时，应做防火、防腐处理。</w:t>
            </w:r>
          </w:p>
          <w:p w14:paraId="34CE79CC">
            <w:pPr>
              <w:pageBreakBefore w:val="0"/>
              <w:kinsoku/>
              <w:wordWrap/>
              <w:topLinePunct w:val="0"/>
              <w:bidi w:val="0"/>
              <w:spacing w:line="360" w:lineRule="auto"/>
              <w:ind w:firstLine="482" w:firstLineChars="200"/>
              <w:rPr>
                <w:kern w:val="0"/>
                <w:sz w:val="24"/>
              </w:rPr>
            </w:pPr>
            <w:r>
              <w:rPr>
                <w:b/>
                <w:bCs/>
                <w:kern w:val="0"/>
                <w:sz w:val="24"/>
              </w:rPr>
              <w:t xml:space="preserve">4 </w:t>
            </w:r>
            <w:r>
              <w:rPr>
                <w:b/>
                <w:bCs/>
                <w:sz w:val="24"/>
              </w:rPr>
              <w:t>施工期</w:t>
            </w:r>
            <w:r>
              <w:rPr>
                <w:b/>
                <w:bCs/>
                <w:kern w:val="0"/>
                <w:sz w:val="24"/>
              </w:rPr>
              <w:t>固体废物污染防治措施</w:t>
            </w:r>
          </w:p>
          <w:p w14:paraId="2BD1BD97">
            <w:pPr>
              <w:pageBreakBefore w:val="0"/>
              <w:kinsoku/>
              <w:wordWrap/>
              <w:topLinePunct w:val="0"/>
              <w:bidi w:val="0"/>
              <w:spacing w:line="360" w:lineRule="auto"/>
              <w:ind w:firstLine="480" w:firstLineChars="200"/>
              <w:rPr>
                <w:sz w:val="24"/>
              </w:rPr>
            </w:pPr>
            <w:r>
              <w:rPr>
                <w:sz w:val="24"/>
              </w:rPr>
              <w:t>对施工期产生的固废废物采取以下防治措施：</w:t>
            </w:r>
          </w:p>
          <w:p w14:paraId="3F9B09CD">
            <w:pPr>
              <w:pageBreakBefore w:val="0"/>
              <w:kinsoku/>
              <w:wordWrap/>
              <w:topLinePunct w:val="0"/>
              <w:bidi w:val="0"/>
              <w:spacing w:line="360" w:lineRule="auto"/>
              <w:ind w:firstLine="480" w:firstLineChars="200"/>
              <w:rPr>
                <w:sz w:val="24"/>
              </w:rPr>
            </w:pPr>
            <w:r>
              <w:rPr>
                <w:sz w:val="24"/>
              </w:rPr>
              <w:t>（1）文明施工管理：加强施工人员管理，培养环境保护意识，禁止生活垃圾随意丢弃；</w:t>
            </w:r>
          </w:p>
          <w:p w14:paraId="2AFA3FA6">
            <w:pPr>
              <w:pageBreakBefore w:val="0"/>
              <w:kinsoku/>
              <w:wordWrap/>
              <w:topLinePunct w:val="0"/>
              <w:bidi w:val="0"/>
              <w:spacing w:line="360" w:lineRule="auto"/>
              <w:ind w:firstLine="480" w:firstLineChars="200"/>
              <w:rPr>
                <w:sz w:val="24"/>
              </w:rPr>
            </w:pPr>
            <w:r>
              <w:rPr>
                <w:sz w:val="24"/>
              </w:rPr>
              <w:t>（2）生活垃圾收集清运：定点投放垃圾桶，及时委托环卫部门清理；</w:t>
            </w:r>
          </w:p>
          <w:p w14:paraId="711C1C27">
            <w:pPr>
              <w:pageBreakBefore w:val="0"/>
              <w:kinsoku/>
              <w:wordWrap/>
              <w:topLinePunct w:val="0"/>
              <w:bidi w:val="0"/>
              <w:spacing w:line="360" w:lineRule="auto"/>
              <w:ind w:firstLine="480" w:firstLineChars="200"/>
              <w:rPr>
                <w:sz w:val="24"/>
              </w:rPr>
            </w:pPr>
            <w:r>
              <w:rPr>
                <w:sz w:val="24"/>
              </w:rPr>
              <w:t>（3）建筑垃圾综合利用：施工中产生的建筑垃圾采用分类收集的方式进行收集，可再生利用部分收集后出售；</w:t>
            </w:r>
          </w:p>
          <w:p w14:paraId="557929F7">
            <w:pPr>
              <w:pageBreakBefore w:val="0"/>
              <w:kinsoku/>
              <w:wordWrap/>
              <w:topLinePunct w:val="0"/>
              <w:bidi w:val="0"/>
              <w:spacing w:line="360" w:lineRule="auto"/>
              <w:ind w:firstLine="480" w:firstLineChars="200"/>
              <w:rPr>
                <w:sz w:val="24"/>
              </w:rPr>
            </w:pPr>
            <w:r>
              <w:rPr>
                <w:sz w:val="24"/>
              </w:rPr>
              <w:t>（4）加强运输管理：施工单位加强施工管理，规范运输，不得</w:t>
            </w:r>
            <w:r>
              <w:rPr>
                <w:rFonts w:hint="eastAsia"/>
                <w:sz w:val="24"/>
              </w:rPr>
              <w:t>随意</w:t>
            </w:r>
            <w:r>
              <w:rPr>
                <w:sz w:val="24"/>
              </w:rPr>
              <w:t>洒落，不得随意堆放；</w:t>
            </w:r>
          </w:p>
          <w:p w14:paraId="1A7B2362">
            <w:pPr>
              <w:pageBreakBefore w:val="0"/>
              <w:kinsoku/>
              <w:wordWrap/>
              <w:topLinePunct w:val="0"/>
              <w:bidi w:val="0"/>
              <w:spacing w:line="360" w:lineRule="auto"/>
              <w:ind w:firstLine="480" w:firstLineChars="200"/>
              <w:rPr>
                <w:sz w:val="24"/>
              </w:rPr>
            </w:pPr>
            <w:r>
              <w:rPr>
                <w:sz w:val="24"/>
              </w:rPr>
              <w:t>（5）办理准运手续：运输建筑垃圾前，到相应的渣土管理机构办理准运证，并按规定的运输时间、路线运送至指定的建筑垃圾收纳场地。</w:t>
            </w:r>
          </w:p>
          <w:p w14:paraId="4E7F2710">
            <w:pPr>
              <w:pageBreakBefore w:val="0"/>
              <w:kinsoku/>
              <w:wordWrap/>
              <w:topLinePunct w:val="0"/>
              <w:bidi w:val="0"/>
              <w:spacing w:line="360" w:lineRule="auto"/>
              <w:ind w:firstLine="482" w:firstLineChars="200"/>
              <w:rPr>
                <w:sz w:val="24"/>
              </w:rPr>
            </w:pPr>
            <w:r>
              <w:rPr>
                <w:rFonts w:hint="eastAsia"/>
                <w:b/>
                <w:bCs/>
                <w:sz w:val="24"/>
              </w:rPr>
              <w:t>5 施工期生态影响及防护措施</w:t>
            </w:r>
          </w:p>
          <w:p w14:paraId="30055EEB">
            <w:pPr>
              <w:pageBreakBefore w:val="0"/>
              <w:kinsoku/>
              <w:wordWrap/>
              <w:topLinePunct w:val="0"/>
              <w:bidi w:val="0"/>
              <w:spacing w:line="360" w:lineRule="auto"/>
              <w:ind w:firstLine="480" w:firstLineChars="200"/>
              <w:rPr>
                <w:sz w:val="24"/>
              </w:rPr>
            </w:pPr>
            <w:r>
              <w:rPr>
                <w:rFonts w:hint="eastAsia"/>
                <w:sz w:val="24"/>
              </w:rPr>
              <w:t>本项目建设过程中将不可避免地破坏所在区域的植被，改变所在区域的植被分布及构成。由于选址区域为裸土地，已经过人工平整，无原生植被残留，施工过程对植被的影响甚微，建议项目建成前在厂区外围栽种适合当地气候的乔木类植被，可改善项目区域的植被环境。</w:t>
            </w:r>
          </w:p>
          <w:p w14:paraId="4071340B">
            <w:pPr>
              <w:pageBreakBefore w:val="0"/>
              <w:kinsoku/>
              <w:wordWrap/>
              <w:topLinePunct w:val="0"/>
              <w:bidi w:val="0"/>
              <w:spacing w:line="360" w:lineRule="auto"/>
              <w:ind w:firstLine="480" w:firstLineChars="200"/>
              <w:rPr>
                <w:rFonts w:hint="eastAsia"/>
                <w:sz w:val="24"/>
              </w:rPr>
            </w:pPr>
            <w:r>
              <w:rPr>
                <w:rFonts w:hint="eastAsia"/>
                <w:sz w:val="24"/>
              </w:rPr>
              <w:t>施工期会对项目所在区域的动物造成一定程度的扰动，但现场所见动物多为伴人类物种，会在施工过程中因人类活动和噪声主动避让，其活动范围会随着施工期的结束而恢复，对动物造成的影响在可接受范围内。</w:t>
            </w:r>
          </w:p>
          <w:p w14:paraId="06C74278">
            <w:pPr>
              <w:pageBreakBefore w:val="0"/>
              <w:kinsoku/>
              <w:wordWrap/>
              <w:topLinePunct w:val="0"/>
              <w:bidi w:val="0"/>
              <w:spacing w:line="360" w:lineRule="auto"/>
              <w:ind w:firstLine="480" w:firstLineChars="200"/>
              <w:rPr>
                <w:sz w:val="24"/>
              </w:rPr>
            </w:pPr>
            <w:r>
              <w:rPr>
                <w:rFonts w:hint="eastAsia"/>
                <w:sz w:val="24"/>
              </w:rPr>
              <w:t>本项目</w:t>
            </w:r>
            <w:r>
              <w:rPr>
                <w:sz w:val="24"/>
              </w:rPr>
              <w:t>在建设施工过程中，由于</w:t>
            </w:r>
            <w:r>
              <w:rPr>
                <w:rFonts w:hint="eastAsia"/>
                <w:sz w:val="24"/>
              </w:rPr>
              <w:t>厂房</w:t>
            </w:r>
            <w:r>
              <w:rPr>
                <w:sz w:val="24"/>
              </w:rPr>
              <w:t>、施工生产区场地平整、建</w:t>
            </w:r>
            <w:r>
              <w:rPr>
                <w:rFonts w:hint="eastAsia"/>
                <w:sz w:val="24"/>
              </w:rPr>
              <w:t>（构）</w:t>
            </w:r>
            <w:r>
              <w:rPr>
                <w:sz w:val="24"/>
              </w:rPr>
              <w:t>筑物地基开挖、回填土料临时堆放等各类施工活动，对原地貌产生扰动和破坏，降低或使其丧失了原地貌具有的水土保持功能，加剧原地面水土流失的发生和发展。</w:t>
            </w:r>
            <w:r>
              <w:rPr>
                <w:rFonts w:hint="eastAsia"/>
                <w:sz w:val="24"/>
              </w:rPr>
              <w:t>为减少因施工而造成的水土流失影响，本次评价提出以下措施：</w:t>
            </w:r>
          </w:p>
          <w:p w14:paraId="51FB8191">
            <w:pPr>
              <w:pageBreakBefore w:val="0"/>
              <w:kinsoku/>
              <w:wordWrap/>
              <w:topLinePunct w:val="0"/>
              <w:bidi w:val="0"/>
              <w:spacing w:line="360" w:lineRule="auto"/>
              <w:ind w:firstLine="480" w:firstLineChars="200"/>
              <w:rPr>
                <w:rFonts w:hint="eastAsia"/>
                <w:sz w:val="24"/>
              </w:rPr>
            </w:pPr>
            <w:r>
              <w:rPr>
                <w:rFonts w:hint="eastAsia"/>
                <w:sz w:val="24"/>
              </w:rPr>
              <w:t>（1）严格按照规划用地范围进行施工，严格控制施工车辆、机械及施工人员活动范围，最大限度减少施工过程对土壤的扰动。</w:t>
            </w:r>
          </w:p>
          <w:p w14:paraId="1CB144C2">
            <w:pPr>
              <w:pageBreakBefore w:val="0"/>
              <w:kinsoku/>
              <w:wordWrap/>
              <w:topLinePunct w:val="0"/>
              <w:bidi w:val="0"/>
              <w:spacing w:line="360" w:lineRule="auto"/>
              <w:ind w:firstLine="480" w:firstLineChars="200"/>
              <w:rPr>
                <w:sz w:val="24"/>
              </w:rPr>
            </w:pPr>
            <w:r>
              <w:rPr>
                <w:rFonts w:hint="eastAsia"/>
                <w:sz w:val="24"/>
              </w:rPr>
              <w:t>（2）在开挖地表、平整土地时，临时堆土必须进行拦挡，施工完毕，应尽快整理施工现场。</w:t>
            </w:r>
          </w:p>
          <w:p w14:paraId="0A265823">
            <w:pPr>
              <w:pageBreakBefore w:val="0"/>
              <w:kinsoku/>
              <w:wordWrap/>
              <w:topLinePunct w:val="0"/>
              <w:bidi w:val="0"/>
              <w:spacing w:line="360" w:lineRule="auto"/>
              <w:ind w:firstLine="480" w:firstLineChars="200"/>
              <w:rPr>
                <w:rFonts w:hint="eastAsia"/>
                <w:sz w:val="24"/>
              </w:rPr>
            </w:pPr>
            <w:r>
              <w:rPr>
                <w:rFonts w:hint="eastAsia"/>
                <w:sz w:val="24"/>
              </w:rPr>
              <w:t>（3）尽量避免在大风天气下取土，对于施工挖出的土方，应原地回填并做表面压实处理。</w:t>
            </w:r>
          </w:p>
          <w:p w14:paraId="4254F3B0">
            <w:pPr>
              <w:pageBreakBefore w:val="0"/>
              <w:kinsoku/>
              <w:wordWrap/>
              <w:topLinePunct w:val="0"/>
              <w:bidi w:val="0"/>
              <w:spacing w:line="360" w:lineRule="auto"/>
              <w:ind w:firstLine="480" w:firstLineChars="200"/>
              <w:rPr>
                <w:rFonts w:hint="eastAsia"/>
                <w:sz w:val="24"/>
              </w:rPr>
            </w:pPr>
            <w:r>
              <w:rPr>
                <w:rFonts w:hint="eastAsia"/>
                <w:sz w:val="24"/>
              </w:rPr>
              <w:t>（4）施工机械不得在道路以外的行驶和作业，保持选址周边地表不被扰动。</w:t>
            </w:r>
          </w:p>
          <w:p w14:paraId="7D9B4FB5">
            <w:pPr>
              <w:pageBreakBefore w:val="0"/>
              <w:kinsoku/>
              <w:wordWrap/>
              <w:topLinePunct w:val="0"/>
              <w:bidi w:val="0"/>
              <w:spacing w:line="360" w:lineRule="auto"/>
              <w:ind w:firstLine="480" w:firstLineChars="200"/>
              <w:rPr>
                <w:rFonts w:hint="eastAsia"/>
                <w:sz w:val="24"/>
              </w:rPr>
            </w:pPr>
            <w:r>
              <w:rPr>
                <w:rFonts w:hint="eastAsia"/>
                <w:sz w:val="24"/>
              </w:rPr>
              <w:t>（5）配备专用洒水车，对施工现场和运输道路经常进行洒水湿润，减少扬尘。</w:t>
            </w:r>
          </w:p>
          <w:p w14:paraId="044ED808">
            <w:pPr>
              <w:pageBreakBefore w:val="0"/>
              <w:kinsoku/>
              <w:wordWrap/>
              <w:topLinePunct w:val="0"/>
              <w:bidi w:val="0"/>
              <w:spacing w:line="360" w:lineRule="auto"/>
              <w:ind w:firstLine="480" w:firstLineChars="200"/>
              <w:rPr>
                <w:rFonts w:hint="eastAsia"/>
                <w:sz w:val="24"/>
              </w:rPr>
            </w:pPr>
            <w:r>
              <w:rPr>
                <w:rFonts w:hint="eastAsia"/>
                <w:sz w:val="24"/>
              </w:rPr>
              <w:t>（6）施工结束后，临时用地一律平整土地，清除用地范围内的一切固体废弃物。</w:t>
            </w:r>
          </w:p>
          <w:p w14:paraId="0AD4A090">
            <w:pPr>
              <w:pageBreakBefore w:val="0"/>
              <w:kinsoku/>
              <w:wordWrap/>
              <w:topLinePunct w:val="0"/>
              <w:bidi w:val="0"/>
              <w:spacing w:line="360" w:lineRule="auto"/>
              <w:ind w:firstLine="480" w:firstLineChars="200"/>
              <w:rPr>
                <w:sz w:val="24"/>
              </w:rPr>
            </w:pPr>
            <w:r>
              <w:rPr>
                <w:rFonts w:hint="eastAsia"/>
                <w:sz w:val="24"/>
              </w:rPr>
              <w:t>（7）建设单位应对本项目场地进行水泥固化，最大限度减少因风蚀损失造成的水土流失。</w:t>
            </w:r>
          </w:p>
          <w:p w14:paraId="79D4B2F1">
            <w:pPr>
              <w:pageBreakBefore w:val="0"/>
              <w:kinsoku/>
              <w:wordWrap/>
              <w:topLinePunct w:val="0"/>
              <w:bidi w:val="0"/>
              <w:spacing w:line="360" w:lineRule="auto"/>
              <w:ind w:firstLine="480" w:firstLineChars="200"/>
              <w:rPr>
                <w:rFonts w:hint="eastAsia"/>
                <w:sz w:val="24"/>
              </w:rPr>
            </w:pPr>
            <w:r>
              <w:rPr>
                <w:rFonts w:hint="eastAsia"/>
                <w:sz w:val="24"/>
              </w:rPr>
              <w:t>在采取以上措施后，施工期对项目所在区域生态环境的影响可降至最低，对该区域的水土流失影响在可接受的范围内。</w:t>
            </w:r>
          </w:p>
        </w:tc>
      </w:tr>
      <w:tr w14:paraId="754FD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jc w:val="center"/>
        </w:trPr>
        <w:tc>
          <w:tcPr>
            <w:tcW w:w="704" w:type="dxa"/>
            <w:tcBorders>
              <w:bottom w:val="single" w:color="auto" w:sz="8" w:space="0"/>
            </w:tcBorders>
            <w:noWrap w:val="0"/>
            <w:tcMar>
              <w:left w:w="28" w:type="dxa"/>
              <w:right w:w="28" w:type="dxa"/>
            </w:tcMar>
            <w:vAlign w:val="center"/>
          </w:tcPr>
          <w:p w14:paraId="25D74290">
            <w:pPr>
              <w:pageBreakBefore w:val="0"/>
              <w:kinsoku/>
              <w:wordWrap/>
              <w:topLinePunct w:val="0"/>
              <w:bidi w:val="0"/>
              <w:jc w:val="center"/>
              <w:rPr>
                <w:bCs/>
                <w:szCs w:val="21"/>
              </w:rPr>
            </w:pPr>
            <w:r>
              <w:rPr>
                <w:bCs/>
                <w:szCs w:val="21"/>
              </w:rPr>
              <w:t>运营</w:t>
            </w:r>
          </w:p>
          <w:p w14:paraId="6A9D0AD4">
            <w:pPr>
              <w:pageBreakBefore w:val="0"/>
              <w:kinsoku/>
              <w:wordWrap/>
              <w:topLinePunct w:val="0"/>
              <w:bidi w:val="0"/>
              <w:jc w:val="center"/>
              <w:rPr>
                <w:bCs/>
                <w:szCs w:val="21"/>
              </w:rPr>
            </w:pPr>
            <w:r>
              <w:rPr>
                <w:bCs/>
                <w:szCs w:val="21"/>
              </w:rPr>
              <w:t>期环</w:t>
            </w:r>
          </w:p>
          <w:p w14:paraId="02577748">
            <w:pPr>
              <w:pageBreakBefore w:val="0"/>
              <w:kinsoku/>
              <w:wordWrap/>
              <w:topLinePunct w:val="0"/>
              <w:bidi w:val="0"/>
              <w:jc w:val="center"/>
              <w:rPr>
                <w:bCs/>
                <w:szCs w:val="21"/>
              </w:rPr>
            </w:pPr>
            <w:r>
              <w:rPr>
                <w:bCs/>
                <w:szCs w:val="21"/>
              </w:rPr>
              <w:t>境影</w:t>
            </w:r>
          </w:p>
          <w:p w14:paraId="584C4D43">
            <w:pPr>
              <w:pageBreakBefore w:val="0"/>
              <w:kinsoku/>
              <w:wordWrap/>
              <w:topLinePunct w:val="0"/>
              <w:bidi w:val="0"/>
              <w:jc w:val="center"/>
              <w:rPr>
                <w:bCs/>
                <w:szCs w:val="21"/>
              </w:rPr>
            </w:pPr>
            <w:r>
              <w:rPr>
                <w:bCs/>
                <w:szCs w:val="21"/>
              </w:rPr>
              <w:t>响和</w:t>
            </w:r>
          </w:p>
          <w:p w14:paraId="239DB294">
            <w:pPr>
              <w:pageBreakBefore w:val="0"/>
              <w:kinsoku/>
              <w:wordWrap/>
              <w:topLinePunct w:val="0"/>
              <w:bidi w:val="0"/>
              <w:jc w:val="center"/>
              <w:rPr>
                <w:bCs/>
                <w:szCs w:val="21"/>
              </w:rPr>
            </w:pPr>
            <w:r>
              <w:rPr>
                <w:bCs/>
                <w:szCs w:val="21"/>
              </w:rPr>
              <w:t>保护</w:t>
            </w:r>
          </w:p>
          <w:p w14:paraId="2FFE86EE">
            <w:pPr>
              <w:pageBreakBefore w:val="0"/>
              <w:kinsoku/>
              <w:wordWrap/>
              <w:topLinePunct w:val="0"/>
              <w:bidi w:val="0"/>
              <w:jc w:val="center"/>
              <w:rPr>
                <w:bCs/>
                <w:szCs w:val="21"/>
              </w:rPr>
            </w:pPr>
            <w:r>
              <w:rPr>
                <w:bCs/>
                <w:szCs w:val="21"/>
              </w:rPr>
              <w:t>措施</w:t>
            </w:r>
          </w:p>
        </w:tc>
        <w:tc>
          <w:tcPr>
            <w:tcW w:w="8707" w:type="dxa"/>
            <w:tcBorders>
              <w:bottom w:val="single" w:color="auto" w:sz="8" w:space="0"/>
            </w:tcBorders>
            <w:noWrap w:val="0"/>
            <w:vAlign w:val="center"/>
          </w:tcPr>
          <w:p w14:paraId="329B5A2E">
            <w:pPr>
              <w:pageBreakBefore w:val="0"/>
              <w:kinsoku/>
              <w:wordWrap/>
              <w:topLinePunct w:val="0"/>
              <w:bidi w:val="0"/>
              <w:spacing w:line="360" w:lineRule="auto"/>
              <w:ind w:firstLine="482" w:firstLineChars="200"/>
              <w:rPr>
                <w:b/>
                <w:sz w:val="24"/>
              </w:rPr>
            </w:pPr>
            <w:r>
              <w:rPr>
                <w:b/>
                <w:sz w:val="24"/>
              </w:rPr>
              <w:t>1 运营期</w:t>
            </w:r>
            <w:r>
              <w:rPr>
                <w:b/>
                <w:bCs/>
                <w:sz w:val="24"/>
              </w:rPr>
              <w:t>大气污染及防治措施</w:t>
            </w:r>
          </w:p>
          <w:p w14:paraId="08E6E527">
            <w:pPr>
              <w:pageBreakBefore w:val="0"/>
              <w:kinsoku/>
              <w:wordWrap/>
              <w:topLinePunct w:val="0"/>
              <w:bidi w:val="0"/>
              <w:spacing w:line="360" w:lineRule="auto"/>
              <w:ind w:firstLine="480" w:firstLineChars="200"/>
              <w:rPr>
                <w:rFonts w:hint="default" w:eastAsia="宋体"/>
                <w:bCs/>
                <w:sz w:val="24"/>
                <w:lang w:val="en-US" w:eastAsia="zh-CN"/>
              </w:rPr>
            </w:pPr>
            <w:r>
              <w:rPr>
                <w:rFonts w:hint="eastAsia"/>
                <w:bCs/>
                <w:sz w:val="24"/>
              </w:rPr>
              <w:t>本项目</w:t>
            </w:r>
            <w:r>
              <w:rPr>
                <w:rFonts w:hint="eastAsia"/>
                <w:bCs/>
                <w:sz w:val="24"/>
                <w:lang w:val="en-US" w:eastAsia="zh-CN"/>
              </w:rPr>
              <w:t>所有生产工序均在密闭管线及容器内完成，不设置有组织排放口，生产过程中会有少量气体通过阀门、法兰或连接处外溢，以无组织形式排放，主要构成为非甲烷总烃。</w:t>
            </w:r>
          </w:p>
          <w:p w14:paraId="682D076A">
            <w:pPr>
              <w:pageBreakBefore w:val="0"/>
              <w:kinsoku/>
              <w:wordWrap/>
              <w:topLinePunct w:val="0"/>
              <w:bidi w:val="0"/>
              <w:spacing w:line="360" w:lineRule="auto"/>
              <w:ind w:firstLine="480" w:firstLineChars="200"/>
              <w:rPr>
                <w:rFonts w:hint="default" w:eastAsia="宋体"/>
                <w:bCs/>
                <w:sz w:val="24"/>
                <w:lang w:val="en-US" w:eastAsia="zh-CN"/>
              </w:rPr>
            </w:pPr>
            <w:r>
              <w:rPr>
                <w:rFonts w:hint="eastAsia"/>
                <w:bCs/>
                <w:sz w:val="24"/>
                <w:lang w:val="en-US" w:eastAsia="zh-CN"/>
              </w:rPr>
              <w:t>本次评价要求建设单位在设计阶段选用先进的生产工艺，选择密闭性良好的各类生产装置及连接装置，可最大限度减少气体的外溢，对大气环境造成的影响在可接受范围内。</w:t>
            </w:r>
          </w:p>
          <w:p w14:paraId="68481E9C">
            <w:pPr>
              <w:pageBreakBefore w:val="0"/>
              <w:kinsoku/>
              <w:wordWrap/>
              <w:topLinePunct w:val="0"/>
              <w:bidi w:val="0"/>
              <w:spacing w:line="360" w:lineRule="auto"/>
              <w:ind w:firstLine="482" w:firstLineChars="200"/>
              <w:rPr>
                <w:bCs/>
                <w:sz w:val="24"/>
              </w:rPr>
            </w:pPr>
            <w:r>
              <w:rPr>
                <w:b/>
                <w:sz w:val="24"/>
              </w:rPr>
              <w:t xml:space="preserve">2 </w:t>
            </w:r>
            <w:r>
              <w:rPr>
                <w:b/>
                <w:bCs/>
                <w:sz w:val="24"/>
              </w:rPr>
              <w:t>运营期</w:t>
            </w:r>
            <w:r>
              <w:rPr>
                <w:b/>
                <w:bCs/>
                <w:kern w:val="0"/>
                <w:sz w:val="24"/>
              </w:rPr>
              <w:t>水污染及防治措施</w:t>
            </w:r>
          </w:p>
          <w:p w14:paraId="469488B9">
            <w:pPr>
              <w:pageBreakBefore w:val="0"/>
              <w:kinsoku/>
              <w:wordWrap/>
              <w:topLinePunct w:val="0"/>
              <w:bidi w:val="0"/>
              <w:spacing w:line="360" w:lineRule="auto"/>
              <w:ind w:firstLine="482" w:firstLineChars="200"/>
              <w:rPr>
                <w:bCs/>
                <w:sz w:val="24"/>
              </w:rPr>
            </w:pPr>
            <w:r>
              <w:rPr>
                <w:b/>
                <w:sz w:val="24"/>
              </w:rPr>
              <w:t>2.1 产排污环节及源强分析</w:t>
            </w:r>
          </w:p>
          <w:p w14:paraId="31A67D65">
            <w:pPr>
              <w:pageBreakBefore w:val="0"/>
              <w:kinsoku/>
              <w:wordWrap/>
              <w:topLinePunct w:val="0"/>
              <w:autoSpaceDE w:val="0"/>
              <w:autoSpaceDN w:val="0"/>
              <w:bidi w:val="0"/>
              <w:spacing w:line="360" w:lineRule="auto"/>
              <w:ind w:firstLine="480" w:firstLineChars="200"/>
              <w:rPr>
                <w:sz w:val="24"/>
              </w:rPr>
            </w:pPr>
            <w:r>
              <w:rPr>
                <w:rFonts w:hint="eastAsia"/>
                <w:bCs/>
                <w:sz w:val="24"/>
              </w:rPr>
              <w:t>本项目</w:t>
            </w:r>
            <w:r>
              <w:rPr>
                <w:bCs/>
                <w:sz w:val="24"/>
              </w:rPr>
              <w:t>排水主要为循环设施排水和生活污水。</w:t>
            </w:r>
          </w:p>
          <w:p w14:paraId="10282E7E">
            <w:pPr>
              <w:pageBreakBefore w:val="0"/>
              <w:kinsoku/>
              <w:wordWrap/>
              <w:topLinePunct w:val="0"/>
              <w:autoSpaceDE w:val="0"/>
              <w:autoSpaceDN w:val="0"/>
              <w:bidi w:val="0"/>
              <w:spacing w:line="360" w:lineRule="auto"/>
              <w:ind w:firstLine="480" w:firstLineChars="200"/>
              <w:rPr>
                <w:sz w:val="24"/>
              </w:rPr>
            </w:pPr>
            <w:r>
              <w:rPr>
                <w:rFonts w:hint="eastAsia"/>
                <w:sz w:val="24"/>
              </w:rPr>
              <w:t>（</w:t>
            </w:r>
            <w:r>
              <w:rPr>
                <w:rFonts w:hint="eastAsia"/>
                <w:sz w:val="24"/>
                <w:lang w:val="en-US" w:eastAsia="zh-CN"/>
              </w:rPr>
              <w:t>1</w:t>
            </w:r>
            <w:r>
              <w:rPr>
                <w:rFonts w:hint="eastAsia"/>
                <w:sz w:val="24"/>
              </w:rPr>
              <w:t>）循环设施排水</w:t>
            </w:r>
          </w:p>
          <w:p w14:paraId="709A85F6">
            <w:pPr>
              <w:pageBreakBefore w:val="0"/>
              <w:kinsoku/>
              <w:wordWrap/>
              <w:topLinePunct w:val="0"/>
              <w:autoSpaceDE w:val="0"/>
              <w:autoSpaceDN w:val="0"/>
              <w:bidi w:val="0"/>
              <w:spacing w:line="360" w:lineRule="auto"/>
              <w:ind w:firstLine="480" w:firstLineChars="200"/>
              <w:rPr>
                <w:sz w:val="24"/>
              </w:rPr>
            </w:pPr>
            <w:r>
              <w:rPr>
                <w:sz w:val="24"/>
              </w:rPr>
              <w:t>为保证循环水水质，冷却水塔需外排少量循环水。</w:t>
            </w:r>
            <w:r>
              <w:rPr>
                <w:rFonts w:hint="eastAsia"/>
                <w:sz w:val="24"/>
              </w:rPr>
              <w:t>新增</w:t>
            </w:r>
            <w:r>
              <w:rPr>
                <w:sz w:val="24"/>
              </w:rPr>
              <w:t>外排循环水水量约</w:t>
            </w:r>
            <w:r>
              <w:rPr>
                <w:rFonts w:hint="eastAsia"/>
                <w:sz w:val="24"/>
              </w:rPr>
              <w:t>4</w:t>
            </w:r>
            <w:r>
              <w:rPr>
                <w:sz w:val="24"/>
              </w:rPr>
              <w:t>m</w:t>
            </w:r>
            <w:r>
              <w:rPr>
                <w:sz w:val="24"/>
                <w:vertAlign w:val="superscript"/>
              </w:rPr>
              <w:t>3</w:t>
            </w:r>
            <w:r>
              <w:rPr>
                <w:sz w:val="24"/>
              </w:rPr>
              <w:t>/h（</w:t>
            </w:r>
            <w:r>
              <w:rPr>
                <w:rFonts w:hint="eastAsia"/>
                <w:sz w:val="24"/>
              </w:rPr>
              <w:t>32000</w:t>
            </w:r>
            <w:r>
              <w:rPr>
                <w:sz w:val="24"/>
              </w:rPr>
              <w:t>m</w:t>
            </w:r>
            <w:r>
              <w:rPr>
                <w:sz w:val="24"/>
                <w:vertAlign w:val="superscript"/>
              </w:rPr>
              <w:t>3</w:t>
            </w:r>
            <w:r>
              <w:rPr>
                <w:sz w:val="24"/>
              </w:rPr>
              <w:t>/a），外排循环水中除Ca</w:t>
            </w:r>
            <w:r>
              <w:rPr>
                <w:sz w:val="24"/>
                <w:vertAlign w:val="superscript"/>
              </w:rPr>
              <w:t>2+</w:t>
            </w:r>
            <w:r>
              <w:rPr>
                <w:sz w:val="24"/>
              </w:rPr>
              <w:t>、Mg</w:t>
            </w:r>
            <w:r>
              <w:rPr>
                <w:sz w:val="24"/>
                <w:vertAlign w:val="superscript"/>
              </w:rPr>
              <w:t>2+</w:t>
            </w:r>
            <w:r>
              <w:rPr>
                <w:sz w:val="24"/>
              </w:rPr>
              <w:t>、Fe</w:t>
            </w:r>
            <w:r>
              <w:rPr>
                <w:sz w:val="24"/>
                <w:vertAlign w:val="superscript"/>
              </w:rPr>
              <w:t>3+</w:t>
            </w:r>
            <w:r>
              <w:rPr>
                <w:sz w:val="24"/>
              </w:rPr>
              <w:t>等离子含量略高外无其他有毒、有害污染物，属清净下水。</w:t>
            </w:r>
          </w:p>
          <w:p w14:paraId="6D724359">
            <w:pPr>
              <w:pageBreakBefore w:val="0"/>
              <w:kinsoku/>
              <w:wordWrap/>
              <w:topLinePunct w:val="0"/>
              <w:autoSpaceDE w:val="0"/>
              <w:autoSpaceDN w:val="0"/>
              <w:bidi w:val="0"/>
              <w:spacing w:line="360" w:lineRule="auto"/>
              <w:ind w:firstLine="480" w:firstLineChars="200"/>
              <w:rPr>
                <w:sz w:val="24"/>
              </w:rPr>
            </w:pPr>
            <w:r>
              <w:rPr>
                <w:rFonts w:hint="eastAsia"/>
                <w:sz w:val="24"/>
              </w:rPr>
              <w:t>（</w:t>
            </w:r>
            <w:r>
              <w:rPr>
                <w:rFonts w:hint="eastAsia"/>
                <w:sz w:val="24"/>
                <w:lang w:val="en-US" w:eastAsia="zh-CN"/>
              </w:rPr>
              <w:t>2</w:t>
            </w:r>
            <w:r>
              <w:rPr>
                <w:rFonts w:hint="eastAsia"/>
                <w:sz w:val="24"/>
              </w:rPr>
              <w:t>）生活污水</w:t>
            </w:r>
          </w:p>
          <w:p w14:paraId="6B4A0FE5">
            <w:pPr>
              <w:pageBreakBefore w:val="0"/>
              <w:kinsoku/>
              <w:wordWrap/>
              <w:topLinePunct w:val="0"/>
              <w:bidi w:val="0"/>
              <w:spacing w:line="360" w:lineRule="auto"/>
              <w:ind w:firstLine="480" w:firstLineChars="200"/>
              <w:rPr>
                <w:bCs/>
                <w:sz w:val="24"/>
              </w:rPr>
            </w:pPr>
            <w:r>
              <w:rPr>
                <w:sz w:val="24"/>
              </w:rPr>
              <w:t>生活污水产生量按照生活用水量的80%计，则</w:t>
            </w:r>
            <w:r>
              <w:rPr>
                <w:rFonts w:hint="eastAsia"/>
                <w:sz w:val="24"/>
              </w:rPr>
              <w:t>本</w:t>
            </w:r>
            <w:r>
              <w:rPr>
                <w:sz w:val="24"/>
              </w:rPr>
              <w:t>项目</w:t>
            </w:r>
            <w:r>
              <w:rPr>
                <w:rFonts w:hint="eastAsia"/>
                <w:sz w:val="24"/>
              </w:rPr>
              <w:t>新增</w:t>
            </w:r>
            <w:r>
              <w:rPr>
                <w:sz w:val="24"/>
              </w:rPr>
              <w:t>生活污水产生量为</w:t>
            </w:r>
            <w:r>
              <w:rPr>
                <w:rFonts w:hint="eastAsia"/>
                <w:sz w:val="24"/>
              </w:rPr>
              <w:t>2.16</w:t>
            </w:r>
            <w:r>
              <w:rPr>
                <w:sz w:val="24"/>
              </w:rPr>
              <w:t>m</w:t>
            </w:r>
            <w:r>
              <w:rPr>
                <w:sz w:val="24"/>
                <w:vertAlign w:val="superscript"/>
              </w:rPr>
              <w:t>3</w:t>
            </w:r>
            <w:r>
              <w:rPr>
                <w:sz w:val="24"/>
              </w:rPr>
              <w:t>/d(</w:t>
            </w:r>
            <w:r>
              <w:rPr>
                <w:rFonts w:hint="eastAsia"/>
                <w:sz w:val="24"/>
              </w:rPr>
              <w:t>719.28</w:t>
            </w:r>
            <w:r>
              <w:rPr>
                <w:sz w:val="24"/>
              </w:rPr>
              <w:t>m</w:t>
            </w:r>
            <w:r>
              <w:rPr>
                <w:sz w:val="24"/>
                <w:vertAlign w:val="superscript"/>
              </w:rPr>
              <w:t>3</w:t>
            </w:r>
            <w:r>
              <w:rPr>
                <w:sz w:val="24"/>
              </w:rPr>
              <w:t>/a)。</w:t>
            </w:r>
          </w:p>
          <w:p w14:paraId="7D75F78E">
            <w:pPr>
              <w:pageBreakBefore w:val="0"/>
              <w:kinsoku/>
              <w:wordWrap/>
              <w:topLinePunct w:val="0"/>
              <w:bidi w:val="0"/>
              <w:spacing w:line="360" w:lineRule="auto"/>
              <w:ind w:firstLine="480" w:firstLineChars="200"/>
              <w:rPr>
                <w:bCs/>
                <w:sz w:val="24"/>
              </w:rPr>
            </w:pPr>
            <w:r>
              <w:rPr>
                <w:bCs/>
                <w:sz w:val="24"/>
              </w:rPr>
              <w:t>生活污水及污染物产生量见</w:t>
            </w:r>
            <w:r>
              <w:rPr>
                <w:rFonts w:hint="eastAsia"/>
                <w:bCs/>
                <w:sz w:val="24"/>
              </w:rPr>
              <w:t>下</w:t>
            </w:r>
            <w:r>
              <w:rPr>
                <w:bCs/>
                <w:sz w:val="24"/>
              </w:rPr>
              <w:t>表。</w:t>
            </w:r>
          </w:p>
          <w:p w14:paraId="2ACF1D3D">
            <w:pPr>
              <w:pageBreakBefore w:val="0"/>
              <w:kinsoku/>
              <w:wordWrap/>
              <w:topLinePunct w:val="0"/>
              <w:bidi w:val="0"/>
              <w:spacing w:line="360" w:lineRule="auto"/>
              <w:jc w:val="center"/>
              <w:rPr>
                <w:bCs/>
                <w:sz w:val="24"/>
              </w:rPr>
            </w:pPr>
            <w:r>
              <w:rPr>
                <w:rFonts w:eastAsia="黑体"/>
                <w:bCs/>
                <w:szCs w:val="21"/>
              </w:rPr>
              <w:t xml:space="preserve">表4-1  </w:t>
            </w:r>
            <w:r>
              <w:rPr>
                <w:rFonts w:hint="eastAsia" w:eastAsia="黑体"/>
                <w:bCs/>
                <w:szCs w:val="21"/>
              </w:rPr>
              <w:t>本项目新增</w:t>
            </w:r>
            <w:r>
              <w:rPr>
                <w:rFonts w:eastAsia="黑体"/>
                <w:bCs/>
                <w:szCs w:val="21"/>
              </w:rPr>
              <w:t>生活污水污染物产生情况一览表</w:t>
            </w:r>
          </w:p>
          <w:tbl>
            <w:tblPr>
              <w:tblStyle w:val="14"/>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4026"/>
              <w:gridCol w:w="1989"/>
              <w:gridCol w:w="2375"/>
            </w:tblGrid>
            <w:tr w14:paraId="345CEF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26" w:type="dxa"/>
                  <w:noWrap w:val="0"/>
                  <w:vAlign w:val="center"/>
                </w:tcPr>
                <w:p w14:paraId="51A985C7">
                  <w:pPr>
                    <w:pageBreakBefore w:val="0"/>
                    <w:kinsoku/>
                    <w:wordWrap/>
                    <w:topLinePunct w:val="0"/>
                    <w:bidi w:val="0"/>
                    <w:spacing w:line="280" w:lineRule="exact"/>
                    <w:jc w:val="center"/>
                    <w:rPr>
                      <w:b/>
                      <w:szCs w:val="21"/>
                    </w:rPr>
                  </w:pPr>
                  <w:r>
                    <w:rPr>
                      <w:b/>
                      <w:szCs w:val="21"/>
                    </w:rPr>
                    <w:t>污染物</w:t>
                  </w:r>
                </w:p>
              </w:tc>
              <w:tc>
                <w:tcPr>
                  <w:tcW w:w="1989" w:type="dxa"/>
                  <w:noWrap w:val="0"/>
                  <w:vAlign w:val="center"/>
                </w:tcPr>
                <w:p w14:paraId="33C6BC6F">
                  <w:pPr>
                    <w:pageBreakBefore w:val="0"/>
                    <w:kinsoku/>
                    <w:wordWrap/>
                    <w:topLinePunct w:val="0"/>
                    <w:bidi w:val="0"/>
                    <w:spacing w:line="280" w:lineRule="exact"/>
                    <w:jc w:val="center"/>
                    <w:rPr>
                      <w:b/>
                      <w:szCs w:val="21"/>
                    </w:rPr>
                  </w:pPr>
                  <w:r>
                    <w:rPr>
                      <w:rFonts w:hint="eastAsia"/>
                      <w:b/>
                      <w:szCs w:val="21"/>
                    </w:rPr>
                    <w:t>产生量</w:t>
                  </w:r>
                </w:p>
              </w:tc>
              <w:tc>
                <w:tcPr>
                  <w:tcW w:w="2375" w:type="dxa"/>
                  <w:noWrap w:val="0"/>
                  <w:vAlign w:val="center"/>
                </w:tcPr>
                <w:p w14:paraId="1A3FD405">
                  <w:pPr>
                    <w:pageBreakBefore w:val="0"/>
                    <w:kinsoku/>
                    <w:wordWrap/>
                    <w:topLinePunct w:val="0"/>
                    <w:bidi w:val="0"/>
                    <w:spacing w:line="280" w:lineRule="exact"/>
                    <w:jc w:val="center"/>
                    <w:rPr>
                      <w:b/>
                      <w:szCs w:val="21"/>
                    </w:rPr>
                  </w:pPr>
                  <w:r>
                    <w:rPr>
                      <w:b/>
                      <w:szCs w:val="21"/>
                    </w:rPr>
                    <w:t>产生浓度</w:t>
                  </w:r>
                </w:p>
              </w:tc>
            </w:tr>
            <w:tr w14:paraId="1983CF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26" w:type="dxa"/>
                  <w:noWrap w:val="0"/>
                  <w:vAlign w:val="center"/>
                </w:tcPr>
                <w:p w14:paraId="6C9D16E4">
                  <w:pPr>
                    <w:pageBreakBefore w:val="0"/>
                    <w:kinsoku/>
                    <w:wordWrap/>
                    <w:topLinePunct w:val="0"/>
                    <w:bidi w:val="0"/>
                    <w:spacing w:line="280" w:lineRule="exact"/>
                    <w:jc w:val="center"/>
                    <w:rPr>
                      <w:bCs/>
                      <w:szCs w:val="21"/>
                    </w:rPr>
                  </w:pPr>
                  <w:r>
                    <w:rPr>
                      <w:bCs/>
                      <w:szCs w:val="21"/>
                    </w:rPr>
                    <w:t>生活污水量</w:t>
                  </w:r>
                </w:p>
              </w:tc>
              <w:tc>
                <w:tcPr>
                  <w:tcW w:w="1989" w:type="dxa"/>
                  <w:noWrap w:val="0"/>
                  <w:vAlign w:val="center"/>
                </w:tcPr>
                <w:p w14:paraId="367370D7">
                  <w:pPr>
                    <w:pageBreakBefore w:val="0"/>
                    <w:kinsoku/>
                    <w:wordWrap/>
                    <w:topLinePunct w:val="0"/>
                    <w:bidi w:val="0"/>
                    <w:spacing w:line="280" w:lineRule="exact"/>
                    <w:jc w:val="center"/>
                    <w:rPr>
                      <w:bCs/>
                      <w:szCs w:val="21"/>
                    </w:rPr>
                  </w:pPr>
                  <w:r>
                    <w:rPr>
                      <w:rFonts w:hint="eastAsia"/>
                      <w:bCs/>
                      <w:szCs w:val="21"/>
                    </w:rPr>
                    <w:t>719.28</w:t>
                  </w:r>
                  <w:r>
                    <w:rPr>
                      <w:bCs/>
                      <w:szCs w:val="21"/>
                    </w:rPr>
                    <w:t>m</w:t>
                  </w:r>
                  <w:r>
                    <w:rPr>
                      <w:bCs/>
                      <w:szCs w:val="21"/>
                      <w:vertAlign w:val="superscript"/>
                    </w:rPr>
                    <w:t>3</w:t>
                  </w:r>
                  <w:r>
                    <w:rPr>
                      <w:bCs/>
                      <w:szCs w:val="21"/>
                    </w:rPr>
                    <w:t>/a</w:t>
                  </w:r>
                </w:p>
              </w:tc>
              <w:tc>
                <w:tcPr>
                  <w:tcW w:w="2375" w:type="dxa"/>
                  <w:noWrap w:val="0"/>
                  <w:vAlign w:val="center"/>
                </w:tcPr>
                <w:p w14:paraId="0A054544">
                  <w:pPr>
                    <w:pageBreakBefore w:val="0"/>
                    <w:kinsoku/>
                    <w:wordWrap/>
                    <w:topLinePunct w:val="0"/>
                    <w:bidi w:val="0"/>
                    <w:spacing w:line="280" w:lineRule="exact"/>
                    <w:jc w:val="center"/>
                    <w:rPr>
                      <w:bCs/>
                      <w:szCs w:val="21"/>
                    </w:rPr>
                  </w:pPr>
                  <w:r>
                    <w:rPr>
                      <w:bCs/>
                      <w:szCs w:val="21"/>
                    </w:rPr>
                    <w:t>-</w:t>
                  </w:r>
                </w:p>
              </w:tc>
            </w:tr>
            <w:tr w14:paraId="09734E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26" w:type="dxa"/>
                  <w:noWrap w:val="0"/>
                  <w:vAlign w:val="center"/>
                </w:tcPr>
                <w:p w14:paraId="4CEEA072">
                  <w:pPr>
                    <w:pageBreakBefore w:val="0"/>
                    <w:kinsoku/>
                    <w:wordWrap/>
                    <w:topLinePunct w:val="0"/>
                    <w:bidi w:val="0"/>
                    <w:spacing w:line="280" w:lineRule="exact"/>
                    <w:jc w:val="center"/>
                    <w:rPr>
                      <w:bCs/>
                      <w:szCs w:val="21"/>
                    </w:rPr>
                  </w:pPr>
                  <w:r>
                    <w:rPr>
                      <w:bCs/>
                      <w:szCs w:val="21"/>
                    </w:rPr>
                    <w:t>五日生化需氧量</w:t>
                  </w:r>
                </w:p>
              </w:tc>
              <w:tc>
                <w:tcPr>
                  <w:tcW w:w="1989" w:type="dxa"/>
                  <w:noWrap w:val="0"/>
                  <w:vAlign w:val="center"/>
                </w:tcPr>
                <w:p w14:paraId="34AC0C9F">
                  <w:pPr>
                    <w:pageBreakBefore w:val="0"/>
                    <w:kinsoku/>
                    <w:wordWrap/>
                    <w:topLinePunct w:val="0"/>
                    <w:bidi w:val="0"/>
                    <w:spacing w:line="280" w:lineRule="exact"/>
                    <w:jc w:val="center"/>
                    <w:rPr>
                      <w:bCs/>
                      <w:szCs w:val="21"/>
                    </w:rPr>
                  </w:pPr>
                  <w:r>
                    <w:rPr>
                      <w:rFonts w:hint="eastAsia"/>
                      <w:bCs/>
                      <w:szCs w:val="21"/>
                    </w:rPr>
                    <w:t>0.216t/a</w:t>
                  </w:r>
                </w:p>
              </w:tc>
              <w:tc>
                <w:tcPr>
                  <w:tcW w:w="2375" w:type="dxa"/>
                  <w:noWrap w:val="0"/>
                  <w:vAlign w:val="center"/>
                </w:tcPr>
                <w:p w14:paraId="604B370C">
                  <w:pPr>
                    <w:pageBreakBefore w:val="0"/>
                    <w:kinsoku/>
                    <w:wordWrap/>
                    <w:topLinePunct w:val="0"/>
                    <w:bidi w:val="0"/>
                    <w:spacing w:line="280" w:lineRule="exact"/>
                    <w:jc w:val="center"/>
                    <w:rPr>
                      <w:bCs/>
                      <w:szCs w:val="21"/>
                    </w:rPr>
                  </w:pPr>
                  <w:r>
                    <w:rPr>
                      <w:rFonts w:hint="eastAsia"/>
                      <w:bCs/>
                      <w:szCs w:val="21"/>
                    </w:rPr>
                    <w:t>30</w:t>
                  </w:r>
                  <w:r>
                    <w:rPr>
                      <w:bCs/>
                      <w:szCs w:val="21"/>
                    </w:rPr>
                    <w:t>0mg/L</w:t>
                  </w:r>
                </w:p>
              </w:tc>
            </w:tr>
            <w:tr w14:paraId="03A30B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26" w:type="dxa"/>
                  <w:noWrap w:val="0"/>
                  <w:vAlign w:val="center"/>
                </w:tcPr>
                <w:p w14:paraId="06687C4B">
                  <w:pPr>
                    <w:pageBreakBefore w:val="0"/>
                    <w:kinsoku/>
                    <w:wordWrap/>
                    <w:topLinePunct w:val="0"/>
                    <w:bidi w:val="0"/>
                    <w:spacing w:line="280" w:lineRule="exact"/>
                    <w:jc w:val="center"/>
                    <w:rPr>
                      <w:bCs/>
                      <w:szCs w:val="21"/>
                    </w:rPr>
                  </w:pPr>
                  <w:r>
                    <w:rPr>
                      <w:bCs/>
                      <w:szCs w:val="21"/>
                    </w:rPr>
                    <w:t>化学需氧量</w:t>
                  </w:r>
                </w:p>
              </w:tc>
              <w:tc>
                <w:tcPr>
                  <w:tcW w:w="1989" w:type="dxa"/>
                  <w:noWrap w:val="0"/>
                  <w:vAlign w:val="center"/>
                </w:tcPr>
                <w:p w14:paraId="1C38A131">
                  <w:pPr>
                    <w:pageBreakBefore w:val="0"/>
                    <w:kinsoku/>
                    <w:wordWrap/>
                    <w:topLinePunct w:val="0"/>
                    <w:bidi w:val="0"/>
                    <w:spacing w:line="280" w:lineRule="exact"/>
                    <w:jc w:val="center"/>
                    <w:rPr>
                      <w:bCs/>
                      <w:szCs w:val="21"/>
                    </w:rPr>
                  </w:pPr>
                  <w:r>
                    <w:rPr>
                      <w:rFonts w:hint="eastAsia"/>
                      <w:bCs/>
                      <w:szCs w:val="21"/>
                    </w:rPr>
                    <w:t>0.360t/a</w:t>
                  </w:r>
                </w:p>
              </w:tc>
              <w:tc>
                <w:tcPr>
                  <w:tcW w:w="2375" w:type="dxa"/>
                  <w:noWrap w:val="0"/>
                  <w:vAlign w:val="center"/>
                </w:tcPr>
                <w:p w14:paraId="4DC1ADE2">
                  <w:pPr>
                    <w:pageBreakBefore w:val="0"/>
                    <w:kinsoku/>
                    <w:wordWrap/>
                    <w:topLinePunct w:val="0"/>
                    <w:bidi w:val="0"/>
                    <w:spacing w:line="280" w:lineRule="exact"/>
                    <w:jc w:val="center"/>
                    <w:rPr>
                      <w:bCs/>
                      <w:szCs w:val="21"/>
                    </w:rPr>
                  </w:pPr>
                  <w:r>
                    <w:rPr>
                      <w:rFonts w:hint="eastAsia"/>
                      <w:bCs/>
                      <w:szCs w:val="21"/>
                    </w:rPr>
                    <w:t>5</w:t>
                  </w:r>
                  <w:r>
                    <w:rPr>
                      <w:bCs/>
                      <w:szCs w:val="21"/>
                    </w:rPr>
                    <w:t>00mg/L</w:t>
                  </w:r>
                </w:p>
              </w:tc>
            </w:tr>
            <w:tr w14:paraId="08F5AC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26" w:type="dxa"/>
                  <w:noWrap w:val="0"/>
                  <w:vAlign w:val="center"/>
                </w:tcPr>
                <w:p w14:paraId="3A1E3C4A">
                  <w:pPr>
                    <w:pageBreakBefore w:val="0"/>
                    <w:kinsoku/>
                    <w:wordWrap/>
                    <w:topLinePunct w:val="0"/>
                    <w:bidi w:val="0"/>
                    <w:spacing w:line="280" w:lineRule="exact"/>
                    <w:jc w:val="center"/>
                    <w:rPr>
                      <w:bCs/>
                      <w:szCs w:val="21"/>
                    </w:rPr>
                  </w:pPr>
                  <w:r>
                    <w:rPr>
                      <w:bCs/>
                      <w:szCs w:val="21"/>
                    </w:rPr>
                    <w:t>悬浮物</w:t>
                  </w:r>
                </w:p>
              </w:tc>
              <w:tc>
                <w:tcPr>
                  <w:tcW w:w="1989" w:type="dxa"/>
                  <w:noWrap w:val="0"/>
                  <w:vAlign w:val="center"/>
                </w:tcPr>
                <w:p w14:paraId="3551EABA">
                  <w:pPr>
                    <w:pageBreakBefore w:val="0"/>
                    <w:kinsoku/>
                    <w:wordWrap/>
                    <w:topLinePunct w:val="0"/>
                    <w:bidi w:val="0"/>
                    <w:spacing w:line="280" w:lineRule="exact"/>
                    <w:jc w:val="center"/>
                    <w:rPr>
                      <w:bCs/>
                      <w:szCs w:val="21"/>
                    </w:rPr>
                  </w:pPr>
                  <w:r>
                    <w:rPr>
                      <w:rFonts w:hint="eastAsia"/>
                      <w:bCs/>
                      <w:szCs w:val="21"/>
                    </w:rPr>
                    <w:t>0.216t/a</w:t>
                  </w:r>
                </w:p>
              </w:tc>
              <w:tc>
                <w:tcPr>
                  <w:tcW w:w="2375" w:type="dxa"/>
                  <w:noWrap w:val="0"/>
                  <w:vAlign w:val="center"/>
                </w:tcPr>
                <w:p w14:paraId="04E9D25C">
                  <w:pPr>
                    <w:pageBreakBefore w:val="0"/>
                    <w:kinsoku/>
                    <w:wordWrap/>
                    <w:topLinePunct w:val="0"/>
                    <w:bidi w:val="0"/>
                    <w:spacing w:line="280" w:lineRule="exact"/>
                    <w:jc w:val="center"/>
                    <w:rPr>
                      <w:bCs/>
                      <w:szCs w:val="21"/>
                    </w:rPr>
                  </w:pPr>
                  <w:r>
                    <w:rPr>
                      <w:rFonts w:hint="eastAsia"/>
                      <w:bCs/>
                      <w:szCs w:val="21"/>
                    </w:rPr>
                    <w:t>3</w:t>
                  </w:r>
                  <w:r>
                    <w:rPr>
                      <w:bCs/>
                      <w:szCs w:val="21"/>
                    </w:rPr>
                    <w:t>00mg/L</w:t>
                  </w:r>
                </w:p>
              </w:tc>
            </w:tr>
            <w:tr w14:paraId="23E2C5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26" w:type="dxa"/>
                  <w:noWrap w:val="0"/>
                  <w:vAlign w:val="center"/>
                </w:tcPr>
                <w:p w14:paraId="2B556C0B">
                  <w:pPr>
                    <w:pageBreakBefore w:val="0"/>
                    <w:kinsoku/>
                    <w:wordWrap/>
                    <w:topLinePunct w:val="0"/>
                    <w:bidi w:val="0"/>
                    <w:spacing w:line="280" w:lineRule="exact"/>
                    <w:jc w:val="center"/>
                    <w:rPr>
                      <w:bCs/>
                      <w:szCs w:val="21"/>
                    </w:rPr>
                  </w:pPr>
                  <w:r>
                    <w:rPr>
                      <w:bCs/>
                      <w:szCs w:val="21"/>
                    </w:rPr>
                    <w:t>氨氮</w:t>
                  </w:r>
                </w:p>
              </w:tc>
              <w:tc>
                <w:tcPr>
                  <w:tcW w:w="1989" w:type="dxa"/>
                  <w:noWrap w:val="0"/>
                  <w:vAlign w:val="center"/>
                </w:tcPr>
                <w:p w14:paraId="64DE4F48">
                  <w:pPr>
                    <w:pageBreakBefore w:val="0"/>
                    <w:kinsoku/>
                    <w:wordWrap/>
                    <w:topLinePunct w:val="0"/>
                    <w:bidi w:val="0"/>
                    <w:spacing w:line="280" w:lineRule="exact"/>
                    <w:jc w:val="center"/>
                    <w:rPr>
                      <w:bCs/>
                      <w:szCs w:val="21"/>
                    </w:rPr>
                  </w:pPr>
                  <w:r>
                    <w:rPr>
                      <w:rFonts w:hint="eastAsia"/>
                      <w:bCs/>
                      <w:szCs w:val="21"/>
                    </w:rPr>
                    <w:t>0.022t/a</w:t>
                  </w:r>
                </w:p>
              </w:tc>
              <w:tc>
                <w:tcPr>
                  <w:tcW w:w="2375" w:type="dxa"/>
                  <w:noWrap w:val="0"/>
                  <w:vAlign w:val="center"/>
                </w:tcPr>
                <w:p w14:paraId="4EBAACD1">
                  <w:pPr>
                    <w:pageBreakBefore w:val="0"/>
                    <w:kinsoku/>
                    <w:wordWrap/>
                    <w:topLinePunct w:val="0"/>
                    <w:bidi w:val="0"/>
                    <w:spacing w:line="280" w:lineRule="exact"/>
                    <w:jc w:val="center"/>
                    <w:rPr>
                      <w:bCs/>
                      <w:szCs w:val="21"/>
                    </w:rPr>
                  </w:pPr>
                  <w:r>
                    <w:rPr>
                      <w:bCs/>
                      <w:szCs w:val="21"/>
                    </w:rPr>
                    <w:t>30mg/L</w:t>
                  </w:r>
                </w:p>
              </w:tc>
            </w:tr>
          </w:tbl>
          <w:p w14:paraId="21DB5F01">
            <w:pPr>
              <w:pageBreakBefore w:val="0"/>
              <w:kinsoku/>
              <w:wordWrap/>
              <w:topLinePunct w:val="0"/>
              <w:bidi w:val="0"/>
              <w:spacing w:line="360" w:lineRule="auto"/>
              <w:ind w:firstLine="482" w:firstLineChars="200"/>
              <w:rPr>
                <w:bCs/>
                <w:sz w:val="24"/>
              </w:rPr>
            </w:pPr>
            <w:r>
              <w:rPr>
                <w:b/>
                <w:sz w:val="24"/>
              </w:rPr>
              <w:t>2.2 废水治理依托可行性分析</w:t>
            </w:r>
          </w:p>
          <w:p w14:paraId="6F566D5F">
            <w:pPr>
              <w:pageBreakBefore w:val="0"/>
              <w:kinsoku/>
              <w:wordWrap/>
              <w:topLinePunct w:val="0"/>
              <w:bidi w:val="0"/>
              <w:spacing w:line="360" w:lineRule="auto"/>
              <w:ind w:firstLine="480" w:firstLineChars="200"/>
              <w:rPr>
                <w:rFonts w:hint="eastAsia" w:ascii="宋体" w:hAnsi="宋体" w:cs="宋体"/>
                <w:bCs/>
                <w:sz w:val="24"/>
              </w:rPr>
            </w:pPr>
            <w:r>
              <w:rPr>
                <w:rFonts w:hint="eastAsia" w:ascii="宋体" w:hAnsi="宋体" w:cs="宋体"/>
                <w:bCs/>
                <w:sz w:val="24"/>
              </w:rPr>
              <w:t>本项目不设置污水处理设施，全部经管线排入“新疆圣雄电石有限公司煤电盐化循环经济一期工程年产60万吨电石、60万吨石灰、75万吨兰炭项目”污水处理设施进行处理。</w:t>
            </w:r>
          </w:p>
          <w:p w14:paraId="18FF69BA">
            <w:pPr>
              <w:pageBreakBefore w:val="0"/>
              <w:kinsoku/>
              <w:wordWrap/>
              <w:topLinePunct w:val="0"/>
              <w:bidi w:val="0"/>
              <w:spacing w:line="360" w:lineRule="auto"/>
              <w:ind w:firstLine="480" w:firstLineChars="200"/>
              <w:rPr>
                <w:rFonts w:hint="eastAsia" w:ascii="宋体" w:hAnsi="宋体" w:cs="宋体"/>
                <w:bCs/>
                <w:sz w:val="24"/>
              </w:rPr>
            </w:pPr>
            <w:r>
              <w:rPr>
                <w:rFonts w:hint="eastAsia" w:ascii="宋体" w:hAnsi="宋体" w:cs="宋体"/>
                <w:bCs/>
                <w:sz w:val="24"/>
              </w:rPr>
              <w:t>“新疆圣雄电石有限公司煤电盐化循环经济一期工程年产60万吨电石、60万吨石灰、75万吨兰炭项目”设置一座处理能力20m</w:t>
            </w:r>
            <w:r>
              <w:rPr>
                <w:rFonts w:hint="eastAsia" w:ascii="宋体" w:hAnsi="宋体" w:cs="宋体"/>
                <w:bCs/>
                <w:sz w:val="24"/>
                <w:vertAlign w:val="superscript"/>
              </w:rPr>
              <w:t>3</w:t>
            </w:r>
            <w:r>
              <w:rPr>
                <w:rFonts w:hint="eastAsia" w:ascii="宋体" w:hAnsi="宋体" w:cs="宋体"/>
                <w:bCs/>
                <w:sz w:val="24"/>
              </w:rPr>
              <w:t>/h地埋式一体化污水处理设施处理生活污水，目前处理负荷为</w:t>
            </w:r>
            <w:r>
              <w:rPr>
                <w:rFonts w:hint="eastAsia" w:ascii="宋体" w:hAnsi="宋体" w:cs="宋体"/>
                <w:bCs/>
                <w:sz w:val="24"/>
                <w:lang w:val="en-US" w:eastAsia="zh-CN"/>
              </w:rPr>
              <w:t>7.8</w:t>
            </w:r>
            <w:r>
              <w:rPr>
                <w:rFonts w:hint="eastAsia" w:ascii="宋体" w:hAnsi="宋体" w:cs="宋体"/>
                <w:bCs/>
                <w:sz w:val="24"/>
              </w:rPr>
              <w:t>m</w:t>
            </w:r>
            <w:r>
              <w:rPr>
                <w:rFonts w:hint="eastAsia" w:ascii="宋体" w:hAnsi="宋体" w:cs="宋体"/>
                <w:bCs/>
                <w:sz w:val="24"/>
                <w:vertAlign w:val="superscript"/>
              </w:rPr>
              <w:t>3</w:t>
            </w:r>
            <w:r>
              <w:rPr>
                <w:rFonts w:hint="eastAsia" w:ascii="宋体" w:hAnsi="宋体" w:cs="宋体"/>
                <w:bCs/>
                <w:sz w:val="24"/>
              </w:rPr>
              <w:t>/h，处理后的出水夏季用于浇洒道路和厂区绿化，冬季与电石冷却排水一并排入水泥厂处理后回用。</w:t>
            </w:r>
          </w:p>
          <w:p w14:paraId="49F726CD">
            <w:pPr>
              <w:pageBreakBefore w:val="0"/>
              <w:kinsoku/>
              <w:wordWrap/>
              <w:topLinePunct w:val="0"/>
              <w:bidi w:val="0"/>
              <w:spacing w:line="360" w:lineRule="auto"/>
              <w:ind w:firstLine="480" w:firstLineChars="200"/>
              <w:rPr>
                <w:rFonts w:ascii="宋体" w:hAnsi="宋体" w:cs="宋体"/>
                <w:bCs/>
                <w:sz w:val="24"/>
              </w:rPr>
            </w:pPr>
            <w:r>
              <w:rPr>
                <w:rFonts w:hint="eastAsia" w:ascii="宋体" w:hAnsi="宋体" w:cs="宋体"/>
                <w:bCs/>
                <w:sz w:val="24"/>
              </w:rPr>
              <w:t>污水处理工艺详见下图。</w:t>
            </w:r>
          </w:p>
          <w:p w14:paraId="1582074B">
            <w:pPr>
              <w:pageBreakBefore w:val="0"/>
              <w:kinsoku/>
              <w:wordWrap/>
              <w:topLinePunct w:val="0"/>
              <w:bidi w:val="0"/>
              <w:spacing w:line="360" w:lineRule="auto"/>
              <w:jc w:val="center"/>
              <w:rPr>
                <w:rFonts w:hint="eastAsia" w:ascii="宋体" w:hAnsi="宋体" w:cs="宋体"/>
                <w:bCs/>
                <w:sz w:val="24"/>
              </w:rPr>
            </w:pPr>
            <w:r>
              <w:drawing>
                <wp:inline distT="0" distB="0" distL="114300" distR="114300">
                  <wp:extent cx="4319905" cy="1181735"/>
                  <wp:effectExtent l="0" t="0" r="4445" b="1841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20"/>
                          <a:stretch>
                            <a:fillRect/>
                          </a:stretch>
                        </pic:blipFill>
                        <pic:spPr>
                          <a:xfrm>
                            <a:off x="0" y="0"/>
                            <a:ext cx="4319905" cy="1181735"/>
                          </a:xfrm>
                          <a:prstGeom prst="rect">
                            <a:avLst/>
                          </a:prstGeom>
                          <a:noFill/>
                          <a:ln>
                            <a:noFill/>
                          </a:ln>
                        </pic:spPr>
                      </pic:pic>
                    </a:graphicData>
                  </a:graphic>
                </wp:inline>
              </w:drawing>
            </w:r>
          </w:p>
          <w:p w14:paraId="47598751">
            <w:pPr>
              <w:pStyle w:val="25"/>
              <w:pageBreakBefore w:val="0"/>
              <w:kinsoku/>
              <w:wordWrap/>
              <w:topLinePunct w:val="0"/>
              <w:bidi w:val="0"/>
              <w:rPr>
                <w:rFonts w:hint="default" w:ascii="宋体" w:hAnsi="宋体" w:eastAsia="宋体" w:cs="宋体"/>
              </w:rPr>
            </w:pPr>
            <w:r>
              <w:t>图4-</w:t>
            </w:r>
            <w:r>
              <w:rPr>
                <w:rFonts w:hint="eastAsia"/>
                <w:lang w:val="en-US" w:eastAsia="zh-CN"/>
              </w:rPr>
              <w:t>1</w:t>
            </w:r>
            <w:r>
              <w:t xml:space="preserve">  生活污水处理工艺流程图</w:t>
            </w:r>
          </w:p>
          <w:p w14:paraId="611D7933">
            <w:pPr>
              <w:pageBreakBefore w:val="0"/>
              <w:kinsoku/>
              <w:wordWrap/>
              <w:topLinePunct w:val="0"/>
              <w:bidi w:val="0"/>
              <w:spacing w:line="360" w:lineRule="auto"/>
              <w:ind w:firstLine="480" w:firstLineChars="200"/>
              <w:rPr>
                <w:rFonts w:ascii="宋体" w:hAnsi="宋体" w:cs="宋体"/>
                <w:bCs/>
                <w:sz w:val="24"/>
              </w:rPr>
            </w:pPr>
            <w:r>
              <w:rPr>
                <w:rFonts w:hint="eastAsia" w:ascii="宋体" w:hAnsi="宋体" w:cs="宋体"/>
                <w:bCs/>
                <w:sz w:val="24"/>
              </w:rPr>
              <w:t>该污水处理设</w:t>
            </w:r>
            <w:r>
              <w:rPr>
                <w:rFonts w:hint="eastAsia" w:ascii="宋体" w:hAnsi="宋体" w:cs="宋体"/>
                <w:bCs/>
                <w:sz w:val="24"/>
                <w:lang w:eastAsia="zh-CN"/>
              </w:rPr>
              <w:t>施项</w:t>
            </w:r>
            <w:r>
              <w:rPr>
                <w:rFonts w:hint="eastAsia" w:ascii="宋体" w:hAnsi="宋体" w:cs="宋体"/>
                <w:bCs/>
                <w:sz w:val="24"/>
              </w:rPr>
              <w:t>目余量可满足本项目处理所需，依托可行。</w:t>
            </w:r>
          </w:p>
          <w:p w14:paraId="528C5AE0">
            <w:pPr>
              <w:pageBreakBefore w:val="0"/>
              <w:kinsoku/>
              <w:wordWrap/>
              <w:topLinePunct w:val="0"/>
              <w:bidi w:val="0"/>
              <w:spacing w:line="360" w:lineRule="auto"/>
              <w:ind w:firstLine="482" w:firstLineChars="200"/>
              <w:rPr>
                <w:bCs/>
                <w:sz w:val="24"/>
              </w:rPr>
            </w:pPr>
            <w:r>
              <w:rPr>
                <w:b/>
                <w:sz w:val="24"/>
              </w:rPr>
              <w:t>2.3 污水排放基本情况</w:t>
            </w:r>
          </w:p>
          <w:p w14:paraId="11580381">
            <w:pPr>
              <w:pageBreakBefore w:val="0"/>
              <w:kinsoku/>
              <w:wordWrap/>
              <w:topLinePunct w:val="0"/>
              <w:bidi w:val="0"/>
              <w:spacing w:line="360" w:lineRule="auto"/>
              <w:ind w:firstLine="480" w:firstLineChars="200"/>
              <w:rPr>
                <w:rFonts w:hint="eastAsia" w:ascii="宋体" w:hAnsi="宋体" w:cs="宋体"/>
                <w:bCs/>
                <w:sz w:val="24"/>
              </w:rPr>
            </w:pPr>
            <w:r>
              <w:rPr>
                <w:rFonts w:hint="eastAsia"/>
                <w:bCs/>
                <w:sz w:val="24"/>
              </w:rPr>
              <w:t>本项目运营期产生的污废水全部依托</w:t>
            </w:r>
            <w:r>
              <w:rPr>
                <w:rFonts w:hint="eastAsia" w:ascii="宋体" w:hAnsi="宋体" w:cs="宋体"/>
                <w:bCs/>
                <w:sz w:val="24"/>
              </w:rPr>
              <w:t>“新疆圣雄电石有限公司煤电盐化循环经济一期工程年产60万吨电石、60万吨石灰、75万吨兰炭项目”进行处理，出水全部回用于生产，不随意排放。</w:t>
            </w:r>
          </w:p>
          <w:p w14:paraId="4219DF88">
            <w:pPr>
              <w:pageBreakBefore w:val="0"/>
              <w:kinsoku/>
              <w:wordWrap/>
              <w:topLinePunct w:val="0"/>
              <w:bidi w:val="0"/>
              <w:spacing w:line="360" w:lineRule="auto"/>
              <w:ind w:firstLine="480" w:firstLineChars="200"/>
              <w:rPr>
                <w:bCs/>
                <w:sz w:val="24"/>
              </w:rPr>
            </w:pPr>
            <w:r>
              <w:rPr>
                <w:rFonts w:hint="eastAsia" w:ascii="宋体" w:hAnsi="宋体" w:cs="宋体"/>
                <w:bCs/>
                <w:sz w:val="24"/>
              </w:rPr>
              <w:t>本项目不设置排放口，不设置监测计划。</w:t>
            </w:r>
          </w:p>
          <w:p w14:paraId="06CA5450">
            <w:pPr>
              <w:pageBreakBefore w:val="0"/>
              <w:kinsoku/>
              <w:wordWrap/>
              <w:topLinePunct w:val="0"/>
              <w:bidi w:val="0"/>
              <w:spacing w:line="360" w:lineRule="auto"/>
              <w:ind w:firstLine="482" w:firstLineChars="200"/>
              <w:rPr>
                <w:b/>
                <w:sz w:val="24"/>
              </w:rPr>
            </w:pPr>
            <w:r>
              <w:rPr>
                <w:b/>
                <w:sz w:val="24"/>
              </w:rPr>
              <w:t xml:space="preserve">3 </w:t>
            </w:r>
            <w:r>
              <w:rPr>
                <w:b/>
                <w:bCs/>
                <w:sz w:val="24"/>
              </w:rPr>
              <w:t>运营期</w:t>
            </w:r>
            <w:r>
              <w:rPr>
                <w:b/>
                <w:bCs/>
                <w:kern w:val="0"/>
                <w:sz w:val="24"/>
              </w:rPr>
              <w:t>噪声污染及防治措施</w:t>
            </w:r>
          </w:p>
          <w:p w14:paraId="0D662E72">
            <w:pPr>
              <w:pageBreakBefore w:val="0"/>
              <w:numPr>
                <w:ilvl w:val="0"/>
                <w:numId w:val="0"/>
              </w:numPr>
              <w:kinsoku/>
              <w:wordWrap/>
              <w:topLinePunct w:val="0"/>
              <w:bidi w:val="0"/>
              <w:spacing w:line="360" w:lineRule="auto"/>
              <w:ind w:firstLine="482" w:firstLineChars="200"/>
              <w:rPr>
                <w:bCs/>
                <w:sz w:val="24"/>
              </w:rPr>
            </w:pPr>
            <w:r>
              <w:rPr>
                <w:b/>
                <w:sz w:val="24"/>
              </w:rPr>
              <w:t>3.1 产污环节及源强分析</w:t>
            </w:r>
          </w:p>
          <w:p w14:paraId="625E81B2">
            <w:pPr>
              <w:pageBreakBefore w:val="0"/>
              <w:widowControl/>
              <w:kinsoku/>
              <w:wordWrap/>
              <w:topLinePunct w:val="0"/>
              <w:bidi w:val="0"/>
              <w:spacing w:line="360" w:lineRule="auto"/>
              <w:ind w:firstLine="480" w:firstLineChars="200"/>
              <w:rPr>
                <w:rFonts w:hint="eastAsia" w:ascii="宋体" w:hAnsi="宋体" w:cs="宋体"/>
                <w:kern w:val="0"/>
                <w:sz w:val="24"/>
                <w:lang w:bidi="ar"/>
              </w:rPr>
            </w:pPr>
            <w:r>
              <w:rPr>
                <w:rFonts w:hint="eastAsia" w:ascii="宋体" w:hAnsi="宋体" w:cs="宋体"/>
                <w:kern w:val="0"/>
                <w:sz w:val="24"/>
                <w:lang w:val="en-US" w:eastAsia="zh-CN" w:bidi="ar"/>
              </w:rPr>
              <w:t>本项目运营期噪声主要来自气体压缩机、机泵和风机</w:t>
            </w:r>
            <w:r>
              <w:rPr>
                <w:rFonts w:hint="eastAsia" w:ascii="宋体" w:hAnsi="宋体" w:cs="宋体"/>
                <w:kern w:val="0"/>
                <w:sz w:val="24"/>
                <w:lang w:eastAsia="zh-CN" w:bidi="ar"/>
              </w:rPr>
              <w:t>，</w:t>
            </w:r>
            <w:r>
              <w:rPr>
                <w:rFonts w:hint="eastAsia" w:ascii="宋体" w:hAnsi="宋体" w:cs="宋体"/>
                <w:kern w:val="0"/>
                <w:sz w:val="24"/>
                <w:lang w:bidi="ar"/>
              </w:rPr>
              <w:t>主要产噪设备声源强度见下表。</w:t>
            </w:r>
          </w:p>
          <w:p w14:paraId="094E28CC">
            <w:pPr>
              <w:pageBreakBefore w:val="0"/>
              <w:widowControl/>
              <w:kinsoku/>
              <w:wordWrap/>
              <w:topLinePunct w:val="0"/>
              <w:bidi w:val="0"/>
              <w:spacing w:line="360" w:lineRule="auto"/>
              <w:ind w:firstLine="480" w:firstLineChars="200"/>
              <w:rPr>
                <w:rFonts w:hint="eastAsia" w:ascii="宋体" w:hAnsi="宋体" w:cs="宋体"/>
                <w:kern w:val="0"/>
                <w:sz w:val="24"/>
                <w:lang w:bidi="ar"/>
              </w:rPr>
            </w:pPr>
          </w:p>
          <w:p w14:paraId="64C93EEF">
            <w:pPr>
              <w:pStyle w:val="23"/>
              <w:pageBreakBefore w:val="0"/>
              <w:kinsoku/>
              <w:wordWrap/>
              <w:topLinePunct w:val="0"/>
              <w:bidi w:val="0"/>
              <w:rPr>
                <w:rFonts w:hint="default" w:ascii="Times New Roman" w:hAnsi="Times New Roman" w:cs="Times New Roman"/>
                <w:color w:val="auto"/>
              </w:rPr>
            </w:pPr>
            <w:r>
              <w:rPr>
                <w:rFonts w:hint="default" w:ascii="Times New Roman" w:hAnsi="Times New Roman" w:cs="Times New Roman"/>
                <w:b w:val="0"/>
                <w:bCs/>
                <w:color w:val="auto"/>
              </w:rPr>
              <w:t>表</w:t>
            </w:r>
            <w:r>
              <w:rPr>
                <w:rFonts w:ascii="Times New Roman" w:hAnsi="Times New Roman" w:cs="Times New Roman"/>
                <w:b w:val="0"/>
                <w:bCs/>
                <w:color w:val="auto"/>
              </w:rPr>
              <w:t>4-2</w:t>
            </w:r>
            <w:r>
              <w:rPr>
                <w:rFonts w:hint="default" w:ascii="Times New Roman" w:hAnsi="Times New Roman" w:cs="Times New Roman"/>
                <w:b w:val="0"/>
                <w:bCs/>
                <w:color w:val="auto"/>
              </w:rPr>
              <w:t xml:space="preserve">  本项目</w:t>
            </w:r>
            <w:r>
              <w:rPr>
                <w:rFonts w:ascii="Times New Roman" w:hAnsi="Times New Roman" w:cs="Times New Roman"/>
                <w:b w:val="0"/>
                <w:bCs/>
                <w:color w:val="auto"/>
              </w:rPr>
              <w:t>主要设备</w:t>
            </w:r>
            <w:r>
              <w:rPr>
                <w:rFonts w:hint="default" w:ascii="Times New Roman" w:hAnsi="Times New Roman" w:cs="Times New Roman"/>
                <w:b w:val="0"/>
                <w:bCs/>
                <w:color w:val="auto"/>
              </w:rPr>
              <w:t>噪声</w:t>
            </w:r>
            <w:r>
              <w:rPr>
                <w:rFonts w:ascii="Times New Roman" w:hAnsi="Times New Roman" w:cs="Times New Roman"/>
                <w:b w:val="0"/>
                <w:bCs/>
                <w:color w:val="auto"/>
              </w:rPr>
              <w:t>强度</w:t>
            </w:r>
            <w:r>
              <w:rPr>
                <w:rFonts w:hint="default" w:ascii="Times New Roman" w:hAnsi="Times New Roman" w:cs="Times New Roman"/>
                <w:b w:val="0"/>
                <w:bCs/>
                <w:color w:val="auto"/>
              </w:rPr>
              <w:t>一览表</w:t>
            </w:r>
          </w:p>
          <w:tbl>
            <w:tblPr>
              <w:tblStyle w:val="14"/>
              <w:tblW w:w="4881"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616"/>
              <w:gridCol w:w="2811"/>
              <w:gridCol w:w="1440"/>
              <w:gridCol w:w="1448"/>
              <w:gridCol w:w="2073"/>
            </w:tblGrid>
            <w:tr w14:paraId="15F145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67" w:type="pct"/>
                  <w:noWrap w:val="0"/>
                  <w:vAlign w:val="center"/>
                </w:tcPr>
                <w:p w14:paraId="63CE3708">
                  <w:pPr>
                    <w:pStyle w:val="22"/>
                    <w:pageBreakBefore w:val="0"/>
                    <w:kinsoku/>
                    <w:wordWrap/>
                    <w:topLinePunct w:val="0"/>
                    <w:bidi w:val="0"/>
                    <w:rPr>
                      <w:b/>
                      <w:bCs/>
                      <w:color w:val="auto"/>
                    </w:rPr>
                  </w:pPr>
                  <w:r>
                    <w:rPr>
                      <w:b/>
                      <w:bCs/>
                      <w:color w:val="auto"/>
                    </w:rPr>
                    <w:t>序号</w:t>
                  </w:r>
                </w:p>
              </w:tc>
              <w:tc>
                <w:tcPr>
                  <w:tcW w:w="1675" w:type="pct"/>
                  <w:noWrap w:val="0"/>
                  <w:vAlign w:val="center"/>
                </w:tcPr>
                <w:p w14:paraId="17E26461">
                  <w:pPr>
                    <w:pStyle w:val="22"/>
                    <w:pageBreakBefore w:val="0"/>
                    <w:kinsoku/>
                    <w:wordWrap/>
                    <w:topLinePunct w:val="0"/>
                    <w:bidi w:val="0"/>
                    <w:rPr>
                      <w:b/>
                      <w:bCs/>
                      <w:color w:val="auto"/>
                    </w:rPr>
                  </w:pPr>
                  <w:r>
                    <w:rPr>
                      <w:b/>
                      <w:bCs/>
                      <w:color w:val="auto"/>
                    </w:rPr>
                    <w:t>设备名称</w:t>
                  </w:r>
                </w:p>
              </w:tc>
              <w:tc>
                <w:tcPr>
                  <w:tcW w:w="858" w:type="pct"/>
                  <w:noWrap w:val="0"/>
                  <w:vAlign w:val="center"/>
                </w:tcPr>
                <w:p w14:paraId="03ED168C">
                  <w:pPr>
                    <w:pStyle w:val="22"/>
                    <w:pageBreakBefore w:val="0"/>
                    <w:kinsoku/>
                    <w:wordWrap/>
                    <w:topLinePunct w:val="0"/>
                    <w:bidi w:val="0"/>
                    <w:rPr>
                      <w:b/>
                      <w:bCs/>
                      <w:color w:val="auto"/>
                    </w:rPr>
                  </w:pPr>
                  <w:r>
                    <w:rPr>
                      <w:b/>
                      <w:bCs/>
                      <w:color w:val="auto"/>
                    </w:rPr>
                    <w:t>设备位置</w:t>
                  </w:r>
                </w:p>
              </w:tc>
              <w:tc>
                <w:tcPr>
                  <w:tcW w:w="863" w:type="pct"/>
                  <w:noWrap w:val="0"/>
                  <w:vAlign w:val="center"/>
                </w:tcPr>
                <w:p w14:paraId="35EC1F3F">
                  <w:pPr>
                    <w:pStyle w:val="22"/>
                    <w:pageBreakBefore w:val="0"/>
                    <w:kinsoku/>
                    <w:wordWrap/>
                    <w:topLinePunct w:val="0"/>
                    <w:bidi w:val="0"/>
                    <w:rPr>
                      <w:b/>
                      <w:bCs/>
                      <w:color w:val="auto"/>
                    </w:rPr>
                  </w:pPr>
                  <w:r>
                    <w:rPr>
                      <w:b/>
                      <w:bCs/>
                      <w:color w:val="auto"/>
                    </w:rPr>
                    <w:t>数量（台）</w:t>
                  </w:r>
                </w:p>
              </w:tc>
              <w:tc>
                <w:tcPr>
                  <w:tcW w:w="1235" w:type="pct"/>
                  <w:noWrap w:val="0"/>
                  <w:vAlign w:val="center"/>
                </w:tcPr>
                <w:p w14:paraId="77352495">
                  <w:pPr>
                    <w:pStyle w:val="22"/>
                    <w:pageBreakBefore w:val="0"/>
                    <w:kinsoku/>
                    <w:wordWrap/>
                    <w:topLinePunct w:val="0"/>
                    <w:bidi w:val="0"/>
                    <w:rPr>
                      <w:b/>
                      <w:bCs/>
                      <w:color w:val="auto"/>
                    </w:rPr>
                  </w:pPr>
                  <w:r>
                    <w:rPr>
                      <w:b/>
                      <w:bCs/>
                      <w:color w:val="auto"/>
                    </w:rPr>
                    <w:t>声源强度[dB(A)]</w:t>
                  </w:r>
                </w:p>
              </w:tc>
            </w:tr>
            <w:tr w14:paraId="2E3212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67" w:type="pct"/>
                  <w:noWrap w:val="0"/>
                  <w:vAlign w:val="center"/>
                </w:tcPr>
                <w:p w14:paraId="57404563">
                  <w:pPr>
                    <w:pStyle w:val="22"/>
                    <w:pageBreakBefore w:val="0"/>
                    <w:kinsoku/>
                    <w:wordWrap/>
                    <w:topLinePunct w:val="0"/>
                    <w:bidi w:val="0"/>
                    <w:rPr>
                      <w:color w:val="auto"/>
                    </w:rPr>
                  </w:pPr>
                  <w:r>
                    <w:rPr>
                      <w:color w:val="auto"/>
                    </w:rPr>
                    <w:t>1</w:t>
                  </w:r>
                </w:p>
              </w:tc>
              <w:tc>
                <w:tcPr>
                  <w:tcW w:w="1675" w:type="pct"/>
                  <w:noWrap w:val="0"/>
                  <w:vAlign w:val="center"/>
                </w:tcPr>
                <w:p w14:paraId="6CF73547">
                  <w:pPr>
                    <w:pStyle w:val="22"/>
                    <w:pageBreakBefore w:val="0"/>
                    <w:kinsoku/>
                    <w:wordWrap/>
                    <w:topLinePunct w:val="0"/>
                    <w:bidi w:val="0"/>
                    <w:rPr>
                      <w:color w:val="auto"/>
                    </w:rPr>
                  </w:pPr>
                  <w:r>
                    <w:rPr>
                      <w:rFonts w:hint="eastAsia"/>
                      <w:color w:val="auto"/>
                    </w:rPr>
                    <w:t>荒煤气压缩机</w:t>
                  </w:r>
                </w:p>
              </w:tc>
              <w:tc>
                <w:tcPr>
                  <w:tcW w:w="858" w:type="pct"/>
                  <w:noWrap w:val="0"/>
                  <w:vAlign w:val="center"/>
                </w:tcPr>
                <w:p w14:paraId="5B88008C">
                  <w:pPr>
                    <w:pStyle w:val="22"/>
                    <w:pageBreakBefore w:val="0"/>
                    <w:kinsoku/>
                    <w:wordWrap/>
                    <w:topLinePunct w:val="0"/>
                    <w:bidi w:val="0"/>
                    <w:rPr>
                      <w:color w:val="auto"/>
                    </w:rPr>
                  </w:pPr>
                  <w:r>
                    <w:rPr>
                      <w:rFonts w:hint="eastAsia"/>
                      <w:color w:val="auto"/>
                    </w:rPr>
                    <w:t>室内</w:t>
                  </w:r>
                </w:p>
              </w:tc>
              <w:tc>
                <w:tcPr>
                  <w:tcW w:w="863" w:type="pct"/>
                  <w:noWrap w:val="0"/>
                  <w:vAlign w:val="center"/>
                </w:tcPr>
                <w:p w14:paraId="20937147">
                  <w:pPr>
                    <w:pStyle w:val="22"/>
                    <w:pageBreakBefore w:val="0"/>
                    <w:kinsoku/>
                    <w:wordWrap/>
                    <w:topLinePunct w:val="0"/>
                    <w:bidi w:val="0"/>
                    <w:rPr>
                      <w:color w:val="auto"/>
                    </w:rPr>
                  </w:pPr>
                  <w:r>
                    <w:rPr>
                      <w:color w:val="auto"/>
                    </w:rPr>
                    <w:t>1</w:t>
                  </w:r>
                </w:p>
              </w:tc>
              <w:tc>
                <w:tcPr>
                  <w:tcW w:w="1235" w:type="pct"/>
                  <w:noWrap w:val="0"/>
                  <w:vAlign w:val="center"/>
                </w:tcPr>
                <w:p w14:paraId="356DEBE2">
                  <w:pPr>
                    <w:pStyle w:val="22"/>
                    <w:pageBreakBefore w:val="0"/>
                    <w:kinsoku/>
                    <w:wordWrap/>
                    <w:topLinePunct w:val="0"/>
                    <w:bidi w:val="0"/>
                    <w:rPr>
                      <w:rFonts w:hint="default" w:eastAsia="宋体"/>
                      <w:color w:val="auto"/>
                      <w:lang w:val="en-US" w:eastAsia="zh-CN"/>
                    </w:rPr>
                  </w:pPr>
                  <w:r>
                    <w:rPr>
                      <w:rFonts w:hint="eastAsia"/>
                      <w:color w:val="auto"/>
                      <w:lang w:val="en-US" w:eastAsia="zh-CN"/>
                    </w:rPr>
                    <w:t>75</w:t>
                  </w:r>
                </w:p>
              </w:tc>
            </w:tr>
            <w:tr w14:paraId="205858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67" w:type="pct"/>
                  <w:noWrap w:val="0"/>
                  <w:vAlign w:val="center"/>
                </w:tcPr>
                <w:p w14:paraId="3AB705A7">
                  <w:pPr>
                    <w:pStyle w:val="22"/>
                    <w:pageBreakBefore w:val="0"/>
                    <w:kinsoku/>
                    <w:wordWrap/>
                    <w:topLinePunct w:val="0"/>
                    <w:bidi w:val="0"/>
                    <w:rPr>
                      <w:color w:val="auto"/>
                    </w:rPr>
                  </w:pPr>
                  <w:r>
                    <w:rPr>
                      <w:rFonts w:hint="eastAsia"/>
                      <w:color w:val="auto"/>
                    </w:rPr>
                    <w:t>2</w:t>
                  </w:r>
                </w:p>
              </w:tc>
              <w:tc>
                <w:tcPr>
                  <w:tcW w:w="1675" w:type="pct"/>
                  <w:noWrap w:val="0"/>
                  <w:vAlign w:val="center"/>
                </w:tcPr>
                <w:p w14:paraId="3DE6BCC4">
                  <w:pPr>
                    <w:pStyle w:val="22"/>
                    <w:pageBreakBefore w:val="0"/>
                    <w:kinsoku/>
                    <w:wordWrap/>
                    <w:topLinePunct w:val="0"/>
                    <w:bidi w:val="0"/>
                    <w:rPr>
                      <w:color w:val="auto"/>
                    </w:rPr>
                  </w:pPr>
                  <w:r>
                    <w:rPr>
                      <w:rFonts w:hint="eastAsia"/>
                      <w:color w:val="auto"/>
                    </w:rPr>
                    <w:t>往复式压缩机</w:t>
                  </w:r>
                </w:p>
              </w:tc>
              <w:tc>
                <w:tcPr>
                  <w:tcW w:w="858" w:type="pct"/>
                  <w:noWrap w:val="0"/>
                  <w:vAlign w:val="center"/>
                </w:tcPr>
                <w:p w14:paraId="58ADC872">
                  <w:pPr>
                    <w:pStyle w:val="22"/>
                    <w:pageBreakBefore w:val="0"/>
                    <w:kinsoku/>
                    <w:wordWrap/>
                    <w:topLinePunct w:val="0"/>
                    <w:bidi w:val="0"/>
                    <w:rPr>
                      <w:color w:val="auto"/>
                    </w:rPr>
                  </w:pPr>
                  <w:r>
                    <w:rPr>
                      <w:rFonts w:hint="eastAsia"/>
                      <w:color w:val="auto"/>
                    </w:rPr>
                    <w:t>室内</w:t>
                  </w:r>
                </w:p>
              </w:tc>
              <w:tc>
                <w:tcPr>
                  <w:tcW w:w="863" w:type="pct"/>
                  <w:noWrap w:val="0"/>
                  <w:vAlign w:val="center"/>
                </w:tcPr>
                <w:p w14:paraId="03D1CA19">
                  <w:pPr>
                    <w:pStyle w:val="22"/>
                    <w:pageBreakBefore w:val="0"/>
                    <w:kinsoku/>
                    <w:wordWrap/>
                    <w:topLinePunct w:val="0"/>
                    <w:bidi w:val="0"/>
                    <w:rPr>
                      <w:rFonts w:hint="eastAsia" w:eastAsia="宋体"/>
                      <w:color w:val="auto"/>
                      <w:lang w:eastAsia="zh-CN"/>
                    </w:rPr>
                  </w:pPr>
                  <w:r>
                    <w:rPr>
                      <w:rFonts w:hint="eastAsia"/>
                      <w:color w:val="auto"/>
                      <w:lang w:val="en-US" w:eastAsia="zh-CN"/>
                    </w:rPr>
                    <w:t>1</w:t>
                  </w:r>
                </w:p>
              </w:tc>
              <w:tc>
                <w:tcPr>
                  <w:tcW w:w="1235" w:type="pct"/>
                  <w:noWrap w:val="0"/>
                  <w:vAlign w:val="center"/>
                </w:tcPr>
                <w:p w14:paraId="6356EE7F">
                  <w:pPr>
                    <w:pStyle w:val="22"/>
                    <w:pageBreakBefore w:val="0"/>
                    <w:kinsoku/>
                    <w:wordWrap/>
                    <w:topLinePunct w:val="0"/>
                    <w:bidi w:val="0"/>
                    <w:rPr>
                      <w:rFonts w:hint="default" w:eastAsia="宋体"/>
                      <w:color w:val="auto"/>
                      <w:lang w:val="en-US" w:eastAsia="zh-CN"/>
                    </w:rPr>
                  </w:pPr>
                  <w:r>
                    <w:rPr>
                      <w:rFonts w:hint="eastAsia"/>
                      <w:color w:val="auto"/>
                      <w:lang w:val="en-US" w:eastAsia="zh-CN"/>
                    </w:rPr>
                    <w:t>80</w:t>
                  </w:r>
                </w:p>
              </w:tc>
            </w:tr>
            <w:tr w14:paraId="4570CE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67" w:type="pct"/>
                  <w:noWrap w:val="0"/>
                  <w:vAlign w:val="center"/>
                </w:tcPr>
                <w:p w14:paraId="7D7EB349">
                  <w:pPr>
                    <w:pStyle w:val="22"/>
                    <w:pageBreakBefore w:val="0"/>
                    <w:kinsoku/>
                    <w:wordWrap/>
                    <w:topLinePunct w:val="0"/>
                    <w:bidi w:val="0"/>
                    <w:rPr>
                      <w:rFonts w:hint="eastAsia" w:eastAsia="宋体"/>
                      <w:color w:val="auto"/>
                      <w:lang w:eastAsia="zh-CN"/>
                    </w:rPr>
                  </w:pPr>
                  <w:r>
                    <w:rPr>
                      <w:rFonts w:hint="eastAsia"/>
                      <w:color w:val="auto"/>
                      <w:lang w:val="en-US" w:eastAsia="zh-CN"/>
                    </w:rPr>
                    <w:t>3</w:t>
                  </w:r>
                </w:p>
              </w:tc>
              <w:tc>
                <w:tcPr>
                  <w:tcW w:w="1675" w:type="pct"/>
                  <w:noWrap w:val="0"/>
                  <w:vAlign w:val="center"/>
                </w:tcPr>
                <w:p w14:paraId="5AC430F2">
                  <w:pPr>
                    <w:pStyle w:val="22"/>
                    <w:pageBreakBefore w:val="0"/>
                    <w:kinsoku/>
                    <w:wordWrap/>
                    <w:topLinePunct w:val="0"/>
                    <w:bidi w:val="0"/>
                    <w:rPr>
                      <w:color w:val="auto"/>
                    </w:rPr>
                  </w:pPr>
                  <w:r>
                    <w:rPr>
                      <w:rFonts w:hint="eastAsia"/>
                      <w:color w:val="auto"/>
                    </w:rPr>
                    <w:t>真空泵</w:t>
                  </w:r>
                </w:p>
              </w:tc>
              <w:tc>
                <w:tcPr>
                  <w:tcW w:w="858" w:type="pct"/>
                  <w:noWrap w:val="0"/>
                  <w:vAlign w:val="center"/>
                </w:tcPr>
                <w:p w14:paraId="5E911EE8">
                  <w:pPr>
                    <w:pStyle w:val="22"/>
                    <w:pageBreakBefore w:val="0"/>
                    <w:kinsoku/>
                    <w:wordWrap/>
                    <w:topLinePunct w:val="0"/>
                    <w:bidi w:val="0"/>
                    <w:rPr>
                      <w:color w:val="auto"/>
                    </w:rPr>
                  </w:pPr>
                  <w:r>
                    <w:rPr>
                      <w:rFonts w:hint="eastAsia"/>
                      <w:color w:val="auto"/>
                    </w:rPr>
                    <w:t>室内</w:t>
                  </w:r>
                </w:p>
              </w:tc>
              <w:tc>
                <w:tcPr>
                  <w:tcW w:w="863" w:type="pct"/>
                  <w:noWrap w:val="0"/>
                  <w:vAlign w:val="center"/>
                </w:tcPr>
                <w:p w14:paraId="2DC4250E">
                  <w:pPr>
                    <w:pStyle w:val="22"/>
                    <w:pageBreakBefore w:val="0"/>
                    <w:kinsoku/>
                    <w:wordWrap/>
                    <w:topLinePunct w:val="0"/>
                    <w:bidi w:val="0"/>
                    <w:rPr>
                      <w:color w:val="auto"/>
                    </w:rPr>
                  </w:pPr>
                  <w:r>
                    <w:rPr>
                      <w:rFonts w:hint="eastAsia"/>
                      <w:color w:val="auto"/>
                    </w:rPr>
                    <w:t>3</w:t>
                  </w:r>
                </w:p>
              </w:tc>
              <w:tc>
                <w:tcPr>
                  <w:tcW w:w="1235" w:type="pct"/>
                  <w:noWrap w:val="0"/>
                  <w:vAlign w:val="center"/>
                </w:tcPr>
                <w:p w14:paraId="42596D71">
                  <w:pPr>
                    <w:pStyle w:val="22"/>
                    <w:pageBreakBefore w:val="0"/>
                    <w:kinsoku/>
                    <w:wordWrap/>
                    <w:topLinePunct w:val="0"/>
                    <w:bidi w:val="0"/>
                    <w:rPr>
                      <w:color w:val="auto"/>
                    </w:rPr>
                  </w:pPr>
                  <w:r>
                    <w:rPr>
                      <w:rFonts w:hint="eastAsia"/>
                      <w:color w:val="auto"/>
                    </w:rPr>
                    <w:t>90</w:t>
                  </w:r>
                </w:p>
              </w:tc>
            </w:tr>
            <w:tr w14:paraId="24B938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67" w:type="pct"/>
                  <w:noWrap w:val="0"/>
                  <w:vAlign w:val="center"/>
                </w:tcPr>
                <w:p w14:paraId="0A07D6D3">
                  <w:pPr>
                    <w:pStyle w:val="22"/>
                    <w:pageBreakBefore w:val="0"/>
                    <w:kinsoku/>
                    <w:wordWrap/>
                    <w:topLinePunct w:val="0"/>
                    <w:bidi w:val="0"/>
                    <w:rPr>
                      <w:rFonts w:hint="eastAsia" w:eastAsia="宋体"/>
                      <w:color w:val="auto"/>
                      <w:lang w:val="en-US" w:eastAsia="zh-CN"/>
                    </w:rPr>
                  </w:pPr>
                  <w:r>
                    <w:rPr>
                      <w:rFonts w:hint="eastAsia"/>
                      <w:color w:val="auto"/>
                      <w:lang w:val="en-US" w:eastAsia="zh-CN"/>
                    </w:rPr>
                    <w:t>4</w:t>
                  </w:r>
                </w:p>
              </w:tc>
              <w:tc>
                <w:tcPr>
                  <w:tcW w:w="1675" w:type="pct"/>
                  <w:noWrap w:val="0"/>
                  <w:vAlign w:val="center"/>
                </w:tcPr>
                <w:p w14:paraId="62BD2919">
                  <w:pPr>
                    <w:pStyle w:val="22"/>
                    <w:pageBreakBefore w:val="0"/>
                    <w:kinsoku/>
                    <w:wordWrap/>
                    <w:topLinePunct w:val="0"/>
                    <w:bidi w:val="0"/>
                    <w:rPr>
                      <w:rFonts w:hint="eastAsia" w:eastAsia="宋体"/>
                      <w:color w:val="auto"/>
                      <w:lang w:val="en-US" w:eastAsia="zh-CN"/>
                    </w:rPr>
                  </w:pPr>
                  <w:r>
                    <w:rPr>
                      <w:rFonts w:hint="eastAsia"/>
                      <w:color w:val="auto"/>
                      <w:lang w:val="en-US" w:eastAsia="zh-CN"/>
                    </w:rPr>
                    <w:t>喷淋泵</w:t>
                  </w:r>
                </w:p>
              </w:tc>
              <w:tc>
                <w:tcPr>
                  <w:tcW w:w="858" w:type="pct"/>
                  <w:noWrap w:val="0"/>
                  <w:vAlign w:val="center"/>
                </w:tcPr>
                <w:p w14:paraId="678933D7">
                  <w:pPr>
                    <w:pStyle w:val="22"/>
                    <w:pageBreakBefore w:val="0"/>
                    <w:kinsoku/>
                    <w:wordWrap/>
                    <w:topLinePunct w:val="0"/>
                    <w:bidi w:val="0"/>
                    <w:rPr>
                      <w:rFonts w:hint="eastAsia" w:eastAsia="宋体"/>
                      <w:color w:val="auto"/>
                      <w:lang w:val="en-US" w:eastAsia="zh-CN"/>
                    </w:rPr>
                  </w:pPr>
                  <w:r>
                    <w:rPr>
                      <w:rFonts w:hint="eastAsia"/>
                      <w:color w:val="auto"/>
                      <w:lang w:val="en-US" w:eastAsia="zh-CN"/>
                    </w:rPr>
                    <w:t>室内</w:t>
                  </w:r>
                </w:p>
              </w:tc>
              <w:tc>
                <w:tcPr>
                  <w:tcW w:w="863" w:type="pct"/>
                  <w:noWrap w:val="0"/>
                  <w:vAlign w:val="center"/>
                </w:tcPr>
                <w:p w14:paraId="71A55933">
                  <w:pPr>
                    <w:pStyle w:val="22"/>
                    <w:pageBreakBefore w:val="0"/>
                    <w:kinsoku/>
                    <w:wordWrap/>
                    <w:topLinePunct w:val="0"/>
                    <w:bidi w:val="0"/>
                    <w:rPr>
                      <w:rFonts w:hint="eastAsia" w:eastAsia="宋体"/>
                      <w:color w:val="auto"/>
                      <w:lang w:val="en-US" w:eastAsia="zh-CN"/>
                    </w:rPr>
                  </w:pPr>
                  <w:r>
                    <w:rPr>
                      <w:rFonts w:hint="eastAsia"/>
                      <w:color w:val="auto"/>
                      <w:lang w:val="en-US" w:eastAsia="zh-CN"/>
                    </w:rPr>
                    <w:t>4</w:t>
                  </w:r>
                </w:p>
              </w:tc>
              <w:tc>
                <w:tcPr>
                  <w:tcW w:w="1235" w:type="pct"/>
                  <w:noWrap w:val="0"/>
                  <w:vAlign w:val="center"/>
                </w:tcPr>
                <w:p w14:paraId="406A7A53">
                  <w:pPr>
                    <w:pStyle w:val="22"/>
                    <w:pageBreakBefore w:val="0"/>
                    <w:kinsoku/>
                    <w:wordWrap/>
                    <w:topLinePunct w:val="0"/>
                    <w:bidi w:val="0"/>
                    <w:rPr>
                      <w:rFonts w:hint="default" w:eastAsia="宋体"/>
                      <w:color w:val="auto"/>
                      <w:lang w:val="en-US" w:eastAsia="zh-CN"/>
                    </w:rPr>
                  </w:pPr>
                  <w:r>
                    <w:rPr>
                      <w:rFonts w:hint="eastAsia"/>
                      <w:color w:val="auto"/>
                      <w:lang w:val="en-US" w:eastAsia="zh-CN"/>
                    </w:rPr>
                    <w:t>70</w:t>
                  </w:r>
                </w:p>
              </w:tc>
            </w:tr>
            <w:tr w14:paraId="1FEFB6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67" w:type="pct"/>
                  <w:noWrap w:val="0"/>
                  <w:vAlign w:val="center"/>
                </w:tcPr>
                <w:p w14:paraId="546CF166">
                  <w:pPr>
                    <w:pStyle w:val="22"/>
                    <w:pageBreakBefore w:val="0"/>
                    <w:kinsoku/>
                    <w:wordWrap/>
                    <w:topLinePunct w:val="0"/>
                    <w:bidi w:val="0"/>
                    <w:rPr>
                      <w:color w:val="auto"/>
                    </w:rPr>
                  </w:pPr>
                  <w:r>
                    <w:rPr>
                      <w:rFonts w:hint="eastAsia"/>
                      <w:color w:val="auto"/>
                    </w:rPr>
                    <w:t>5</w:t>
                  </w:r>
                </w:p>
              </w:tc>
              <w:tc>
                <w:tcPr>
                  <w:tcW w:w="1675" w:type="pct"/>
                  <w:noWrap w:val="0"/>
                  <w:vAlign w:val="center"/>
                </w:tcPr>
                <w:p w14:paraId="7E64C5E2">
                  <w:pPr>
                    <w:pStyle w:val="22"/>
                    <w:pageBreakBefore w:val="0"/>
                    <w:kinsoku/>
                    <w:wordWrap/>
                    <w:topLinePunct w:val="0"/>
                    <w:bidi w:val="0"/>
                    <w:rPr>
                      <w:color w:val="auto"/>
                    </w:rPr>
                  </w:pPr>
                  <w:r>
                    <w:rPr>
                      <w:rFonts w:hint="eastAsia"/>
                      <w:color w:val="auto"/>
                    </w:rPr>
                    <w:t>循环水泵</w:t>
                  </w:r>
                </w:p>
              </w:tc>
              <w:tc>
                <w:tcPr>
                  <w:tcW w:w="858" w:type="pct"/>
                  <w:noWrap w:val="0"/>
                  <w:vAlign w:val="center"/>
                </w:tcPr>
                <w:p w14:paraId="5673ADBA">
                  <w:pPr>
                    <w:pStyle w:val="22"/>
                    <w:pageBreakBefore w:val="0"/>
                    <w:kinsoku/>
                    <w:wordWrap/>
                    <w:topLinePunct w:val="0"/>
                    <w:bidi w:val="0"/>
                    <w:rPr>
                      <w:color w:val="auto"/>
                    </w:rPr>
                  </w:pPr>
                  <w:r>
                    <w:rPr>
                      <w:rFonts w:hint="eastAsia"/>
                      <w:color w:val="auto"/>
                    </w:rPr>
                    <w:t>室内</w:t>
                  </w:r>
                </w:p>
              </w:tc>
              <w:tc>
                <w:tcPr>
                  <w:tcW w:w="863" w:type="pct"/>
                  <w:noWrap w:val="0"/>
                  <w:vAlign w:val="center"/>
                </w:tcPr>
                <w:p w14:paraId="526A42B9">
                  <w:pPr>
                    <w:pStyle w:val="22"/>
                    <w:pageBreakBefore w:val="0"/>
                    <w:kinsoku/>
                    <w:wordWrap/>
                    <w:topLinePunct w:val="0"/>
                    <w:bidi w:val="0"/>
                    <w:rPr>
                      <w:rFonts w:hint="eastAsia" w:eastAsia="宋体"/>
                      <w:color w:val="auto"/>
                      <w:lang w:eastAsia="zh-CN"/>
                    </w:rPr>
                  </w:pPr>
                  <w:r>
                    <w:rPr>
                      <w:rFonts w:hint="eastAsia"/>
                      <w:color w:val="auto"/>
                      <w:lang w:val="en-US" w:eastAsia="zh-CN"/>
                    </w:rPr>
                    <w:t>3</w:t>
                  </w:r>
                </w:p>
              </w:tc>
              <w:tc>
                <w:tcPr>
                  <w:tcW w:w="1235" w:type="pct"/>
                  <w:noWrap w:val="0"/>
                  <w:vAlign w:val="center"/>
                </w:tcPr>
                <w:p w14:paraId="3F1DC0D2">
                  <w:pPr>
                    <w:pStyle w:val="22"/>
                    <w:pageBreakBefore w:val="0"/>
                    <w:kinsoku/>
                    <w:wordWrap/>
                    <w:topLinePunct w:val="0"/>
                    <w:bidi w:val="0"/>
                    <w:rPr>
                      <w:rFonts w:hint="default" w:eastAsia="宋体"/>
                      <w:color w:val="auto"/>
                      <w:lang w:val="en-US" w:eastAsia="zh-CN"/>
                    </w:rPr>
                  </w:pPr>
                  <w:r>
                    <w:rPr>
                      <w:rFonts w:hint="eastAsia"/>
                      <w:color w:val="auto"/>
                      <w:lang w:val="en-US" w:eastAsia="zh-CN"/>
                    </w:rPr>
                    <w:t>65</w:t>
                  </w:r>
                </w:p>
              </w:tc>
            </w:tr>
            <w:tr w14:paraId="50FDBE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67" w:type="pct"/>
                  <w:noWrap w:val="0"/>
                  <w:vAlign w:val="center"/>
                </w:tcPr>
                <w:p w14:paraId="04120A03">
                  <w:pPr>
                    <w:pStyle w:val="22"/>
                    <w:pageBreakBefore w:val="0"/>
                    <w:kinsoku/>
                    <w:wordWrap/>
                    <w:topLinePunct w:val="0"/>
                    <w:bidi w:val="0"/>
                    <w:rPr>
                      <w:rFonts w:hint="eastAsia" w:eastAsia="宋体"/>
                      <w:color w:val="auto"/>
                      <w:lang w:val="en-US" w:eastAsia="zh-CN"/>
                    </w:rPr>
                  </w:pPr>
                  <w:r>
                    <w:rPr>
                      <w:rFonts w:hint="eastAsia"/>
                      <w:color w:val="auto"/>
                      <w:lang w:val="en-US" w:eastAsia="zh-CN"/>
                    </w:rPr>
                    <w:t>6</w:t>
                  </w:r>
                </w:p>
              </w:tc>
              <w:tc>
                <w:tcPr>
                  <w:tcW w:w="1675" w:type="pct"/>
                  <w:noWrap w:val="0"/>
                  <w:vAlign w:val="center"/>
                </w:tcPr>
                <w:p w14:paraId="779E4B6F">
                  <w:pPr>
                    <w:pStyle w:val="22"/>
                    <w:pageBreakBefore w:val="0"/>
                    <w:kinsoku/>
                    <w:wordWrap/>
                    <w:topLinePunct w:val="0"/>
                    <w:bidi w:val="0"/>
                    <w:rPr>
                      <w:rFonts w:hint="eastAsia" w:eastAsia="宋体"/>
                      <w:color w:val="auto"/>
                      <w:lang w:val="en-US" w:eastAsia="zh-CN"/>
                    </w:rPr>
                  </w:pPr>
                  <w:r>
                    <w:rPr>
                      <w:rFonts w:hint="eastAsia"/>
                      <w:color w:val="auto"/>
                      <w:lang w:val="en-US" w:eastAsia="zh-CN"/>
                    </w:rPr>
                    <w:t>风机</w:t>
                  </w:r>
                </w:p>
              </w:tc>
              <w:tc>
                <w:tcPr>
                  <w:tcW w:w="858" w:type="pct"/>
                  <w:noWrap w:val="0"/>
                  <w:vAlign w:val="center"/>
                </w:tcPr>
                <w:p w14:paraId="28C2BB81">
                  <w:pPr>
                    <w:pStyle w:val="22"/>
                    <w:pageBreakBefore w:val="0"/>
                    <w:kinsoku/>
                    <w:wordWrap/>
                    <w:topLinePunct w:val="0"/>
                    <w:bidi w:val="0"/>
                    <w:rPr>
                      <w:rFonts w:hint="default" w:eastAsia="宋体"/>
                      <w:color w:val="auto"/>
                      <w:lang w:val="en-US" w:eastAsia="zh-CN"/>
                    </w:rPr>
                  </w:pPr>
                  <w:r>
                    <w:rPr>
                      <w:rFonts w:hint="eastAsia"/>
                      <w:color w:val="auto"/>
                      <w:lang w:val="en-US" w:eastAsia="zh-CN"/>
                    </w:rPr>
                    <w:t>室内</w:t>
                  </w:r>
                </w:p>
              </w:tc>
              <w:tc>
                <w:tcPr>
                  <w:tcW w:w="863" w:type="pct"/>
                  <w:noWrap w:val="0"/>
                  <w:vAlign w:val="center"/>
                </w:tcPr>
                <w:p w14:paraId="5BC0B05D">
                  <w:pPr>
                    <w:pStyle w:val="22"/>
                    <w:pageBreakBefore w:val="0"/>
                    <w:kinsoku/>
                    <w:wordWrap/>
                    <w:topLinePunct w:val="0"/>
                    <w:bidi w:val="0"/>
                    <w:rPr>
                      <w:rFonts w:hint="eastAsia" w:eastAsia="宋体"/>
                      <w:color w:val="auto"/>
                      <w:lang w:val="en-US" w:eastAsia="zh-CN"/>
                    </w:rPr>
                  </w:pPr>
                  <w:r>
                    <w:rPr>
                      <w:rFonts w:hint="eastAsia"/>
                      <w:color w:val="auto"/>
                      <w:lang w:val="en-US" w:eastAsia="zh-CN"/>
                    </w:rPr>
                    <w:t>4</w:t>
                  </w:r>
                </w:p>
              </w:tc>
              <w:tc>
                <w:tcPr>
                  <w:tcW w:w="1235" w:type="pct"/>
                  <w:noWrap w:val="0"/>
                  <w:vAlign w:val="center"/>
                </w:tcPr>
                <w:p w14:paraId="028D93E9">
                  <w:pPr>
                    <w:pStyle w:val="22"/>
                    <w:pageBreakBefore w:val="0"/>
                    <w:kinsoku/>
                    <w:wordWrap/>
                    <w:topLinePunct w:val="0"/>
                    <w:bidi w:val="0"/>
                    <w:rPr>
                      <w:rFonts w:hint="default" w:eastAsia="宋体"/>
                      <w:color w:val="auto"/>
                      <w:lang w:val="en-US" w:eastAsia="zh-CN"/>
                    </w:rPr>
                  </w:pPr>
                  <w:r>
                    <w:rPr>
                      <w:rFonts w:hint="eastAsia"/>
                      <w:color w:val="auto"/>
                      <w:lang w:val="en-US" w:eastAsia="zh-CN"/>
                    </w:rPr>
                    <w:t>55</w:t>
                  </w:r>
                </w:p>
              </w:tc>
            </w:tr>
          </w:tbl>
          <w:p w14:paraId="48E2F0C9">
            <w:pPr>
              <w:pageBreakBefore w:val="0"/>
              <w:kinsoku/>
              <w:wordWrap/>
              <w:topLinePunct w:val="0"/>
              <w:bidi w:val="0"/>
              <w:spacing w:line="360" w:lineRule="auto"/>
              <w:ind w:firstLine="482" w:firstLineChars="200"/>
              <w:rPr>
                <w:b/>
                <w:sz w:val="24"/>
              </w:rPr>
            </w:pPr>
            <w:r>
              <w:rPr>
                <w:b/>
                <w:sz w:val="24"/>
              </w:rPr>
              <w:t>3.2 噪声排放强度及达标性分析</w:t>
            </w:r>
          </w:p>
          <w:p w14:paraId="346734B8">
            <w:pPr>
              <w:pageBreakBefore w:val="0"/>
              <w:kinsoku/>
              <w:wordWrap/>
              <w:topLinePunct w:val="0"/>
              <w:bidi w:val="0"/>
              <w:spacing w:line="360" w:lineRule="auto"/>
              <w:ind w:firstLine="480"/>
              <w:rPr>
                <w:kern w:val="0"/>
                <w:sz w:val="24"/>
              </w:rPr>
            </w:pPr>
            <w:r>
              <w:rPr>
                <w:kern w:val="0"/>
                <w:sz w:val="24"/>
              </w:rPr>
              <w:t>噪声预测值计算公式如下：</w:t>
            </w:r>
          </w:p>
          <w:p w14:paraId="5421DFF2">
            <w:pPr>
              <w:pageBreakBefore w:val="0"/>
              <w:kinsoku/>
              <w:wordWrap/>
              <w:topLinePunct w:val="0"/>
              <w:bidi w:val="0"/>
              <w:spacing w:line="360" w:lineRule="auto"/>
              <w:ind w:firstLine="0"/>
              <w:jc w:val="center"/>
              <w:rPr>
                <w:kern w:val="0"/>
                <w:sz w:val="24"/>
              </w:rPr>
            </w:pPr>
            <m:oMathPara>
              <m:oMath>
                <m:sSub>
                  <m:sSubPr>
                    <m:ctrlPr>
                      <w:rPr>
                        <w:rFonts w:hint="default" w:ascii="Cambria Math" w:hAnsi="Cambria Math" w:cs="Times New Roman"/>
                        <w:i/>
                        <w:color w:val="auto"/>
                        <w:spacing w:val="0"/>
                        <w:w w:val="100"/>
                        <w:kern w:val="0"/>
                        <w:position w:val="0"/>
                        <w:sz w:val="24"/>
                        <w:highlight w:val="none"/>
                      </w:rPr>
                    </m:ctrlPr>
                  </m:sSubPr>
                  <m:e>
                    <m:r>
                      <m:rPr/>
                      <w:rPr>
                        <w:rFonts w:hint="default" w:ascii="Cambria Math" w:hAnsi="Cambria Math" w:cs="Times New Roman"/>
                        <w:color w:val="auto"/>
                        <w:spacing w:val="0"/>
                        <w:w w:val="100"/>
                        <w:kern w:val="0"/>
                        <w:position w:val="0"/>
                        <w:sz w:val="24"/>
                        <w:highlight w:val="none"/>
                        <w:lang w:val="en-US" w:eastAsia="zh-CN"/>
                      </w:rPr>
                      <m:t>L</m:t>
                    </m:r>
                    <m:ctrlPr>
                      <w:rPr>
                        <w:rFonts w:hint="default" w:ascii="Cambria Math" w:hAnsi="Cambria Math" w:cs="Times New Roman"/>
                        <w:i/>
                        <w:color w:val="auto"/>
                        <w:spacing w:val="0"/>
                        <w:w w:val="100"/>
                        <w:kern w:val="0"/>
                        <w:position w:val="0"/>
                        <w:sz w:val="24"/>
                        <w:highlight w:val="none"/>
                      </w:rPr>
                    </m:ctrlPr>
                  </m:e>
                  <m:sub>
                    <m:r>
                      <m:rPr/>
                      <w:rPr>
                        <w:rFonts w:hint="default" w:ascii="Cambria Math" w:hAnsi="Cambria Math" w:cs="Times New Roman"/>
                        <w:color w:val="auto"/>
                        <w:spacing w:val="0"/>
                        <w:w w:val="100"/>
                        <w:kern w:val="0"/>
                        <w:position w:val="0"/>
                        <w:sz w:val="24"/>
                        <w:highlight w:val="none"/>
                        <w:lang w:val="en-US" w:eastAsia="zh-CN"/>
                      </w:rPr>
                      <m:t>eq</m:t>
                    </m:r>
                    <m:ctrlPr>
                      <w:rPr>
                        <w:rFonts w:hint="default" w:ascii="Cambria Math" w:hAnsi="Cambria Math" w:cs="Times New Roman"/>
                        <w:i/>
                        <w:color w:val="auto"/>
                        <w:spacing w:val="0"/>
                        <w:w w:val="100"/>
                        <w:kern w:val="0"/>
                        <w:position w:val="0"/>
                        <w:sz w:val="24"/>
                        <w:highlight w:val="none"/>
                      </w:rPr>
                    </m:ctrlPr>
                  </m:sub>
                </m:sSub>
                <m:r>
                  <m:rPr/>
                  <w:rPr>
                    <w:rFonts w:hint="default" w:ascii="Cambria Math" w:hAnsi="Cambria Math" w:cs="Times New Roman"/>
                    <w:color w:val="auto"/>
                    <w:spacing w:val="0"/>
                    <w:w w:val="100"/>
                    <w:kern w:val="0"/>
                    <w:position w:val="0"/>
                    <w:sz w:val="24"/>
                    <w:highlight w:val="none"/>
                    <w:lang w:val="en-US" w:eastAsia="zh-CN"/>
                  </w:rPr>
                  <m:t>=10lg</m:t>
                </m:r>
                <m:d>
                  <m:dPr>
                    <m:ctrlPr>
                      <w:rPr>
                        <w:rFonts w:hint="default" w:ascii="Cambria Math" w:hAnsi="Cambria Math" w:cs="Times New Roman"/>
                        <w:i/>
                        <w:color w:val="auto"/>
                        <w:spacing w:val="0"/>
                        <w:w w:val="100"/>
                        <w:kern w:val="0"/>
                        <w:position w:val="0"/>
                        <w:sz w:val="24"/>
                        <w:highlight w:val="none"/>
                        <w:lang w:val="en-US" w:eastAsia="zh-CN"/>
                      </w:rPr>
                    </m:ctrlPr>
                  </m:dPr>
                  <m:e>
                    <m:sSup>
                      <m:sSupPr>
                        <m:ctrlPr>
                          <w:rPr>
                            <w:rFonts w:hint="default" w:ascii="Cambria Math" w:hAnsi="Cambria Math" w:cs="Times New Roman"/>
                            <w:i/>
                            <w:color w:val="auto"/>
                            <w:spacing w:val="0"/>
                            <w:w w:val="100"/>
                            <w:kern w:val="0"/>
                            <w:position w:val="0"/>
                            <w:sz w:val="24"/>
                            <w:highlight w:val="none"/>
                            <w:lang w:val="en-US" w:eastAsia="zh-CN"/>
                          </w:rPr>
                        </m:ctrlPr>
                      </m:sSupPr>
                      <m:e>
                        <m:r>
                          <m:rPr/>
                          <w:rPr>
                            <w:rFonts w:hint="default" w:ascii="Cambria Math" w:hAnsi="Cambria Math" w:cs="Times New Roman"/>
                            <w:color w:val="auto"/>
                            <w:spacing w:val="0"/>
                            <w:w w:val="100"/>
                            <w:kern w:val="0"/>
                            <w:position w:val="0"/>
                            <w:sz w:val="24"/>
                            <w:highlight w:val="none"/>
                            <w:lang w:val="en-US" w:eastAsia="zh-CN"/>
                          </w:rPr>
                          <m:t>10</m:t>
                        </m:r>
                        <m:ctrlPr>
                          <w:rPr>
                            <w:rFonts w:hint="default" w:ascii="Cambria Math" w:hAnsi="Cambria Math" w:cs="Times New Roman"/>
                            <w:i/>
                            <w:color w:val="auto"/>
                            <w:spacing w:val="0"/>
                            <w:w w:val="100"/>
                            <w:kern w:val="0"/>
                            <w:position w:val="0"/>
                            <w:sz w:val="24"/>
                            <w:highlight w:val="none"/>
                            <w:lang w:val="en-US" w:eastAsia="zh-CN"/>
                          </w:rPr>
                        </m:ctrlPr>
                      </m:e>
                      <m:sup>
                        <m:r>
                          <m:rPr/>
                          <w:rPr>
                            <w:rFonts w:hint="default" w:ascii="Cambria Math" w:hAnsi="Cambria Math" w:cs="Times New Roman"/>
                            <w:color w:val="auto"/>
                            <w:spacing w:val="0"/>
                            <w:w w:val="100"/>
                            <w:kern w:val="0"/>
                            <w:position w:val="0"/>
                            <w:sz w:val="24"/>
                            <w:highlight w:val="none"/>
                            <w:lang w:val="en-US" w:eastAsia="zh-CN"/>
                          </w:rPr>
                          <m:t>0.1</m:t>
                        </m:r>
                        <m:sSub>
                          <m:sSubPr>
                            <m:ctrlPr>
                              <w:rPr>
                                <w:rFonts w:hint="default" w:ascii="Cambria Math" w:hAnsi="Cambria Math" w:cs="Times New Roman"/>
                                <w:i/>
                                <w:color w:val="auto"/>
                                <w:spacing w:val="0"/>
                                <w:w w:val="100"/>
                                <w:kern w:val="0"/>
                                <w:position w:val="0"/>
                                <w:sz w:val="24"/>
                                <w:highlight w:val="none"/>
                                <w:lang w:val="en-US" w:eastAsia="zh-CN"/>
                              </w:rPr>
                            </m:ctrlPr>
                          </m:sSubPr>
                          <m:e>
                            <m:r>
                              <m:rPr/>
                              <w:rPr>
                                <w:rFonts w:hint="default" w:ascii="Cambria Math" w:hAnsi="Cambria Math" w:cs="Times New Roman"/>
                                <w:color w:val="auto"/>
                                <w:spacing w:val="0"/>
                                <w:w w:val="100"/>
                                <w:kern w:val="0"/>
                                <w:position w:val="0"/>
                                <w:sz w:val="24"/>
                                <w:highlight w:val="none"/>
                                <w:lang w:val="en-US" w:eastAsia="zh-CN"/>
                              </w:rPr>
                              <m:t>L</m:t>
                            </m:r>
                            <m:ctrlPr>
                              <w:rPr>
                                <w:rFonts w:hint="default" w:ascii="Cambria Math" w:hAnsi="Cambria Math" w:cs="Times New Roman"/>
                                <w:i/>
                                <w:color w:val="auto"/>
                                <w:spacing w:val="0"/>
                                <w:w w:val="100"/>
                                <w:kern w:val="0"/>
                                <w:position w:val="0"/>
                                <w:sz w:val="24"/>
                                <w:highlight w:val="none"/>
                                <w:lang w:val="en-US" w:eastAsia="zh-CN"/>
                              </w:rPr>
                            </m:ctrlPr>
                          </m:e>
                          <m:sub>
                            <m:r>
                              <m:rPr/>
                              <w:rPr>
                                <w:rFonts w:hint="default" w:ascii="Cambria Math" w:hAnsi="Cambria Math" w:cs="Times New Roman"/>
                                <w:color w:val="auto"/>
                                <w:spacing w:val="0"/>
                                <w:w w:val="100"/>
                                <w:kern w:val="0"/>
                                <w:position w:val="0"/>
                                <w:sz w:val="24"/>
                                <w:highlight w:val="none"/>
                                <w:lang w:val="en-US" w:eastAsia="zh-CN"/>
                              </w:rPr>
                              <m:t>eqg</m:t>
                            </m:r>
                            <m:ctrlPr>
                              <w:rPr>
                                <w:rFonts w:hint="default" w:ascii="Cambria Math" w:hAnsi="Cambria Math" w:cs="Times New Roman"/>
                                <w:i/>
                                <w:color w:val="auto"/>
                                <w:spacing w:val="0"/>
                                <w:w w:val="100"/>
                                <w:kern w:val="0"/>
                                <w:position w:val="0"/>
                                <w:sz w:val="24"/>
                                <w:highlight w:val="none"/>
                                <w:lang w:val="en-US" w:eastAsia="zh-CN"/>
                              </w:rPr>
                            </m:ctrlPr>
                          </m:sub>
                        </m:sSub>
                        <m:ctrlPr>
                          <w:rPr>
                            <w:rFonts w:hint="default" w:ascii="Cambria Math" w:hAnsi="Cambria Math" w:cs="Times New Roman"/>
                            <w:i/>
                            <w:color w:val="auto"/>
                            <w:spacing w:val="0"/>
                            <w:w w:val="100"/>
                            <w:kern w:val="0"/>
                            <w:position w:val="0"/>
                            <w:sz w:val="24"/>
                            <w:highlight w:val="none"/>
                            <w:lang w:val="en-US" w:eastAsia="zh-CN"/>
                          </w:rPr>
                        </m:ctrlPr>
                      </m:sup>
                    </m:sSup>
                    <m:r>
                      <m:rPr/>
                      <w:rPr>
                        <w:rFonts w:hint="default" w:ascii="Cambria Math" w:hAnsi="Cambria Math" w:cs="Times New Roman"/>
                        <w:color w:val="auto"/>
                        <w:spacing w:val="0"/>
                        <w:w w:val="100"/>
                        <w:kern w:val="0"/>
                        <w:position w:val="0"/>
                        <w:sz w:val="24"/>
                        <w:highlight w:val="none"/>
                        <w:lang w:val="en-US" w:eastAsia="zh-CN"/>
                      </w:rPr>
                      <m:t>+</m:t>
                    </m:r>
                    <m:sSup>
                      <m:sSupPr>
                        <m:ctrlPr>
                          <w:rPr>
                            <w:rFonts w:hint="default" w:ascii="Cambria Math" w:hAnsi="Cambria Math" w:cs="Times New Roman"/>
                            <w:i/>
                            <w:color w:val="auto"/>
                            <w:spacing w:val="0"/>
                            <w:w w:val="100"/>
                            <w:kern w:val="0"/>
                            <w:position w:val="0"/>
                            <w:sz w:val="24"/>
                            <w:highlight w:val="none"/>
                            <w:lang w:val="en-US" w:eastAsia="zh-CN"/>
                          </w:rPr>
                        </m:ctrlPr>
                      </m:sSupPr>
                      <m:e>
                        <m:r>
                          <m:rPr/>
                          <w:rPr>
                            <w:rFonts w:hint="default" w:ascii="Cambria Math" w:hAnsi="Cambria Math" w:cs="Times New Roman"/>
                            <w:color w:val="auto"/>
                            <w:spacing w:val="0"/>
                            <w:w w:val="100"/>
                            <w:kern w:val="0"/>
                            <w:position w:val="0"/>
                            <w:sz w:val="24"/>
                            <w:highlight w:val="none"/>
                            <w:lang w:val="en-US" w:eastAsia="zh-CN"/>
                          </w:rPr>
                          <m:t>10</m:t>
                        </m:r>
                        <m:ctrlPr>
                          <w:rPr>
                            <w:rFonts w:hint="default" w:ascii="Cambria Math" w:hAnsi="Cambria Math" w:cs="Times New Roman"/>
                            <w:i/>
                            <w:color w:val="auto"/>
                            <w:spacing w:val="0"/>
                            <w:w w:val="100"/>
                            <w:kern w:val="0"/>
                            <w:position w:val="0"/>
                            <w:sz w:val="24"/>
                            <w:highlight w:val="none"/>
                            <w:lang w:val="en-US" w:eastAsia="zh-CN"/>
                          </w:rPr>
                        </m:ctrlPr>
                      </m:e>
                      <m:sup>
                        <m:r>
                          <m:rPr/>
                          <w:rPr>
                            <w:rFonts w:hint="default" w:ascii="Cambria Math" w:hAnsi="Cambria Math" w:cs="Times New Roman"/>
                            <w:color w:val="auto"/>
                            <w:spacing w:val="0"/>
                            <w:w w:val="100"/>
                            <w:kern w:val="0"/>
                            <w:position w:val="0"/>
                            <w:sz w:val="24"/>
                            <w:highlight w:val="none"/>
                            <w:lang w:val="en-US" w:eastAsia="zh-CN"/>
                          </w:rPr>
                          <m:t>0.1</m:t>
                        </m:r>
                        <m:sSub>
                          <m:sSubPr>
                            <m:ctrlPr>
                              <w:rPr>
                                <w:rFonts w:hint="default" w:ascii="Cambria Math" w:hAnsi="Cambria Math" w:cs="Times New Roman"/>
                                <w:i/>
                                <w:color w:val="auto"/>
                                <w:spacing w:val="0"/>
                                <w:w w:val="100"/>
                                <w:kern w:val="0"/>
                                <w:position w:val="0"/>
                                <w:sz w:val="24"/>
                                <w:highlight w:val="none"/>
                                <w:lang w:val="en-US" w:eastAsia="zh-CN"/>
                              </w:rPr>
                            </m:ctrlPr>
                          </m:sSubPr>
                          <m:e>
                            <m:r>
                              <m:rPr/>
                              <w:rPr>
                                <w:rFonts w:hint="default" w:ascii="Cambria Math" w:hAnsi="Cambria Math" w:cs="Times New Roman"/>
                                <w:color w:val="auto"/>
                                <w:spacing w:val="0"/>
                                <w:w w:val="100"/>
                                <w:kern w:val="0"/>
                                <w:position w:val="0"/>
                                <w:sz w:val="24"/>
                                <w:highlight w:val="none"/>
                                <w:lang w:val="en-US" w:eastAsia="zh-CN"/>
                              </w:rPr>
                              <m:t>L</m:t>
                            </m:r>
                            <m:ctrlPr>
                              <w:rPr>
                                <w:rFonts w:hint="default" w:ascii="Cambria Math" w:hAnsi="Cambria Math" w:cs="Times New Roman"/>
                                <w:i/>
                                <w:color w:val="auto"/>
                                <w:spacing w:val="0"/>
                                <w:w w:val="100"/>
                                <w:kern w:val="0"/>
                                <w:position w:val="0"/>
                                <w:sz w:val="24"/>
                                <w:highlight w:val="none"/>
                                <w:lang w:val="en-US" w:eastAsia="zh-CN"/>
                              </w:rPr>
                            </m:ctrlPr>
                          </m:e>
                          <m:sub>
                            <m:r>
                              <m:rPr/>
                              <w:rPr>
                                <w:rFonts w:hint="default" w:ascii="Cambria Math" w:hAnsi="Cambria Math" w:cs="Times New Roman"/>
                                <w:color w:val="auto"/>
                                <w:spacing w:val="0"/>
                                <w:w w:val="100"/>
                                <w:kern w:val="0"/>
                                <w:position w:val="0"/>
                                <w:sz w:val="24"/>
                                <w:highlight w:val="none"/>
                                <w:lang w:val="en-US" w:eastAsia="zh-CN"/>
                              </w:rPr>
                              <m:t>eqb</m:t>
                            </m:r>
                            <m:ctrlPr>
                              <w:rPr>
                                <w:rFonts w:hint="default" w:ascii="Cambria Math" w:hAnsi="Cambria Math" w:cs="Times New Roman"/>
                                <w:i/>
                                <w:color w:val="auto"/>
                                <w:spacing w:val="0"/>
                                <w:w w:val="100"/>
                                <w:kern w:val="0"/>
                                <w:position w:val="0"/>
                                <w:sz w:val="24"/>
                                <w:highlight w:val="none"/>
                                <w:lang w:val="en-US" w:eastAsia="zh-CN"/>
                              </w:rPr>
                            </m:ctrlPr>
                          </m:sub>
                        </m:sSub>
                        <m:ctrlPr>
                          <w:rPr>
                            <w:rFonts w:hint="default" w:ascii="Cambria Math" w:hAnsi="Cambria Math" w:cs="Times New Roman"/>
                            <w:i/>
                            <w:color w:val="auto"/>
                            <w:spacing w:val="0"/>
                            <w:w w:val="100"/>
                            <w:kern w:val="0"/>
                            <w:position w:val="0"/>
                            <w:sz w:val="24"/>
                            <w:highlight w:val="none"/>
                            <w:lang w:val="en-US" w:eastAsia="zh-CN"/>
                          </w:rPr>
                        </m:ctrlPr>
                      </m:sup>
                    </m:sSup>
                    <m:ctrlPr>
                      <w:rPr>
                        <w:rFonts w:hint="default" w:ascii="Cambria Math" w:hAnsi="Cambria Math" w:cs="Times New Roman"/>
                        <w:i/>
                        <w:color w:val="auto"/>
                        <w:spacing w:val="0"/>
                        <w:w w:val="100"/>
                        <w:kern w:val="0"/>
                        <w:position w:val="0"/>
                        <w:sz w:val="24"/>
                        <w:highlight w:val="none"/>
                        <w:lang w:val="en-US" w:eastAsia="zh-CN"/>
                      </w:rPr>
                    </m:ctrlPr>
                  </m:e>
                </m:d>
              </m:oMath>
            </m:oMathPara>
          </w:p>
          <w:p w14:paraId="2D9D13D9">
            <w:pPr>
              <w:pageBreakBefore w:val="0"/>
              <w:kinsoku/>
              <w:wordWrap/>
              <w:topLinePunct w:val="0"/>
              <w:bidi w:val="0"/>
              <w:spacing w:line="360" w:lineRule="auto"/>
              <w:ind w:firstLine="480" w:firstLineChars="200"/>
              <w:rPr>
                <w:kern w:val="0"/>
                <w:sz w:val="24"/>
              </w:rPr>
            </w:pPr>
            <w:r>
              <w:rPr>
                <w:kern w:val="0"/>
                <w:sz w:val="24"/>
              </w:rPr>
              <w:t>式中：</w:t>
            </w:r>
            <w:r>
              <w:rPr>
                <w:i/>
                <w:iCs/>
                <w:kern w:val="0"/>
                <w:sz w:val="24"/>
              </w:rPr>
              <w:t>L</w:t>
            </w:r>
            <w:r>
              <w:rPr>
                <w:i/>
                <w:iCs/>
                <w:kern w:val="0"/>
                <w:sz w:val="24"/>
                <w:vertAlign w:val="subscript"/>
              </w:rPr>
              <w:t>eq</w:t>
            </w:r>
            <w:r>
              <w:rPr>
                <w:kern w:val="0"/>
                <w:sz w:val="24"/>
              </w:rPr>
              <w:t>——预测点的噪声预测值，dB；</w:t>
            </w:r>
          </w:p>
          <w:p w14:paraId="0EB5F93E">
            <w:pPr>
              <w:pageBreakBefore w:val="0"/>
              <w:kinsoku/>
              <w:wordWrap/>
              <w:topLinePunct w:val="0"/>
              <w:bidi w:val="0"/>
              <w:spacing w:line="360" w:lineRule="auto"/>
              <w:ind w:firstLine="1200" w:firstLineChars="500"/>
              <w:rPr>
                <w:kern w:val="0"/>
                <w:sz w:val="24"/>
              </w:rPr>
            </w:pPr>
            <w:r>
              <w:rPr>
                <w:i/>
                <w:iCs/>
                <w:kern w:val="0"/>
                <w:sz w:val="24"/>
              </w:rPr>
              <w:t>L</w:t>
            </w:r>
            <w:r>
              <w:rPr>
                <w:i/>
                <w:iCs/>
                <w:kern w:val="0"/>
                <w:sz w:val="24"/>
                <w:vertAlign w:val="subscript"/>
              </w:rPr>
              <w:t>eqg</w:t>
            </w:r>
            <w:r>
              <w:rPr>
                <w:kern w:val="0"/>
                <w:sz w:val="24"/>
              </w:rPr>
              <w:t>——建设项目声源在预测点产生的噪声贡献值，dB；</w:t>
            </w:r>
          </w:p>
          <w:p w14:paraId="0FD45E1E">
            <w:pPr>
              <w:pageBreakBefore w:val="0"/>
              <w:kinsoku/>
              <w:wordWrap/>
              <w:topLinePunct w:val="0"/>
              <w:bidi w:val="0"/>
              <w:spacing w:line="360" w:lineRule="auto"/>
              <w:ind w:firstLine="1200" w:firstLineChars="500"/>
              <w:rPr>
                <w:kern w:val="0"/>
                <w:sz w:val="24"/>
              </w:rPr>
            </w:pPr>
            <w:r>
              <w:rPr>
                <w:i/>
                <w:iCs/>
                <w:kern w:val="0"/>
                <w:sz w:val="24"/>
              </w:rPr>
              <w:t>L</w:t>
            </w:r>
            <w:r>
              <w:rPr>
                <w:i/>
                <w:iCs/>
                <w:kern w:val="0"/>
                <w:sz w:val="24"/>
                <w:vertAlign w:val="subscript"/>
              </w:rPr>
              <w:t>eqb</w:t>
            </w:r>
            <w:r>
              <w:rPr>
                <w:kern w:val="0"/>
                <w:sz w:val="24"/>
              </w:rPr>
              <w:t>——预测点的背景噪声值，dB。</w:t>
            </w:r>
          </w:p>
          <w:p w14:paraId="3A3BB83F">
            <w:pPr>
              <w:pageBreakBefore w:val="0"/>
              <w:kinsoku/>
              <w:wordWrap/>
              <w:topLinePunct w:val="0"/>
              <w:bidi w:val="0"/>
              <w:spacing w:line="360" w:lineRule="auto"/>
              <w:ind w:firstLine="480"/>
              <w:rPr>
                <w:kern w:val="0"/>
                <w:sz w:val="24"/>
              </w:rPr>
            </w:pPr>
            <w:r>
              <w:rPr>
                <w:kern w:val="0"/>
                <w:sz w:val="24"/>
              </w:rPr>
              <w:t>② 工业企业噪声计算</w:t>
            </w:r>
          </w:p>
          <w:p w14:paraId="085FCA76">
            <w:pPr>
              <w:pageBreakBefore w:val="0"/>
              <w:kinsoku/>
              <w:wordWrap/>
              <w:topLinePunct w:val="0"/>
              <w:bidi w:val="0"/>
              <w:spacing w:line="360" w:lineRule="auto"/>
              <w:ind w:firstLine="480"/>
              <w:rPr>
                <w:kern w:val="0"/>
                <w:sz w:val="24"/>
              </w:rPr>
            </w:pPr>
            <w:r>
              <w:rPr>
                <w:kern w:val="0"/>
                <w:sz w:val="24"/>
              </w:rPr>
              <w:t>设第i个室外声源在预测点产生的A声级为L</w:t>
            </w:r>
            <w:r>
              <w:rPr>
                <w:kern w:val="0"/>
                <w:sz w:val="24"/>
                <w:vertAlign w:val="subscript"/>
              </w:rPr>
              <w:t>Ai</w:t>
            </w:r>
            <w:r>
              <w:rPr>
                <w:kern w:val="0"/>
                <w:sz w:val="24"/>
              </w:rPr>
              <w:t>，在T时间内该声源工作时间为t</w:t>
            </w:r>
            <w:r>
              <w:rPr>
                <w:kern w:val="0"/>
                <w:sz w:val="24"/>
                <w:vertAlign w:val="subscript"/>
              </w:rPr>
              <w:t>i</w:t>
            </w:r>
            <w:r>
              <w:rPr>
                <w:kern w:val="0"/>
                <w:sz w:val="24"/>
              </w:rPr>
              <w:t>；第j个等效室外声源在预测点产生的A声级为L</w:t>
            </w:r>
            <w:r>
              <w:rPr>
                <w:kern w:val="0"/>
                <w:sz w:val="24"/>
                <w:vertAlign w:val="subscript"/>
              </w:rPr>
              <w:t>Aj</w:t>
            </w:r>
            <w:r>
              <w:rPr>
                <w:kern w:val="0"/>
                <w:sz w:val="24"/>
              </w:rPr>
              <w:t>，在T时间内该声源工作时间为t</w:t>
            </w:r>
            <w:r>
              <w:rPr>
                <w:kern w:val="0"/>
                <w:sz w:val="24"/>
                <w:vertAlign w:val="subscript"/>
              </w:rPr>
              <w:t>j</w:t>
            </w:r>
            <w:r>
              <w:rPr>
                <w:kern w:val="0"/>
                <w:sz w:val="24"/>
              </w:rPr>
              <w:t>，则拟建工程声源对预测点产生的贡献值（L</w:t>
            </w:r>
            <w:r>
              <w:rPr>
                <w:kern w:val="0"/>
                <w:sz w:val="24"/>
                <w:vertAlign w:val="subscript"/>
              </w:rPr>
              <w:t>eqg</w:t>
            </w:r>
            <w:r>
              <w:rPr>
                <w:kern w:val="0"/>
                <w:sz w:val="24"/>
              </w:rPr>
              <w:t>）为：</w:t>
            </w:r>
          </w:p>
          <w:p w14:paraId="07AA1124">
            <w:pPr>
              <w:pageBreakBefore w:val="0"/>
              <w:widowControl/>
              <w:kinsoku/>
              <w:wordWrap/>
              <w:topLinePunct w:val="0"/>
              <w:bidi w:val="0"/>
              <w:spacing w:line="360" w:lineRule="auto"/>
              <w:jc w:val="center"/>
              <w:rPr>
                <w:sz w:val="24"/>
              </w:rPr>
            </w:pPr>
            <m:oMathPara>
              <m:oMathParaPr>
                <m:jc m:val="center"/>
              </m:oMathParaPr>
              <m:oMath>
                <m:sSub>
                  <m:sSubPr>
                    <m:ctrlPr>
                      <w:rPr>
                        <w:rFonts w:hint="default" w:ascii="Cambria Math" w:hAnsi="Cambria Math" w:cs="Times New Roman"/>
                        <w:i/>
                        <w:color w:val="auto"/>
                        <w:spacing w:val="0"/>
                        <w:w w:val="100"/>
                        <w:position w:val="0"/>
                        <w:sz w:val="24"/>
                        <w:highlight w:val="none"/>
                      </w:rPr>
                    </m:ctrlPr>
                  </m:sSubPr>
                  <m:e>
                    <m:r>
                      <m:rPr/>
                      <w:rPr>
                        <w:rFonts w:hint="default" w:ascii="Cambria Math" w:hAnsi="Cambria Math" w:cs="Times New Roman"/>
                        <w:color w:val="auto"/>
                        <w:spacing w:val="0"/>
                        <w:w w:val="100"/>
                        <w:position w:val="0"/>
                        <w:sz w:val="24"/>
                        <w:highlight w:val="none"/>
                        <w:lang w:val="en-US" w:eastAsia="zh-CN"/>
                      </w:rPr>
                      <m:t>L</m:t>
                    </m:r>
                    <m:ctrlPr>
                      <w:rPr>
                        <w:rFonts w:hint="default" w:ascii="Cambria Math" w:hAnsi="Cambria Math" w:cs="Times New Roman"/>
                        <w:i/>
                        <w:color w:val="auto"/>
                        <w:spacing w:val="0"/>
                        <w:w w:val="100"/>
                        <w:position w:val="0"/>
                        <w:sz w:val="24"/>
                        <w:highlight w:val="none"/>
                      </w:rPr>
                    </m:ctrlPr>
                  </m:e>
                  <m:sub>
                    <m:r>
                      <m:rPr/>
                      <w:rPr>
                        <w:rFonts w:hint="default" w:ascii="Cambria Math" w:hAnsi="Cambria Math" w:cs="Times New Roman"/>
                        <w:color w:val="auto"/>
                        <w:spacing w:val="0"/>
                        <w:w w:val="100"/>
                        <w:position w:val="0"/>
                        <w:sz w:val="24"/>
                        <w:highlight w:val="none"/>
                        <w:lang w:val="en-US" w:eastAsia="zh-CN"/>
                      </w:rPr>
                      <m:t>eqg</m:t>
                    </m:r>
                    <m:ctrlPr>
                      <w:rPr>
                        <w:rFonts w:hint="default" w:ascii="Cambria Math" w:hAnsi="Cambria Math" w:cs="Times New Roman"/>
                        <w:i/>
                        <w:color w:val="auto"/>
                        <w:spacing w:val="0"/>
                        <w:w w:val="100"/>
                        <w:position w:val="0"/>
                        <w:sz w:val="24"/>
                        <w:highlight w:val="none"/>
                      </w:rPr>
                    </m:ctrlPr>
                  </m:sub>
                </m:sSub>
                <m:r>
                  <m:rPr/>
                  <w:rPr>
                    <w:rFonts w:hint="default" w:ascii="Cambria Math" w:hAnsi="Cambria Math" w:cs="Times New Roman"/>
                    <w:color w:val="auto"/>
                    <w:spacing w:val="0"/>
                    <w:w w:val="100"/>
                    <w:position w:val="0"/>
                    <w:sz w:val="24"/>
                    <w:highlight w:val="none"/>
                    <w:lang w:val="en-US" w:eastAsia="zh-CN"/>
                  </w:rPr>
                  <m:t>=10lg</m:t>
                </m:r>
                <m:d>
                  <m:dPr>
                    <m:begChr m:val="["/>
                    <m:endChr m:val="]"/>
                    <m:ctrlPr>
                      <w:rPr>
                        <w:rFonts w:hint="default" w:ascii="Cambria Math" w:hAnsi="Cambria Math" w:cs="Times New Roman"/>
                        <w:i/>
                        <w:color w:val="auto"/>
                        <w:spacing w:val="0"/>
                        <w:w w:val="100"/>
                        <w:position w:val="0"/>
                        <w:sz w:val="24"/>
                        <w:highlight w:val="none"/>
                        <w:lang w:val="en-US" w:eastAsia="zh-CN"/>
                      </w:rPr>
                    </m:ctrlPr>
                  </m:dPr>
                  <m:e>
                    <m:f>
                      <m:fPr>
                        <m:ctrlPr>
                          <w:rPr>
                            <w:rFonts w:hint="default" w:ascii="Cambria Math" w:hAnsi="Cambria Math" w:cs="Times New Roman"/>
                            <w:i/>
                            <w:color w:val="auto"/>
                            <w:spacing w:val="0"/>
                            <w:w w:val="100"/>
                            <w:position w:val="0"/>
                            <w:sz w:val="24"/>
                            <w:highlight w:val="none"/>
                            <w:lang w:val="en-US" w:eastAsia="zh-CN"/>
                          </w:rPr>
                        </m:ctrlPr>
                      </m:fPr>
                      <m:num>
                        <m:r>
                          <m:rPr/>
                          <w:rPr>
                            <w:rFonts w:hint="default" w:ascii="Cambria Math" w:hAnsi="Cambria Math" w:cs="Times New Roman"/>
                            <w:color w:val="auto"/>
                            <w:spacing w:val="0"/>
                            <w:w w:val="100"/>
                            <w:position w:val="0"/>
                            <w:sz w:val="24"/>
                            <w:highlight w:val="none"/>
                            <w:lang w:val="en-US" w:eastAsia="zh-CN"/>
                          </w:rPr>
                          <m:t>1</m:t>
                        </m:r>
                        <m:ctrlPr>
                          <w:rPr>
                            <w:rFonts w:hint="default" w:ascii="Cambria Math" w:hAnsi="Cambria Math" w:cs="Times New Roman"/>
                            <w:i/>
                            <w:color w:val="auto"/>
                            <w:spacing w:val="0"/>
                            <w:w w:val="100"/>
                            <w:position w:val="0"/>
                            <w:sz w:val="24"/>
                            <w:highlight w:val="none"/>
                            <w:lang w:val="en-US" w:eastAsia="zh-CN"/>
                          </w:rPr>
                        </m:ctrlPr>
                      </m:num>
                      <m:den>
                        <m:r>
                          <m:rPr/>
                          <w:rPr>
                            <w:rFonts w:hint="default" w:ascii="Cambria Math" w:hAnsi="Cambria Math" w:cs="Times New Roman"/>
                            <w:color w:val="auto"/>
                            <w:spacing w:val="0"/>
                            <w:w w:val="100"/>
                            <w:position w:val="0"/>
                            <w:sz w:val="24"/>
                            <w:highlight w:val="none"/>
                            <w:lang w:val="en-US" w:eastAsia="zh-CN"/>
                          </w:rPr>
                          <m:t>T</m:t>
                        </m:r>
                        <m:ctrlPr>
                          <w:rPr>
                            <w:rFonts w:hint="default" w:ascii="Cambria Math" w:hAnsi="Cambria Math" w:cs="Times New Roman"/>
                            <w:i/>
                            <w:color w:val="auto"/>
                            <w:spacing w:val="0"/>
                            <w:w w:val="100"/>
                            <w:position w:val="0"/>
                            <w:sz w:val="24"/>
                            <w:highlight w:val="none"/>
                            <w:lang w:val="en-US" w:eastAsia="zh-CN"/>
                          </w:rPr>
                        </m:ctrlPr>
                      </m:den>
                    </m:f>
                    <m:d>
                      <m:dPr>
                        <m:ctrlPr>
                          <w:rPr>
                            <w:rFonts w:hint="default" w:ascii="Cambria Math" w:hAnsi="Cambria Math" w:cs="Times New Roman"/>
                            <w:i/>
                            <w:color w:val="auto"/>
                            <w:spacing w:val="0"/>
                            <w:w w:val="100"/>
                            <w:position w:val="0"/>
                            <w:sz w:val="24"/>
                            <w:highlight w:val="none"/>
                            <w:lang w:val="en-US" w:eastAsia="zh-CN"/>
                          </w:rPr>
                        </m:ctrlPr>
                      </m:dPr>
                      <m:e>
                        <m:nary>
                          <m:naryPr>
                            <m:chr m:val="∑"/>
                            <m:limLoc m:val="undOvr"/>
                            <m:ctrlPr>
                              <w:rPr>
                                <w:rFonts w:hint="default" w:ascii="Cambria Math" w:hAnsi="Cambria Math" w:cs="Times New Roman"/>
                                <w:i/>
                                <w:color w:val="auto"/>
                                <w:spacing w:val="0"/>
                                <w:w w:val="100"/>
                                <w:position w:val="0"/>
                                <w:sz w:val="24"/>
                                <w:highlight w:val="none"/>
                                <w:lang w:val="en-US" w:eastAsia="zh-CN"/>
                              </w:rPr>
                            </m:ctrlPr>
                          </m:naryPr>
                          <m:sub>
                            <m:r>
                              <m:rPr/>
                              <w:rPr>
                                <w:rFonts w:hint="default" w:ascii="Cambria Math" w:hAnsi="Cambria Math" w:cs="Times New Roman"/>
                                <w:color w:val="auto"/>
                                <w:spacing w:val="0"/>
                                <w:w w:val="100"/>
                                <w:position w:val="0"/>
                                <w:sz w:val="24"/>
                                <w:highlight w:val="none"/>
                                <w:lang w:val="en-US" w:eastAsia="zh-CN"/>
                              </w:rPr>
                              <m:t>i=1</m:t>
                            </m:r>
                            <m:ctrlPr>
                              <w:rPr>
                                <w:rFonts w:hint="default" w:ascii="Cambria Math" w:hAnsi="Cambria Math" w:cs="Times New Roman"/>
                                <w:i/>
                                <w:color w:val="auto"/>
                                <w:spacing w:val="0"/>
                                <w:w w:val="100"/>
                                <w:position w:val="0"/>
                                <w:sz w:val="24"/>
                                <w:highlight w:val="none"/>
                                <w:lang w:val="en-US" w:eastAsia="zh-CN"/>
                              </w:rPr>
                            </m:ctrlPr>
                          </m:sub>
                          <m:sup>
                            <m:r>
                              <m:rPr/>
                              <w:rPr>
                                <w:rFonts w:hint="default" w:ascii="Cambria Math" w:hAnsi="Cambria Math" w:cs="Times New Roman"/>
                                <w:color w:val="auto"/>
                                <w:spacing w:val="0"/>
                                <w:w w:val="100"/>
                                <w:position w:val="0"/>
                                <w:sz w:val="24"/>
                                <w:highlight w:val="none"/>
                                <w:lang w:val="en-US" w:eastAsia="zh-CN"/>
                              </w:rPr>
                              <m:t>N</m:t>
                            </m:r>
                            <m:ctrlPr>
                              <w:rPr>
                                <w:rFonts w:hint="default" w:ascii="Cambria Math" w:hAnsi="Cambria Math" w:cs="Times New Roman"/>
                                <w:i/>
                                <w:color w:val="auto"/>
                                <w:spacing w:val="0"/>
                                <w:w w:val="100"/>
                                <w:position w:val="0"/>
                                <w:sz w:val="24"/>
                                <w:highlight w:val="none"/>
                                <w:lang w:val="en-US" w:eastAsia="zh-CN"/>
                              </w:rPr>
                            </m:ctrlPr>
                          </m:sup>
                          <m:e>
                            <m:sSub>
                              <m:sSubPr>
                                <m:ctrlPr>
                                  <w:rPr>
                                    <w:rFonts w:hint="default" w:ascii="Cambria Math" w:hAnsi="Cambria Math" w:cs="Times New Roman"/>
                                    <w:i/>
                                    <w:color w:val="auto"/>
                                    <w:spacing w:val="0"/>
                                    <w:w w:val="100"/>
                                    <w:position w:val="0"/>
                                    <w:sz w:val="24"/>
                                    <w:highlight w:val="none"/>
                                    <w:lang w:val="en-US" w:eastAsia="zh-CN"/>
                                  </w:rPr>
                                </m:ctrlPr>
                              </m:sSubPr>
                              <m:e>
                                <m:r>
                                  <m:rPr/>
                                  <w:rPr>
                                    <w:rFonts w:hint="default" w:ascii="Cambria Math" w:hAnsi="Cambria Math" w:cs="Times New Roman"/>
                                    <w:color w:val="auto"/>
                                    <w:spacing w:val="0"/>
                                    <w:w w:val="100"/>
                                    <w:position w:val="0"/>
                                    <w:sz w:val="24"/>
                                    <w:highlight w:val="none"/>
                                    <w:lang w:val="en-US" w:eastAsia="zh-CN"/>
                                  </w:rPr>
                                  <m:t>t</m:t>
                                </m:r>
                                <m:ctrlPr>
                                  <w:rPr>
                                    <w:rFonts w:hint="default" w:ascii="Cambria Math" w:hAnsi="Cambria Math" w:cs="Times New Roman"/>
                                    <w:i/>
                                    <w:color w:val="auto"/>
                                    <w:spacing w:val="0"/>
                                    <w:w w:val="100"/>
                                    <w:position w:val="0"/>
                                    <w:sz w:val="24"/>
                                    <w:highlight w:val="none"/>
                                    <w:lang w:val="en-US" w:eastAsia="zh-CN"/>
                                  </w:rPr>
                                </m:ctrlPr>
                              </m:e>
                              <m:sub>
                                <m:r>
                                  <m:rPr/>
                                  <w:rPr>
                                    <w:rFonts w:hint="default" w:ascii="Cambria Math" w:hAnsi="Cambria Math" w:cs="Times New Roman"/>
                                    <w:color w:val="auto"/>
                                    <w:spacing w:val="0"/>
                                    <w:w w:val="100"/>
                                    <w:position w:val="0"/>
                                    <w:sz w:val="24"/>
                                    <w:highlight w:val="none"/>
                                    <w:lang w:val="en-US" w:eastAsia="zh-CN"/>
                                  </w:rPr>
                                  <m:t>i</m:t>
                                </m:r>
                                <m:ctrlPr>
                                  <w:rPr>
                                    <w:rFonts w:hint="default" w:ascii="Cambria Math" w:hAnsi="Cambria Math" w:cs="Times New Roman"/>
                                    <w:i/>
                                    <w:color w:val="auto"/>
                                    <w:spacing w:val="0"/>
                                    <w:w w:val="100"/>
                                    <w:position w:val="0"/>
                                    <w:sz w:val="24"/>
                                    <w:highlight w:val="none"/>
                                    <w:lang w:val="en-US" w:eastAsia="zh-CN"/>
                                  </w:rPr>
                                </m:ctrlPr>
                              </m:sub>
                            </m:sSub>
                            <m:sSup>
                              <m:sSupPr>
                                <m:ctrlPr>
                                  <w:rPr>
                                    <w:rFonts w:hint="default" w:ascii="Cambria Math" w:hAnsi="Cambria Math" w:cs="Times New Roman"/>
                                    <w:i/>
                                    <w:color w:val="auto"/>
                                    <w:spacing w:val="0"/>
                                    <w:w w:val="100"/>
                                    <w:position w:val="0"/>
                                    <w:sz w:val="24"/>
                                    <w:highlight w:val="none"/>
                                    <w:lang w:val="en-US" w:eastAsia="zh-CN"/>
                                  </w:rPr>
                                </m:ctrlPr>
                              </m:sSupPr>
                              <m:e>
                                <m:r>
                                  <m:rPr/>
                                  <w:rPr>
                                    <w:rFonts w:hint="default" w:ascii="Cambria Math" w:hAnsi="Cambria Math" w:cs="Times New Roman"/>
                                    <w:color w:val="auto"/>
                                    <w:spacing w:val="0"/>
                                    <w:w w:val="100"/>
                                    <w:position w:val="0"/>
                                    <w:sz w:val="24"/>
                                    <w:highlight w:val="none"/>
                                    <w:lang w:val="en-US" w:eastAsia="zh-CN"/>
                                  </w:rPr>
                                  <m:t>10</m:t>
                                </m:r>
                                <m:ctrlPr>
                                  <w:rPr>
                                    <w:rFonts w:hint="default" w:ascii="Cambria Math" w:hAnsi="Cambria Math" w:cs="Times New Roman"/>
                                    <w:i/>
                                    <w:color w:val="auto"/>
                                    <w:spacing w:val="0"/>
                                    <w:w w:val="100"/>
                                    <w:position w:val="0"/>
                                    <w:sz w:val="24"/>
                                    <w:highlight w:val="none"/>
                                    <w:lang w:val="en-US" w:eastAsia="zh-CN"/>
                                  </w:rPr>
                                </m:ctrlPr>
                              </m:e>
                              <m:sup>
                                <m:r>
                                  <m:rPr/>
                                  <w:rPr>
                                    <w:rFonts w:hint="default" w:ascii="Cambria Math" w:hAnsi="Cambria Math" w:cs="Times New Roman"/>
                                    <w:color w:val="auto"/>
                                    <w:spacing w:val="0"/>
                                    <w:w w:val="100"/>
                                    <w:position w:val="0"/>
                                    <w:sz w:val="24"/>
                                    <w:highlight w:val="none"/>
                                    <w:lang w:val="en-US" w:eastAsia="zh-CN"/>
                                  </w:rPr>
                                  <m:t>0.1</m:t>
                                </m:r>
                                <m:sSub>
                                  <m:sSubPr>
                                    <m:ctrlPr>
                                      <w:rPr>
                                        <w:rFonts w:hint="default" w:ascii="Cambria Math" w:hAnsi="Cambria Math" w:cs="Times New Roman"/>
                                        <w:i/>
                                        <w:color w:val="auto"/>
                                        <w:spacing w:val="0"/>
                                        <w:w w:val="100"/>
                                        <w:position w:val="0"/>
                                        <w:sz w:val="24"/>
                                        <w:highlight w:val="none"/>
                                        <w:lang w:val="en-US" w:eastAsia="zh-CN"/>
                                      </w:rPr>
                                    </m:ctrlPr>
                                  </m:sSubPr>
                                  <m:e>
                                    <m:r>
                                      <m:rPr/>
                                      <w:rPr>
                                        <w:rFonts w:hint="default" w:ascii="Cambria Math" w:hAnsi="Cambria Math" w:cs="Times New Roman"/>
                                        <w:color w:val="auto"/>
                                        <w:spacing w:val="0"/>
                                        <w:w w:val="100"/>
                                        <w:position w:val="0"/>
                                        <w:sz w:val="24"/>
                                        <w:highlight w:val="none"/>
                                        <w:lang w:val="en-US" w:eastAsia="zh-CN"/>
                                      </w:rPr>
                                      <m:t>L</m:t>
                                    </m:r>
                                    <m:ctrlPr>
                                      <w:rPr>
                                        <w:rFonts w:hint="default" w:ascii="Cambria Math" w:hAnsi="Cambria Math" w:cs="Times New Roman"/>
                                        <w:i/>
                                        <w:color w:val="auto"/>
                                        <w:spacing w:val="0"/>
                                        <w:w w:val="100"/>
                                        <w:position w:val="0"/>
                                        <w:sz w:val="24"/>
                                        <w:highlight w:val="none"/>
                                        <w:lang w:val="en-US" w:eastAsia="zh-CN"/>
                                      </w:rPr>
                                    </m:ctrlPr>
                                  </m:e>
                                  <m:sub>
                                    <m:r>
                                      <m:rPr/>
                                      <w:rPr>
                                        <w:rFonts w:hint="default" w:ascii="Cambria Math" w:hAnsi="Cambria Math" w:cs="Times New Roman"/>
                                        <w:color w:val="auto"/>
                                        <w:spacing w:val="0"/>
                                        <w:w w:val="100"/>
                                        <w:position w:val="0"/>
                                        <w:sz w:val="24"/>
                                        <w:highlight w:val="none"/>
                                        <w:lang w:val="en-US" w:eastAsia="zh-CN"/>
                                      </w:rPr>
                                      <m:t>Ai</m:t>
                                    </m:r>
                                    <m:ctrlPr>
                                      <w:rPr>
                                        <w:rFonts w:hint="default" w:ascii="Cambria Math" w:hAnsi="Cambria Math" w:cs="Times New Roman"/>
                                        <w:i/>
                                        <w:color w:val="auto"/>
                                        <w:spacing w:val="0"/>
                                        <w:w w:val="100"/>
                                        <w:position w:val="0"/>
                                        <w:sz w:val="24"/>
                                        <w:highlight w:val="none"/>
                                        <w:lang w:val="en-US" w:eastAsia="zh-CN"/>
                                      </w:rPr>
                                    </m:ctrlPr>
                                  </m:sub>
                                </m:sSub>
                                <m:ctrlPr>
                                  <w:rPr>
                                    <w:rFonts w:hint="default" w:ascii="Cambria Math" w:hAnsi="Cambria Math" w:cs="Times New Roman"/>
                                    <w:i/>
                                    <w:color w:val="auto"/>
                                    <w:spacing w:val="0"/>
                                    <w:w w:val="100"/>
                                    <w:position w:val="0"/>
                                    <w:sz w:val="24"/>
                                    <w:highlight w:val="none"/>
                                    <w:lang w:val="en-US" w:eastAsia="zh-CN"/>
                                  </w:rPr>
                                </m:ctrlPr>
                              </m:sup>
                            </m:sSup>
                            <m:ctrlPr>
                              <w:rPr>
                                <w:rFonts w:hint="default" w:ascii="Cambria Math" w:hAnsi="Cambria Math" w:cs="Times New Roman"/>
                                <w:i/>
                                <w:color w:val="auto"/>
                                <w:spacing w:val="0"/>
                                <w:w w:val="100"/>
                                <w:position w:val="0"/>
                                <w:sz w:val="24"/>
                                <w:highlight w:val="none"/>
                                <w:lang w:val="en-US" w:eastAsia="zh-CN"/>
                              </w:rPr>
                            </m:ctrlPr>
                          </m:e>
                        </m:nary>
                        <m:r>
                          <m:rPr/>
                          <w:rPr>
                            <w:rFonts w:hint="default" w:ascii="Cambria Math" w:hAnsi="Cambria Math" w:cs="Times New Roman"/>
                            <w:color w:val="auto"/>
                            <w:spacing w:val="0"/>
                            <w:w w:val="100"/>
                            <w:position w:val="0"/>
                            <w:sz w:val="24"/>
                            <w:highlight w:val="none"/>
                            <w:lang w:val="en-US" w:eastAsia="zh-CN"/>
                          </w:rPr>
                          <m:t>+</m:t>
                        </m:r>
                        <m:nary>
                          <m:naryPr>
                            <m:chr m:val="∑"/>
                            <m:limLoc m:val="undOvr"/>
                            <m:ctrlPr>
                              <w:rPr>
                                <w:rFonts w:hint="default" w:ascii="Cambria Math" w:hAnsi="Cambria Math" w:cs="Times New Roman"/>
                                <w:i/>
                                <w:color w:val="auto"/>
                                <w:spacing w:val="0"/>
                                <w:w w:val="100"/>
                                <w:position w:val="0"/>
                                <w:sz w:val="24"/>
                                <w:highlight w:val="none"/>
                                <w:lang w:val="en-US" w:eastAsia="zh-CN"/>
                              </w:rPr>
                            </m:ctrlPr>
                          </m:naryPr>
                          <m:sub>
                            <m:r>
                              <m:rPr/>
                              <w:rPr>
                                <w:rFonts w:hint="default" w:ascii="Cambria Math" w:hAnsi="Cambria Math" w:cs="Times New Roman"/>
                                <w:color w:val="auto"/>
                                <w:spacing w:val="0"/>
                                <w:w w:val="100"/>
                                <w:position w:val="0"/>
                                <w:sz w:val="24"/>
                                <w:highlight w:val="none"/>
                                <w:lang w:val="en-US" w:eastAsia="zh-CN"/>
                              </w:rPr>
                              <m:t>j=1</m:t>
                            </m:r>
                            <m:ctrlPr>
                              <w:rPr>
                                <w:rFonts w:hint="default" w:ascii="Cambria Math" w:hAnsi="Cambria Math" w:cs="Times New Roman"/>
                                <w:i/>
                                <w:color w:val="auto"/>
                                <w:spacing w:val="0"/>
                                <w:w w:val="100"/>
                                <w:position w:val="0"/>
                                <w:sz w:val="24"/>
                                <w:highlight w:val="none"/>
                                <w:lang w:val="en-US" w:eastAsia="zh-CN"/>
                              </w:rPr>
                            </m:ctrlPr>
                          </m:sub>
                          <m:sup>
                            <m:r>
                              <m:rPr/>
                              <w:rPr>
                                <w:rFonts w:hint="default" w:ascii="Cambria Math" w:hAnsi="Cambria Math" w:cs="Times New Roman"/>
                                <w:color w:val="auto"/>
                                <w:spacing w:val="0"/>
                                <w:w w:val="100"/>
                                <w:position w:val="0"/>
                                <w:sz w:val="24"/>
                                <w:highlight w:val="none"/>
                                <w:lang w:val="en-US" w:eastAsia="zh-CN"/>
                              </w:rPr>
                              <m:t>M</m:t>
                            </m:r>
                            <m:ctrlPr>
                              <w:rPr>
                                <w:rFonts w:hint="default" w:ascii="Cambria Math" w:hAnsi="Cambria Math" w:cs="Times New Roman"/>
                                <w:i/>
                                <w:color w:val="auto"/>
                                <w:spacing w:val="0"/>
                                <w:w w:val="100"/>
                                <w:position w:val="0"/>
                                <w:sz w:val="24"/>
                                <w:highlight w:val="none"/>
                                <w:lang w:val="en-US" w:eastAsia="zh-CN"/>
                              </w:rPr>
                            </m:ctrlPr>
                          </m:sup>
                          <m:e>
                            <m:sSub>
                              <m:sSubPr>
                                <m:ctrlPr>
                                  <w:rPr>
                                    <w:rFonts w:hint="default" w:ascii="Cambria Math" w:hAnsi="Cambria Math" w:cs="Times New Roman"/>
                                    <w:i/>
                                    <w:color w:val="auto"/>
                                    <w:spacing w:val="0"/>
                                    <w:w w:val="100"/>
                                    <w:position w:val="0"/>
                                    <w:sz w:val="24"/>
                                    <w:highlight w:val="none"/>
                                    <w:lang w:val="en-US" w:eastAsia="zh-CN"/>
                                  </w:rPr>
                                </m:ctrlPr>
                              </m:sSubPr>
                              <m:e>
                                <m:r>
                                  <m:rPr/>
                                  <w:rPr>
                                    <w:rFonts w:hint="default" w:ascii="Cambria Math" w:hAnsi="Cambria Math" w:cs="Times New Roman"/>
                                    <w:color w:val="auto"/>
                                    <w:spacing w:val="0"/>
                                    <w:w w:val="100"/>
                                    <w:position w:val="0"/>
                                    <w:sz w:val="24"/>
                                    <w:highlight w:val="none"/>
                                    <w:lang w:val="en-US" w:eastAsia="zh-CN"/>
                                  </w:rPr>
                                  <m:t>t</m:t>
                                </m:r>
                                <m:ctrlPr>
                                  <w:rPr>
                                    <w:rFonts w:hint="default" w:ascii="Cambria Math" w:hAnsi="Cambria Math" w:cs="Times New Roman"/>
                                    <w:i/>
                                    <w:color w:val="auto"/>
                                    <w:spacing w:val="0"/>
                                    <w:w w:val="100"/>
                                    <w:position w:val="0"/>
                                    <w:sz w:val="24"/>
                                    <w:highlight w:val="none"/>
                                    <w:lang w:val="en-US" w:eastAsia="zh-CN"/>
                                  </w:rPr>
                                </m:ctrlPr>
                              </m:e>
                              <m:sub>
                                <m:r>
                                  <m:rPr/>
                                  <w:rPr>
                                    <w:rFonts w:hint="default" w:ascii="Cambria Math" w:hAnsi="Cambria Math" w:cs="Times New Roman"/>
                                    <w:color w:val="auto"/>
                                    <w:spacing w:val="0"/>
                                    <w:w w:val="100"/>
                                    <w:position w:val="0"/>
                                    <w:sz w:val="24"/>
                                    <w:highlight w:val="none"/>
                                    <w:lang w:val="en-US" w:eastAsia="zh-CN"/>
                                  </w:rPr>
                                  <m:t>j</m:t>
                                </m:r>
                                <m:ctrlPr>
                                  <w:rPr>
                                    <w:rFonts w:hint="default" w:ascii="Cambria Math" w:hAnsi="Cambria Math" w:cs="Times New Roman"/>
                                    <w:i/>
                                    <w:color w:val="auto"/>
                                    <w:spacing w:val="0"/>
                                    <w:w w:val="100"/>
                                    <w:position w:val="0"/>
                                    <w:sz w:val="24"/>
                                    <w:highlight w:val="none"/>
                                    <w:lang w:val="en-US" w:eastAsia="zh-CN"/>
                                  </w:rPr>
                                </m:ctrlPr>
                              </m:sub>
                            </m:sSub>
                            <m:sSup>
                              <m:sSupPr>
                                <m:ctrlPr>
                                  <w:rPr>
                                    <w:rFonts w:hint="default" w:ascii="Cambria Math" w:hAnsi="Cambria Math" w:cs="Times New Roman"/>
                                    <w:i/>
                                    <w:color w:val="auto"/>
                                    <w:spacing w:val="0"/>
                                    <w:w w:val="100"/>
                                    <w:position w:val="0"/>
                                    <w:sz w:val="24"/>
                                    <w:highlight w:val="none"/>
                                    <w:lang w:val="en-US" w:eastAsia="zh-CN"/>
                                  </w:rPr>
                                </m:ctrlPr>
                              </m:sSupPr>
                              <m:e>
                                <m:r>
                                  <m:rPr/>
                                  <w:rPr>
                                    <w:rFonts w:hint="default" w:ascii="Cambria Math" w:hAnsi="Cambria Math" w:cs="Times New Roman"/>
                                    <w:color w:val="auto"/>
                                    <w:spacing w:val="0"/>
                                    <w:w w:val="100"/>
                                    <w:position w:val="0"/>
                                    <w:sz w:val="24"/>
                                    <w:highlight w:val="none"/>
                                    <w:lang w:val="en-US" w:eastAsia="zh-CN"/>
                                  </w:rPr>
                                  <m:t>10</m:t>
                                </m:r>
                                <m:ctrlPr>
                                  <w:rPr>
                                    <w:rFonts w:hint="default" w:ascii="Cambria Math" w:hAnsi="Cambria Math" w:cs="Times New Roman"/>
                                    <w:i/>
                                    <w:color w:val="auto"/>
                                    <w:spacing w:val="0"/>
                                    <w:w w:val="100"/>
                                    <w:position w:val="0"/>
                                    <w:sz w:val="24"/>
                                    <w:highlight w:val="none"/>
                                    <w:lang w:val="en-US" w:eastAsia="zh-CN"/>
                                  </w:rPr>
                                </m:ctrlPr>
                              </m:e>
                              <m:sup>
                                <m:r>
                                  <m:rPr/>
                                  <w:rPr>
                                    <w:rFonts w:hint="default" w:ascii="Cambria Math" w:hAnsi="Cambria Math" w:cs="Times New Roman"/>
                                    <w:color w:val="auto"/>
                                    <w:spacing w:val="0"/>
                                    <w:w w:val="100"/>
                                    <w:position w:val="0"/>
                                    <w:sz w:val="24"/>
                                    <w:highlight w:val="none"/>
                                    <w:lang w:val="en-US" w:eastAsia="zh-CN"/>
                                  </w:rPr>
                                  <m:t>0.1</m:t>
                                </m:r>
                                <m:sSub>
                                  <m:sSubPr>
                                    <m:ctrlPr>
                                      <w:rPr>
                                        <w:rFonts w:hint="default" w:ascii="Cambria Math" w:hAnsi="Cambria Math" w:cs="Times New Roman"/>
                                        <w:i/>
                                        <w:color w:val="auto"/>
                                        <w:spacing w:val="0"/>
                                        <w:w w:val="100"/>
                                        <w:position w:val="0"/>
                                        <w:sz w:val="24"/>
                                        <w:highlight w:val="none"/>
                                        <w:lang w:val="en-US" w:eastAsia="zh-CN"/>
                                      </w:rPr>
                                    </m:ctrlPr>
                                  </m:sSubPr>
                                  <m:e>
                                    <m:r>
                                      <m:rPr/>
                                      <w:rPr>
                                        <w:rFonts w:hint="default" w:ascii="Cambria Math" w:hAnsi="Cambria Math" w:cs="Times New Roman"/>
                                        <w:color w:val="auto"/>
                                        <w:spacing w:val="0"/>
                                        <w:w w:val="100"/>
                                        <w:position w:val="0"/>
                                        <w:sz w:val="24"/>
                                        <w:highlight w:val="none"/>
                                        <w:lang w:val="en-US" w:eastAsia="zh-CN"/>
                                      </w:rPr>
                                      <m:t>L</m:t>
                                    </m:r>
                                    <m:ctrlPr>
                                      <w:rPr>
                                        <w:rFonts w:hint="default" w:ascii="Cambria Math" w:hAnsi="Cambria Math" w:cs="Times New Roman"/>
                                        <w:i/>
                                        <w:color w:val="auto"/>
                                        <w:spacing w:val="0"/>
                                        <w:w w:val="100"/>
                                        <w:position w:val="0"/>
                                        <w:sz w:val="24"/>
                                        <w:highlight w:val="none"/>
                                        <w:lang w:val="en-US" w:eastAsia="zh-CN"/>
                                      </w:rPr>
                                    </m:ctrlPr>
                                  </m:e>
                                  <m:sub>
                                    <m:r>
                                      <m:rPr/>
                                      <w:rPr>
                                        <w:rFonts w:hint="default" w:ascii="Cambria Math" w:hAnsi="Cambria Math" w:cs="Times New Roman"/>
                                        <w:color w:val="auto"/>
                                        <w:spacing w:val="0"/>
                                        <w:w w:val="100"/>
                                        <w:position w:val="0"/>
                                        <w:sz w:val="24"/>
                                        <w:highlight w:val="none"/>
                                        <w:lang w:val="en-US" w:eastAsia="zh-CN"/>
                                      </w:rPr>
                                      <m:t>Aj</m:t>
                                    </m:r>
                                    <m:ctrlPr>
                                      <w:rPr>
                                        <w:rFonts w:hint="default" w:ascii="Cambria Math" w:hAnsi="Cambria Math" w:cs="Times New Roman"/>
                                        <w:i/>
                                        <w:color w:val="auto"/>
                                        <w:spacing w:val="0"/>
                                        <w:w w:val="100"/>
                                        <w:position w:val="0"/>
                                        <w:sz w:val="24"/>
                                        <w:highlight w:val="none"/>
                                        <w:lang w:val="en-US" w:eastAsia="zh-CN"/>
                                      </w:rPr>
                                    </m:ctrlPr>
                                  </m:sub>
                                </m:sSub>
                                <m:ctrlPr>
                                  <w:rPr>
                                    <w:rFonts w:hint="default" w:ascii="Cambria Math" w:hAnsi="Cambria Math" w:cs="Times New Roman"/>
                                    <w:i/>
                                    <w:color w:val="auto"/>
                                    <w:spacing w:val="0"/>
                                    <w:w w:val="100"/>
                                    <w:position w:val="0"/>
                                    <w:sz w:val="24"/>
                                    <w:highlight w:val="none"/>
                                    <w:lang w:val="en-US" w:eastAsia="zh-CN"/>
                                  </w:rPr>
                                </m:ctrlPr>
                              </m:sup>
                            </m:sSup>
                            <m:ctrlPr>
                              <w:rPr>
                                <w:rFonts w:hint="default" w:ascii="Cambria Math" w:hAnsi="Cambria Math" w:cs="Times New Roman"/>
                                <w:i/>
                                <w:color w:val="auto"/>
                                <w:spacing w:val="0"/>
                                <w:w w:val="100"/>
                                <w:position w:val="0"/>
                                <w:sz w:val="24"/>
                                <w:highlight w:val="none"/>
                                <w:lang w:val="en-US" w:eastAsia="zh-CN"/>
                              </w:rPr>
                            </m:ctrlPr>
                          </m:e>
                        </m:nary>
                        <m:ctrlPr>
                          <w:rPr>
                            <w:rFonts w:hint="default" w:ascii="Cambria Math" w:hAnsi="Cambria Math" w:cs="Times New Roman"/>
                            <w:i/>
                            <w:color w:val="auto"/>
                            <w:spacing w:val="0"/>
                            <w:w w:val="100"/>
                            <w:position w:val="0"/>
                            <w:sz w:val="24"/>
                            <w:highlight w:val="none"/>
                            <w:lang w:val="en-US" w:eastAsia="zh-CN"/>
                          </w:rPr>
                        </m:ctrlPr>
                      </m:e>
                    </m:d>
                    <m:ctrlPr>
                      <w:rPr>
                        <w:rFonts w:hint="default" w:ascii="Cambria Math" w:hAnsi="Cambria Math" w:cs="Times New Roman"/>
                        <w:i/>
                        <w:color w:val="auto"/>
                        <w:spacing w:val="0"/>
                        <w:w w:val="100"/>
                        <w:position w:val="0"/>
                        <w:sz w:val="24"/>
                        <w:highlight w:val="none"/>
                        <w:lang w:val="en-US" w:eastAsia="zh-CN"/>
                      </w:rPr>
                    </m:ctrlPr>
                  </m:e>
                </m:d>
              </m:oMath>
            </m:oMathPara>
          </w:p>
          <w:p w14:paraId="0E3344D6">
            <w:pPr>
              <w:pageBreakBefore w:val="0"/>
              <w:kinsoku/>
              <w:wordWrap/>
              <w:topLinePunct w:val="0"/>
              <w:bidi w:val="0"/>
              <w:spacing w:line="360" w:lineRule="auto"/>
              <w:ind w:firstLine="480"/>
              <w:rPr>
                <w:sz w:val="24"/>
              </w:rPr>
            </w:pPr>
            <w:r>
              <w:rPr>
                <w:sz w:val="24"/>
              </w:rPr>
              <w:t>式中：L</w:t>
            </w:r>
            <w:r>
              <w:rPr>
                <w:sz w:val="24"/>
                <w:vertAlign w:val="subscript"/>
              </w:rPr>
              <w:t>eqg</w:t>
            </w:r>
            <w:r>
              <w:rPr>
                <w:sz w:val="24"/>
              </w:rPr>
              <w:t>——建设项目声源在预测点产生的噪声贡献值，dB；</w:t>
            </w:r>
          </w:p>
          <w:p w14:paraId="1B3991A9">
            <w:pPr>
              <w:pageBreakBefore w:val="0"/>
              <w:kinsoku/>
              <w:wordWrap/>
              <w:topLinePunct w:val="0"/>
              <w:bidi w:val="0"/>
              <w:spacing w:line="360" w:lineRule="auto"/>
              <w:ind w:firstLine="1200" w:firstLineChars="500"/>
              <w:jc w:val="left"/>
              <w:rPr>
                <w:sz w:val="24"/>
              </w:rPr>
            </w:pPr>
            <w:r>
              <w:rPr>
                <w:sz w:val="24"/>
              </w:rPr>
              <w:t>T——用于计算等效声级的时间，s；</w:t>
            </w:r>
          </w:p>
          <w:p w14:paraId="0AF28AB0">
            <w:pPr>
              <w:pageBreakBefore w:val="0"/>
              <w:kinsoku/>
              <w:wordWrap/>
              <w:topLinePunct w:val="0"/>
              <w:bidi w:val="0"/>
              <w:spacing w:line="360" w:lineRule="auto"/>
              <w:ind w:firstLine="1200" w:firstLineChars="500"/>
              <w:jc w:val="left"/>
              <w:rPr>
                <w:sz w:val="24"/>
              </w:rPr>
            </w:pPr>
            <w:r>
              <w:rPr>
                <w:sz w:val="24"/>
              </w:rPr>
              <w:t>N——室外声源个数；</w:t>
            </w:r>
          </w:p>
          <w:p w14:paraId="6462A694">
            <w:pPr>
              <w:pageBreakBefore w:val="0"/>
              <w:kinsoku/>
              <w:wordWrap/>
              <w:topLinePunct w:val="0"/>
              <w:bidi w:val="0"/>
              <w:spacing w:line="360" w:lineRule="auto"/>
              <w:ind w:firstLine="1200" w:firstLineChars="500"/>
              <w:jc w:val="left"/>
              <w:rPr>
                <w:sz w:val="24"/>
              </w:rPr>
            </w:pPr>
            <w:r>
              <w:rPr>
                <w:kern w:val="0"/>
                <w:sz w:val="24"/>
              </w:rPr>
              <w:t>t</w:t>
            </w:r>
            <w:r>
              <w:rPr>
                <w:kern w:val="0"/>
                <w:sz w:val="24"/>
                <w:vertAlign w:val="subscript"/>
              </w:rPr>
              <w:t>i</w:t>
            </w:r>
            <w:r>
              <w:rPr>
                <w:sz w:val="24"/>
              </w:rPr>
              <w:t>——在T时间内i声源工作时间，s；</w:t>
            </w:r>
          </w:p>
          <w:p w14:paraId="6FD68904">
            <w:pPr>
              <w:pageBreakBefore w:val="0"/>
              <w:kinsoku/>
              <w:wordWrap/>
              <w:topLinePunct w:val="0"/>
              <w:bidi w:val="0"/>
              <w:spacing w:line="360" w:lineRule="auto"/>
              <w:ind w:firstLine="1200" w:firstLineChars="500"/>
              <w:jc w:val="left"/>
              <w:rPr>
                <w:sz w:val="24"/>
              </w:rPr>
            </w:pPr>
            <w:r>
              <w:rPr>
                <w:sz w:val="24"/>
              </w:rPr>
              <w:t>M——等效室外声源个数；</w:t>
            </w:r>
          </w:p>
          <w:p w14:paraId="5ACE335C">
            <w:pPr>
              <w:pageBreakBefore w:val="0"/>
              <w:kinsoku/>
              <w:wordWrap/>
              <w:topLinePunct w:val="0"/>
              <w:bidi w:val="0"/>
              <w:spacing w:line="360" w:lineRule="auto"/>
              <w:ind w:firstLine="1200" w:firstLineChars="500"/>
              <w:rPr>
                <w:kern w:val="0"/>
                <w:sz w:val="24"/>
              </w:rPr>
            </w:pPr>
            <w:r>
              <w:rPr>
                <w:kern w:val="0"/>
                <w:sz w:val="24"/>
              </w:rPr>
              <w:t>t</w:t>
            </w:r>
            <w:r>
              <w:rPr>
                <w:kern w:val="0"/>
                <w:sz w:val="24"/>
                <w:vertAlign w:val="subscript"/>
              </w:rPr>
              <w:t>j</w:t>
            </w:r>
            <w:r>
              <w:rPr>
                <w:sz w:val="24"/>
              </w:rPr>
              <w:t>——在T时间内j声源工作时间，s。</w:t>
            </w:r>
          </w:p>
          <w:p w14:paraId="60430EA2">
            <w:pPr>
              <w:pageBreakBefore w:val="0"/>
              <w:kinsoku/>
              <w:wordWrap/>
              <w:topLinePunct w:val="0"/>
              <w:bidi w:val="0"/>
              <w:spacing w:line="360" w:lineRule="auto"/>
              <w:ind w:firstLine="480"/>
              <w:rPr>
                <w:kern w:val="0"/>
                <w:sz w:val="24"/>
              </w:rPr>
            </w:pPr>
            <w:r>
              <w:rPr>
                <w:kern w:val="0"/>
                <w:sz w:val="24"/>
              </w:rPr>
              <w:t>③ 户外声传播衰减计算</w:t>
            </w:r>
          </w:p>
          <w:p w14:paraId="3E9FD1EB">
            <w:pPr>
              <w:pageBreakBefore w:val="0"/>
              <w:kinsoku/>
              <w:wordWrap/>
              <w:topLinePunct w:val="0"/>
              <w:bidi w:val="0"/>
              <w:spacing w:line="360" w:lineRule="auto"/>
              <w:ind w:firstLine="480"/>
              <w:rPr>
                <w:kern w:val="0"/>
                <w:sz w:val="24"/>
              </w:rPr>
            </w:pPr>
            <w:r>
              <w:rPr>
                <w:kern w:val="0"/>
                <w:sz w:val="24"/>
              </w:rPr>
              <w:t>户外声传播衰减包括几何发散（A</w:t>
            </w:r>
            <w:r>
              <w:rPr>
                <w:kern w:val="0"/>
                <w:sz w:val="24"/>
                <w:vertAlign w:val="subscript"/>
              </w:rPr>
              <w:t>div</w:t>
            </w:r>
            <w:r>
              <w:rPr>
                <w:kern w:val="0"/>
                <w:sz w:val="24"/>
              </w:rPr>
              <w:t>）、大气吸收（A</w:t>
            </w:r>
            <w:r>
              <w:rPr>
                <w:kern w:val="0"/>
                <w:sz w:val="24"/>
                <w:vertAlign w:val="subscript"/>
              </w:rPr>
              <w:t>atm</w:t>
            </w:r>
            <w:r>
              <w:rPr>
                <w:kern w:val="0"/>
                <w:sz w:val="24"/>
              </w:rPr>
              <w:t>）、地面效应（A</w:t>
            </w:r>
            <w:r>
              <w:rPr>
                <w:kern w:val="0"/>
                <w:sz w:val="24"/>
                <w:vertAlign w:val="subscript"/>
              </w:rPr>
              <w:t>gr</w:t>
            </w:r>
            <w:r>
              <w:rPr>
                <w:kern w:val="0"/>
                <w:sz w:val="24"/>
              </w:rPr>
              <w:t>）、障碍物屏蔽（A</w:t>
            </w:r>
            <w:r>
              <w:rPr>
                <w:kern w:val="0"/>
                <w:sz w:val="24"/>
                <w:vertAlign w:val="subscript"/>
              </w:rPr>
              <w:t>bar</w:t>
            </w:r>
            <w:r>
              <w:rPr>
                <w:kern w:val="0"/>
                <w:sz w:val="24"/>
              </w:rPr>
              <w:t>）、其他多方面效应（A</w:t>
            </w:r>
            <w:r>
              <w:rPr>
                <w:kern w:val="0"/>
                <w:sz w:val="24"/>
                <w:vertAlign w:val="subscript"/>
              </w:rPr>
              <w:t>misc</w:t>
            </w:r>
            <w:r>
              <w:rPr>
                <w:kern w:val="0"/>
                <w:sz w:val="24"/>
              </w:rPr>
              <w:t>）引起的衰减，基本公式如下：</w:t>
            </w:r>
          </w:p>
          <w:p w14:paraId="5B242949">
            <w:pPr>
              <w:pageBreakBefore w:val="0"/>
              <w:kinsoku/>
              <w:wordWrap/>
              <w:topLinePunct w:val="0"/>
              <w:bidi w:val="0"/>
              <w:spacing w:line="360" w:lineRule="auto"/>
              <w:ind w:firstLine="480"/>
              <w:rPr>
                <w:kern w:val="0"/>
                <w:sz w:val="24"/>
              </w:rPr>
            </w:pPr>
            <m:oMathPara>
              <m:oMath>
                <m:sSub>
                  <m:sSubPr>
                    <m:ctrlPr>
                      <w:rPr>
                        <w:rFonts w:hint="default" w:ascii="Cambria Math" w:hAnsi="Cambria Math" w:cs="Times New Roman"/>
                        <w:i/>
                        <w:color w:val="auto"/>
                        <w:spacing w:val="0"/>
                        <w:w w:val="100"/>
                        <w:kern w:val="0"/>
                        <w:position w:val="0"/>
                        <w:sz w:val="24"/>
                        <w:highlight w:val="none"/>
                      </w:rPr>
                    </m:ctrlPr>
                  </m:sSubPr>
                  <m:e>
                    <m:r>
                      <m:rPr/>
                      <w:rPr>
                        <w:rFonts w:hint="default" w:ascii="Cambria Math" w:hAnsi="Cambria Math" w:cs="Times New Roman"/>
                        <w:color w:val="auto"/>
                        <w:spacing w:val="0"/>
                        <w:w w:val="100"/>
                        <w:kern w:val="0"/>
                        <w:position w:val="0"/>
                        <w:sz w:val="24"/>
                        <w:highlight w:val="none"/>
                        <w:lang w:val="en-US" w:eastAsia="zh-CN"/>
                      </w:rPr>
                      <m:t>L</m:t>
                    </m:r>
                    <m:ctrlPr>
                      <w:rPr>
                        <w:rFonts w:hint="default" w:ascii="Cambria Math" w:hAnsi="Cambria Math" w:cs="Times New Roman"/>
                        <w:i/>
                        <w:color w:val="auto"/>
                        <w:spacing w:val="0"/>
                        <w:w w:val="100"/>
                        <w:kern w:val="0"/>
                        <w:position w:val="0"/>
                        <w:sz w:val="24"/>
                        <w:highlight w:val="none"/>
                      </w:rPr>
                    </m:ctrlPr>
                  </m:e>
                  <m:sub>
                    <m:r>
                      <m:rPr/>
                      <w:rPr>
                        <w:rFonts w:hint="default" w:ascii="Cambria Math" w:hAnsi="Cambria Math" w:cs="Times New Roman"/>
                        <w:color w:val="auto"/>
                        <w:spacing w:val="0"/>
                        <w:w w:val="100"/>
                        <w:kern w:val="0"/>
                        <w:position w:val="0"/>
                        <w:sz w:val="24"/>
                        <w:highlight w:val="none"/>
                        <w:lang w:val="en-US" w:eastAsia="zh-CN"/>
                      </w:rPr>
                      <m:t>p</m:t>
                    </m:r>
                    <m:ctrlPr>
                      <w:rPr>
                        <w:rFonts w:hint="default" w:ascii="Cambria Math" w:hAnsi="Cambria Math" w:cs="Times New Roman"/>
                        <w:i/>
                        <w:color w:val="auto"/>
                        <w:spacing w:val="0"/>
                        <w:w w:val="100"/>
                        <w:kern w:val="0"/>
                        <w:position w:val="0"/>
                        <w:sz w:val="24"/>
                        <w:highlight w:val="none"/>
                      </w:rPr>
                    </m:ctrlPr>
                  </m:sub>
                </m:sSub>
                <m:d>
                  <m:dPr>
                    <m:ctrlPr>
                      <w:rPr>
                        <w:rFonts w:hint="default" w:ascii="Cambria Math" w:hAnsi="Cambria Math" w:cs="Times New Roman"/>
                        <w:i/>
                        <w:color w:val="auto"/>
                        <w:spacing w:val="0"/>
                        <w:w w:val="100"/>
                        <w:kern w:val="0"/>
                        <w:position w:val="0"/>
                        <w:sz w:val="24"/>
                        <w:highlight w:val="none"/>
                      </w:rPr>
                    </m:ctrlPr>
                  </m:dPr>
                  <m:e>
                    <m:r>
                      <m:rPr/>
                      <w:rPr>
                        <w:rFonts w:hint="default" w:ascii="Cambria Math" w:hAnsi="Cambria Math" w:cs="Times New Roman"/>
                        <w:color w:val="auto"/>
                        <w:spacing w:val="0"/>
                        <w:w w:val="100"/>
                        <w:kern w:val="0"/>
                        <w:position w:val="0"/>
                        <w:sz w:val="24"/>
                        <w:highlight w:val="none"/>
                        <w:lang w:val="en-US" w:eastAsia="zh-CN"/>
                      </w:rPr>
                      <m:t>r</m:t>
                    </m:r>
                    <m:ctrlPr>
                      <w:rPr>
                        <w:rFonts w:hint="default" w:ascii="Cambria Math" w:hAnsi="Cambria Math" w:cs="Times New Roman"/>
                        <w:i/>
                        <w:color w:val="auto"/>
                        <w:spacing w:val="0"/>
                        <w:w w:val="100"/>
                        <w:kern w:val="0"/>
                        <w:position w:val="0"/>
                        <w:sz w:val="24"/>
                        <w:highlight w:val="none"/>
                      </w:rPr>
                    </m:ctrlPr>
                  </m:e>
                </m:d>
                <m:r>
                  <m:rPr/>
                  <w:rPr>
                    <w:rFonts w:hint="default" w:ascii="Cambria Math" w:hAnsi="Cambria Math" w:cs="Times New Roman"/>
                    <w:color w:val="auto"/>
                    <w:spacing w:val="0"/>
                    <w:w w:val="100"/>
                    <w:kern w:val="0"/>
                    <w:position w:val="0"/>
                    <w:sz w:val="24"/>
                    <w:highlight w:val="none"/>
                    <w:lang w:val="en-US" w:eastAsia="zh-CN"/>
                  </w:rPr>
                  <m:t>=</m:t>
                </m:r>
                <m:sSub>
                  <m:sSubPr>
                    <m:ctrlPr>
                      <w:rPr>
                        <w:rFonts w:hint="default" w:ascii="Cambria Math" w:hAnsi="Cambria Math" w:cs="Times New Roman"/>
                        <w:i/>
                        <w:color w:val="auto"/>
                        <w:spacing w:val="0"/>
                        <w:w w:val="100"/>
                        <w:kern w:val="0"/>
                        <w:position w:val="0"/>
                        <w:sz w:val="24"/>
                        <w:highlight w:val="none"/>
                      </w:rPr>
                    </m:ctrlPr>
                  </m:sSubPr>
                  <m:e>
                    <m:r>
                      <m:rPr/>
                      <w:rPr>
                        <w:rFonts w:hint="default" w:ascii="Cambria Math" w:hAnsi="Cambria Math" w:cs="Times New Roman"/>
                        <w:color w:val="auto"/>
                        <w:spacing w:val="0"/>
                        <w:w w:val="100"/>
                        <w:kern w:val="0"/>
                        <w:position w:val="0"/>
                        <w:sz w:val="24"/>
                        <w:highlight w:val="none"/>
                        <w:lang w:val="en-US" w:eastAsia="zh-CN"/>
                      </w:rPr>
                      <m:t>L</m:t>
                    </m:r>
                    <m:ctrlPr>
                      <w:rPr>
                        <w:rFonts w:hint="default" w:ascii="Cambria Math" w:hAnsi="Cambria Math" w:cs="Times New Roman"/>
                        <w:i/>
                        <w:color w:val="auto"/>
                        <w:spacing w:val="0"/>
                        <w:w w:val="100"/>
                        <w:kern w:val="0"/>
                        <w:position w:val="0"/>
                        <w:sz w:val="24"/>
                        <w:highlight w:val="none"/>
                      </w:rPr>
                    </m:ctrlPr>
                  </m:e>
                  <m:sub>
                    <m:r>
                      <m:rPr/>
                      <w:rPr>
                        <w:rFonts w:hint="default" w:ascii="Cambria Math" w:hAnsi="Cambria Math" w:cs="Times New Roman"/>
                        <w:color w:val="auto"/>
                        <w:spacing w:val="0"/>
                        <w:w w:val="100"/>
                        <w:kern w:val="0"/>
                        <w:position w:val="0"/>
                        <w:sz w:val="24"/>
                        <w:highlight w:val="none"/>
                        <w:lang w:val="en-US" w:eastAsia="zh-CN"/>
                      </w:rPr>
                      <m:t>p</m:t>
                    </m:r>
                    <m:ctrlPr>
                      <w:rPr>
                        <w:rFonts w:hint="default" w:ascii="Cambria Math" w:hAnsi="Cambria Math" w:cs="Times New Roman"/>
                        <w:i/>
                        <w:color w:val="auto"/>
                        <w:spacing w:val="0"/>
                        <w:w w:val="100"/>
                        <w:kern w:val="0"/>
                        <w:position w:val="0"/>
                        <w:sz w:val="24"/>
                        <w:highlight w:val="none"/>
                      </w:rPr>
                    </m:ctrlPr>
                  </m:sub>
                </m:sSub>
                <m:d>
                  <m:dPr>
                    <m:ctrlPr>
                      <w:rPr>
                        <w:rFonts w:hint="default" w:ascii="Cambria Math" w:hAnsi="Cambria Math" w:cs="Times New Roman"/>
                        <w:i/>
                        <w:color w:val="auto"/>
                        <w:spacing w:val="0"/>
                        <w:w w:val="100"/>
                        <w:kern w:val="0"/>
                        <w:position w:val="0"/>
                        <w:sz w:val="24"/>
                        <w:highlight w:val="none"/>
                      </w:rPr>
                    </m:ctrlPr>
                  </m:dPr>
                  <m:e>
                    <m:sSub>
                      <m:sSubPr>
                        <m:ctrlPr>
                          <w:rPr>
                            <w:rFonts w:hint="default" w:ascii="Cambria Math" w:hAnsi="Cambria Math" w:cs="Times New Roman"/>
                            <w:i/>
                            <w:color w:val="auto"/>
                            <w:spacing w:val="0"/>
                            <w:w w:val="100"/>
                            <w:kern w:val="0"/>
                            <w:position w:val="0"/>
                            <w:sz w:val="24"/>
                            <w:highlight w:val="none"/>
                          </w:rPr>
                        </m:ctrlPr>
                      </m:sSubPr>
                      <m:e>
                        <m:r>
                          <m:rPr/>
                          <w:rPr>
                            <w:rFonts w:hint="default" w:ascii="Cambria Math" w:hAnsi="Cambria Math" w:cs="Times New Roman"/>
                            <w:color w:val="auto"/>
                            <w:spacing w:val="0"/>
                            <w:w w:val="100"/>
                            <w:kern w:val="0"/>
                            <w:position w:val="0"/>
                            <w:sz w:val="24"/>
                            <w:highlight w:val="none"/>
                            <w:lang w:val="en-US" w:eastAsia="zh-CN"/>
                          </w:rPr>
                          <m:t>r</m:t>
                        </m:r>
                        <m:ctrlPr>
                          <w:rPr>
                            <w:rFonts w:hint="default" w:ascii="Cambria Math" w:hAnsi="Cambria Math" w:cs="Times New Roman"/>
                            <w:i/>
                            <w:color w:val="auto"/>
                            <w:spacing w:val="0"/>
                            <w:w w:val="100"/>
                            <w:kern w:val="0"/>
                            <w:position w:val="0"/>
                            <w:sz w:val="24"/>
                            <w:highlight w:val="none"/>
                          </w:rPr>
                        </m:ctrlPr>
                      </m:e>
                      <m:sub>
                        <m:r>
                          <m:rPr/>
                          <w:rPr>
                            <w:rFonts w:hint="default" w:ascii="Cambria Math" w:hAnsi="Cambria Math" w:cs="Times New Roman"/>
                            <w:color w:val="auto"/>
                            <w:spacing w:val="0"/>
                            <w:w w:val="100"/>
                            <w:kern w:val="0"/>
                            <w:position w:val="0"/>
                            <w:sz w:val="24"/>
                            <w:highlight w:val="none"/>
                            <w:lang w:val="en-US" w:eastAsia="zh-CN"/>
                          </w:rPr>
                          <m:t>0</m:t>
                        </m:r>
                        <m:ctrlPr>
                          <w:rPr>
                            <w:rFonts w:hint="default" w:ascii="Cambria Math" w:hAnsi="Cambria Math" w:cs="Times New Roman"/>
                            <w:i/>
                            <w:color w:val="auto"/>
                            <w:spacing w:val="0"/>
                            <w:w w:val="100"/>
                            <w:kern w:val="0"/>
                            <w:position w:val="0"/>
                            <w:sz w:val="24"/>
                            <w:highlight w:val="none"/>
                          </w:rPr>
                        </m:ctrlPr>
                      </m:sub>
                    </m:sSub>
                    <m:ctrlPr>
                      <w:rPr>
                        <w:rFonts w:hint="default" w:ascii="Cambria Math" w:hAnsi="Cambria Math" w:cs="Times New Roman"/>
                        <w:i/>
                        <w:color w:val="auto"/>
                        <w:spacing w:val="0"/>
                        <w:w w:val="100"/>
                        <w:kern w:val="0"/>
                        <w:position w:val="0"/>
                        <w:sz w:val="24"/>
                        <w:highlight w:val="none"/>
                      </w:rPr>
                    </m:ctrlPr>
                  </m:e>
                </m:d>
                <m:r>
                  <m:rPr/>
                  <w:rPr>
                    <w:rFonts w:hint="default" w:ascii="Cambria Math" w:hAnsi="Cambria Math" w:cs="Times New Roman"/>
                    <w:color w:val="auto"/>
                    <w:spacing w:val="0"/>
                    <w:w w:val="100"/>
                    <w:kern w:val="0"/>
                    <w:position w:val="0"/>
                    <w:sz w:val="24"/>
                    <w:highlight w:val="none"/>
                    <w:lang w:val="en-US" w:eastAsia="zh-CN"/>
                  </w:rPr>
                  <m:t>+</m:t>
                </m:r>
                <m:sSub>
                  <m:sSubPr>
                    <m:ctrlPr>
                      <w:rPr>
                        <w:rFonts w:hint="default" w:ascii="Cambria Math" w:hAnsi="Cambria Math" w:cs="Times New Roman"/>
                        <w:i/>
                        <w:color w:val="auto"/>
                        <w:spacing w:val="0"/>
                        <w:w w:val="100"/>
                        <w:kern w:val="0"/>
                        <w:position w:val="0"/>
                        <w:sz w:val="24"/>
                        <w:highlight w:val="none"/>
                        <w:lang w:val="en-US" w:eastAsia="zh-CN"/>
                      </w:rPr>
                    </m:ctrlPr>
                  </m:sSubPr>
                  <m:e>
                    <m:r>
                      <m:rPr/>
                      <w:rPr>
                        <w:rFonts w:hint="default" w:ascii="Cambria Math" w:hAnsi="Cambria Math" w:cs="Times New Roman"/>
                        <w:color w:val="auto"/>
                        <w:spacing w:val="0"/>
                        <w:w w:val="100"/>
                        <w:kern w:val="0"/>
                        <w:position w:val="0"/>
                        <w:sz w:val="24"/>
                        <w:highlight w:val="none"/>
                        <w:lang w:val="en-US" w:eastAsia="zh-CN"/>
                      </w:rPr>
                      <m:t>D</m:t>
                    </m:r>
                    <m:ctrlPr>
                      <w:rPr>
                        <w:rFonts w:hint="default" w:ascii="Cambria Math" w:hAnsi="Cambria Math" w:cs="Times New Roman"/>
                        <w:i/>
                        <w:color w:val="auto"/>
                        <w:spacing w:val="0"/>
                        <w:w w:val="100"/>
                        <w:kern w:val="0"/>
                        <w:position w:val="0"/>
                        <w:sz w:val="24"/>
                        <w:highlight w:val="none"/>
                        <w:lang w:val="en-US" w:eastAsia="zh-CN"/>
                      </w:rPr>
                    </m:ctrlPr>
                  </m:e>
                  <m:sub>
                    <m:r>
                      <m:rPr/>
                      <w:rPr>
                        <w:rFonts w:hint="default" w:ascii="Cambria Math" w:hAnsi="Cambria Math" w:cs="Times New Roman"/>
                        <w:color w:val="auto"/>
                        <w:spacing w:val="0"/>
                        <w:w w:val="100"/>
                        <w:kern w:val="0"/>
                        <w:position w:val="0"/>
                        <w:sz w:val="24"/>
                        <w:highlight w:val="none"/>
                        <w:lang w:val="en-US" w:eastAsia="zh-CN"/>
                      </w:rPr>
                      <m:t>C</m:t>
                    </m:r>
                    <m:ctrlPr>
                      <w:rPr>
                        <w:rFonts w:hint="default" w:ascii="Cambria Math" w:hAnsi="Cambria Math" w:cs="Times New Roman"/>
                        <w:i/>
                        <w:color w:val="auto"/>
                        <w:spacing w:val="0"/>
                        <w:w w:val="100"/>
                        <w:kern w:val="0"/>
                        <w:position w:val="0"/>
                        <w:sz w:val="24"/>
                        <w:highlight w:val="none"/>
                        <w:lang w:val="en-US" w:eastAsia="zh-CN"/>
                      </w:rPr>
                    </m:ctrlPr>
                  </m:sub>
                </m:sSub>
                <m:r>
                  <m:rPr/>
                  <w:rPr>
                    <w:rFonts w:hint="default" w:ascii="Cambria Math" w:hAnsi="Cambria Math" w:cs="Times New Roman"/>
                    <w:color w:val="auto"/>
                    <w:spacing w:val="0"/>
                    <w:w w:val="100"/>
                    <w:kern w:val="0"/>
                    <w:position w:val="0"/>
                    <w:sz w:val="24"/>
                    <w:highlight w:val="none"/>
                    <w:lang w:val="en-US" w:eastAsia="zh-CN"/>
                  </w:rPr>
                  <m:t>−</m:t>
                </m:r>
                <m:d>
                  <m:dPr>
                    <m:ctrlPr>
                      <w:rPr>
                        <w:rFonts w:hint="default" w:ascii="Cambria Math" w:hAnsi="Cambria Math" w:cs="Times New Roman"/>
                        <w:i/>
                        <w:color w:val="auto"/>
                        <w:spacing w:val="0"/>
                        <w:w w:val="100"/>
                        <w:kern w:val="0"/>
                        <w:position w:val="0"/>
                        <w:sz w:val="24"/>
                        <w:highlight w:val="none"/>
                        <w:lang w:val="en-US" w:eastAsia="zh-CN"/>
                      </w:rPr>
                    </m:ctrlPr>
                  </m:dPr>
                  <m:e>
                    <m:sSub>
                      <m:sSubPr>
                        <m:ctrlPr>
                          <w:rPr>
                            <w:rFonts w:hint="default" w:ascii="Cambria Math" w:hAnsi="Cambria Math" w:cs="Times New Roman"/>
                            <w:i/>
                            <w:color w:val="auto"/>
                            <w:spacing w:val="0"/>
                            <w:w w:val="100"/>
                            <w:kern w:val="0"/>
                            <w:position w:val="0"/>
                            <w:sz w:val="24"/>
                            <w:highlight w:val="none"/>
                            <w:lang w:val="en-US" w:eastAsia="zh-CN"/>
                          </w:rPr>
                        </m:ctrlPr>
                      </m:sSubPr>
                      <m:e>
                        <m:r>
                          <m:rPr/>
                          <w:rPr>
                            <w:rFonts w:hint="default" w:ascii="Cambria Math" w:hAnsi="Cambria Math" w:cs="Times New Roman"/>
                            <w:color w:val="auto"/>
                            <w:spacing w:val="0"/>
                            <w:w w:val="100"/>
                            <w:kern w:val="0"/>
                            <w:position w:val="0"/>
                            <w:sz w:val="24"/>
                            <w:highlight w:val="none"/>
                            <w:lang w:val="en-US" w:eastAsia="zh-CN"/>
                          </w:rPr>
                          <m:t>A</m:t>
                        </m:r>
                        <m:ctrlPr>
                          <w:rPr>
                            <w:rFonts w:hint="default" w:ascii="Cambria Math" w:hAnsi="Cambria Math" w:cs="Times New Roman"/>
                            <w:i/>
                            <w:color w:val="auto"/>
                            <w:spacing w:val="0"/>
                            <w:w w:val="100"/>
                            <w:kern w:val="0"/>
                            <w:position w:val="0"/>
                            <w:sz w:val="24"/>
                            <w:highlight w:val="none"/>
                            <w:lang w:val="en-US" w:eastAsia="zh-CN"/>
                          </w:rPr>
                        </m:ctrlPr>
                      </m:e>
                      <m:sub>
                        <m:r>
                          <m:rPr/>
                          <w:rPr>
                            <w:rFonts w:hint="default" w:ascii="Cambria Math" w:hAnsi="Cambria Math" w:cs="Times New Roman"/>
                            <w:color w:val="auto"/>
                            <w:spacing w:val="0"/>
                            <w:w w:val="100"/>
                            <w:kern w:val="0"/>
                            <w:position w:val="0"/>
                            <w:sz w:val="24"/>
                            <w:highlight w:val="none"/>
                            <w:lang w:val="en-US" w:eastAsia="zh-CN"/>
                          </w:rPr>
                          <m:t>div</m:t>
                        </m:r>
                        <m:ctrlPr>
                          <w:rPr>
                            <w:rFonts w:hint="default" w:ascii="Cambria Math" w:hAnsi="Cambria Math" w:cs="Times New Roman"/>
                            <w:i/>
                            <w:color w:val="auto"/>
                            <w:spacing w:val="0"/>
                            <w:w w:val="100"/>
                            <w:kern w:val="0"/>
                            <w:position w:val="0"/>
                            <w:sz w:val="24"/>
                            <w:highlight w:val="none"/>
                            <w:lang w:val="en-US" w:eastAsia="zh-CN"/>
                          </w:rPr>
                        </m:ctrlPr>
                      </m:sub>
                    </m:sSub>
                    <m:r>
                      <m:rPr/>
                      <w:rPr>
                        <w:rFonts w:hint="default" w:ascii="Cambria Math" w:hAnsi="Cambria Math" w:cs="Times New Roman"/>
                        <w:color w:val="auto"/>
                        <w:spacing w:val="0"/>
                        <w:w w:val="100"/>
                        <w:kern w:val="0"/>
                        <w:position w:val="0"/>
                        <w:sz w:val="24"/>
                        <w:highlight w:val="none"/>
                        <w:lang w:val="en-US" w:eastAsia="zh-CN"/>
                      </w:rPr>
                      <m:t>+</m:t>
                    </m:r>
                    <m:sSub>
                      <m:sSubPr>
                        <m:ctrlPr>
                          <w:rPr>
                            <w:rFonts w:hint="default" w:ascii="Cambria Math" w:hAnsi="Cambria Math" w:cs="Times New Roman"/>
                            <w:i/>
                            <w:color w:val="auto"/>
                            <w:spacing w:val="0"/>
                            <w:w w:val="100"/>
                            <w:kern w:val="0"/>
                            <w:position w:val="0"/>
                            <w:sz w:val="24"/>
                            <w:highlight w:val="none"/>
                            <w:lang w:val="en-US" w:eastAsia="zh-CN"/>
                          </w:rPr>
                        </m:ctrlPr>
                      </m:sSubPr>
                      <m:e>
                        <m:r>
                          <m:rPr/>
                          <w:rPr>
                            <w:rFonts w:hint="default" w:ascii="Cambria Math" w:hAnsi="Cambria Math" w:cs="Times New Roman"/>
                            <w:color w:val="auto"/>
                            <w:spacing w:val="0"/>
                            <w:w w:val="100"/>
                            <w:kern w:val="0"/>
                            <w:position w:val="0"/>
                            <w:sz w:val="24"/>
                            <w:highlight w:val="none"/>
                            <w:lang w:val="en-US" w:eastAsia="zh-CN"/>
                          </w:rPr>
                          <m:t>A</m:t>
                        </m:r>
                        <m:ctrlPr>
                          <w:rPr>
                            <w:rFonts w:hint="default" w:ascii="Cambria Math" w:hAnsi="Cambria Math" w:cs="Times New Roman"/>
                            <w:i/>
                            <w:color w:val="auto"/>
                            <w:spacing w:val="0"/>
                            <w:w w:val="100"/>
                            <w:kern w:val="0"/>
                            <w:position w:val="0"/>
                            <w:sz w:val="24"/>
                            <w:highlight w:val="none"/>
                            <w:lang w:val="en-US" w:eastAsia="zh-CN"/>
                          </w:rPr>
                        </m:ctrlPr>
                      </m:e>
                      <m:sub>
                        <m:r>
                          <m:rPr/>
                          <w:rPr>
                            <w:rFonts w:hint="default" w:ascii="Cambria Math" w:hAnsi="Cambria Math" w:cs="Times New Roman"/>
                            <w:color w:val="auto"/>
                            <w:spacing w:val="0"/>
                            <w:w w:val="100"/>
                            <w:kern w:val="0"/>
                            <w:position w:val="0"/>
                            <w:sz w:val="24"/>
                            <w:highlight w:val="none"/>
                            <w:lang w:val="en-US" w:eastAsia="zh-CN"/>
                          </w:rPr>
                          <m:t>atm</m:t>
                        </m:r>
                        <m:ctrlPr>
                          <w:rPr>
                            <w:rFonts w:hint="default" w:ascii="Cambria Math" w:hAnsi="Cambria Math" w:cs="Times New Roman"/>
                            <w:i/>
                            <w:color w:val="auto"/>
                            <w:spacing w:val="0"/>
                            <w:w w:val="100"/>
                            <w:kern w:val="0"/>
                            <w:position w:val="0"/>
                            <w:sz w:val="24"/>
                            <w:highlight w:val="none"/>
                            <w:lang w:val="en-US" w:eastAsia="zh-CN"/>
                          </w:rPr>
                        </m:ctrlPr>
                      </m:sub>
                    </m:sSub>
                    <m:r>
                      <m:rPr/>
                      <w:rPr>
                        <w:rFonts w:hint="default" w:ascii="Cambria Math" w:hAnsi="Cambria Math" w:cs="Times New Roman"/>
                        <w:color w:val="auto"/>
                        <w:spacing w:val="0"/>
                        <w:w w:val="100"/>
                        <w:kern w:val="0"/>
                        <w:position w:val="0"/>
                        <w:sz w:val="24"/>
                        <w:highlight w:val="none"/>
                        <w:lang w:val="en-US" w:eastAsia="zh-CN"/>
                      </w:rPr>
                      <m:t>+</m:t>
                    </m:r>
                    <m:sSub>
                      <m:sSubPr>
                        <m:ctrlPr>
                          <w:rPr>
                            <w:rFonts w:hint="default" w:ascii="Cambria Math" w:hAnsi="Cambria Math" w:cs="Times New Roman"/>
                            <w:i/>
                            <w:color w:val="auto"/>
                            <w:spacing w:val="0"/>
                            <w:w w:val="100"/>
                            <w:kern w:val="0"/>
                            <w:position w:val="0"/>
                            <w:sz w:val="24"/>
                            <w:highlight w:val="none"/>
                            <w:lang w:val="en-US" w:eastAsia="zh-CN"/>
                          </w:rPr>
                        </m:ctrlPr>
                      </m:sSubPr>
                      <m:e>
                        <m:r>
                          <m:rPr/>
                          <w:rPr>
                            <w:rFonts w:hint="default" w:ascii="Cambria Math" w:hAnsi="Cambria Math" w:cs="Times New Roman"/>
                            <w:color w:val="auto"/>
                            <w:spacing w:val="0"/>
                            <w:w w:val="100"/>
                            <w:kern w:val="0"/>
                            <w:position w:val="0"/>
                            <w:sz w:val="24"/>
                            <w:highlight w:val="none"/>
                            <w:lang w:val="en-US" w:eastAsia="zh-CN"/>
                          </w:rPr>
                          <m:t>A</m:t>
                        </m:r>
                        <m:ctrlPr>
                          <w:rPr>
                            <w:rFonts w:hint="default" w:ascii="Cambria Math" w:hAnsi="Cambria Math" w:cs="Times New Roman"/>
                            <w:i/>
                            <w:color w:val="auto"/>
                            <w:spacing w:val="0"/>
                            <w:w w:val="100"/>
                            <w:kern w:val="0"/>
                            <w:position w:val="0"/>
                            <w:sz w:val="24"/>
                            <w:highlight w:val="none"/>
                            <w:lang w:val="en-US" w:eastAsia="zh-CN"/>
                          </w:rPr>
                        </m:ctrlPr>
                      </m:e>
                      <m:sub>
                        <m:r>
                          <m:rPr/>
                          <w:rPr>
                            <w:rFonts w:hint="default" w:ascii="Cambria Math" w:hAnsi="Cambria Math" w:cs="Times New Roman"/>
                            <w:color w:val="auto"/>
                            <w:spacing w:val="0"/>
                            <w:w w:val="100"/>
                            <w:kern w:val="0"/>
                            <w:position w:val="0"/>
                            <w:sz w:val="24"/>
                            <w:highlight w:val="none"/>
                            <w:lang w:val="en-US" w:eastAsia="zh-CN"/>
                          </w:rPr>
                          <m:t>gr</m:t>
                        </m:r>
                        <m:ctrlPr>
                          <w:rPr>
                            <w:rFonts w:hint="default" w:ascii="Cambria Math" w:hAnsi="Cambria Math" w:cs="Times New Roman"/>
                            <w:i/>
                            <w:color w:val="auto"/>
                            <w:spacing w:val="0"/>
                            <w:w w:val="100"/>
                            <w:kern w:val="0"/>
                            <w:position w:val="0"/>
                            <w:sz w:val="24"/>
                            <w:highlight w:val="none"/>
                            <w:lang w:val="en-US" w:eastAsia="zh-CN"/>
                          </w:rPr>
                        </m:ctrlPr>
                      </m:sub>
                    </m:sSub>
                    <m:r>
                      <m:rPr/>
                      <w:rPr>
                        <w:rFonts w:hint="default" w:ascii="Cambria Math" w:hAnsi="Cambria Math" w:cs="Times New Roman"/>
                        <w:color w:val="auto"/>
                        <w:spacing w:val="0"/>
                        <w:w w:val="100"/>
                        <w:kern w:val="0"/>
                        <w:position w:val="0"/>
                        <w:sz w:val="24"/>
                        <w:highlight w:val="none"/>
                        <w:lang w:val="en-US" w:eastAsia="zh-CN"/>
                      </w:rPr>
                      <m:t>+</m:t>
                    </m:r>
                    <m:sSub>
                      <m:sSubPr>
                        <m:ctrlPr>
                          <w:rPr>
                            <w:rFonts w:hint="default" w:ascii="Cambria Math" w:hAnsi="Cambria Math" w:cs="Times New Roman"/>
                            <w:i/>
                            <w:color w:val="auto"/>
                            <w:spacing w:val="0"/>
                            <w:w w:val="100"/>
                            <w:kern w:val="0"/>
                            <w:position w:val="0"/>
                            <w:sz w:val="24"/>
                            <w:highlight w:val="none"/>
                            <w:lang w:val="en-US" w:eastAsia="zh-CN"/>
                          </w:rPr>
                        </m:ctrlPr>
                      </m:sSubPr>
                      <m:e>
                        <m:r>
                          <m:rPr/>
                          <w:rPr>
                            <w:rFonts w:hint="default" w:ascii="Cambria Math" w:hAnsi="Cambria Math" w:cs="Times New Roman"/>
                            <w:color w:val="auto"/>
                            <w:spacing w:val="0"/>
                            <w:w w:val="100"/>
                            <w:kern w:val="0"/>
                            <w:position w:val="0"/>
                            <w:sz w:val="24"/>
                            <w:highlight w:val="none"/>
                            <w:lang w:val="en-US" w:eastAsia="zh-CN"/>
                          </w:rPr>
                          <m:t>A</m:t>
                        </m:r>
                        <m:ctrlPr>
                          <w:rPr>
                            <w:rFonts w:hint="default" w:ascii="Cambria Math" w:hAnsi="Cambria Math" w:cs="Times New Roman"/>
                            <w:i/>
                            <w:color w:val="auto"/>
                            <w:spacing w:val="0"/>
                            <w:w w:val="100"/>
                            <w:kern w:val="0"/>
                            <w:position w:val="0"/>
                            <w:sz w:val="24"/>
                            <w:highlight w:val="none"/>
                            <w:lang w:val="en-US" w:eastAsia="zh-CN"/>
                          </w:rPr>
                        </m:ctrlPr>
                      </m:e>
                      <m:sub>
                        <m:r>
                          <m:rPr/>
                          <w:rPr>
                            <w:rFonts w:hint="default" w:ascii="Cambria Math" w:hAnsi="Cambria Math" w:cs="Times New Roman"/>
                            <w:color w:val="auto"/>
                            <w:spacing w:val="0"/>
                            <w:w w:val="100"/>
                            <w:kern w:val="0"/>
                            <w:position w:val="0"/>
                            <w:sz w:val="24"/>
                            <w:highlight w:val="none"/>
                            <w:lang w:val="en-US" w:eastAsia="zh-CN"/>
                          </w:rPr>
                          <m:t>bar</m:t>
                        </m:r>
                        <m:ctrlPr>
                          <w:rPr>
                            <w:rFonts w:hint="default" w:ascii="Cambria Math" w:hAnsi="Cambria Math" w:cs="Times New Roman"/>
                            <w:i/>
                            <w:color w:val="auto"/>
                            <w:spacing w:val="0"/>
                            <w:w w:val="100"/>
                            <w:kern w:val="0"/>
                            <w:position w:val="0"/>
                            <w:sz w:val="24"/>
                            <w:highlight w:val="none"/>
                            <w:lang w:val="en-US" w:eastAsia="zh-CN"/>
                          </w:rPr>
                        </m:ctrlPr>
                      </m:sub>
                    </m:sSub>
                    <m:r>
                      <m:rPr/>
                      <w:rPr>
                        <w:rFonts w:hint="default" w:ascii="Cambria Math" w:hAnsi="Cambria Math" w:cs="Times New Roman"/>
                        <w:color w:val="auto"/>
                        <w:spacing w:val="0"/>
                        <w:w w:val="100"/>
                        <w:kern w:val="0"/>
                        <w:position w:val="0"/>
                        <w:sz w:val="24"/>
                        <w:highlight w:val="none"/>
                        <w:lang w:val="en-US" w:eastAsia="zh-CN"/>
                      </w:rPr>
                      <m:t>+</m:t>
                    </m:r>
                    <m:sSub>
                      <m:sSubPr>
                        <m:ctrlPr>
                          <w:rPr>
                            <w:rFonts w:hint="default" w:ascii="Cambria Math" w:hAnsi="Cambria Math" w:cs="Times New Roman"/>
                            <w:i/>
                            <w:color w:val="auto"/>
                            <w:spacing w:val="0"/>
                            <w:w w:val="100"/>
                            <w:kern w:val="0"/>
                            <w:position w:val="0"/>
                            <w:sz w:val="24"/>
                            <w:highlight w:val="none"/>
                            <w:lang w:val="en-US" w:eastAsia="zh-CN"/>
                          </w:rPr>
                        </m:ctrlPr>
                      </m:sSubPr>
                      <m:e>
                        <m:r>
                          <m:rPr/>
                          <w:rPr>
                            <w:rFonts w:hint="default" w:ascii="Cambria Math" w:hAnsi="Cambria Math" w:cs="Times New Roman"/>
                            <w:color w:val="auto"/>
                            <w:spacing w:val="0"/>
                            <w:w w:val="100"/>
                            <w:kern w:val="0"/>
                            <w:position w:val="0"/>
                            <w:sz w:val="24"/>
                            <w:highlight w:val="none"/>
                            <w:lang w:val="en-US" w:eastAsia="zh-CN"/>
                          </w:rPr>
                          <m:t>A</m:t>
                        </m:r>
                        <m:ctrlPr>
                          <w:rPr>
                            <w:rFonts w:hint="default" w:ascii="Cambria Math" w:hAnsi="Cambria Math" w:cs="Times New Roman"/>
                            <w:i/>
                            <w:color w:val="auto"/>
                            <w:spacing w:val="0"/>
                            <w:w w:val="100"/>
                            <w:kern w:val="0"/>
                            <w:position w:val="0"/>
                            <w:sz w:val="24"/>
                            <w:highlight w:val="none"/>
                            <w:lang w:val="en-US" w:eastAsia="zh-CN"/>
                          </w:rPr>
                        </m:ctrlPr>
                      </m:e>
                      <m:sub>
                        <m:r>
                          <m:rPr/>
                          <w:rPr>
                            <w:rFonts w:hint="default" w:ascii="Cambria Math" w:hAnsi="Cambria Math" w:cs="Times New Roman"/>
                            <w:color w:val="auto"/>
                            <w:spacing w:val="0"/>
                            <w:w w:val="100"/>
                            <w:kern w:val="0"/>
                            <w:position w:val="0"/>
                            <w:sz w:val="24"/>
                            <w:highlight w:val="none"/>
                            <w:lang w:val="en-US" w:eastAsia="zh-CN"/>
                          </w:rPr>
                          <m:t>misc</m:t>
                        </m:r>
                        <m:ctrlPr>
                          <w:rPr>
                            <w:rFonts w:hint="default" w:ascii="Cambria Math" w:hAnsi="Cambria Math" w:cs="Times New Roman"/>
                            <w:i/>
                            <w:color w:val="auto"/>
                            <w:spacing w:val="0"/>
                            <w:w w:val="100"/>
                            <w:kern w:val="0"/>
                            <w:position w:val="0"/>
                            <w:sz w:val="24"/>
                            <w:highlight w:val="none"/>
                            <w:lang w:val="en-US" w:eastAsia="zh-CN"/>
                          </w:rPr>
                        </m:ctrlPr>
                      </m:sub>
                    </m:sSub>
                    <m:ctrlPr>
                      <w:rPr>
                        <w:rFonts w:hint="default" w:ascii="Cambria Math" w:hAnsi="Cambria Math" w:cs="Times New Roman"/>
                        <w:i/>
                        <w:color w:val="auto"/>
                        <w:spacing w:val="0"/>
                        <w:w w:val="100"/>
                        <w:kern w:val="0"/>
                        <w:position w:val="0"/>
                        <w:sz w:val="24"/>
                        <w:highlight w:val="none"/>
                        <w:lang w:val="en-US" w:eastAsia="zh-CN"/>
                      </w:rPr>
                    </m:ctrlPr>
                  </m:e>
                </m:d>
              </m:oMath>
            </m:oMathPara>
          </w:p>
          <w:p w14:paraId="74B61FEE">
            <w:pPr>
              <w:pageBreakBefore w:val="0"/>
              <w:widowControl/>
              <w:kinsoku/>
              <w:wordWrap/>
              <w:topLinePunct w:val="0"/>
              <w:bidi w:val="0"/>
              <w:spacing w:line="360" w:lineRule="auto"/>
              <w:ind w:firstLine="480" w:firstLineChars="200"/>
              <w:rPr>
                <w:sz w:val="24"/>
              </w:rPr>
            </w:pPr>
            <w:r>
              <w:rPr>
                <w:kern w:val="0"/>
                <w:sz w:val="24"/>
                <w:lang w:bidi="ar"/>
              </w:rPr>
              <w:t>式中：</w:t>
            </w:r>
            <w:r>
              <w:rPr>
                <w:i/>
                <w:iCs/>
                <w:kern w:val="0"/>
                <w:sz w:val="24"/>
                <w:lang w:bidi="ar"/>
              </w:rPr>
              <w:t>Lp</w:t>
            </w:r>
            <w:r>
              <w:rPr>
                <w:kern w:val="0"/>
                <w:sz w:val="24"/>
                <w:lang w:bidi="ar"/>
              </w:rPr>
              <w:t>(</w:t>
            </w:r>
            <w:r>
              <w:rPr>
                <w:i/>
                <w:iCs/>
                <w:kern w:val="0"/>
                <w:sz w:val="24"/>
                <w:lang w:bidi="ar"/>
              </w:rPr>
              <w:t>r</w:t>
            </w:r>
            <w:r>
              <w:rPr>
                <w:kern w:val="0"/>
                <w:sz w:val="24"/>
                <w:lang w:bidi="ar"/>
              </w:rPr>
              <w:t>)——预测点处声压级，dB；</w:t>
            </w:r>
          </w:p>
          <w:p w14:paraId="77FA7E15">
            <w:pPr>
              <w:pageBreakBefore w:val="0"/>
              <w:widowControl/>
              <w:kinsoku/>
              <w:wordWrap/>
              <w:topLinePunct w:val="0"/>
              <w:bidi w:val="0"/>
              <w:spacing w:line="360" w:lineRule="auto"/>
              <w:ind w:firstLine="1200" w:firstLineChars="500"/>
              <w:rPr>
                <w:sz w:val="24"/>
              </w:rPr>
            </w:pPr>
            <w:r>
              <w:rPr>
                <w:i/>
                <w:iCs/>
                <w:kern w:val="0"/>
                <w:sz w:val="24"/>
                <w:lang w:bidi="ar"/>
              </w:rPr>
              <w:t>Lp</w:t>
            </w:r>
            <w:r>
              <w:rPr>
                <w:kern w:val="0"/>
                <w:sz w:val="24"/>
                <w:lang w:bidi="ar"/>
              </w:rPr>
              <w:t>(</w:t>
            </w:r>
            <w:r>
              <w:rPr>
                <w:i/>
                <w:iCs/>
                <w:kern w:val="0"/>
                <w:sz w:val="24"/>
                <w:lang w:bidi="ar"/>
              </w:rPr>
              <w:t>r</w:t>
            </w:r>
            <w:r>
              <w:rPr>
                <w:kern w:val="0"/>
                <w:sz w:val="24"/>
                <w:vertAlign w:val="subscript"/>
                <w:lang w:bidi="ar"/>
              </w:rPr>
              <w:t>0</w:t>
            </w:r>
            <w:r>
              <w:rPr>
                <w:kern w:val="0"/>
                <w:sz w:val="24"/>
                <w:lang w:bidi="ar"/>
              </w:rPr>
              <w:t>)——参考位置</w:t>
            </w:r>
            <w:r>
              <w:rPr>
                <w:i/>
                <w:iCs/>
                <w:kern w:val="0"/>
                <w:sz w:val="24"/>
                <w:lang w:bidi="ar"/>
              </w:rPr>
              <w:t>r</w:t>
            </w:r>
            <w:r>
              <w:rPr>
                <w:kern w:val="0"/>
                <w:sz w:val="24"/>
                <w:vertAlign w:val="subscript"/>
                <w:lang w:bidi="ar"/>
              </w:rPr>
              <w:t>0</w:t>
            </w:r>
            <w:r>
              <w:rPr>
                <w:kern w:val="0"/>
                <w:sz w:val="24"/>
                <w:lang w:bidi="ar"/>
              </w:rPr>
              <w:t>处的声压级，dB；</w:t>
            </w:r>
          </w:p>
          <w:p w14:paraId="2E562D4B">
            <w:pPr>
              <w:pageBreakBefore w:val="0"/>
              <w:widowControl/>
              <w:kinsoku/>
              <w:wordWrap/>
              <w:topLinePunct w:val="0"/>
              <w:bidi w:val="0"/>
              <w:spacing w:line="360" w:lineRule="auto"/>
              <w:ind w:firstLine="1200" w:firstLineChars="500"/>
              <w:rPr>
                <w:sz w:val="24"/>
              </w:rPr>
            </w:pPr>
            <w:r>
              <w:rPr>
                <w:i/>
                <w:iCs/>
                <w:kern w:val="0"/>
                <w:sz w:val="24"/>
                <w:lang w:bidi="ar"/>
              </w:rPr>
              <w:t>D</w:t>
            </w:r>
            <w:r>
              <w:rPr>
                <w:kern w:val="0"/>
                <w:sz w:val="24"/>
                <w:lang w:bidi="ar"/>
              </w:rPr>
              <w:t>C——指向性校正，它描述点声源的等效连续声压级与产生声功率级</w:t>
            </w:r>
            <w:r>
              <w:rPr>
                <w:i/>
                <w:iCs/>
                <w:kern w:val="0"/>
                <w:sz w:val="24"/>
                <w:lang w:bidi="ar"/>
              </w:rPr>
              <w:t>Lw</w:t>
            </w:r>
            <w:r>
              <w:rPr>
                <w:kern w:val="0"/>
                <w:sz w:val="24"/>
                <w:lang w:bidi="ar"/>
              </w:rPr>
              <w:t>的全向点声源在规定方向的声级的偏差程度，dB；</w:t>
            </w:r>
          </w:p>
          <w:p w14:paraId="1D194C01">
            <w:pPr>
              <w:pageBreakBefore w:val="0"/>
              <w:widowControl/>
              <w:kinsoku/>
              <w:wordWrap/>
              <w:topLinePunct w:val="0"/>
              <w:bidi w:val="0"/>
              <w:spacing w:line="360" w:lineRule="auto"/>
              <w:ind w:firstLine="1200" w:firstLineChars="500"/>
              <w:rPr>
                <w:sz w:val="24"/>
              </w:rPr>
            </w:pPr>
            <w:r>
              <w:rPr>
                <w:i/>
                <w:iCs/>
                <w:kern w:val="0"/>
                <w:sz w:val="24"/>
                <w:lang w:bidi="ar"/>
              </w:rPr>
              <w:t>A</w:t>
            </w:r>
            <w:r>
              <w:rPr>
                <w:kern w:val="0"/>
                <w:sz w:val="24"/>
                <w:vertAlign w:val="subscript"/>
                <w:lang w:bidi="ar"/>
              </w:rPr>
              <w:t>div</w:t>
            </w:r>
            <w:r>
              <w:rPr>
                <w:kern w:val="0"/>
                <w:sz w:val="24"/>
                <w:lang w:bidi="ar"/>
              </w:rPr>
              <w:t>——几何发散引起的衰减，dB；</w:t>
            </w:r>
          </w:p>
          <w:p w14:paraId="61D2C39E">
            <w:pPr>
              <w:pageBreakBefore w:val="0"/>
              <w:widowControl/>
              <w:kinsoku/>
              <w:wordWrap/>
              <w:topLinePunct w:val="0"/>
              <w:bidi w:val="0"/>
              <w:spacing w:line="360" w:lineRule="auto"/>
              <w:ind w:firstLine="1200" w:firstLineChars="500"/>
              <w:rPr>
                <w:sz w:val="24"/>
              </w:rPr>
            </w:pPr>
            <w:r>
              <w:rPr>
                <w:i/>
                <w:iCs/>
                <w:kern w:val="0"/>
                <w:sz w:val="24"/>
                <w:lang w:bidi="ar"/>
              </w:rPr>
              <w:t>A</w:t>
            </w:r>
            <w:r>
              <w:rPr>
                <w:kern w:val="0"/>
                <w:sz w:val="24"/>
                <w:vertAlign w:val="subscript"/>
                <w:lang w:bidi="ar"/>
              </w:rPr>
              <w:t>atm</w:t>
            </w:r>
            <w:r>
              <w:rPr>
                <w:kern w:val="0"/>
                <w:sz w:val="24"/>
                <w:lang w:bidi="ar"/>
              </w:rPr>
              <w:t>——大气吸收引起的衰减，dB；</w:t>
            </w:r>
          </w:p>
          <w:p w14:paraId="50188BA0">
            <w:pPr>
              <w:pageBreakBefore w:val="0"/>
              <w:widowControl/>
              <w:kinsoku/>
              <w:wordWrap/>
              <w:topLinePunct w:val="0"/>
              <w:bidi w:val="0"/>
              <w:spacing w:line="360" w:lineRule="auto"/>
              <w:ind w:firstLine="1200" w:firstLineChars="500"/>
              <w:rPr>
                <w:sz w:val="24"/>
              </w:rPr>
            </w:pPr>
            <w:r>
              <w:rPr>
                <w:i/>
                <w:iCs/>
                <w:kern w:val="0"/>
                <w:sz w:val="24"/>
                <w:lang w:bidi="ar"/>
              </w:rPr>
              <w:t>A</w:t>
            </w:r>
            <w:r>
              <w:rPr>
                <w:kern w:val="0"/>
                <w:sz w:val="24"/>
                <w:vertAlign w:val="subscript"/>
                <w:lang w:bidi="ar"/>
              </w:rPr>
              <w:t>gr</w:t>
            </w:r>
            <w:r>
              <w:rPr>
                <w:kern w:val="0"/>
                <w:sz w:val="24"/>
                <w:lang w:bidi="ar"/>
              </w:rPr>
              <w:t>——地面效应引起的衰减，dB；</w:t>
            </w:r>
          </w:p>
          <w:p w14:paraId="35C068D4">
            <w:pPr>
              <w:pageBreakBefore w:val="0"/>
              <w:widowControl/>
              <w:kinsoku/>
              <w:wordWrap/>
              <w:topLinePunct w:val="0"/>
              <w:bidi w:val="0"/>
              <w:spacing w:line="360" w:lineRule="auto"/>
              <w:ind w:firstLine="1200" w:firstLineChars="500"/>
              <w:rPr>
                <w:sz w:val="24"/>
              </w:rPr>
            </w:pPr>
            <w:r>
              <w:rPr>
                <w:i/>
                <w:iCs/>
                <w:kern w:val="0"/>
                <w:sz w:val="24"/>
                <w:lang w:bidi="ar"/>
              </w:rPr>
              <w:t>A</w:t>
            </w:r>
            <w:r>
              <w:rPr>
                <w:kern w:val="0"/>
                <w:sz w:val="24"/>
                <w:vertAlign w:val="subscript"/>
                <w:lang w:bidi="ar"/>
              </w:rPr>
              <w:t>bar</w:t>
            </w:r>
            <w:r>
              <w:rPr>
                <w:kern w:val="0"/>
                <w:sz w:val="24"/>
                <w:lang w:bidi="ar"/>
              </w:rPr>
              <w:t>——障碍物屏蔽引起的衰减，dB；</w:t>
            </w:r>
          </w:p>
          <w:p w14:paraId="3F23F3DA">
            <w:pPr>
              <w:pageBreakBefore w:val="0"/>
              <w:widowControl/>
              <w:kinsoku/>
              <w:wordWrap/>
              <w:topLinePunct w:val="0"/>
              <w:bidi w:val="0"/>
              <w:spacing w:line="360" w:lineRule="auto"/>
              <w:ind w:firstLine="1200" w:firstLineChars="500"/>
              <w:rPr>
                <w:sz w:val="24"/>
              </w:rPr>
            </w:pPr>
            <w:r>
              <w:rPr>
                <w:i/>
                <w:iCs/>
                <w:kern w:val="0"/>
                <w:sz w:val="24"/>
                <w:lang w:bidi="ar"/>
              </w:rPr>
              <w:t>A</w:t>
            </w:r>
            <w:r>
              <w:rPr>
                <w:kern w:val="0"/>
                <w:sz w:val="24"/>
                <w:vertAlign w:val="subscript"/>
                <w:lang w:bidi="ar"/>
              </w:rPr>
              <w:t>misc</w:t>
            </w:r>
            <w:r>
              <w:rPr>
                <w:kern w:val="0"/>
                <w:sz w:val="24"/>
                <w:lang w:bidi="ar"/>
              </w:rPr>
              <w:t>——其他多方面效应引起的衰减，dB。</w:t>
            </w:r>
          </w:p>
          <w:p w14:paraId="5D1C0631">
            <w:pPr>
              <w:pageBreakBefore w:val="0"/>
              <w:kinsoku/>
              <w:wordWrap/>
              <w:topLinePunct w:val="0"/>
              <w:bidi w:val="0"/>
              <w:spacing w:line="360" w:lineRule="auto"/>
              <w:ind w:firstLine="480"/>
              <w:rPr>
                <w:kern w:val="0"/>
                <w:sz w:val="24"/>
              </w:rPr>
            </w:pPr>
            <w:r>
              <w:rPr>
                <w:kern w:val="0"/>
                <w:sz w:val="24"/>
                <w:lang w:bidi="ar"/>
              </w:rPr>
              <w:t>几何</w:t>
            </w:r>
            <w:r>
              <w:rPr>
                <w:kern w:val="0"/>
                <w:sz w:val="24"/>
              </w:rPr>
              <w:t>发散引起的衰减（</w:t>
            </w:r>
            <w:r>
              <w:rPr>
                <w:i/>
                <w:iCs/>
                <w:kern w:val="0"/>
                <w:sz w:val="24"/>
                <w:lang w:bidi="ar"/>
              </w:rPr>
              <w:t>A</w:t>
            </w:r>
            <w:r>
              <w:rPr>
                <w:kern w:val="0"/>
                <w:sz w:val="24"/>
                <w:vertAlign w:val="subscript"/>
                <w:lang w:bidi="ar"/>
              </w:rPr>
              <w:t>div</w:t>
            </w:r>
            <w:r>
              <w:rPr>
                <w:kern w:val="0"/>
                <w:sz w:val="24"/>
              </w:rPr>
              <w:t>）公式如下：</w:t>
            </w:r>
          </w:p>
          <w:p w14:paraId="22E2EC3E">
            <w:pPr>
              <w:pageBreakBefore w:val="0"/>
              <w:kinsoku/>
              <w:wordWrap/>
              <w:topLinePunct w:val="0"/>
              <w:bidi w:val="0"/>
              <w:spacing w:line="360" w:lineRule="auto"/>
              <w:ind w:firstLine="480" w:firstLineChars="200"/>
              <w:rPr>
                <w:kern w:val="0"/>
                <w:sz w:val="24"/>
              </w:rPr>
            </w:pPr>
            <m:oMathPara>
              <m:oMath>
                <m:sSub>
                  <m:sSubPr>
                    <m:ctrlPr>
                      <w:rPr>
                        <w:rFonts w:hint="default" w:ascii="Cambria Math" w:hAnsi="Cambria Math" w:cs="Times New Roman"/>
                        <w:i/>
                        <w:color w:val="auto"/>
                        <w:spacing w:val="0"/>
                        <w:w w:val="100"/>
                        <w:kern w:val="0"/>
                        <w:position w:val="0"/>
                        <w:sz w:val="24"/>
                        <w:highlight w:val="none"/>
                        <w:lang w:val="en-US" w:eastAsia="zh-CN"/>
                      </w:rPr>
                    </m:ctrlPr>
                  </m:sSubPr>
                  <m:e>
                    <m:r>
                      <m:rPr/>
                      <w:rPr>
                        <w:rFonts w:hint="default" w:ascii="Cambria Math" w:hAnsi="Cambria Math" w:cs="Times New Roman"/>
                        <w:color w:val="auto"/>
                        <w:spacing w:val="0"/>
                        <w:w w:val="100"/>
                        <w:kern w:val="0"/>
                        <w:position w:val="0"/>
                        <w:sz w:val="24"/>
                        <w:highlight w:val="none"/>
                        <w:lang w:val="en-US" w:eastAsia="zh-CN"/>
                      </w:rPr>
                      <m:t>A</m:t>
                    </m:r>
                    <m:ctrlPr>
                      <w:rPr>
                        <w:rFonts w:hint="default" w:ascii="Cambria Math" w:hAnsi="Cambria Math" w:cs="Times New Roman"/>
                        <w:i/>
                        <w:color w:val="auto"/>
                        <w:spacing w:val="0"/>
                        <w:w w:val="100"/>
                        <w:kern w:val="0"/>
                        <w:position w:val="0"/>
                        <w:sz w:val="24"/>
                        <w:highlight w:val="none"/>
                        <w:lang w:val="en-US" w:eastAsia="zh-CN"/>
                      </w:rPr>
                    </m:ctrlPr>
                  </m:e>
                  <m:sub>
                    <m:r>
                      <m:rPr/>
                      <w:rPr>
                        <w:rFonts w:hint="default" w:ascii="Cambria Math" w:hAnsi="Cambria Math" w:cs="Times New Roman"/>
                        <w:color w:val="auto"/>
                        <w:spacing w:val="0"/>
                        <w:w w:val="100"/>
                        <w:kern w:val="0"/>
                        <w:position w:val="0"/>
                        <w:sz w:val="24"/>
                        <w:highlight w:val="none"/>
                        <w:lang w:val="en-US" w:eastAsia="zh-CN"/>
                      </w:rPr>
                      <m:t>div</m:t>
                    </m:r>
                    <m:ctrlPr>
                      <w:rPr>
                        <w:rFonts w:hint="default" w:ascii="Cambria Math" w:hAnsi="Cambria Math" w:cs="Times New Roman"/>
                        <w:i/>
                        <w:color w:val="auto"/>
                        <w:spacing w:val="0"/>
                        <w:w w:val="100"/>
                        <w:kern w:val="0"/>
                        <w:position w:val="0"/>
                        <w:sz w:val="24"/>
                        <w:highlight w:val="none"/>
                        <w:lang w:val="en-US" w:eastAsia="zh-CN"/>
                      </w:rPr>
                    </m:ctrlPr>
                  </m:sub>
                </m:sSub>
                <m:r>
                  <m:rPr/>
                  <w:rPr>
                    <w:rFonts w:hint="default" w:ascii="Cambria Math" w:hAnsi="Cambria Math" w:cs="Times New Roman"/>
                    <w:color w:val="auto"/>
                    <w:spacing w:val="0"/>
                    <w:w w:val="100"/>
                    <w:kern w:val="0"/>
                    <w:position w:val="0"/>
                    <w:sz w:val="24"/>
                    <w:highlight w:val="none"/>
                    <w:lang w:val="en-US" w:eastAsia="zh-CN"/>
                  </w:rPr>
                  <m:t>=20lg</m:t>
                </m:r>
                <m:d>
                  <m:dPr>
                    <m:ctrlPr>
                      <w:rPr>
                        <w:rFonts w:hint="default" w:ascii="Cambria Math" w:hAnsi="Cambria Math" w:cs="Times New Roman"/>
                        <w:i/>
                        <w:color w:val="auto"/>
                        <w:spacing w:val="0"/>
                        <w:w w:val="100"/>
                        <w:kern w:val="0"/>
                        <w:position w:val="0"/>
                        <w:sz w:val="24"/>
                        <w:highlight w:val="none"/>
                        <w:lang w:val="en-US" w:eastAsia="zh-CN"/>
                      </w:rPr>
                    </m:ctrlPr>
                  </m:dPr>
                  <m:e>
                    <m:r>
                      <m:rPr/>
                      <w:rPr>
                        <w:rFonts w:hint="default" w:ascii="Cambria Math" w:hAnsi="Cambria Math" w:cs="Times New Roman"/>
                        <w:color w:val="auto"/>
                        <w:spacing w:val="0"/>
                        <w:w w:val="100"/>
                        <w:kern w:val="0"/>
                        <w:position w:val="0"/>
                        <w:sz w:val="24"/>
                        <w:highlight w:val="none"/>
                        <w:lang w:val="en-US" w:eastAsia="zh-CN"/>
                      </w:rPr>
                      <m:t>d/</m:t>
                    </m:r>
                    <m:sSub>
                      <m:sSubPr>
                        <m:ctrlPr>
                          <w:rPr>
                            <w:rFonts w:hint="default" w:ascii="Cambria Math" w:hAnsi="Cambria Math" w:cs="Times New Roman"/>
                            <w:i/>
                            <w:color w:val="auto"/>
                            <w:spacing w:val="0"/>
                            <w:w w:val="100"/>
                            <w:kern w:val="0"/>
                            <w:position w:val="0"/>
                            <w:sz w:val="24"/>
                            <w:highlight w:val="none"/>
                            <w:lang w:val="en-US" w:eastAsia="zh-CN"/>
                          </w:rPr>
                        </m:ctrlPr>
                      </m:sSubPr>
                      <m:e>
                        <m:r>
                          <m:rPr/>
                          <w:rPr>
                            <w:rFonts w:hint="default" w:ascii="Cambria Math" w:hAnsi="Cambria Math" w:cs="Times New Roman"/>
                            <w:color w:val="auto"/>
                            <w:spacing w:val="0"/>
                            <w:w w:val="100"/>
                            <w:kern w:val="0"/>
                            <w:position w:val="0"/>
                            <w:sz w:val="24"/>
                            <w:highlight w:val="none"/>
                            <w:lang w:val="en-US" w:eastAsia="zh-CN"/>
                          </w:rPr>
                          <m:t>d</m:t>
                        </m:r>
                        <m:ctrlPr>
                          <w:rPr>
                            <w:rFonts w:hint="default" w:ascii="Cambria Math" w:hAnsi="Cambria Math" w:cs="Times New Roman"/>
                            <w:i/>
                            <w:color w:val="auto"/>
                            <w:spacing w:val="0"/>
                            <w:w w:val="100"/>
                            <w:kern w:val="0"/>
                            <w:position w:val="0"/>
                            <w:sz w:val="24"/>
                            <w:highlight w:val="none"/>
                            <w:lang w:val="en-US" w:eastAsia="zh-CN"/>
                          </w:rPr>
                        </m:ctrlPr>
                      </m:e>
                      <m:sub>
                        <m:r>
                          <m:rPr/>
                          <w:rPr>
                            <w:rFonts w:hint="default" w:ascii="Cambria Math" w:hAnsi="Cambria Math" w:cs="Times New Roman"/>
                            <w:color w:val="auto"/>
                            <w:spacing w:val="0"/>
                            <w:w w:val="100"/>
                            <w:kern w:val="0"/>
                            <w:position w:val="0"/>
                            <w:sz w:val="24"/>
                            <w:highlight w:val="none"/>
                            <w:lang w:val="en-US" w:eastAsia="zh-CN"/>
                          </w:rPr>
                          <m:t>0</m:t>
                        </m:r>
                        <m:ctrlPr>
                          <w:rPr>
                            <w:rFonts w:hint="default" w:ascii="Cambria Math" w:hAnsi="Cambria Math" w:cs="Times New Roman"/>
                            <w:i/>
                            <w:color w:val="auto"/>
                            <w:spacing w:val="0"/>
                            <w:w w:val="100"/>
                            <w:kern w:val="0"/>
                            <w:position w:val="0"/>
                            <w:sz w:val="24"/>
                            <w:highlight w:val="none"/>
                            <w:lang w:val="en-US" w:eastAsia="zh-CN"/>
                          </w:rPr>
                        </m:ctrlPr>
                      </m:sub>
                    </m:sSub>
                    <m:ctrlPr>
                      <w:rPr>
                        <w:rFonts w:hint="default" w:ascii="Cambria Math" w:hAnsi="Cambria Math" w:cs="Times New Roman"/>
                        <w:i/>
                        <w:color w:val="auto"/>
                        <w:spacing w:val="0"/>
                        <w:w w:val="100"/>
                        <w:kern w:val="0"/>
                        <w:position w:val="0"/>
                        <w:sz w:val="24"/>
                        <w:highlight w:val="none"/>
                        <w:lang w:val="en-US" w:eastAsia="zh-CN"/>
                      </w:rPr>
                    </m:ctrlPr>
                  </m:e>
                </m:d>
                <m:r>
                  <m:rPr/>
                  <w:rPr>
                    <w:rFonts w:hint="default" w:ascii="Cambria Math" w:hAnsi="Cambria Math" w:cs="Times New Roman"/>
                    <w:color w:val="auto"/>
                    <w:spacing w:val="0"/>
                    <w:w w:val="100"/>
                    <w:kern w:val="0"/>
                    <w:position w:val="0"/>
                    <w:sz w:val="24"/>
                    <w:highlight w:val="none"/>
                    <w:lang w:val="en-US" w:eastAsia="zh-CN"/>
                  </w:rPr>
                  <m:t>+11</m:t>
                </m:r>
              </m:oMath>
            </m:oMathPara>
          </w:p>
          <w:p w14:paraId="3BACE63F">
            <w:pPr>
              <w:pageBreakBefore w:val="0"/>
              <w:kinsoku/>
              <w:wordWrap/>
              <w:topLinePunct w:val="0"/>
              <w:bidi w:val="0"/>
              <w:spacing w:line="360" w:lineRule="auto"/>
              <w:ind w:firstLine="480" w:firstLineChars="200"/>
              <w:rPr>
                <w:kern w:val="0"/>
                <w:sz w:val="24"/>
              </w:rPr>
            </w:pPr>
            <w:r>
              <w:rPr>
                <w:kern w:val="0"/>
                <w:sz w:val="24"/>
              </w:rPr>
              <w:t>式中：</w:t>
            </w:r>
            <w:r>
              <w:rPr>
                <w:i/>
                <w:iCs/>
                <w:kern w:val="0"/>
                <w:sz w:val="24"/>
              </w:rPr>
              <w:t>d</w:t>
            </w:r>
            <w:r>
              <w:rPr>
                <w:kern w:val="0"/>
                <w:sz w:val="24"/>
              </w:rPr>
              <w:t>——由声源到接收点的距离，m；</w:t>
            </w:r>
          </w:p>
          <w:p w14:paraId="144FDBCE">
            <w:pPr>
              <w:pageBreakBefore w:val="0"/>
              <w:kinsoku/>
              <w:wordWrap/>
              <w:topLinePunct w:val="0"/>
              <w:bidi w:val="0"/>
              <w:spacing w:line="360" w:lineRule="auto"/>
              <w:ind w:firstLine="1200" w:firstLineChars="500"/>
              <w:rPr>
                <w:kern w:val="0"/>
                <w:sz w:val="24"/>
              </w:rPr>
            </w:pPr>
            <w:r>
              <w:rPr>
                <w:i/>
                <w:iCs/>
                <w:kern w:val="0"/>
                <w:sz w:val="24"/>
              </w:rPr>
              <w:t>d</w:t>
            </w:r>
            <w:r>
              <w:rPr>
                <w:i/>
                <w:iCs/>
                <w:kern w:val="0"/>
                <w:sz w:val="24"/>
                <w:vertAlign w:val="subscript"/>
              </w:rPr>
              <w:t>0</w:t>
            </w:r>
            <w:r>
              <w:rPr>
                <w:kern w:val="0"/>
                <w:sz w:val="24"/>
              </w:rPr>
              <w:t>——参考距离，为1m。</w:t>
            </w:r>
          </w:p>
          <w:p w14:paraId="6D55F630">
            <w:pPr>
              <w:pageBreakBefore w:val="0"/>
              <w:kinsoku/>
              <w:wordWrap/>
              <w:topLinePunct w:val="0"/>
              <w:bidi w:val="0"/>
              <w:spacing w:line="360" w:lineRule="auto"/>
              <w:ind w:firstLine="480" w:firstLineChars="200"/>
              <w:rPr>
                <w:kern w:val="0"/>
                <w:sz w:val="24"/>
                <w:lang w:bidi="ar"/>
              </w:rPr>
            </w:pPr>
            <w:r>
              <w:rPr>
                <w:kern w:val="0"/>
                <w:sz w:val="24"/>
                <w:lang w:bidi="ar"/>
              </w:rPr>
              <w:t>大气吸收引起的衰减（</w:t>
            </w:r>
            <w:r>
              <w:rPr>
                <w:i/>
                <w:iCs/>
                <w:kern w:val="0"/>
                <w:sz w:val="24"/>
                <w:lang w:bidi="ar"/>
              </w:rPr>
              <w:t>A</w:t>
            </w:r>
            <w:r>
              <w:rPr>
                <w:kern w:val="0"/>
                <w:sz w:val="24"/>
                <w:vertAlign w:val="subscript"/>
                <w:lang w:bidi="ar"/>
              </w:rPr>
              <w:t>atm</w:t>
            </w:r>
            <w:r>
              <w:rPr>
                <w:kern w:val="0"/>
                <w:sz w:val="24"/>
                <w:lang w:bidi="ar"/>
              </w:rPr>
              <w:t>）参照</w:t>
            </w:r>
            <w:r>
              <w:rPr>
                <w:kern w:val="0"/>
                <w:sz w:val="24"/>
              </w:rPr>
              <w:t>《环境影响评价技术导则 声环境》（HJ 2.4</w:t>
            </w:r>
            <w:r>
              <w:rPr>
                <w:sz w:val="24"/>
              </w:rPr>
              <w:t>-</w:t>
            </w:r>
            <w:r>
              <w:rPr>
                <w:kern w:val="0"/>
                <w:sz w:val="24"/>
              </w:rPr>
              <w:t>2021），选取15℃相对湿度20%</w:t>
            </w:r>
            <w:r>
              <w:rPr>
                <w:kern w:val="0"/>
                <w:sz w:val="24"/>
                <w:lang w:bidi="ar"/>
              </w:rPr>
              <w:t>频带中心频率125Hz系数，即0.6dB/km。</w:t>
            </w:r>
          </w:p>
          <w:p w14:paraId="022EC4A1">
            <w:pPr>
              <w:pageBreakBefore w:val="0"/>
              <w:kinsoku/>
              <w:wordWrap/>
              <w:topLinePunct w:val="0"/>
              <w:bidi w:val="0"/>
              <w:spacing w:line="360" w:lineRule="auto"/>
              <w:ind w:firstLine="480" w:firstLineChars="200"/>
              <w:rPr>
                <w:kern w:val="0"/>
                <w:sz w:val="24"/>
              </w:rPr>
            </w:pPr>
            <w:r>
              <w:rPr>
                <w:kern w:val="0"/>
                <w:sz w:val="24"/>
                <w:lang w:bidi="ar"/>
              </w:rPr>
              <w:t>地面效应引起的衰减（</w:t>
            </w:r>
            <w:r>
              <w:rPr>
                <w:i/>
                <w:iCs/>
                <w:kern w:val="0"/>
                <w:sz w:val="24"/>
                <w:lang w:bidi="ar"/>
              </w:rPr>
              <w:t>A</w:t>
            </w:r>
            <w:r>
              <w:rPr>
                <w:kern w:val="0"/>
                <w:sz w:val="24"/>
                <w:vertAlign w:val="subscript"/>
                <w:lang w:bidi="ar"/>
              </w:rPr>
              <w:t>gr</w:t>
            </w:r>
            <w:r>
              <w:rPr>
                <w:kern w:val="0"/>
                <w:sz w:val="24"/>
                <w:lang w:bidi="ar"/>
              </w:rPr>
              <w:t>）参照《声学 户外声传播的衰减 第二部分 一般计算方法》（GB/T 17247.2），企业为坚实地面，取0。</w:t>
            </w:r>
          </w:p>
          <w:p w14:paraId="1DA4F06E">
            <w:pPr>
              <w:pageBreakBefore w:val="0"/>
              <w:kinsoku/>
              <w:wordWrap/>
              <w:topLinePunct w:val="0"/>
              <w:bidi w:val="0"/>
              <w:spacing w:line="360" w:lineRule="auto"/>
              <w:ind w:firstLine="480" w:firstLineChars="200"/>
              <w:rPr>
                <w:kern w:val="0"/>
                <w:sz w:val="24"/>
              </w:rPr>
            </w:pPr>
            <w:r>
              <w:rPr>
                <w:kern w:val="0"/>
                <w:sz w:val="24"/>
              </w:rPr>
              <w:t>障碍物屏蔽引起的衰减（</w:t>
            </w:r>
            <w:r>
              <w:rPr>
                <w:i/>
                <w:iCs/>
                <w:kern w:val="0"/>
                <w:sz w:val="24"/>
              </w:rPr>
              <w:t>A</w:t>
            </w:r>
            <w:r>
              <w:rPr>
                <w:kern w:val="0"/>
                <w:sz w:val="24"/>
                <w:vertAlign w:val="subscript"/>
              </w:rPr>
              <w:t>bar</w:t>
            </w:r>
            <w:r>
              <w:rPr>
                <w:kern w:val="0"/>
                <w:sz w:val="24"/>
              </w:rPr>
              <w:t>）参照《</w:t>
            </w:r>
            <w:r>
              <w:rPr>
                <w:kern w:val="0"/>
                <w:sz w:val="24"/>
                <w:lang w:bidi="ar"/>
              </w:rPr>
              <w:t>声学 户外声传播的衰减 第二部分 一般计算方法》（GB/T 17247.2），项目设施不满足屏障条件，取0</w:t>
            </w:r>
            <w:r>
              <w:rPr>
                <w:kern w:val="0"/>
                <w:sz w:val="24"/>
              </w:rPr>
              <w:t>。</w:t>
            </w:r>
          </w:p>
          <w:p w14:paraId="2BA60196">
            <w:pPr>
              <w:pageBreakBefore w:val="0"/>
              <w:widowControl/>
              <w:kinsoku/>
              <w:wordWrap/>
              <w:topLinePunct w:val="0"/>
              <w:bidi w:val="0"/>
              <w:spacing w:line="360" w:lineRule="auto"/>
              <w:ind w:firstLine="480" w:firstLineChars="200"/>
              <w:rPr>
                <w:b/>
                <w:sz w:val="24"/>
              </w:rPr>
            </w:pPr>
            <w:r>
              <w:rPr>
                <w:kern w:val="0"/>
                <w:sz w:val="24"/>
                <w:lang w:bidi="ar"/>
              </w:rPr>
              <w:t>其他多方面效应引起的衰减（</w:t>
            </w:r>
            <w:r>
              <w:rPr>
                <w:i/>
                <w:iCs/>
                <w:kern w:val="0"/>
                <w:sz w:val="24"/>
                <w:lang w:bidi="ar"/>
              </w:rPr>
              <w:t>A</w:t>
            </w:r>
            <w:r>
              <w:rPr>
                <w:kern w:val="0"/>
                <w:sz w:val="24"/>
                <w:vertAlign w:val="subscript"/>
                <w:lang w:bidi="ar"/>
              </w:rPr>
              <w:t>misc</w:t>
            </w:r>
            <w:r>
              <w:rPr>
                <w:kern w:val="0"/>
                <w:sz w:val="24"/>
                <w:lang w:bidi="ar"/>
              </w:rPr>
              <w:t>）参照《声学 户外声传播的衰减 第二部分 一般计算方法》（GB/T 17247.2），工业场所衰减系数选取标称频带中心频率125Hz系数，即0.015dB/m</w:t>
            </w:r>
            <w:r>
              <w:rPr>
                <w:kern w:val="0"/>
                <w:sz w:val="24"/>
              </w:rPr>
              <w:t>。</w:t>
            </w:r>
          </w:p>
          <w:p w14:paraId="27C5E5C0">
            <w:pPr>
              <w:pageBreakBefore w:val="0"/>
              <w:kinsoku/>
              <w:wordWrap/>
              <w:topLinePunct w:val="0"/>
              <w:bidi w:val="0"/>
              <w:spacing w:line="360" w:lineRule="auto"/>
              <w:ind w:firstLine="480" w:firstLineChars="200"/>
              <w:rPr>
                <w:sz w:val="24"/>
              </w:rPr>
            </w:pPr>
            <w:r>
              <w:rPr>
                <w:rFonts w:hint="eastAsia"/>
                <w:sz w:val="24"/>
              </w:rPr>
              <w:t>厂界造成预测结果见下表。</w:t>
            </w:r>
          </w:p>
          <w:p w14:paraId="5738F0FD">
            <w:pPr>
              <w:pStyle w:val="25"/>
              <w:pageBreakBefore w:val="0"/>
              <w:kinsoku/>
              <w:wordWrap/>
              <w:topLinePunct w:val="0"/>
              <w:bidi w:val="0"/>
              <w:rPr>
                <w:rFonts w:hint="default" w:ascii="Times New Roman" w:hAnsi="Times New Roman" w:cs="Times New Roman"/>
              </w:rPr>
            </w:pPr>
            <w:r>
              <w:rPr>
                <w:rFonts w:hint="default"/>
              </w:rPr>
              <w:t>表</w:t>
            </w:r>
            <w:r>
              <w:t>4-3</w:t>
            </w:r>
            <w:r>
              <w:rPr>
                <w:rFonts w:hint="default"/>
              </w:rPr>
              <w:t xml:space="preserve">  厂界噪声预测结果一览表  单位：dB（A）</w:t>
            </w:r>
          </w:p>
          <w:tbl>
            <w:tblPr>
              <w:tblStyle w:val="14"/>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758"/>
              <w:gridCol w:w="829"/>
              <w:gridCol w:w="829"/>
              <w:gridCol w:w="829"/>
              <w:gridCol w:w="829"/>
              <w:gridCol w:w="829"/>
              <w:gridCol w:w="829"/>
              <w:gridCol w:w="829"/>
              <w:gridCol w:w="829"/>
            </w:tblGrid>
            <w:tr w14:paraId="22D163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758" w:type="dxa"/>
                  <w:vMerge w:val="restart"/>
                  <w:noWrap w:val="0"/>
                  <w:tcMar>
                    <w:top w:w="0" w:type="dxa"/>
                    <w:left w:w="28" w:type="dxa"/>
                    <w:bottom w:w="0" w:type="dxa"/>
                    <w:right w:w="28" w:type="dxa"/>
                  </w:tcMar>
                  <w:vAlign w:val="center"/>
                </w:tcPr>
                <w:p w14:paraId="53322A8F">
                  <w:pPr>
                    <w:pStyle w:val="22"/>
                    <w:pageBreakBefore w:val="0"/>
                    <w:kinsoku/>
                    <w:wordWrap/>
                    <w:topLinePunct w:val="0"/>
                    <w:bidi w:val="0"/>
                    <w:rPr>
                      <w:b/>
                      <w:bCs/>
                      <w:color w:val="auto"/>
                    </w:rPr>
                  </w:pPr>
                  <w:r>
                    <w:rPr>
                      <w:b/>
                      <w:bCs/>
                      <w:color w:val="auto"/>
                    </w:rPr>
                    <w:t>厂界噪声</w:t>
                  </w:r>
                </w:p>
              </w:tc>
              <w:tc>
                <w:tcPr>
                  <w:tcW w:w="1658" w:type="dxa"/>
                  <w:gridSpan w:val="2"/>
                  <w:noWrap w:val="0"/>
                  <w:tcMar>
                    <w:top w:w="0" w:type="dxa"/>
                    <w:left w:w="28" w:type="dxa"/>
                    <w:bottom w:w="0" w:type="dxa"/>
                    <w:right w:w="28" w:type="dxa"/>
                  </w:tcMar>
                  <w:vAlign w:val="center"/>
                </w:tcPr>
                <w:p w14:paraId="44F44A9A">
                  <w:pPr>
                    <w:pStyle w:val="22"/>
                    <w:pageBreakBefore w:val="0"/>
                    <w:kinsoku/>
                    <w:wordWrap/>
                    <w:topLinePunct w:val="0"/>
                    <w:bidi w:val="0"/>
                    <w:rPr>
                      <w:b/>
                      <w:bCs/>
                      <w:color w:val="auto"/>
                    </w:rPr>
                  </w:pPr>
                  <w:r>
                    <w:rPr>
                      <w:b/>
                      <w:bCs/>
                      <w:color w:val="auto"/>
                    </w:rPr>
                    <w:t>东厂界</w:t>
                  </w:r>
                </w:p>
              </w:tc>
              <w:tc>
                <w:tcPr>
                  <w:tcW w:w="1658" w:type="dxa"/>
                  <w:gridSpan w:val="2"/>
                  <w:noWrap w:val="0"/>
                  <w:tcMar>
                    <w:top w:w="0" w:type="dxa"/>
                    <w:left w:w="28" w:type="dxa"/>
                    <w:bottom w:w="0" w:type="dxa"/>
                    <w:right w:w="28" w:type="dxa"/>
                  </w:tcMar>
                  <w:vAlign w:val="center"/>
                </w:tcPr>
                <w:p w14:paraId="10CD115A">
                  <w:pPr>
                    <w:pStyle w:val="22"/>
                    <w:pageBreakBefore w:val="0"/>
                    <w:kinsoku/>
                    <w:wordWrap/>
                    <w:topLinePunct w:val="0"/>
                    <w:bidi w:val="0"/>
                    <w:rPr>
                      <w:b/>
                      <w:bCs/>
                      <w:color w:val="auto"/>
                    </w:rPr>
                  </w:pPr>
                  <w:r>
                    <w:rPr>
                      <w:b/>
                      <w:bCs/>
                      <w:color w:val="auto"/>
                    </w:rPr>
                    <w:t>南厂界</w:t>
                  </w:r>
                </w:p>
              </w:tc>
              <w:tc>
                <w:tcPr>
                  <w:tcW w:w="1658" w:type="dxa"/>
                  <w:gridSpan w:val="2"/>
                  <w:noWrap w:val="0"/>
                  <w:tcMar>
                    <w:top w:w="0" w:type="dxa"/>
                    <w:left w:w="28" w:type="dxa"/>
                    <w:bottom w:w="0" w:type="dxa"/>
                    <w:right w:w="28" w:type="dxa"/>
                  </w:tcMar>
                  <w:vAlign w:val="center"/>
                </w:tcPr>
                <w:p w14:paraId="47F944B8">
                  <w:pPr>
                    <w:pStyle w:val="22"/>
                    <w:pageBreakBefore w:val="0"/>
                    <w:kinsoku/>
                    <w:wordWrap/>
                    <w:topLinePunct w:val="0"/>
                    <w:bidi w:val="0"/>
                    <w:rPr>
                      <w:b/>
                      <w:bCs/>
                      <w:color w:val="auto"/>
                    </w:rPr>
                  </w:pPr>
                  <w:r>
                    <w:rPr>
                      <w:b/>
                      <w:bCs/>
                      <w:color w:val="auto"/>
                    </w:rPr>
                    <w:t>西厂界</w:t>
                  </w:r>
                </w:p>
              </w:tc>
              <w:tc>
                <w:tcPr>
                  <w:tcW w:w="1658" w:type="dxa"/>
                  <w:gridSpan w:val="2"/>
                  <w:noWrap w:val="0"/>
                  <w:tcMar>
                    <w:top w:w="0" w:type="dxa"/>
                    <w:left w:w="28" w:type="dxa"/>
                    <w:bottom w:w="0" w:type="dxa"/>
                    <w:right w:w="28" w:type="dxa"/>
                  </w:tcMar>
                  <w:vAlign w:val="center"/>
                </w:tcPr>
                <w:p w14:paraId="5A79D51C">
                  <w:pPr>
                    <w:pStyle w:val="22"/>
                    <w:pageBreakBefore w:val="0"/>
                    <w:kinsoku/>
                    <w:wordWrap/>
                    <w:topLinePunct w:val="0"/>
                    <w:bidi w:val="0"/>
                    <w:rPr>
                      <w:b/>
                      <w:bCs/>
                      <w:color w:val="auto"/>
                    </w:rPr>
                  </w:pPr>
                  <w:r>
                    <w:rPr>
                      <w:b/>
                      <w:bCs/>
                      <w:color w:val="auto"/>
                    </w:rPr>
                    <w:t>北厂界</w:t>
                  </w:r>
                </w:p>
              </w:tc>
            </w:tr>
            <w:tr w14:paraId="4DD89A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758" w:type="dxa"/>
                  <w:vMerge w:val="continue"/>
                  <w:noWrap w:val="0"/>
                  <w:tcMar>
                    <w:top w:w="0" w:type="dxa"/>
                    <w:left w:w="28" w:type="dxa"/>
                    <w:bottom w:w="0" w:type="dxa"/>
                    <w:right w:w="28" w:type="dxa"/>
                  </w:tcMar>
                  <w:vAlign w:val="center"/>
                </w:tcPr>
                <w:p w14:paraId="2E8C2BA7">
                  <w:pPr>
                    <w:pStyle w:val="22"/>
                    <w:pageBreakBefore w:val="0"/>
                    <w:kinsoku/>
                    <w:wordWrap/>
                    <w:topLinePunct w:val="0"/>
                    <w:bidi w:val="0"/>
                    <w:rPr>
                      <w:b/>
                      <w:bCs/>
                      <w:color w:val="auto"/>
                    </w:rPr>
                  </w:pPr>
                </w:p>
              </w:tc>
              <w:tc>
                <w:tcPr>
                  <w:tcW w:w="829" w:type="dxa"/>
                  <w:noWrap w:val="0"/>
                  <w:tcMar>
                    <w:top w:w="0" w:type="dxa"/>
                    <w:left w:w="28" w:type="dxa"/>
                    <w:bottom w:w="0" w:type="dxa"/>
                    <w:right w:w="28" w:type="dxa"/>
                  </w:tcMar>
                  <w:vAlign w:val="center"/>
                </w:tcPr>
                <w:p w14:paraId="7A8A7E1C">
                  <w:pPr>
                    <w:pStyle w:val="22"/>
                    <w:pageBreakBefore w:val="0"/>
                    <w:kinsoku/>
                    <w:wordWrap/>
                    <w:topLinePunct w:val="0"/>
                    <w:bidi w:val="0"/>
                    <w:rPr>
                      <w:b/>
                      <w:bCs/>
                      <w:color w:val="auto"/>
                    </w:rPr>
                  </w:pPr>
                  <w:r>
                    <w:rPr>
                      <w:b/>
                      <w:bCs/>
                      <w:color w:val="auto"/>
                    </w:rPr>
                    <w:t>昼</w:t>
                  </w:r>
                </w:p>
              </w:tc>
              <w:tc>
                <w:tcPr>
                  <w:tcW w:w="829" w:type="dxa"/>
                  <w:noWrap w:val="0"/>
                  <w:tcMar>
                    <w:top w:w="0" w:type="dxa"/>
                    <w:left w:w="28" w:type="dxa"/>
                    <w:bottom w:w="0" w:type="dxa"/>
                    <w:right w:w="28" w:type="dxa"/>
                  </w:tcMar>
                  <w:vAlign w:val="center"/>
                </w:tcPr>
                <w:p w14:paraId="33A739AD">
                  <w:pPr>
                    <w:pStyle w:val="22"/>
                    <w:pageBreakBefore w:val="0"/>
                    <w:kinsoku/>
                    <w:wordWrap/>
                    <w:topLinePunct w:val="0"/>
                    <w:bidi w:val="0"/>
                    <w:rPr>
                      <w:b/>
                      <w:bCs/>
                      <w:color w:val="auto"/>
                    </w:rPr>
                  </w:pPr>
                  <w:r>
                    <w:rPr>
                      <w:b/>
                      <w:bCs/>
                      <w:color w:val="auto"/>
                    </w:rPr>
                    <w:t>夜</w:t>
                  </w:r>
                </w:p>
              </w:tc>
              <w:tc>
                <w:tcPr>
                  <w:tcW w:w="829" w:type="dxa"/>
                  <w:noWrap w:val="0"/>
                  <w:tcMar>
                    <w:top w:w="0" w:type="dxa"/>
                    <w:left w:w="28" w:type="dxa"/>
                    <w:bottom w:w="0" w:type="dxa"/>
                    <w:right w:w="28" w:type="dxa"/>
                  </w:tcMar>
                  <w:vAlign w:val="center"/>
                </w:tcPr>
                <w:p w14:paraId="1D748F0B">
                  <w:pPr>
                    <w:pStyle w:val="22"/>
                    <w:pageBreakBefore w:val="0"/>
                    <w:kinsoku/>
                    <w:wordWrap/>
                    <w:topLinePunct w:val="0"/>
                    <w:bidi w:val="0"/>
                    <w:rPr>
                      <w:b/>
                      <w:bCs/>
                      <w:color w:val="auto"/>
                    </w:rPr>
                  </w:pPr>
                  <w:r>
                    <w:rPr>
                      <w:b/>
                      <w:bCs/>
                      <w:color w:val="auto"/>
                    </w:rPr>
                    <w:t>昼</w:t>
                  </w:r>
                </w:p>
              </w:tc>
              <w:tc>
                <w:tcPr>
                  <w:tcW w:w="829" w:type="dxa"/>
                  <w:noWrap w:val="0"/>
                  <w:tcMar>
                    <w:top w:w="0" w:type="dxa"/>
                    <w:left w:w="28" w:type="dxa"/>
                    <w:bottom w:w="0" w:type="dxa"/>
                    <w:right w:w="28" w:type="dxa"/>
                  </w:tcMar>
                  <w:vAlign w:val="center"/>
                </w:tcPr>
                <w:p w14:paraId="0822764A">
                  <w:pPr>
                    <w:pStyle w:val="22"/>
                    <w:pageBreakBefore w:val="0"/>
                    <w:kinsoku/>
                    <w:wordWrap/>
                    <w:topLinePunct w:val="0"/>
                    <w:bidi w:val="0"/>
                    <w:rPr>
                      <w:b/>
                      <w:bCs/>
                      <w:color w:val="auto"/>
                    </w:rPr>
                  </w:pPr>
                  <w:r>
                    <w:rPr>
                      <w:b/>
                      <w:bCs/>
                      <w:color w:val="auto"/>
                    </w:rPr>
                    <w:t>夜</w:t>
                  </w:r>
                </w:p>
              </w:tc>
              <w:tc>
                <w:tcPr>
                  <w:tcW w:w="829" w:type="dxa"/>
                  <w:noWrap w:val="0"/>
                  <w:tcMar>
                    <w:top w:w="0" w:type="dxa"/>
                    <w:left w:w="28" w:type="dxa"/>
                    <w:bottom w:w="0" w:type="dxa"/>
                    <w:right w:w="28" w:type="dxa"/>
                  </w:tcMar>
                  <w:vAlign w:val="center"/>
                </w:tcPr>
                <w:p w14:paraId="3FAD3A8C">
                  <w:pPr>
                    <w:pStyle w:val="22"/>
                    <w:pageBreakBefore w:val="0"/>
                    <w:kinsoku/>
                    <w:wordWrap/>
                    <w:topLinePunct w:val="0"/>
                    <w:bidi w:val="0"/>
                    <w:rPr>
                      <w:b/>
                      <w:bCs/>
                      <w:color w:val="auto"/>
                    </w:rPr>
                  </w:pPr>
                  <w:r>
                    <w:rPr>
                      <w:b/>
                      <w:bCs/>
                      <w:color w:val="auto"/>
                    </w:rPr>
                    <w:t>昼</w:t>
                  </w:r>
                </w:p>
              </w:tc>
              <w:tc>
                <w:tcPr>
                  <w:tcW w:w="829" w:type="dxa"/>
                  <w:noWrap w:val="0"/>
                  <w:tcMar>
                    <w:top w:w="0" w:type="dxa"/>
                    <w:left w:w="28" w:type="dxa"/>
                    <w:bottom w:w="0" w:type="dxa"/>
                    <w:right w:w="28" w:type="dxa"/>
                  </w:tcMar>
                  <w:vAlign w:val="center"/>
                </w:tcPr>
                <w:p w14:paraId="331BFB66">
                  <w:pPr>
                    <w:pStyle w:val="22"/>
                    <w:pageBreakBefore w:val="0"/>
                    <w:kinsoku/>
                    <w:wordWrap/>
                    <w:topLinePunct w:val="0"/>
                    <w:bidi w:val="0"/>
                    <w:rPr>
                      <w:b/>
                      <w:bCs/>
                      <w:color w:val="auto"/>
                    </w:rPr>
                  </w:pPr>
                  <w:r>
                    <w:rPr>
                      <w:b/>
                      <w:bCs/>
                      <w:color w:val="auto"/>
                    </w:rPr>
                    <w:t>夜</w:t>
                  </w:r>
                </w:p>
              </w:tc>
              <w:tc>
                <w:tcPr>
                  <w:tcW w:w="829" w:type="dxa"/>
                  <w:noWrap w:val="0"/>
                  <w:tcMar>
                    <w:top w:w="0" w:type="dxa"/>
                    <w:left w:w="28" w:type="dxa"/>
                    <w:bottom w:w="0" w:type="dxa"/>
                    <w:right w:w="28" w:type="dxa"/>
                  </w:tcMar>
                  <w:vAlign w:val="center"/>
                </w:tcPr>
                <w:p w14:paraId="01B8CABD">
                  <w:pPr>
                    <w:pStyle w:val="22"/>
                    <w:pageBreakBefore w:val="0"/>
                    <w:kinsoku/>
                    <w:wordWrap/>
                    <w:topLinePunct w:val="0"/>
                    <w:bidi w:val="0"/>
                    <w:rPr>
                      <w:b/>
                      <w:bCs/>
                      <w:color w:val="auto"/>
                    </w:rPr>
                  </w:pPr>
                  <w:r>
                    <w:rPr>
                      <w:b/>
                      <w:bCs/>
                      <w:color w:val="auto"/>
                    </w:rPr>
                    <w:t>昼</w:t>
                  </w:r>
                </w:p>
              </w:tc>
              <w:tc>
                <w:tcPr>
                  <w:tcW w:w="829" w:type="dxa"/>
                  <w:noWrap w:val="0"/>
                  <w:tcMar>
                    <w:top w:w="0" w:type="dxa"/>
                    <w:left w:w="28" w:type="dxa"/>
                    <w:bottom w:w="0" w:type="dxa"/>
                    <w:right w:w="28" w:type="dxa"/>
                  </w:tcMar>
                  <w:vAlign w:val="center"/>
                </w:tcPr>
                <w:p w14:paraId="5D6A7716">
                  <w:pPr>
                    <w:pStyle w:val="22"/>
                    <w:pageBreakBefore w:val="0"/>
                    <w:kinsoku/>
                    <w:wordWrap/>
                    <w:topLinePunct w:val="0"/>
                    <w:bidi w:val="0"/>
                    <w:rPr>
                      <w:b/>
                      <w:bCs/>
                      <w:color w:val="auto"/>
                    </w:rPr>
                  </w:pPr>
                  <w:r>
                    <w:rPr>
                      <w:b/>
                      <w:bCs/>
                      <w:color w:val="auto"/>
                    </w:rPr>
                    <w:t>夜</w:t>
                  </w:r>
                </w:p>
              </w:tc>
            </w:tr>
            <w:tr w14:paraId="69AFCF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758" w:type="dxa"/>
                  <w:noWrap w:val="0"/>
                  <w:tcMar>
                    <w:top w:w="0" w:type="dxa"/>
                    <w:left w:w="28" w:type="dxa"/>
                    <w:bottom w:w="0" w:type="dxa"/>
                    <w:right w:w="28" w:type="dxa"/>
                  </w:tcMar>
                  <w:vAlign w:val="center"/>
                </w:tcPr>
                <w:p w14:paraId="4B60DA66">
                  <w:pPr>
                    <w:pStyle w:val="22"/>
                    <w:pageBreakBefore w:val="0"/>
                    <w:kinsoku/>
                    <w:wordWrap/>
                    <w:topLinePunct w:val="0"/>
                    <w:bidi w:val="0"/>
                    <w:rPr>
                      <w:color w:val="auto"/>
                    </w:rPr>
                  </w:pPr>
                  <w:r>
                    <w:rPr>
                      <w:color w:val="auto"/>
                    </w:rPr>
                    <w:t>预测值</w:t>
                  </w:r>
                </w:p>
              </w:tc>
              <w:tc>
                <w:tcPr>
                  <w:tcW w:w="829" w:type="dxa"/>
                  <w:noWrap w:val="0"/>
                  <w:tcMar>
                    <w:top w:w="0" w:type="dxa"/>
                    <w:left w:w="28" w:type="dxa"/>
                    <w:bottom w:w="0" w:type="dxa"/>
                    <w:right w:w="28" w:type="dxa"/>
                  </w:tcMar>
                  <w:vAlign w:val="center"/>
                </w:tcPr>
                <w:p w14:paraId="5906F425">
                  <w:pPr>
                    <w:pStyle w:val="22"/>
                    <w:pageBreakBefore w:val="0"/>
                    <w:kinsoku/>
                    <w:wordWrap/>
                    <w:topLinePunct w:val="0"/>
                    <w:bidi w:val="0"/>
                    <w:rPr>
                      <w:color w:val="auto"/>
                    </w:rPr>
                  </w:pPr>
                  <w:r>
                    <w:rPr>
                      <w:rFonts w:hint="eastAsia"/>
                      <w:color w:val="auto"/>
                    </w:rPr>
                    <w:t>54.0</w:t>
                  </w:r>
                </w:p>
              </w:tc>
              <w:tc>
                <w:tcPr>
                  <w:tcW w:w="829" w:type="dxa"/>
                  <w:noWrap w:val="0"/>
                  <w:tcMar>
                    <w:top w:w="0" w:type="dxa"/>
                    <w:left w:w="28" w:type="dxa"/>
                    <w:bottom w:w="0" w:type="dxa"/>
                    <w:right w:w="28" w:type="dxa"/>
                  </w:tcMar>
                  <w:vAlign w:val="center"/>
                </w:tcPr>
                <w:p w14:paraId="5062548E">
                  <w:pPr>
                    <w:pStyle w:val="22"/>
                    <w:pageBreakBefore w:val="0"/>
                    <w:kinsoku/>
                    <w:wordWrap/>
                    <w:topLinePunct w:val="0"/>
                    <w:bidi w:val="0"/>
                    <w:rPr>
                      <w:color w:val="auto"/>
                    </w:rPr>
                  </w:pPr>
                  <w:r>
                    <w:rPr>
                      <w:rFonts w:hint="eastAsia"/>
                      <w:color w:val="auto"/>
                    </w:rPr>
                    <w:t>46.1</w:t>
                  </w:r>
                </w:p>
              </w:tc>
              <w:tc>
                <w:tcPr>
                  <w:tcW w:w="829" w:type="dxa"/>
                  <w:noWrap w:val="0"/>
                  <w:tcMar>
                    <w:top w:w="0" w:type="dxa"/>
                    <w:left w:w="28" w:type="dxa"/>
                    <w:bottom w:w="0" w:type="dxa"/>
                    <w:right w:w="28" w:type="dxa"/>
                  </w:tcMar>
                  <w:vAlign w:val="center"/>
                </w:tcPr>
                <w:p w14:paraId="40C7E77B">
                  <w:pPr>
                    <w:pStyle w:val="22"/>
                    <w:pageBreakBefore w:val="0"/>
                    <w:kinsoku/>
                    <w:wordWrap/>
                    <w:topLinePunct w:val="0"/>
                    <w:bidi w:val="0"/>
                    <w:rPr>
                      <w:color w:val="auto"/>
                    </w:rPr>
                  </w:pPr>
                  <w:r>
                    <w:rPr>
                      <w:rFonts w:hint="eastAsia"/>
                      <w:color w:val="auto"/>
                    </w:rPr>
                    <w:t>54.4</w:t>
                  </w:r>
                </w:p>
              </w:tc>
              <w:tc>
                <w:tcPr>
                  <w:tcW w:w="829" w:type="dxa"/>
                  <w:noWrap w:val="0"/>
                  <w:tcMar>
                    <w:top w:w="0" w:type="dxa"/>
                    <w:left w:w="28" w:type="dxa"/>
                    <w:bottom w:w="0" w:type="dxa"/>
                    <w:right w:w="28" w:type="dxa"/>
                  </w:tcMar>
                  <w:vAlign w:val="center"/>
                </w:tcPr>
                <w:p w14:paraId="4D59D3BC">
                  <w:pPr>
                    <w:pStyle w:val="22"/>
                    <w:pageBreakBefore w:val="0"/>
                    <w:kinsoku/>
                    <w:wordWrap/>
                    <w:topLinePunct w:val="0"/>
                    <w:bidi w:val="0"/>
                    <w:rPr>
                      <w:color w:val="auto"/>
                    </w:rPr>
                  </w:pPr>
                  <w:r>
                    <w:rPr>
                      <w:rFonts w:hint="eastAsia"/>
                      <w:color w:val="auto"/>
                    </w:rPr>
                    <w:t>47.6</w:t>
                  </w:r>
                </w:p>
              </w:tc>
              <w:tc>
                <w:tcPr>
                  <w:tcW w:w="829" w:type="dxa"/>
                  <w:noWrap w:val="0"/>
                  <w:tcMar>
                    <w:top w:w="0" w:type="dxa"/>
                    <w:left w:w="28" w:type="dxa"/>
                    <w:bottom w:w="0" w:type="dxa"/>
                    <w:right w:w="28" w:type="dxa"/>
                  </w:tcMar>
                  <w:vAlign w:val="center"/>
                </w:tcPr>
                <w:p w14:paraId="6FBD14B3">
                  <w:pPr>
                    <w:pStyle w:val="22"/>
                    <w:pageBreakBefore w:val="0"/>
                    <w:kinsoku/>
                    <w:wordWrap/>
                    <w:topLinePunct w:val="0"/>
                    <w:bidi w:val="0"/>
                    <w:rPr>
                      <w:color w:val="auto"/>
                    </w:rPr>
                  </w:pPr>
                  <w:r>
                    <w:rPr>
                      <w:rFonts w:hint="eastAsia"/>
                      <w:color w:val="auto"/>
                    </w:rPr>
                    <w:t>53.1</w:t>
                  </w:r>
                </w:p>
              </w:tc>
              <w:tc>
                <w:tcPr>
                  <w:tcW w:w="829" w:type="dxa"/>
                  <w:noWrap w:val="0"/>
                  <w:tcMar>
                    <w:top w:w="0" w:type="dxa"/>
                    <w:left w:w="28" w:type="dxa"/>
                    <w:bottom w:w="0" w:type="dxa"/>
                    <w:right w:w="28" w:type="dxa"/>
                  </w:tcMar>
                  <w:vAlign w:val="center"/>
                </w:tcPr>
                <w:p w14:paraId="67AFE102">
                  <w:pPr>
                    <w:pStyle w:val="22"/>
                    <w:pageBreakBefore w:val="0"/>
                    <w:kinsoku/>
                    <w:wordWrap/>
                    <w:topLinePunct w:val="0"/>
                    <w:bidi w:val="0"/>
                    <w:rPr>
                      <w:color w:val="auto"/>
                    </w:rPr>
                  </w:pPr>
                  <w:r>
                    <w:rPr>
                      <w:rFonts w:hint="eastAsia"/>
                      <w:color w:val="auto"/>
                    </w:rPr>
                    <w:t>46.4</w:t>
                  </w:r>
                </w:p>
              </w:tc>
              <w:tc>
                <w:tcPr>
                  <w:tcW w:w="829" w:type="dxa"/>
                  <w:noWrap w:val="0"/>
                  <w:tcMar>
                    <w:top w:w="0" w:type="dxa"/>
                    <w:left w:w="28" w:type="dxa"/>
                    <w:bottom w:w="0" w:type="dxa"/>
                    <w:right w:w="28" w:type="dxa"/>
                  </w:tcMar>
                  <w:vAlign w:val="center"/>
                </w:tcPr>
                <w:p w14:paraId="61C112F3">
                  <w:pPr>
                    <w:pStyle w:val="22"/>
                    <w:pageBreakBefore w:val="0"/>
                    <w:kinsoku/>
                    <w:wordWrap/>
                    <w:topLinePunct w:val="0"/>
                    <w:bidi w:val="0"/>
                    <w:rPr>
                      <w:color w:val="auto"/>
                    </w:rPr>
                  </w:pPr>
                  <w:r>
                    <w:rPr>
                      <w:rFonts w:hint="eastAsia"/>
                      <w:color w:val="auto"/>
                    </w:rPr>
                    <w:t>51.0</w:t>
                  </w:r>
                </w:p>
              </w:tc>
              <w:tc>
                <w:tcPr>
                  <w:tcW w:w="829" w:type="dxa"/>
                  <w:noWrap w:val="0"/>
                  <w:tcMar>
                    <w:top w:w="0" w:type="dxa"/>
                    <w:left w:w="28" w:type="dxa"/>
                    <w:bottom w:w="0" w:type="dxa"/>
                    <w:right w:w="28" w:type="dxa"/>
                  </w:tcMar>
                  <w:vAlign w:val="center"/>
                </w:tcPr>
                <w:p w14:paraId="643328AB">
                  <w:pPr>
                    <w:pStyle w:val="22"/>
                    <w:pageBreakBefore w:val="0"/>
                    <w:kinsoku/>
                    <w:wordWrap/>
                    <w:topLinePunct w:val="0"/>
                    <w:bidi w:val="0"/>
                    <w:rPr>
                      <w:color w:val="auto"/>
                    </w:rPr>
                  </w:pPr>
                  <w:r>
                    <w:rPr>
                      <w:rFonts w:hint="eastAsia"/>
                      <w:color w:val="auto"/>
                    </w:rPr>
                    <w:t>45.0</w:t>
                  </w:r>
                </w:p>
              </w:tc>
            </w:tr>
          </w:tbl>
          <w:p w14:paraId="19DD111A">
            <w:pPr>
              <w:pageBreakBefore w:val="0"/>
              <w:kinsoku/>
              <w:wordWrap/>
              <w:topLinePunct w:val="0"/>
              <w:bidi w:val="0"/>
              <w:spacing w:line="360" w:lineRule="auto"/>
              <w:ind w:firstLine="480" w:firstLineChars="200"/>
              <w:rPr>
                <w:bCs/>
                <w:sz w:val="24"/>
              </w:rPr>
            </w:pPr>
            <w:r>
              <w:rPr>
                <w:bCs/>
                <w:sz w:val="24"/>
              </w:rPr>
              <w:t>根据噪声预测结果可知，</w:t>
            </w:r>
            <w:r>
              <w:rPr>
                <w:rFonts w:hint="eastAsia"/>
                <w:bCs/>
                <w:sz w:val="24"/>
              </w:rPr>
              <w:t>本</w:t>
            </w:r>
            <w:r>
              <w:rPr>
                <w:bCs/>
                <w:sz w:val="24"/>
              </w:rPr>
              <w:t>项目建成后，各厂界</w:t>
            </w:r>
            <w:r>
              <w:rPr>
                <w:rFonts w:hint="eastAsia"/>
                <w:bCs/>
                <w:sz w:val="24"/>
              </w:rPr>
              <w:t>预测</w:t>
            </w:r>
            <w:r>
              <w:rPr>
                <w:bCs/>
                <w:sz w:val="24"/>
              </w:rPr>
              <w:t>值均满足</w:t>
            </w:r>
            <w:bookmarkStart w:id="10" w:name="OLE_LINK2"/>
            <w:r>
              <w:rPr>
                <w:bCs/>
                <w:sz w:val="24"/>
              </w:rPr>
              <w:t>《工业企业厂界环境噪声排放标准》</w:t>
            </w:r>
            <w:r>
              <w:rPr>
                <w:rFonts w:hint="eastAsia"/>
                <w:bCs/>
                <w:sz w:val="24"/>
              </w:rPr>
              <w:t>（</w:t>
            </w:r>
            <w:r>
              <w:rPr>
                <w:bCs/>
                <w:sz w:val="24"/>
              </w:rPr>
              <w:t>GB</w:t>
            </w:r>
            <w:r>
              <w:rPr>
                <w:rFonts w:hint="eastAsia"/>
                <w:bCs/>
                <w:sz w:val="24"/>
              </w:rPr>
              <w:t xml:space="preserve"> </w:t>
            </w:r>
            <w:r>
              <w:rPr>
                <w:bCs/>
                <w:sz w:val="24"/>
              </w:rPr>
              <w:t>12348-2008）中</w:t>
            </w:r>
            <w:r>
              <w:rPr>
                <w:rFonts w:hint="eastAsia"/>
                <w:bCs/>
                <w:sz w:val="24"/>
              </w:rPr>
              <w:t>3</w:t>
            </w:r>
            <w:r>
              <w:rPr>
                <w:bCs/>
                <w:sz w:val="24"/>
              </w:rPr>
              <w:t>类标准</w:t>
            </w:r>
            <w:bookmarkEnd w:id="10"/>
            <w:r>
              <w:rPr>
                <w:bCs/>
                <w:sz w:val="24"/>
              </w:rPr>
              <w:t>要求，对项目所在区域环境噪声影响在可接受范围内。</w:t>
            </w:r>
          </w:p>
          <w:p w14:paraId="4B5BE703">
            <w:pPr>
              <w:pageBreakBefore w:val="0"/>
              <w:kinsoku/>
              <w:wordWrap/>
              <w:topLinePunct w:val="0"/>
              <w:bidi w:val="0"/>
              <w:spacing w:line="360" w:lineRule="auto"/>
              <w:ind w:firstLine="482" w:firstLineChars="200"/>
              <w:rPr>
                <w:b/>
                <w:sz w:val="24"/>
              </w:rPr>
            </w:pPr>
            <w:r>
              <w:rPr>
                <w:b/>
                <w:sz w:val="24"/>
              </w:rPr>
              <w:t>3.3 噪声影响分析及防治措施</w:t>
            </w:r>
          </w:p>
          <w:p w14:paraId="2331E845">
            <w:pPr>
              <w:pageBreakBefore w:val="0"/>
              <w:kinsoku/>
              <w:wordWrap/>
              <w:topLinePunct w:val="0"/>
              <w:bidi w:val="0"/>
              <w:spacing w:line="360" w:lineRule="auto"/>
              <w:ind w:firstLine="480" w:firstLineChars="200"/>
              <w:rPr>
                <w:bCs/>
                <w:sz w:val="24"/>
              </w:rPr>
            </w:pPr>
            <w:r>
              <w:rPr>
                <w:bCs/>
                <w:sz w:val="24"/>
              </w:rPr>
              <w:t>由于项目生产设备较多，为保证厂界噪声达标排放，降低对周边声环境质量影响，企业在建设项目时已经采取了以下噪声防治措施：</w:t>
            </w:r>
          </w:p>
          <w:p w14:paraId="441F846C">
            <w:pPr>
              <w:pageBreakBefore w:val="0"/>
              <w:kinsoku/>
              <w:wordWrap/>
              <w:topLinePunct w:val="0"/>
              <w:bidi w:val="0"/>
              <w:spacing w:line="360" w:lineRule="auto"/>
              <w:ind w:firstLine="480" w:firstLineChars="200"/>
              <w:rPr>
                <w:bCs/>
                <w:sz w:val="24"/>
              </w:rPr>
            </w:pPr>
            <w:r>
              <w:rPr>
                <w:sz w:val="24"/>
              </w:rPr>
              <w:t>（</w:t>
            </w:r>
            <w:r>
              <w:rPr>
                <w:bCs/>
                <w:sz w:val="24"/>
              </w:rPr>
              <w:t>1）设备选型。从设备选型入手，设备订货时向设备制造厂提出噪声限值，尤其对水泵和压缩机，必须选择低噪、低转速设备。</w:t>
            </w:r>
          </w:p>
          <w:p w14:paraId="3E6A645B">
            <w:pPr>
              <w:pageBreakBefore w:val="0"/>
              <w:kinsoku/>
              <w:wordWrap/>
              <w:topLinePunct w:val="0"/>
              <w:bidi w:val="0"/>
              <w:spacing w:line="360" w:lineRule="auto"/>
              <w:ind w:firstLine="480" w:firstLineChars="200"/>
              <w:rPr>
                <w:bCs/>
                <w:sz w:val="24"/>
              </w:rPr>
            </w:pPr>
            <w:r>
              <w:rPr>
                <w:sz w:val="24"/>
              </w:rPr>
              <w:t>（</w:t>
            </w:r>
            <w:r>
              <w:rPr>
                <w:bCs/>
                <w:sz w:val="24"/>
              </w:rPr>
              <w:t>2）隔声、消声。</w:t>
            </w:r>
            <w:r>
              <w:rPr>
                <w:rFonts w:hint="eastAsia"/>
                <w:bCs/>
                <w:sz w:val="24"/>
              </w:rPr>
              <w:t>项目冷却水塔的</w:t>
            </w:r>
            <w:r>
              <w:rPr>
                <w:bCs/>
                <w:sz w:val="24"/>
              </w:rPr>
              <w:t>泵类</w:t>
            </w:r>
            <w:r>
              <w:rPr>
                <w:rFonts w:hint="eastAsia"/>
                <w:bCs/>
                <w:sz w:val="24"/>
              </w:rPr>
              <w:t>应</w:t>
            </w:r>
            <w:r>
              <w:rPr>
                <w:bCs/>
                <w:sz w:val="24"/>
              </w:rPr>
              <w:t>置于地下，可降低噪声的影响。</w:t>
            </w:r>
          </w:p>
          <w:p w14:paraId="02E65B1C">
            <w:pPr>
              <w:pageBreakBefore w:val="0"/>
              <w:kinsoku/>
              <w:wordWrap/>
              <w:topLinePunct w:val="0"/>
              <w:bidi w:val="0"/>
              <w:spacing w:line="360" w:lineRule="auto"/>
              <w:ind w:firstLine="480" w:firstLineChars="200"/>
              <w:rPr>
                <w:bCs/>
                <w:sz w:val="24"/>
              </w:rPr>
            </w:pPr>
            <w:r>
              <w:rPr>
                <w:sz w:val="24"/>
              </w:rPr>
              <w:t>（</w:t>
            </w:r>
            <w:r>
              <w:rPr>
                <w:bCs/>
                <w:sz w:val="24"/>
              </w:rPr>
              <w:t>3）减振与隔振。机械设备产生的噪声不仅能以空气为媒介向外传播，还有直接激发固体构件振动以弹性波的形式在基础、地板、墙壁、管道中传播，并在传播过程中向外辐射噪声</w:t>
            </w:r>
            <w:r>
              <w:rPr>
                <w:rFonts w:hint="eastAsia"/>
                <w:bCs/>
                <w:sz w:val="24"/>
              </w:rPr>
              <w:t>。</w:t>
            </w:r>
            <w:r>
              <w:rPr>
                <w:bCs/>
                <w:sz w:val="24"/>
              </w:rPr>
              <w:t>为了防止振动产生的噪声污染</w:t>
            </w:r>
            <w:r>
              <w:rPr>
                <w:rFonts w:hint="eastAsia"/>
                <w:bCs/>
                <w:sz w:val="24"/>
              </w:rPr>
              <w:t>，本次评价要求水泵和压缩机在安装过程中采取必要的减振措施，如安装减振垫、</w:t>
            </w:r>
            <w:r>
              <w:rPr>
                <w:sz w:val="24"/>
              </w:rPr>
              <w:t>墙体隔声</w:t>
            </w:r>
            <w:r>
              <w:rPr>
                <w:rFonts w:hint="eastAsia"/>
                <w:sz w:val="24"/>
              </w:rPr>
              <w:t>等</w:t>
            </w:r>
            <w:r>
              <w:rPr>
                <w:rFonts w:hint="eastAsia"/>
                <w:bCs/>
                <w:sz w:val="24"/>
              </w:rPr>
              <w:t>，减少运转时的振动噪声</w:t>
            </w:r>
            <w:r>
              <w:rPr>
                <w:bCs/>
                <w:sz w:val="24"/>
              </w:rPr>
              <w:t>。</w:t>
            </w:r>
          </w:p>
          <w:p w14:paraId="66B153CF">
            <w:pPr>
              <w:pageBreakBefore w:val="0"/>
              <w:kinsoku/>
              <w:wordWrap/>
              <w:topLinePunct w:val="0"/>
              <w:bidi w:val="0"/>
              <w:spacing w:line="360" w:lineRule="auto"/>
              <w:ind w:firstLine="480" w:firstLineChars="200"/>
              <w:rPr>
                <w:bCs/>
                <w:sz w:val="24"/>
              </w:rPr>
            </w:pPr>
            <w:r>
              <w:rPr>
                <w:sz w:val="24"/>
              </w:rPr>
              <w:t>（</w:t>
            </w:r>
            <w:r>
              <w:rPr>
                <w:bCs/>
                <w:sz w:val="24"/>
              </w:rPr>
              <w:t>4）控制车辆行驶速度，加强场内车辆管理，禁止鸣笛，减少噪声排放。</w:t>
            </w:r>
          </w:p>
          <w:p w14:paraId="557D9A3B">
            <w:pPr>
              <w:pageBreakBefore w:val="0"/>
              <w:kinsoku/>
              <w:wordWrap/>
              <w:topLinePunct w:val="0"/>
              <w:bidi w:val="0"/>
              <w:spacing w:line="360" w:lineRule="auto"/>
              <w:ind w:firstLine="480" w:firstLineChars="200"/>
              <w:rPr>
                <w:bCs/>
                <w:sz w:val="24"/>
              </w:rPr>
            </w:pPr>
            <w:r>
              <w:rPr>
                <w:sz w:val="24"/>
              </w:rPr>
              <w:t>（</w:t>
            </w:r>
            <w:r>
              <w:rPr>
                <w:bCs/>
                <w:sz w:val="24"/>
              </w:rPr>
              <w:t>5）在厂区总平面设计中，充分考虑地形、声源方向性及车间噪声强弱，利用建筑物、绿化植被等对噪声的屏蔽、吸纳作用，进行合理布局，从而起到降低噪声影响的作用，而且还能起到抑尘、净化空气、美化环境的效果。</w:t>
            </w:r>
          </w:p>
          <w:p w14:paraId="0ECBDBE4">
            <w:pPr>
              <w:pageBreakBefore w:val="0"/>
              <w:kinsoku/>
              <w:wordWrap/>
              <w:topLinePunct w:val="0"/>
              <w:bidi w:val="0"/>
              <w:spacing w:line="360" w:lineRule="auto"/>
              <w:ind w:firstLine="480" w:firstLineChars="200"/>
              <w:rPr>
                <w:bCs/>
                <w:sz w:val="24"/>
              </w:rPr>
            </w:pPr>
            <w:r>
              <w:rPr>
                <w:bCs/>
                <w:sz w:val="24"/>
              </w:rPr>
              <w:t>通过采取以上措施，厂界环境噪声满足《工业企业厂界环境噪声排放标准》</w:t>
            </w:r>
            <w:r>
              <w:rPr>
                <w:rFonts w:hint="eastAsia"/>
                <w:bCs/>
                <w:sz w:val="24"/>
              </w:rPr>
              <w:t>（</w:t>
            </w:r>
            <w:r>
              <w:rPr>
                <w:bCs/>
                <w:sz w:val="24"/>
              </w:rPr>
              <w:t>GB</w:t>
            </w:r>
            <w:r>
              <w:rPr>
                <w:rFonts w:hint="eastAsia"/>
                <w:bCs/>
                <w:sz w:val="24"/>
              </w:rPr>
              <w:t xml:space="preserve"> </w:t>
            </w:r>
            <w:r>
              <w:rPr>
                <w:bCs/>
                <w:sz w:val="24"/>
              </w:rPr>
              <w:t>12348-2008）中3类标准要求。</w:t>
            </w:r>
          </w:p>
          <w:p w14:paraId="4FB835FF">
            <w:pPr>
              <w:pageBreakBefore w:val="0"/>
              <w:kinsoku/>
              <w:wordWrap/>
              <w:topLinePunct w:val="0"/>
              <w:bidi w:val="0"/>
              <w:spacing w:line="360" w:lineRule="auto"/>
              <w:ind w:firstLine="482" w:firstLineChars="200"/>
              <w:rPr>
                <w:b/>
                <w:sz w:val="24"/>
              </w:rPr>
            </w:pPr>
            <w:r>
              <w:rPr>
                <w:b/>
                <w:sz w:val="24"/>
              </w:rPr>
              <w:t>3.</w:t>
            </w:r>
            <w:r>
              <w:rPr>
                <w:rFonts w:hint="eastAsia"/>
                <w:b/>
                <w:sz w:val="24"/>
              </w:rPr>
              <w:t>4</w:t>
            </w:r>
            <w:r>
              <w:rPr>
                <w:b/>
                <w:sz w:val="24"/>
              </w:rPr>
              <w:t xml:space="preserve"> 监测计划</w:t>
            </w:r>
          </w:p>
          <w:p w14:paraId="26262624">
            <w:pPr>
              <w:pageBreakBefore w:val="0"/>
              <w:kinsoku/>
              <w:wordWrap/>
              <w:topLinePunct w:val="0"/>
              <w:bidi w:val="0"/>
              <w:spacing w:line="360" w:lineRule="auto"/>
              <w:ind w:firstLine="480" w:firstLineChars="200"/>
              <w:rPr>
                <w:bCs/>
                <w:sz w:val="24"/>
              </w:rPr>
            </w:pPr>
            <w:r>
              <w:rPr>
                <w:bCs/>
                <w:sz w:val="24"/>
              </w:rPr>
              <w:t>根据《排污单位自行监测技术指南 总则》</w:t>
            </w:r>
            <w:r>
              <w:rPr>
                <w:rFonts w:hint="eastAsia"/>
                <w:bCs/>
                <w:sz w:val="24"/>
              </w:rPr>
              <w:t>（</w:t>
            </w:r>
            <w:r>
              <w:rPr>
                <w:bCs/>
                <w:sz w:val="24"/>
              </w:rPr>
              <w:t>HJ 819-2017）的监测要求制定日常监测计划，监测要求见</w:t>
            </w:r>
            <w:r>
              <w:rPr>
                <w:rFonts w:hint="eastAsia"/>
                <w:bCs/>
                <w:sz w:val="24"/>
              </w:rPr>
              <w:t>下</w:t>
            </w:r>
            <w:r>
              <w:rPr>
                <w:bCs/>
                <w:sz w:val="24"/>
              </w:rPr>
              <w:t>表。</w:t>
            </w:r>
          </w:p>
          <w:p w14:paraId="1C6AD3B6">
            <w:pPr>
              <w:pageBreakBefore w:val="0"/>
              <w:kinsoku/>
              <w:wordWrap/>
              <w:topLinePunct w:val="0"/>
              <w:bidi w:val="0"/>
              <w:spacing w:line="360" w:lineRule="auto"/>
              <w:jc w:val="center"/>
              <w:rPr>
                <w:bCs/>
                <w:sz w:val="24"/>
              </w:rPr>
            </w:pPr>
            <w:r>
              <w:rPr>
                <w:rFonts w:eastAsia="黑体"/>
                <w:bCs/>
                <w:szCs w:val="21"/>
              </w:rPr>
              <w:t>表4-</w:t>
            </w:r>
            <w:r>
              <w:rPr>
                <w:rFonts w:hint="eastAsia" w:eastAsia="黑体"/>
                <w:bCs/>
                <w:szCs w:val="21"/>
              </w:rPr>
              <w:t>4</w:t>
            </w:r>
            <w:r>
              <w:rPr>
                <w:rFonts w:eastAsia="黑体"/>
                <w:bCs/>
                <w:szCs w:val="21"/>
              </w:rPr>
              <w:t xml:space="preserve">  噪声监测要求</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28" w:type="dxa"/>
                <w:left w:w="28" w:type="dxa"/>
                <w:bottom w:w="28" w:type="dxa"/>
                <w:right w:w="28" w:type="dxa"/>
              </w:tblCellMar>
            </w:tblPr>
            <w:tblGrid>
              <w:gridCol w:w="1588"/>
              <w:gridCol w:w="993"/>
              <w:gridCol w:w="995"/>
              <w:gridCol w:w="1210"/>
              <w:gridCol w:w="3604"/>
            </w:tblGrid>
            <w:tr w14:paraId="0F5ACB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588" w:type="dxa"/>
                  <w:tcBorders>
                    <w:top w:val="single" w:color="auto" w:sz="12" w:space="0"/>
                    <w:left w:val="nil"/>
                    <w:bottom w:val="single" w:color="auto" w:sz="4" w:space="0"/>
                    <w:right w:val="single" w:color="auto" w:sz="4" w:space="0"/>
                  </w:tcBorders>
                  <w:noWrap w:val="0"/>
                  <w:tcMar>
                    <w:top w:w="28" w:type="dxa"/>
                    <w:left w:w="28" w:type="dxa"/>
                    <w:bottom w:w="28" w:type="dxa"/>
                    <w:right w:w="28" w:type="dxa"/>
                  </w:tcMar>
                  <w:vAlign w:val="center"/>
                </w:tcPr>
                <w:p w14:paraId="7AB8CC6E">
                  <w:pPr>
                    <w:pageBreakBefore w:val="0"/>
                    <w:kinsoku/>
                    <w:wordWrap/>
                    <w:topLinePunct w:val="0"/>
                    <w:bidi w:val="0"/>
                    <w:spacing w:line="280" w:lineRule="exact"/>
                    <w:jc w:val="center"/>
                    <w:rPr>
                      <w:b/>
                      <w:szCs w:val="21"/>
                    </w:rPr>
                  </w:pPr>
                  <w:r>
                    <w:rPr>
                      <w:b/>
                      <w:szCs w:val="21"/>
                    </w:rPr>
                    <w:t>监测点位</w:t>
                  </w:r>
                </w:p>
              </w:tc>
              <w:tc>
                <w:tcPr>
                  <w:tcW w:w="993" w:type="dxa"/>
                  <w:tcBorders>
                    <w:top w:val="single" w:color="auto" w:sz="12"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70D3604D">
                  <w:pPr>
                    <w:pageBreakBefore w:val="0"/>
                    <w:kinsoku/>
                    <w:wordWrap/>
                    <w:topLinePunct w:val="0"/>
                    <w:bidi w:val="0"/>
                    <w:spacing w:line="280" w:lineRule="exact"/>
                    <w:jc w:val="center"/>
                    <w:rPr>
                      <w:b/>
                      <w:szCs w:val="21"/>
                    </w:rPr>
                  </w:pPr>
                  <w:r>
                    <w:rPr>
                      <w:b/>
                      <w:szCs w:val="21"/>
                    </w:rPr>
                    <w:t>检测项目</w:t>
                  </w:r>
                </w:p>
              </w:tc>
              <w:tc>
                <w:tcPr>
                  <w:tcW w:w="995" w:type="dxa"/>
                  <w:tcBorders>
                    <w:top w:val="single" w:color="auto" w:sz="12"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0F6C1828">
                  <w:pPr>
                    <w:pageBreakBefore w:val="0"/>
                    <w:kinsoku/>
                    <w:wordWrap/>
                    <w:topLinePunct w:val="0"/>
                    <w:bidi w:val="0"/>
                    <w:spacing w:line="280" w:lineRule="exact"/>
                    <w:jc w:val="center"/>
                    <w:rPr>
                      <w:b/>
                      <w:szCs w:val="21"/>
                    </w:rPr>
                  </w:pPr>
                  <w:r>
                    <w:rPr>
                      <w:b/>
                      <w:szCs w:val="21"/>
                    </w:rPr>
                    <w:t>监测频次</w:t>
                  </w:r>
                </w:p>
              </w:tc>
              <w:tc>
                <w:tcPr>
                  <w:tcW w:w="1210" w:type="dxa"/>
                  <w:tcBorders>
                    <w:top w:val="single" w:color="auto" w:sz="12"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54135579">
                  <w:pPr>
                    <w:pageBreakBefore w:val="0"/>
                    <w:kinsoku/>
                    <w:wordWrap/>
                    <w:topLinePunct w:val="0"/>
                    <w:bidi w:val="0"/>
                    <w:spacing w:line="280" w:lineRule="exact"/>
                    <w:jc w:val="center"/>
                    <w:rPr>
                      <w:b/>
                      <w:szCs w:val="21"/>
                    </w:rPr>
                  </w:pPr>
                  <w:r>
                    <w:rPr>
                      <w:b/>
                      <w:szCs w:val="21"/>
                    </w:rPr>
                    <w:t>监测时间</w:t>
                  </w:r>
                </w:p>
              </w:tc>
              <w:tc>
                <w:tcPr>
                  <w:tcW w:w="3604" w:type="dxa"/>
                  <w:tcBorders>
                    <w:top w:val="single" w:color="auto" w:sz="12" w:space="0"/>
                    <w:left w:val="single" w:color="auto" w:sz="4" w:space="0"/>
                    <w:bottom w:val="single" w:color="auto" w:sz="4" w:space="0"/>
                    <w:right w:val="nil"/>
                  </w:tcBorders>
                  <w:noWrap w:val="0"/>
                  <w:tcMar>
                    <w:top w:w="28" w:type="dxa"/>
                    <w:left w:w="28" w:type="dxa"/>
                    <w:bottom w:w="28" w:type="dxa"/>
                    <w:right w:w="28" w:type="dxa"/>
                  </w:tcMar>
                  <w:vAlign w:val="center"/>
                </w:tcPr>
                <w:p w14:paraId="099E8C5C">
                  <w:pPr>
                    <w:pageBreakBefore w:val="0"/>
                    <w:kinsoku/>
                    <w:wordWrap/>
                    <w:topLinePunct w:val="0"/>
                    <w:bidi w:val="0"/>
                    <w:spacing w:line="280" w:lineRule="exact"/>
                    <w:jc w:val="center"/>
                    <w:rPr>
                      <w:b/>
                      <w:szCs w:val="21"/>
                    </w:rPr>
                  </w:pPr>
                  <w:r>
                    <w:rPr>
                      <w:b/>
                      <w:szCs w:val="21"/>
                    </w:rPr>
                    <w:t>执行标准</w:t>
                  </w:r>
                </w:p>
              </w:tc>
            </w:tr>
            <w:tr w14:paraId="0CEA1E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588" w:type="dxa"/>
                  <w:tcBorders>
                    <w:top w:val="single" w:color="auto" w:sz="4" w:space="0"/>
                    <w:left w:val="nil"/>
                    <w:bottom w:val="single" w:color="auto" w:sz="12" w:space="0"/>
                    <w:right w:val="single" w:color="auto" w:sz="4" w:space="0"/>
                  </w:tcBorders>
                  <w:noWrap w:val="0"/>
                  <w:tcMar>
                    <w:top w:w="28" w:type="dxa"/>
                    <w:left w:w="28" w:type="dxa"/>
                    <w:bottom w:w="28" w:type="dxa"/>
                    <w:right w:w="28" w:type="dxa"/>
                  </w:tcMar>
                  <w:vAlign w:val="center"/>
                </w:tcPr>
                <w:p w14:paraId="111C9C61">
                  <w:pPr>
                    <w:pageBreakBefore w:val="0"/>
                    <w:kinsoku/>
                    <w:wordWrap/>
                    <w:topLinePunct w:val="0"/>
                    <w:bidi w:val="0"/>
                    <w:spacing w:line="280" w:lineRule="exact"/>
                    <w:jc w:val="center"/>
                    <w:rPr>
                      <w:bCs/>
                      <w:szCs w:val="21"/>
                    </w:rPr>
                  </w:pPr>
                  <w:r>
                    <w:rPr>
                      <w:bCs/>
                      <w:szCs w:val="21"/>
                    </w:rPr>
                    <w:t>厂界四周1m处</w:t>
                  </w:r>
                </w:p>
              </w:tc>
              <w:tc>
                <w:tcPr>
                  <w:tcW w:w="993" w:type="dxa"/>
                  <w:tcBorders>
                    <w:top w:val="single" w:color="auto" w:sz="4" w:space="0"/>
                    <w:left w:val="single" w:color="auto" w:sz="4" w:space="0"/>
                    <w:bottom w:val="single" w:color="auto" w:sz="12" w:space="0"/>
                    <w:right w:val="single" w:color="auto" w:sz="4" w:space="0"/>
                  </w:tcBorders>
                  <w:noWrap w:val="0"/>
                  <w:tcMar>
                    <w:top w:w="28" w:type="dxa"/>
                    <w:left w:w="28" w:type="dxa"/>
                    <w:bottom w:w="28" w:type="dxa"/>
                    <w:right w:w="28" w:type="dxa"/>
                  </w:tcMar>
                  <w:vAlign w:val="center"/>
                </w:tcPr>
                <w:p w14:paraId="75D4D9AF">
                  <w:pPr>
                    <w:pageBreakBefore w:val="0"/>
                    <w:kinsoku/>
                    <w:wordWrap/>
                    <w:topLinePunct w:val="0"/>
                    <w:bidi w:val="0"/>
                    <w:spacing w:line="280" w:lineRule="exact"/>
                    <w:jc w:val="center"/>
                    <w:rPr>
                      <w:bCs/>
                      <w:szCs w:val="21"/>
                    </w:rPr>
                  </w:pPr>
                  <w:r>
                    <w:rPr>
                      <w:bCs/>
                      <w:szCs w:val="21"/>
                    </w:rPr>
                    <w:t>等效连续</w:t>
                  </w:r>
                </w:p>
                <w:p w14:paraId="4025AFAC">
                  <w:pPr>
                    <w:pageBreakBefore w:val="0"/>
                    <w:kinsoku/>
                    <w:wordWrap/>
                    <w:topLinePunct w:val="0"/>
                    <w:bidi w:val="0"/>
                    <w:spacing w:line="280" w:lineRule="exact"/>
                    <w:jc w:val="center"/>
                    <w:rPr>
                      <w:bCs/>
                      <w:szCs w:val="21"/>
                    </w:rPr>
                  </w:pPr>
                  <w:r>
                    <w:rPr>
                      <w:bCs/>
                      <w:szCs w:val="21"/>
                    </w:rPr>
                    <w:t>A声级</w:t>
                  </w:r>
                </w:p>
              </w:tc>
              <w:tc>
                <w:tcPr>
                  <w:tcW w:w="995" w:type="dxa"/>
                  <w:tcBorders>
                    <w:top w:val="single" w:color="auto" w:sz="4" w:space="0"/>
                    <w:left w:val="single" w:color="auto" w:sz="4" w:space="0"/>
                    <w:bottom w:val="single" w:color="auto" w:sz="12" w:space="0"/>
                    <w:right w:val="single" w:color="auto" w:sz="4" w:space="0"/>
                  </w:tcBorders>
                  <w:noWrap w:val="0"/>
                  <w:tcMar>
                    <w:top w:w="28" w:type="dxa"/>
                    <w:left w:w="28" w:type="dxa"/>
                    <w:bottom w:w="28" w:type="dxa"/>
                    <w:right w:w="28" w:type="dxa"/>
                  </w:tcMar>
                  <w:vAlign w:val="center"/>
                </w:tcPr>
                <w:p w14:paraId="2CDAF5BD">
                  <w:pPr>
                    <w:pageBreakBefore w:val="0"/>
                    <w:kinsoku/>
                    <w:wordWrap/>
                    <w:topLinePunct w:val="0"/>
                    <w:bidi w:val="0"/>
                    <w:spacing w:line="280" w:lineRule="exact"/>
                    <w:jc w:val="center"/>
                    <w:rPr>
                      <w:bCs/>
                      <w:szCs w:val="21"/>
                    </w:rPr>
                  </w:pPr>
                  <w:r>
                    <w:rPr>
                      <w:bCs/>
                      <w:szCs w:val="21"/>
                    </w:rPr>
                    <w:t>1次/季度</w:t>
                  </w:r>
                </w:p>
              </w:tc>
              <w:tc>
                <w:tcPr>
                  <w:tcW w:w="1210" w:type="dxa"/>
                  <w:tcBorders>
                    <w:top w:val="single" w:color="auto" w:sz="4" w:space="0"/>
                    <w:left w:val="single" w:color="auto" w:sz="4" w:space="0"/>
                    <w:bottom w:val="single" w:color="auto" w:sz="12" w:space="0"/>
                    <w:right w:val="single" w:color="auto" w:sz="4" w:space="0"/>
                  </w:tcBorders>
                  <w:noWrap w:val="0"/>
                  <w:tcMar>
                    <w:top w:w="28" w:type="dxa"/>
                    <w:left w:w="28" w:type="dxa"/>
                    <w:bottom w:w="28" w:type="dxa"/>
                    <w:right w:w="28" w:type="dxa"/>
                  </w:tcMar>
                  <w:vAlign w:val="center"/>
                </w:tcPr>
                <w:p w14:paraId="1D20490D">
                  <w:pPr>
                    <w:pageBreakBefore w:val="0"/>
                    <w:kinsoku/>
                    <w:wordWrap/>
                    <w:topLinePunct w:val="0"/>
                    <w:bidi w:val="0"/>
                    <w:spacing w:line="280" w:lineRule="exact"/>
                    <w:jc w:val="center"/>
                    <w:rPr>
                      <w:bCs/>
                      <w:szCs w:val="21"/>
                    </w:rPr>
                  </w:pPr>
                  <w:r>
                    <w:rPr>
                      <w:bCs/>
                      <w:szCs w:val="21"/>
                    </w:rPr>
                    <w:t>昼、夜监测</w:t>
                  </w:r>
                </w:p>
              </w:tc>
              <w:tc>
                <w:tcPr>
                  <w:tcW w:w="3604" w:type="dxa"/>
                  <w:tcBorders>
                    <w:top w:val="single" w:color="auto" w:sz="4" w:space="0"/>
                    <w:left w:val="single" w:color="auto" w:sz="4" w:space="0"/>
                    <w:bottom w:val="single" w:color="auto" w:sz="12" w:space="0"/>
                    <w:right w:val="nil"/>
                  </w:tcBorders>
                  <w:noWrap w:val="0"/>
                  <w:tcMar>
                    <w:top w:w="28" w:type="dxa"/>
                    <w:left w:w="28" w:type="dxa"/>
                    <w:bottom w:w="28" w:type="dxa"/>
                    <w:right w:w="28" w:type="dxa"/>
                  </w:tcMar>
                  <w:vAlign w:val="center"/>
                </w:tcPr>
                <w:p w14:paraId="68DA90FE">
                  <w:pPr>
                    <w:pageBreakBefore w:val="0"/>
                    <w:kinsoku/>
                    <w:wordWrap/>
                    <w:topLinePunct w:val="0"/>
                    <w:bidi w:val="0"/>
                    <w:spacing w:line="280" w:lineRule="exact"/>
                    <w:jc w:val="center"/>
                    <w:rPr>
                      <w:bCs/>
                      <w:szCs w:val="21"/>
                    </w:rPr>
                  </w:pPr>
                  <w:r>
                    <w:rPr>
                      <w:bCs/>
                      <w:szCs w:val="21"/>
                    </w:rPr>
                    <w:t>《工业企业厂界环境噪声排放标准》</w:t>
                  </w:r>
                </w:p>
                <w:p w14:paraId="523F0834">
                  <w:pPr>
                    <w:pageBreakBefore w:val="0"/>
                    <w:kinsoku/>
                    <w:wordWrap/>
                    <w:topLinePunct w:val="0"/>
                    <w:bidi w:val="0"/>
                    <w:spacing w:line="280" w:lineRule="exact"/>
                    <w:jc w:val="center"/>
                    <w:rPr>
                      <w:bCs/>
                      <w:szCs w:val="21"/>
                    </w:rPr>
                  </w:pPr>
                  <w:r>
                    <w:rPr>
                      <w:rFonts w:hint="eastAsia"/>
                      <w:bCs/>
                      <w:szCs w:val="21"/>
                    </w:rPr>
                    <w:t>（</w:t>
                  </w:r>
                  <w:r>
                    <w:rPr>
                      <w:bCs/>
                      <w:szCs w:val="21"/>
                    </w:rPr>
                    <w:t>GB</w:t>
                  </w:r>
                  <w:r>
                    <w:rPr>
                      <w:rFonts w:hint="eastAsia"/>
                      <w:bCs/>
                      <w:szCs w:val="21"/>
                    </w:rPr>
                    <w:t xml:space="preserve"> </w:t>
                  </w:r>
                  <w:r>
                    <w:rPr>
                      <w:bCs/>
                      <w:szCs w:val="21"/>
                    </w:rPr>
                    <w:t>12348-2008）中</w:t>
                  </w:r>
                  <w:r>
                    <w:rPr>
                      <w:rFonts w:hint="eastAsia"/>
                      <w:bCs/>
                      <w:szCs w:val="21"/>
                    </w:rPr>
                    <w:t>3</w:t>
                  </w:r>
                  <w:r>
                    <w:rPr>
                      <w:bCs/>
                      <w:szCs w:val="21"/>
                    </w:rPr>
                    <w:t>类标准</w:t>
                  </w:r>
                </w:p>
              </w:tc>
            </w:tr>
          </w:tbl>
          <w:p w14:paraId="4BD11657">
            <w:pPr>
              <w:pageBreakBefore w:val="0"/>
              <w:kinsoku/>
              <w:wordWrap/>
              <w:topLinePunct w:val="0"/>
              <w:bidi w:val="0"/>
              <w:spacing w:line="360" w:lineRule="auto"/>
              <w:ind w:firstLine="482" w:firstLineChars="200"/>
              <w:rPr>
                <w:b/>
                <w:sz w:val="24"/>
              </w:rPr>
            </w:pPr>
            <w:r>
              <w:rPr>
                <w:b/>
                <w:sz w:val="24"/>
              </w:rPr>
              <w:t xml:space="preserve">4 </w:t>
            </w:r>
            <w:r>
              <w:rPr>
                <w:b/>
                <w:bCs/>
                <w:sz w:val="24"/>
              </w:rPr>
              <w:t>运营期</w:t>
            </w:r>
            <w:r>
              <w:rPr>
                <w:b/>
                <w:bCs/>
                <w:kern w:val="0"/>
                <w:sz w:val="24"/>
              </w:rPr>
              <w:t>固体废物及污染防治措施</w:t>
            </w:r>
          </w:p>
          <w:p w14:paraId="4092A32C">
            <w:pPr>
              <w:pageBreakBefore w:val="0"/>
              <w:kinsoku/>
              <w:wordWrap/>
              <w:topLinePunct w:val="0"/>
              <w:bidi w:val="0"/>
              <w:spacing w:line="360" w:lineRule="auto"/>
              <w:ind w:firstLine="482" w:firstLineChars="200"/>
              <w:rPr>
                <w:bCs/>
                <w:sz w:val="24"/>
              </w:rPr>
            </w:pPr>
            <w:r>
              <w:rPr>
                <w:b/>
                <w:sz w:val="24"/>
              </w:rPr>
              <w:t>4.1 固体废物产生及防治措施</w:t>
            </w:r>
          </w:p>
          <w:p w14:paraId="2B3D56D6">
            <w:pPr>
              <w:pageBreakBefore w:val="0"/>
              <w:kinsoku/>
              <w:wordWrap/>
              <w:topLinePunct w:val="0"/>
              <w:bidi w:val="0"/>
              <w:spacing w:line="360" w:lineRule="auto"/>
              <w:ind w:firstLine="480" w:firstLineChars="200"/>
              <w:rPr>
                <w:bCs/>
                <w:sz w:val="24"/>
              </w:rPr>
            </w:pPr>
            <w:r>
              <w:rPr>
                <w:bCs/>
                <w:sz w:val="24"/>
              </w:rPr>
              <w:t>本项目营运期产生的固体废物按性质分为危险废物和生活垃圾。</w:t>
            </w:r>
          </w:p>
          <w:p w14:paraId="7D2031AC">
            <w:pPr>
              <w:pageBreakBefore w:val="0"/>
              <w:kinsoku/>
              <w:wordWrap/>
              <w:topLinePunct w:val="0"/>
              <w:bidi w:val="0"/>
              <w:spacing w:line="360" w:lineRule="auto"/>
              <w:ind w:firstLine="480" w:firstLineChars="200"/>
              <w:rPr>
                <w:bCs/>
                <w:sz w:val="24"/>
              </w:rPr>
            </w:pPr>
            <w:r>
              <w:rPr>
                <w:sz w:val="24"/>
              </w:rPr>
              <w:t>（</w:t>
            </w:r>
            <w:r>
              <w:rPr>
                <w:rFonts w:hint="eastAsia"/>
                <w:sz w:val="24"/>
              </w:rPr>
              <w:t>1</w:t>
            </w:r>
            <w:r>
              <w:rPr>
                <w:bCs/>
                <w:sz w:val="24"/>
              </w:rPr>
              <w:t>）危险废物</w:t>
            </w:r>
          </w:p>
          <w:p w14:paraId="6F10B13F">
            <w:pPr>
              <w:pageBreakBefore w:val="0"/>
              <w:kinsoku/>
              <w:wordWrap/>
              <w:topLinePunct w:val="0"/>
              <w:bidi w:val="0"/>
              <w:spacing w:line="360" w:lineRule="auto"/>
              <w:ind w:firstLine="480" w:firstLineChars="200"/>
              <w:rPr>
                <w:rFonts w:hint="default" w:eastAsia="宋体"/>
                <w:bCs/>
                <w:sz w:val="24"/>
                <w:lang w:val="en-US" w:eastAsia="zh-CN"/>
              </w:rPr>
            </w:pPr>
            <w:r>
              <w:rPr>
                <w:rFonts w:hint="eastAsia"/>
                <w:bCs/>
                <w:sz w:val="24"/>
                <w:lang w:val="en-US" w:eastAsia="zh-CN"/>
              </w:rPr>
              <w:t>① 含油废液</w:t>
            </w:r>
          </w:p>
          <w:p w14:paraId="46077CFD">
            <w:pPr>
              <w:pageBreakBefore w:val="0"/>
              <w:kinsoku/>
              <w:wordWrap/>
              <w:topLinePunct w:val="0"/>
              <w:bidi w:val="0"/>
              <w:spacing w:line="360" w:lineRule="auto"/>
              <w:ind w:firstLine="480" w:firstLineChars="200"/>
              <w:rPr>
                <w:rFonts w:hint="default" w:eastAsia="宋体"/>
                <w:bCs/>
                <w:sz w:val="24"/>
                <w:lang w:val="en-US" w:eastAsia="zh-CN"/>
              </w:rPr>
            </w:pPr>
            <w:r>
              <w:rPr>
                <w:rFonts w:hint="eastAsia"/>
                <w:bCs/>
                <w:sz w:val="24"/>
                <w:lang w:val="en-US" w:eastAsia="zh-CN"/>
              </w:rPr>
              <w:t>本项目预处理工序的吸附塔会将荒煤气中的焦油、萘、水等杂质分离，汇入污油罐内临时存储，该部分含油废液属于危险废物</w:t>
            </w:r>
            <w:r>
              <w:rPr>
                <w:bCs/>
                <w:sz w:val="24"/>
              </w:rPr>
              <w:t>（HW</w:t>
            </w:r>
            <w:r>
              <w:rPr>
                <w:rFonts w:hint="eastAsia"/>
                <w:bCs/>
                <w:sz w:val="24"/>
                <w:lang w:val="en-US" w:eastAsia="zh-CN"/>
              </w:rPr>
              <w:t>09</w:t>
            </w:r>
            <w:r>
              <w:rPr>
                <w:bCs/>
                <w:sz w:val="24"/>
              </w:rPr>
              <w:t xml:space="preserve"> 900-</w:t>
            </w:r>
            <w:r>
              <w:rPr>
                <w:rFonts w:hint="eastAsia"/>
                <w:bCs/>
                <w:sz w:val="24"/>
                <w:lang w:val="en-US" w:eastAsia="zh-CN"/>
              </w:rPr>
              <w:t>007</w:t>
            </w:r>
            <w:r>
              <w:rPr>
                <w:bCs/>
                <w:sz w:val="24"/>
              </w:rPr>
              <w:t>-0</w:t>
            </w:r>
            <w:r>
              <w:rPr>
                <w:rFonts w:hint="eastAsia"/>
                <w:bCs/>
                <w:sz w:val="24"/>
                <w:lang w:val="en-US" w:eastAsia="zh-CN"/>
              </w:rPr>
              <w:t>9</w:t>
            </w:r>
            <w:r>
              <w:rPr>
                <w:bCs/>
                <w:sz w:val="24"/>
              </w:rPr>
              <w:t>）</w:t>
            </w:r>
            <w:r>
              <w:rPr>
                <w:rFonts w:hint="eastAsia"/>
                <w:bCs/>
                <w:sz w:val="24"/>
                <w:lang w:val="en-US" w:eastAsia="zh-CN"/>
              </w:rPr>
              <w:t>，根据建设单位提供的资料，产生量约12t/a。定期用密闭钢制容器存装，</w:t>
            </w:r>
            <w:r>
              <w:rPr>
                <w:rFonts w:hint="eastAsia"/>
                <w:bCs/>
                <w:sz w:val="24"/>
              </w:rPr>
              <w:t>依托新疆圣雄能源股份有限公司危险废物暂存间临时存储</w:t>
            </w:r>
            <w:r>
              <w:rPr>
                <w:bCs/>
                <w:sz w:val="24"/>
              </w:rPr>
              <w:t>，委托有</w:t>
            </w:r>
            <w:r>
              <w:rPr>
                <w:rFonts w:hint="eastAsia"/>
                <w:bCs/>
                <w:sz w:val="24"/>
              </w:rPr>
              <w:t>对应类别危废处置</w:t>
            </w:r>
            <w:r>
              <w:rPr>
                <w:bCs/>
                <w:sz w:val="24"/>
              </w:rPr>
              <w:t>资质的单位</w:t>
            </w:r>
            <w:r>
              <w:rPr>
                <w:rFonts w:hint="eastAsia"/>
                <w:bCs/>
                <w:sz w:val="24"/>
              </w:rPr>
              <w:t>负责清运并</w:t>
            </w:r>
            <w:r>
              <w:rPr>
                <w:bCs/>
                <w:sz w:val="24"/>
              </w:rPr>
              <w:t>处置</w:t>
            </w:r>
            <w:r>
              <w:rPr>
                <w:rFonts w:hint="eastAsia"/>
                <w:bCs/>
                <w:sz w:val="24"/>
                <w:lang w:val="en-US" w:eastAsia="zh-CN"/>
              </w:rPr>
              <w:t>。</w:t>
            </w:r>
          </w:p>
          <w:p w14:paraId="016905DB">
            <w:pPr>
              <w:pageBreakBefore w:val="0"/>
              <w:kinsoku/>
              <w:wordWrap/>
              <w:topLinePunct w:val="0"/>
              <w:bidi w:val="0"/>
              <w:spacing w:line="360" w:lineRule="auto"/>
              <w:ind w:firstLine="480" w:firstLineChars="200"/>
              <w:rPr>
                <w:bCs/>
                <w:sz w:val="24"/>
              </w:rPr>
            </w:pPr>
            <w:r>
              <w:rPr>
                <w:rFonts w:hint="eastAsia"/>
                <w:bCs/>
                <w:sz w:val="24"/>
                <w:lang w:val="en-US" w:eastAsia="zh-CN"/>
              </w:rPr>
              <w:t>②</w:t>
            </w:r>
            <w:r>
              <w:rPr>
                <w:rFonts w:hint="eastAsia"/>
                <w:bCs/>
                <w:sz w:val="24"/>
              </w:rPr>
              <w:t xml:space="preserve"> 废润滑油</w:t>
            </w:r>
          </w:p>
          <w:p w14:paraId="0CE9267D">
            <w:pPr>
              <w:pageBreakBefore w:val="0"/>
              <w:kinsoku/>
              <w:wordWrap/>
              <w:topLinePunct w:val="0"/>
              <w:bidi w:val="0"/>
              <w:spacing w:line="360" w:lineRule="auto"/>
              <w:ind w:firstLine="480" w:firstLineChars="200"/>
              <w:rPr>
                <w:bCs/>
                <w:sz w:val="24"/>
              </w:rPr>
            </w:pPr>
            <w:r>
              <w:rPr>
                <w:bCs/>
                <w:sz w:val="24"/>
              </w:rPr>
              <w:t>压缩机在运营过程中会消耗一定量的废润滑油，属于危险废物（HW08 900-214-08），产生量约</w:t>
            </w:r>
            <w:r>
              <w:rPr>
                <w:rFonts w:hint="eastAsia"/>
                <w:bCs/>
                <w:sz w:val="24"/>
              </w:rPr>
              <w:t>1</w:t>
            </w:r>
            <w:r>
              <w:rPr>
                <w:bCs/>
                <w:sz w:val="24"/>
              </w:rPr>
              <w:t>t/a，用</w:t>
            </w:r>
            <w:r>
              <w:rPr>
                <w:rFonts w:hint="eastAsia"/>
                <w:bCs/>
                <w:sz w:val="24"/>
                <w:lang w:val="en-US" w:eastAsia="zh-CN"/>
              </w:rPr>
              <w:t>密闭</w:t>
            </w:r>
            <w:r>
              <w:rPr>
                <w:bCs/>
                <w:sz w:val="24"/>
              </w:rPr>
              <w:t>钢制容器存装，</w:t>
            </w:r>
            <w:r>
              <w:rPr>
                <w:rFonts w:hint="eastAsia"/>
                <w:bCs/>
                <w:sz w:val="24"/>
              </w:rPr>
              <w:t>依托新疆圣雄能源股份有限公司危险废物暂存间临时存储</w:t>
            </w:r>
            <w:r>
              <w:rPr>
                <w:bCs/>
                <w:sz w:val="24"/>
              </w:rPr>
              <w:t>，委托有</w:t>
            </w:r>
            <w:r>
              <w:rPr>
                <w:rFonts w:hint="eastAsia"/>
                <w:bCs/>
                <w:sz w:val="24"/>
              </w:rPr>
              <w:t>对应类别危废处置</w:t>
            </w:r>
            <w:r>
              <w:rPr>
                <w:bCs/>
                <w:sz w:val="24"/>
              </w:rPr>
              <w:t>资质的单位</w:t>
            </w:r>
            <w:r>
              <w:rPr>
                <w:rFonts w:hint="eastAsia"/>
                <w:bCs/>
                <w:sz w:val="24"/>
              </w:rPr>
              <w:t>负责清运并</w:t>
            </w:r>
            <w:r>
              <w:rPr>
                <w:bCs/>
                <w:sz w:val="24"/>
              </w:rPr>
              <w:t>处置。</w:t>
            </w:r>
          </w:p>
          <w:p w14:paraId="6BB957CC">
            <w:pPr>
              <w:pageBreakBefore w:val="0"/>
              <w:kinsoku/>
              <w:wordWrap/>
              <w:topLinePunct w:val="0"/>
              <w:bidi w:val="0"/>
              <w:spacing w:line="360" w:lineRule="auto"/>
              <w:ind w:firstLine="480" w:firstLineChars="200"/>
              <w:rPr>
                <w:sz w:val="24"/>
              </w:rPr>
            </w:pPr>
            <w:r>
              <w:rPr>
                <w:rFonts w:hint="eastAsia"/>
                <w:sz w:val="24"/>
                <w:lang w:val="en-US" w:eastAsia="zh-CN"/>
              </w:rPr>
              <w:t>③</w:t>
            </w:r>
            <w:r>
              <w:rPr>
                <w:rFonts w:hint="eastAsia"/>
                <w:sz w:val="24"/>
              </w:rPr>
              <w:t xml:space="preserve"> 废吸附剂</w:t>
            </w:r>
          </w:p>
          <w:p w14:paraId="626B4C9B">
            <w:pPr>
              <w:pageBreakBefore w:val="0"/>
              <w:kinsoku/>
              <w:wordWrap/>
              <w:topLinePunct w:val="0"/>
              <w:bidi w:val="0"/>
              <w:spacing w:line="360" w:lineRule="auto"/>
              <w:ind w:firstLine="480" w:firstLineChars="200"/>
              <w:rPr>
                <w:sz w:val="24"/>
              </w:rPr>
            </w:pPr>
            <w:r>
              <w:rPr>
                <w:rFonts w:hint="eastAsia"/>
                <w:sz w:val="24"/>
              </w:rPr>
              <w:t>TSA工艺的吸附剂会将荒煤气中残留的少量</w:t>
            </w:r>
            <w:r>
              <w:rPr>
                <w:rFonts w:hint="eastAsia"/>
                <w:bCs/>
                <w:sz w:val="24"/>
              </w:rPr>
              <w:t>焦油、硫、萘等杂质去除，需定期进行更换，更换下来的废吸附剂属于危险废物（HW49-900-041-49）。</w:t>
            </w:r>
            <w:bookmarkStart w:id="14" w:name="_GoBack"/>
            <w:bookmarkEnd w:id="14"/>
            <w:r>
              <w:rPr>
                <w:rFonts w:hint="eastAsia"/>
                <w:bCs/>
                <w:sz w:val="24"/>
              </w:rPr>
              <w:t>项目平均三年更换一次吸附剂，根据前文可知，废吸附剂的产生量约256.571t/a，用密闭容器存装，依托新疆圣雄能源股份有限公司危险废物暂存间临时存储</w:t>
            </w:r>
            <w:r>
              <w:rPr>
                <w:bCs/>
                <w:sz w:val="24"/>
              </w:rPr>
              <w:t>，委托有</w:t>
            </w:r>
            <w:r>
              <w:rPr>
                <w:rFonts w:hint="eastAsia"/>
                <w:bCs/>
                <w:sz w:val="24"/>
              </w:rPr>
              <w:t>对应类别危废处置</w:t>
            </w:r>
            <w:r>
              <w:rPr>
                <w:bCs/>
                <w:sz w:val="24"/>
              </w:rPr>
              <w:t>资质的单位</w:t>
            </w:r>
            <w:r>
              <w:rPr>
                <w:rFonts w:hint="eastAsia"/>
                <w:bCs/>
                <w:sz w:val="24"/>
              </w:rPr>
              <w:t>负责清运并</w:t>
            </w:r>
            <w:r>
              <w:rPr>
                <w:bCs/>
                <w:sz w:val="24"/>
              </w:rPr>
              <w:t>处置。</w:t>
            </w:r>
          </w:p>
          <w:p w14:paraId="40BCEA77">
            <w:pPr>
              <w:pageBreakBefore w:val="0"/>
              <w:kinsoku/>
              <w:wordWrap/>
              <w:topLinePunct w:val="0"/>
              <w:bidi w:val="0"/>
              <w:spacing w:line="360" w:lineRule="auto"/>
              <w:ind w:firstLine="480" w:firstLineChars="200"/>
              <w:rPr>
                <w:bCs/>
                <w:sz w:val="24"/>
              </w:rPr>
            </w:pPr>
            <w:r>
              <w:rPr>
                <w:sz w:val="24"/>
              </w:rPr>
              <w:t>（</w:t>
            </w:r>
            <w:r>
              <w:rPr>
                <w:bCs/>
                <w:sz w:val="24"/>
              </w:rPr>
              <w:t>3）生活垃圾</w:t>
            </w:r>
          </w:p>
          <w:p w14:paraId="4647EF27">
            <w:pPr>
              <w:pageBreakBefore w:val="0"/>
              <w:kinsoku/>
              <w:wordWrap/>
              <w:topLinePunct w:val="0"/>
              <w:bidi w:val="0"/>
              <w:spacing w:line="360" w:lineRule="auto"/>
              <w:ind w:firstLine="480" w:firstLineChars="200"/>
              <w:rPr>
                <w:sz w:val="24"/>
              </w:rPr>
            </w:pPr>
            <w:r>
              <w:rPr>
                <w:sz w:val="24"/>
              </w:rPr>
              <w:t>本项目</w:t>
            </w:r>
            <w:r>
              <w:rPr>
                <w:rFonts w:hint="eastAsia"/>
                <w:sz w:val="24"/>
              </w:rPr>
              <w:t>新增</w:t>
            </w:r>
            <w:r>
              <w:rPr>
                <w:sz w:val="24"/>
              </w:rPr>
              <w:t>劳动定员</w:t>
            </w:r>
            <w:r>
              <w:rPr>
                <w:rFonts w:hint="eastAsia"/>
                <w:sz w:val="24"/>
              </w:rPr>
              <w:t>45</w:t>
            </w:r>
            <w:r>
              <w:rPr>
                <w:sz w:val="24"/>
              </w:rPr>
              <w:t>人，生活垃圾产生量按每人每天0.5kg计算，生活垃圾产生量约为</w:t>
            </w:r>
            <w:r>
              <w:rPr>
                <w:rFonts w:hint="eastAsia"/>
                <w:sz w:val="24"/>
              </w:rPr>
              <w:t>7.493</w:t>
            </w:r>
            <w:r>
              <w:rPr>
                <w:sz w:val="24"/>
              </w:rPr>
              <w:t>t/a。</w:t>
            </w:r>
            <w:r>
              <w:rPr>
                <w:rFonts w:hint="eastAsia"/>
                <w:sz w:val="24"/>
              </w:rPr>
              <w:t>现有工程已</w:t>
            </w:r>
            <w:r>
              <w:rPr>
                <w:sz w:val="24"/>
              </w:rPr>
              <w:t>设置</w:t>
            </w:r>
            <w:r>
              <w:rPr>
                <w:rFonts w:hint="eastAsia"/>
                <w:sz w:val="24"/>
              </w:rPr>
              <w:t>生活垃圾箱</w:t>
            </w:r>
            <w:r>
              <w:rPr>
                <w:sz w:val="24"/>
              </w:rPr>
              <w:t>，</w:t>
            </w:r>
            <w:r>
              <w:rPr>
                <w:rFonts w:hint="eastAsia"/>
                <w:sz w:val="24"/>
              </w:rPr>
              <w:t>经收集后由园区</w:t>
            </w:r>
            <w:r>
              <w:rPr>
                <w:sz w:val="24"/>
              </w:rPr>
              <w:t>定期清运处置。</w:t>
            </w:r>
          </w:p>
          <w:p w14:paraId="14241B8D">
            <w:pPr>
              <w:pageBreakBefore w:val="0"/>
              <w:kinsoku/>
              <w:wordWrap/>
              <w:topLinePunct w:val="0"/>
              <w:bidi w:val="0"/>
              <w:spacing w:line="360" w:lineRule="auto"/>
              <w:ind w:firstLine="480" w:firstLineChars="200"/>
              <w:rPr>
                <w:kern w:val="0"/>
                <w:sz w:val="24"/>
              </w:rPr>
            </w:pPr>
            <w:r>
              <w:rPr>
                <w:kern w:val="0"/>
                <w:sz w:val="24"/>
              </w:rPr>
              <w:t>本项目运营期固体废物产生及处置方式见</w:t>
            </w:r>
            <w:r>
              <w:rPr>
                <w:rFonts w:hint="eastAsia"/>
                <w:kern w:val="0"/>
                <w:sz w:val="24"/>
              </w:rPr>
              <w:t>下</w:t>
            </w:r>
            <w:r>
              <w:rPr>
                <w:kern w:val="0"/>
                <w:sz w:val="24"/>
              </w:rPr>
              <w:t>表。</w:t>
            </w:r>
          </w:p>
          <w:p w14:paraId="603256F5">
            <w:pPr>
              <w:pageBreakBefore w:val="0"/>
              <w:kinsoku/>
              <w:wordWrap/>
              <w:topLinePunct w:val="0"/>
              <w:bidi w:val="0"/>
              <w:spacing w:line="360" w:lineRule="auto"/>
              <w:jc w:val="center"/>
              <w:rPr>
                <w:rFonts w:hint="default" w:eastAsia="黑体"/>
                <w:bCs/>
                <w:szCs w:val="21"/>
                <w:lang w:val="en-US" w:eastAsia="zh-CN"/>
              </w:rPr>
            </w:pPr>
            <w:r>
              <w:rPr>
                <w:rFonts w:eastAsia="黑体"/>
                <w:bCs/>
                <w:szCs w:val="21"/>
              </w:rPr>
              <w:t>表4-</w:t>
            </w:r>
            <w:r>
              <w:rPr>
                <w:rFonts w:hint="eastAsia" w:eastAsia="黑体"/>
                <w:bCs/>
                <w:szCs w:val="21"/>
              </w:rPr>
              <w:t>5</w:t>
            </w:r>
            <w:r>
              <w:rPr>
                <w:rFonts w:eastAsia="黑体"/>
                <w:bCs/>
                <w:szCs w:val="21"/>
              </w:rPr>
              <w:t xml:space="preserve">  </w:t>
            </w:r>
            <w:r>
              <w:rPr>
                <w:rFonts w:hint="eastAsia" w:eastAsia="黑体"/>
                <w:bCs/>
                <w:szCs w:val="21"/>
              </w:rPr>
              <w:t>本</w:t>
            </w:r>
            <w:r>
              <w:rPr>
                <w:rFonts w:eastAsia="黑体"/>
                <w:bCs/>
                <w:szCs w:val="21"/>
              </w:rPr>
              <w:t>项目固体废物产生及处置方式</w:t>
            </w:r>
          </w:p>
          <w:tbl>
            <w:tblPr>
              <w:tblStyle w:val="14"/>
              <w:tblW w:w="488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523"/>
              <w:gridCol w:w="537"/>
              <w:gridCol w:w="923"/>
              <w:gridCol w:w="2086"/>
              <w:gridCol w:w="739"/>
              <w:gridCol w:w="3579"/>
            </w:tblGrid>
            <w:tr w14:paraId="29D520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12" w:type="pct"/>
                  <w:noWrap w:val="0"/>
                  <w:tcMar>
                    <w:top w:w="28" w:type="dxa"/>
                    <w:left w:w="28" w:type="dxa"/>
                    <w:bottom w:w="28" w:type="dxa"/>
                    <w:right w:w="28" w:type="dxa"/>
                  </w:tcMar>
                  <w:vAlign w:val="center"/>
                </w:tcPr>
                <w:p w14:paraId="667B7061">
                  <w:pPr>
                    <w:pageBreakBefore w:val="0"/>
                    <w:kinsoku/>
                    <w:wordWrap/>
                    <w:topLinePunct w:val="0"/>
                    <w:bidi w:val="0"/>
                    <w:spacing w:line="280" w:lineRule="exact"/>
                    <w:jc w:val="center"/>
                    <w:rPr>
                      <w:b/>
                      <w:szCs w:val="21"/>
                    </w:rPr>
                  </w:pPr>
                  <w:r>
                    <w:rPr>
                      <w:b/>
                      <w:szCs w:val="21"/>
                    </w:rPr>
                    <w:t>序号</w:t>
                  </w:r>
                </w:p>
              </w:tc>
              <w:tc>
                <w:tcPr>
                  <w:tcW w:w="320" w:type="pct"/>
                  <w:noWrap w:val="0"/>
                  <w:tcMar>
                    <w:top w:w="28" w:type="dxa"/>
                    <w:left w:w="28" w:type="dxa"/>
                    <w:bottom w:w="28" w:type="dxa"/>
                    <w:right w:w="28" w:type="dxa"/>
                  </w:tcMar>
                  <w:vAlign w:val="center"/>
                </w:tcPr>
                <w:p w14:paraId="161784FE">
                  <w:pPr>
                    <w:pageBreakBefore w:val="0"/>
                    <w:kinsoku/>
                    <w:wordWrap/>
                    <w:topLinePunct w:val="0"/>
                    <w:bidi w:val="0"/>
                    <w:spacing w:line="280" w:lineRule="exact"/>
                    <w:jc w:val="center"/>
                    <w:rPr>
                      <w:b/>
                      <w:szCs w:val="21"/>
                    </w:rPr>
                  </w:pPr>
                  <w:r>
                    <w:rPr>
                      <w:b/>
                      <w:szCs w:val="21"/>
                    </w:rPr>
                    <w:t>名称</w:t>
                  </w:r>
                </w:p>
              </w:tc>
              <w:tc>
                <w:tcPr>
                  <w:tcW w:w="550" w:type="pct"/>
                  <w:noWrap w:val="0"/>
                  <w:tcMar>
                    <w:top w:w="28" w:type="dxa"/>
                    <w:left w:w="28" w:type="dxa"/>
                    <w:bottom w:w="28" w:type="dxa"/>
                    <w:right w:w="28" w:type="dxa"/>
                  </w:tcMar>
                  <w:vAlign w:val="center"/>
                </w:tcPr>
                <w:p w14:paraId="034C73AE">
                  <w:pPr>
                    <w:pageBreakBefore w:val="0"/>
                    <w:kinsoku/>
                    <w:wordWrap/>
                    <w:topLinePunct w:val="0"/>
                    <w:bidi w:val="0"/>
                    <w:spacing w:line="280" w:lineRule="exact"/>
                    <w:jc w:val="center"/>
                    <w:rPr>
                      <w:b/>
                      <w:szCs w:val="21"/>
                    </w:rPr>
                  </w:pPr>
                  <w:r>
                    <w:rPr>
                      <w:b/>
                      <w:szCs w:val="21"/>
                    </w:rPr>
                    <w:t>产生工序</w:t>
                  </w:r>
                </w:p>
              </w:tc>
              <w:tc>
                <w:tcPr>
                  <w:tcW w:w="1243" w:type="pct"/>
                  <w:noWrap w:val="0"/>
                  <w:tcMar>
                    <w:top w:w="28" w:type="dxa"/>
                    <w:left w:w="28" w:type="dxa"/>
                    <w:bottom w:w="28" w:type="dxa"/>
                    <w:right w:w="28" w:type="dxa"/>
                  </w:tcMar>
                  <w:vAlign w:val="center"/>
                </w:tcPr>
                <w:p w14:paraId="33487810">
                  <w:pPr>
                    <w:pageBreakBefore w:val="0"/>
                    <w:kinsoku/>
                    <w:wordWrap/>
                    <w:topLinePunct w:val="0"/>
                    <w:bidi w:val="0"/>
                    <w:spacing w:line="280" w:lineRule="exact"/>
                    <w:jc w:val="center"/>
                    <w:rPr>
                      <w:b/>
                      <w:szCs w:val="21"/>
                    </w:rPr>
                  </w:pPr>
                  <w:r>
                    <w:rPr>
                      <w:b/>
                      <w:szCs w:val="21"/>
                    </w:rPr>
                    <w:t>属性</w:t>
                  </w:r>
                </w:p>
              </w:tc>
              <w:tc>
                <w:tcPr>
                  <w:tcW w:w="440" w:type="pct"/>
                  <w:noWrap w:val="0"/>
                  <w:tcMar>
                    <w:top w:w="28" w:type="dxa"/>
                    <w:left w:w="28" w:type="dxa"/>
                    <w:bottom w:w="28" w:type="dxa"/>
                    <w:right w:w="28" w:type="dxa"/>
                  </w:tcMar>
                  <w:vAlign w:val="center"/>
                </w:tcPr>
                <w:p w14:paraId="7BC3F352">
                  <w:pPr>
                    <w:pageBreakBefore w:val="0"/>
                    <w:kinsoku/>
                    <w:wordWrap/>
                    <w:topLinePunct w:val="0"/>
                    <w:bidi w:val="0"/>
                    <w:spacing w:line="280" w:lineRule="exact"/>
                    <w:jc w:val="center"/>
                    <w:rPr>
                      <w:b/>
                      <w:szCs w:val="21"/>
                    </w:rPr>
                  </w:pPr>
                  <w:r>
                    <w:rPr>
                      <w:b/>
                      <w:szCs w:val="21"/>
                    </w:rPr>
                    <w:t>产生量</w:t>
                  </w:r>
                </w:p>
                <w:p w14:paraId="2737F9B7">
                  <w:pPr>
                    <w:pageBreakBefore w:val="0"/>
                    <w:kinsoku/>
                    <w:wordWrap/>
                    <w:topLinePunct w:val="0"/>
                    <w:bidi w:val="0"/>
                    <w:spacing w:line="280" w:lineRule="exact"/>
                    <w:jc w:val="center"/>
                    <w:rPr>
                      <w:b/>
                      <w:szCs w:val="21"/>
                    </w:rPr>
                  </w:pPr>
                  <w:r>
                    <w:rPr>
                      <w:b/>
                      <w:szCs w:val="21"/>
                    </w:rPr>
                    <w:t>（t/a）</w:t>
                  </w:r>
                </w:p>
              </w:tc>
              <w:tc>
                <w:tcPr>
                  <w:tcW w:w="2133" w:type="pct"/>
                  <w:noWrap w:val="0"/>
                  <w:tcMar>
                    <w:top w:w="28" w:type="dxa"/>
                    <w:left w:w="28" w:type="dxa"/>
                    <w:bottom w:w="28" w:type="dxa"/>
                    <w:right w:w="28" w:type="dxa"/>
                  </w:tcMar>
                  <w:vAlign w:val="center"/>
                </w:tcPr>
                <w:p w14:paraId="411B9612">
                  <w:pPr>
                    <w:pageBreakBefore w:val="0"/>
                    <w:kinsoku/>
                    <w:wordWrap/>
                    <w:topLinePunct w:val="0"/>
                    <w:bidi w:val="0"/>
                    <w:spacing w:line="280" w:lineRule="exact"/>
                    <w:jc w:val="center"/>
                    <w:rPr>
                      <w:b/>
                      <w:szCs w:val="21"/>
                    </w:rPr>
                  </w:pPr>
                  <w:r>
                    <w:rPr>
                      <w:b/>
                      <w:szCs w:val="21"/>
                    </w:rPr>
                    <w:t>拟采取处置方式</w:t>
                  </w:r>
                </w:p>
              </w:tc>
            </w:tr>
            <w:tr w14:paraId="43DD79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12" w:type="pct"/>
                  <w:noWrap w:val="0"/>
                  <w:tcMar>
                    <w:top w:w="28" w:type="dxa"/>
                    <w:left w:w="28" w:type="dxa"/>
                    <w:bottom w:w="28" w:type="dxa"/>
                    <w:right w:w="28" w:type="dxa"/>
                  </w:tcMar>
                  <w:vAlign w:val="center"/>
                </w:tcPr>
                <w:p w14:paraId="6A095610">
                  <w:pPr>
                    <w:pageBreakBefore w:val="0"/>
                    <w:kinsoku/>
                    <w:wordWrap/>
                    <w:topLinePunct w:val="0"/>
                    <w:bidi w:val="0"/>
                    <w:spacing w:line="280" w:lineRule="exact"/>
                    <w:jc w:val="center"/>
                    <w:rPr>
                      <w:rFonts w:hint="eastAsia" w:eastAsia="宋体"/>
                      <w:b w:val="0"/>
                      <w:bCs/>
                      <w:szCs w:val="21"/>
                      <w:lang w:val="en-US" w:eastAsia="zh-CN"/>
                    </w:rPr>
                  </w:pPr>
                  <w:r>
                    <w:rPr>
                      <w:rFonts w:hint="eastAsia"/>
                      <w:b w:val="0"/>
                      <w:bCs/>
                      <w:szCs w:val="21"/>
                      <w:lang w:val="en-US" w:eastAsia="zh-CN"/>
                    </w:rPr>
                    <w:t>1</w:t>
                  </w:r>
                </w:p>
              </w:tc>
              <w:tc>
                <w:tcPr>
                  <w:tcW w:w="320" w:type="pct"/>
                  <w:noWrap w:val="0"/>
                  <w:tcMar>
                    <w:top w:w="28" w:type="dxa"/>
                    <w:left w:w="28" w:type="dxa"/>
                    <w:bottom w:w="28" w:type="dxa"/>
                    <w:right w:w="28" w:type="dxa"/>
                  </w:tcMar>
                  <w:vAlign w:val="center"/>
                </w:tcPr>
                <w:p w14:paraId="53B905B1">
                  <w:pPr>
                    <w:pageBreakBefore w:val="0"/>
                    <w:kinsoku/>
                    <w:wordWrap/>
                    <w:topLinePunct w:val="0"/>
                    <w:bidi w:val="0"/>
                    <w:spacing w:line="280" w:lineRule="exact"/>
                    <w:jc w:val="center"/>
                    <w:rPr>
                      <w:rFonts w:hint="eastAsia" w:eastAsia="宋体"/>
                      <w:b w:val="0"/>
                      <w:bCs/>
                      <w:szCs w:val="21"/>
                      <w:lang w:val="en-US" w:eastAsia="zh-CN"/>
                    </w:rPr>
                  </w:pPr>
                  <w:r>
                    <w:rPr>
                      <w:rFonts w:hint="eastAsia"/>
                      <w:b w:val="0"/>
                      <w:bCs/>
                      <w:szCs w:val="21"/>
                      <w:lang w:val="en-US" w:eastAsia="zh-CN"/>
                    </w:rPr>
                    <w:t>含油废液</w:t>
                  </w:r>
                </w:p>
              </w:tc>
              <w:tc>
                <w:tcPr>
                  <w:tcW w:w="550" w:type="pct"/>
                  <w:noWrap w:val="0"/>
                  <w:tcMar>
                    <w:top w:w="28" w:type="dxa"/>
                    <w:left w:w="28" w:type="dxa"/>
                    <w:bottom w:w="28" w:type="dxa"/>
                    <w:right w:w="28" w:type="dxa"/>
                  </w:tcMar>
                  <w:vAlign w:val="center"/>
                </w:tcPr>
                <w:p w14:paraId="178A1F9A">
                  <w:pPr>
                    <w:pageBreakBefore w:val="0"/>
                    <w:kinsoku/>
                    <w:wordWrap/>
                    <w:topLinePunct w:val="0"/>
                    <w:bidi w:val="0"/>
                    <w:spacing w:line="280" w:lineRule="exact"/>
                    <w:jc w:val="center"/>
                    <w:rPr>
                      <w:rFonts w:hint="eastAsia" w:eastAsia="宋体"/>
                      <w:b w:val="0"/>
                      <w:bCs/>
                      <w:szCs w:val="21"/>
                      <w:lang w:val="en-US" w:eastAsia="zh-CN"/>
                    </w:rPr>
                  </w:pPr>
                  <w:r>
                    <w:rPr>
                      <w:rFonts w:hint="eastAsia"/>
                      <w:b w:val="0"/>
                      <w:bCs/>
                      <w:szCs w:val="21"/>
                      <w:lang w:val="en-US" w:eastAsia="zh-CN"/>
                    </w:rPr>
                    <w:t>预处理</w:t>
                  </w:r>
                </w:p>
              </w:tc>
              <w:tc>
                <w:tcPr>
                  <w:tcW w:w="1243" w:type="pct"/>
                  <w:noWrap w:val="0"/>
                  <w:tcMar>
                    <w:top w:w="28" w:type="dxa"/>
                    <w:left w:w="28" w:type="dxa"/>
                    <w:bottom w:w="28" w:type="dxa"/>
                    <w:right w:w="28" w:type="dxa"/>
                  </w:tcMar>
                  <w:vAlign w:val="center"/>
                </w:tcPr>
                <w:p w14:paraId="45CE8657">
                  <w:pPr>
                    <w:pageBreakBefore w:val="0"/>
                    <w:kinsoku/>
                    <w:wordWrap/>
                    <w:topLinePunct w:val="0"/>
                    <w:bidi w:val="0"/>
                    <w:spacing w:line="280" w:lineRule="exact"/>
                    <w:jc w:val="center"/>
                    <w:rPr>
                      <w:rFonts w:hint="eastAsia"/>
                      <w:b w:val="0"/>
                      <w:bCs/>
                      <w:szCs w:val="21"/>
                    </w:rPr>
                  </w:pPr>
                  <w:r>
                    <w:rPr>
                      <w:rFonts w:hint="eastAsia"/>
                      <w:b w:val="0"/>
                      <w:bCs/>
                      <w:szCs w:val="21"/>
                    </w:rPr>
                    <w:t>危险废物</w:t>
                  </w:r>
                </w:p>
                <w:p w14:paraId="5AF4EA79">
                  <w:pPr>
                    <w:pageBreakBefore w:val="0"/>
                    <w:kinsoku/>
                    <w:wordWrap/>
                    <w:topLinePunct w:val="0"/>
                    <w:bidi w:val="0"/>
                    <w:spacing w:line="280" w:lineRule="exact"/>
                    <w:jc w:val="center"/>
                    <w:rPr>
                      <w:b w:val="0"/>
                      <w:bCs/>
                      <w:szCs w:val="21"/>
                    </w:rPr>
                  </w:pPr>
                  <w:r>
                    <w:rPr>
                      <w:rFonts w:hint="eastAsia"/>
                      <w:b w:val="0"/>
                      <w:bCs/>
                      <w:szCs w:val="21"/>
                    </w:rPr>
                    <w:t>（HW09 900-007-09）</w:t>
                  </w:r>
                </w:p>
              </w:tc>
              <w:tc>
                <w:tcPr>
                  <w:tcW w:w="440" w:type="pct"/>
                  <w:noWrap w:val="0"/>
                  <w:tcMar>
                    <w:top w:w="28" w:type="dxa"/>
                    <w:left w:w="28" w:type="dxa"/>
                    <w:bottom w:w="28" w:type="dxa"/>
                    <w:right w:w="28" w:type="dxa"/>
                  </w:tcMar>
                  <w:vAlign w:val="center"/>
                </w:tcPr>
                <w:p w14:paraId="5355E855">
                  <w:pPr>
                    <w:pageBreakBefore w:val="0"/>
                    <w:kinsoku/>
                    <w:wordWrap/>
                    <w:topLinePunct w:val="0"/>
                    <w:bidi w:val="0"/>
                    <w:spacing w:line="280" w:lineRule="exact"/>
                    <w:jc w:val="center"/>
                    <w:rPr>
                      <w:rFonts w:hint="default" w:eastAsia="宋体"/>
                      <w:b w:val="0"/>
                      <w:bCs/>
                      <w:szCs w:val="21"/>
                      <w:lang w:val="en-US" w:eastAsia="zh-CN"/>
                    </w:rPr>
                  </w:pPr>
                  <w:r>
                    <w:rPr>
                      <w:rFonts w:hint="eastAsia"/>
                      <w:b w:val="0"/>
                      <w:bCs/>
                      <w:szCs w:val="21"/>
                      <w:lang w:val="en-US" w:eastAsia="zh-CN"/>
                    </w:rPr>
                    <w:t>12</w:t>
                  </w:r>
                </w:p>
              </w:tc>
              <w:tc>
                <w:tcPr>
                  <w:tcW w:w="2133" w:type="pct"/>
                  <w:noWrap w:val="0"/>
                  <w:tcMar>
                    <w:top w:w="28" w:type="dxa"/>
                    <w:left w:w="28" w:type="dxa"/>
                    <w:bottom w:w="28" w:type="dxa"/>
                    <w:right w:w="28" w:type="dxa"/>
                  </w:tcMar>
                  <w:vAlign w:val="center"/>
                </w:tcPr>
                <w:p w14:paraId="6ECC61A2">
                  <w:pPr>
                    <w:pageBreakBefore w:val="0"/>
                    <w:kinsoku/>
                    <w:wordWrap/>
                    <w:topLinePunct w:val="0"/>
                    <w:bidi w:val="0"/>
                    <w:spacing w:line="280" w:lineRule="exact"/>
                    <w:jc w:val="center"/>
                    <w:rPr>
                      <w:b w:val="0"/>
                      <w:bCs/>
                      <w:szCs w:val="21"/>
                    </w:rPr>
                  </w:pPr>
                  <w:r>
                    <w:rPr>
                      <w:rFonts w:hint="eastAsia"/>
                      <w:b w:val="0"/>
                      <w:bCs/>
                      <w:szCs w:val="21"/>
                      <w:lang w:val="en-US" w:eastAsia="zh-CN"/>
                    </w:rPr>
                    <w:t>收集后汇入</w:t>
                  </w:r>
                  <w:r>
                    <w:rPr>
                      <w:rFonts w:hint="eastAsia"/>
                      <w:b w:val="0"/>
                      <w:bCs/>
                      <w:szCs w:val="21"/>
                    </w:rPr>
                    <w:t>污油罐内临时存储，定期用密闭</w:t>
                  </w:r>
                  <w:r>
                    <w:rPr>
                      <w:rFonts w:hint="eastAsia"/>
                      <w:b w:val="0"/>
                      <w:bCs/>
                      <w:szCs w:val="21"/>
                      <w:lang w:eastAsia="zh-CN"/>
                    </w:rPr>
                    <w:t>钢质</w:t>
                  </w:r>
                  <w:r>
                    <w:rPr>
                      <w:rFonts w:hint="eastAsia"/>
                      <w:b w:val="0"/>
                      <w:bCs/>
                      <w:szCs w:val="21"/>
                    </w:rPr>
                    <w:t>容器存装，依托新疆圣雄能源股份有限公司危险废物暂存间临时存储，委托有对应类别危废处置资质的单位负责清运并处置</w:t>
                  </w:r>
                </w:p>
              </w:tc>
            </w:tr>
            <w:tr w14:paraId="23DCD1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12" w:type="pct"/>
                  <w:noWrap w:val="0"/>
                  <w:tcMar>
                    <w:top w:w="28" w:type="dxa"/>
                    <w:left w:w="28" w:type="dxa"/>
                    <w:bottom w:w="28" w:type="dxa"/>
                    <w:right w:w="28" w:type="dxa"/>
                  </w:tcMar>
                  <w:vAlign w:val="center"/>
                </w:tcPr>
                <w:p w14:paraId="6CCCF513">
                  <w:pPr>
                    <w:pageBreakBefore w:val="0"/>
                    <w:kinsoku/>
                    <w:wordWrap/>
                    <w:topLinePunct w:val="0"/>
                    <w:bidi w:val="0"/>
                    <w:spacing w:line="280" w:lineRule="exact"/>
                    <w:jc w:val="center"/>
                    <w:rPr>
                      <w:rFonts w:hint="eastAsia" w:eastAsia="宋体"/>
                      <w:szCs w:val="21"/>
                      <w:lang w:eastAsia="zh-CN"/>
                    </w:rPr>
                  </w:pPr>
                  <w:r>
                    <w:rPr>
                      <w:rFonts w:hint="eastAsia"/>
                      <w:szCs w:val="21"/>
                      <w:lang w:val="en-US" w:eastAsia="zh-CN"/>
                    </w:rPr>
                    <w:t>2</w:t>
                  </w:r>
                </w:p>
              </w:tc>
              <w:tc>
                <w:tcPr>
                  <w:tcW w:w="320" w:type="pct"/>
                  <w:noWrap w:val="0"/>
                  <w:tcMar>
                    <w:top w:w="28" w:type="dxa"/>
                    <w:left w:w="28" w:type="dxa"/>
                    <w:bottom w:w="28" w:type="dxa"/>
                    <w:right w:w="28" w:type="dxa"/>
                  </w:tcMar>
                  <w:vAlign w:val="center"/>
                </w:tcPr>
                <w:p w14:paraId="37BAC15B">
                  <w:pPr>
                    <w:pageBreakBefore w:val="0"/>
                    <w:kinsoku/>
                    <w:wordWrap/>
                    <w:topLinePunct w:val="0"/>
                    <w:bidi w:val="0"/>
                    <w:spacing w:line="280" w:lineRule="exact"/>
                    <w:jc w:val="center"/>
                    <w:rPr>
                      <w:szCs w:val="21"/>
                    </w:rPr>
                  </w:pPr>
                  <w:r>
                    <w:rPr>
                      <w:szCs w:val="21"/>
                    </w:rPr>
                    <w:t>废</w:t>
                  </w:r>
                  <w:r>
                    <w:rPr>
                      <w:rFonts w:hint="eastAsia"/>
                      <w:szCs w:val="21"/>
                    </w:rPr>
                    <w:t>润滑油</w:t>
                  </w:r>
                </w:p>
              </w:tc>
              <w:tc>
                <w:tcPr>
                  <w:tcW w:w="550" w:type="pct"/>
                  <w:noWrap w:val="0"/>
                  <w:tcMar>
                    <w:top w:w="28" w:type="dxa"/>
                    <w:left w:w="28" w:type="dxa"/>
                    <w:bottom w:w="28" w:type="dxa"/>
                    <w:right w:w="28" w:type="dxa"/>
                  </w:tcMar>
                  <w:vAlign w:val="center"/>
                </w:tcPr>
                <w:p w14:paraId="7E812F1A">
                  <w:pPr>
                    <w:pageBreakBefore w:val="0"/>
                    <w:kinsoku/>
                    <w:wordWrap/>
                    <w:topLinePunct w:val="0"/>
                    <w:bidi w:val="0"/>
                    <w:spacing w:line="280" w:lineRule="exact"/>
                    <w:jc w:val="center"/>
                    <w:rPr>
                      <w:bCs/>
                      <w:szCs w:val="21"/>
                    </w:rPr>
                  </w:pPr>
                  <w:r>
                    <w:rPr>
                      <w:rFonts w:hint="eastAsia"/>
                      <w:bCs/>
                      <w:szCs w:val="21"/>
                    </w:rPr>
                    <w:t>压缩机</w:t>
                  </w:r>
                </w:p>
              </w:tc>
              <w:tc>
                <w:tcPr>
                  <w:tcW w:w="1243" w:type="pct"/>
                  <w:noWrap w:val="0"/>
                  <w:tcMar>
                    <w:top w:w="28" w:type="dxa"/>
                    <w:left w:w="28" w:type="dxa"/>
                    <w:bottom w:w="28" w:type="dxa"/>
                    <w:right w:w="28" w:type="dxa"/>
                  </w:tcMar>
                  <w:vAlign w:val="center"/>
                </w:tcPr>
                <w:p w14:paraId="692249F9">
                  <w:pPr>
                    <w:pageBreakBefore w:val="0"/>
                    <w:kinsoku/>
                    <w:wordWrap/>
                    <w:topLinePunct w:val="0"/>
                    <w:bidi w:val="0"/>
                    <w:spacing w:line="280" w:lineRule="exact"/>
                    <w:jc w:val="center"/>
                    <w:rPr>
                      <w:bCs/>
                      <w:szCs w:val="21"/>
                    </w:rPr>
                  </w:pPr>
                  <w:r>
                    <w:rPr>
                      <w:bCs/>
                      <w:szCs w:val="21"/>
                    </w:rPr>
                    <w:t>危险废物</w:t>
                  </w:r>
                </w:p>
                <w:p w14:paraId="036E7B02">
                  <w:pPr>
                    <w:pageBreakBefore w:val="0"/>
                    <w:kinsoku/>
                    <w:wordWrap/>
                    <w:topLinePunct w:val="0"/>
                    <w:bidi w:val="0"/>
                    <w:spacing w:line="280" w:lineRule="exact"/>
                    <w:jc w:val="center"/>
                    <w:rPr>
                      <w:bCs/>
                      <w:szCs w:val="21"/>
                    </w:rPr>
                  </w:pPr>
                  <w:r>
                    <w:rPr>
                      <w:bCs/>
                      <w:szCs w:val="21"/>
                    </w:rPr>
                    <w:t>（HW08 900-214-08）</w:t>
                  </w:r>
                </w:p>
              </w:tc>
              <w:tc>
                <w:tcPr>
                  <w:tcW w:w="440" w:type="pct"/>
                  <w:noWrap w:val="0"/>
                  <w:tcMar>
                    <w:top w:w="28" w:type="dxa"/>
                    <w:left w:w="28" w:type="dxa"/>
                    <w:bottom w:w="28" w:type="dxa"/>
                    <w:right w:w="28" w:type="dxa"/>
                  </w:tcMar>
                  <w:vAlign w:val="center"/>
                </w:tcPr>
                <w:p w14:paraId="110BF6CD">
                  <w:pPr>
                    <w:pageBreakBefore w:val="0"/>
                    <w:kinsoku/>
                    <w:wordWrap/>
                    <w:topLinePunct w:val="0"/>
                    <w:bidi w:val="0"/>
                    <w:spacing w:line="280" w:lineRule="exact"/>
                    <w:jc w:val="center"/>
                    <w:rPr>
                      <w:bCs/>
                      <w:szCs w:val="21"/>
                    </w:rPr>
                  </w:pPr>
                  <w:r>
                    <w:rPr>
                      <w:rFonts w:hint="eastAsia"/>
                      <w:bCs/>
                      <w:szCs w:val="21"/>
                    </w:rPr>
                    <w:t>1</w:t>
                  </w:r>
                </w:p>
              </w:tc>
              <w:tc>
                <w:tcPr>
                  <w:tcW w:w="2133" w:type="pct"/>
                  <w:noWrap w:val="0"/>
                  <w:tcMar>
                    <w:top w:w="28" w:type="dxa"/>
                    <w:left w:w="28" w:type="dxa"/>
                    <w:bottom w:w="28" w:type="dxa"/>
                    <w:right w:w="28" w:type="dxa"/>
                  </w:tcMar>
                  <w:vAlign w:val="center"/>
                </w:tcPr>
                <w:p w14:paraId="0E160BF6">
                  <w:pPr>
                    <w:pageBreakBefore w:val="0"/>
                    <w:kinsoku/>
                    <w:wordWrap/>
                    <w:topLinePunct w:val="0"/>
                    <w:bidi w:val="0"/>
                    <w:spacing w:line="280" w:lineRule="exact"/>
                    <w:jc w:val="center"/>
                    <w:rPr>
                      <w:bCs/>
                      <w:szCs w:val="21"/>
                    </w:rPr>
                  </w:pPr>
                  <w:r>
                    <w:rPr>
                      <w:rFonts w:hint="eastAsia"/>
                      <w:bCs/>
                      <w:szCs w:val="21"/>
                      <w:lang w:val="en-US" w:eastAsia="zh-CN"/>
                    </w:rPr>
                    <w:t>密闭</w:t>
                  </w:r>
                  <w:r>
                    <w:rPr>
                      <w:bCs/>
                      <w:szCs w:val="21"/>
                    </w:rPr>
                    <w:t>钢制容器存装，依托新疆圣雄能源股份有限公司危险废物暂存间临时存储，委托有对应类别危废处置资质的单位负责清运并处置</w:t>
                  </w:r>
                </w:p>
              </w:tc>
            </w:tr>
            <w:tr w14:paraId="70EA49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12" w:type="pct"/>
                  <w:noWrap w:val="0"/>
                  <w:tcMar>
                    <w:top w:w="28" w:type="dxa"/>
                    <w:left w:w="28" w:type="dxa"/>
                    <w:bottom w:w="28" w:type="dxa"/>
                    <w:right w:w="28" w:type="dxa"/>
                  </w:tcMar>
                  <w:vAlign w:val="center"/>
                </w:tcPr>
                <w:p w14:paraId="19CD3D57">
                  <w:pPr>
                    <w:pageBreakBefore w:val="0"/>
                    <w:kinsoku/>
                    <w:wordWrap/>
                    <w:topLinePunct w:val="0"/>
                    <w:bidi w:val="0"/>
                    <w:spacing w:line="280" w:lineRule="exact"/>
                    <w:jc w:val="center"/>
                    <w:rPr>
                      <w:rFonts w:hint="eastAsia" w:eastAsia="宋体"/>
                      <w:szCs w:val="21"/>
                      <w:lang w:eastAsia="zh-CN"/>
                    </w:rPr>
                  </w:pPr>
                  <w:r>
                    <w:rPr>
                      <w:rFonts w:hint="eastAsia"/>
                      <w:szCs w:val="21"/>
                      <w:lang w:val="en-US" w:eastAsia="zh-CN"/>
                    </w:rPr>
                    <w:t>3</w:t>
                  </w:r>
                </w:p>
              </w:tc>
              <w:tc>
                <w:tcPr>
                  <w:tcW w:w="320" w:type="pct"/>
                  <w:noWrap w:val="0"/>
                  <w:tcMar>
                    <w:top w:w="28" w:type="dxa"/>
                    <w:left w:w="28" w:type="dxa"/>
                    <w:bottom w:w="28" w:type="dxa"/>
                    <w:right w:w="28" w:type="dxa"/>
                  </w:tcMar>
                  <w:vAlign w:val="center"/>
                </w:tcPr>
                <w:p w14:paraId="5760775B">
                  <w:pPr>
                    <w:pageBreakBefore w:val="0"/>
                    <w:kinsoku/>
                    <w:wordWrap/>
                    <w:topLinePunct w:val="0"/>
                    <w:bidi w:val="0"/>
                    <w:spacing w:line="280" w:lineRule="exact"/>
                    <w:jc w:val="center"/>
                    <w:rPr>
                      <w:szCs w:val="21"/>
                    </w:rPr>
                  </w:pPr>
                  <w:r>
                    <w:rPr>
                      <w:szCs w:val="21"/>
                    </w:rPr>
                    <w:t>废吸附剂</w:t>
                  </w:r>
                </w:p>
              </w:tc>
              <w:tc>
                <w:tcPr>
                  <w:tcW w:w="550" w:type="pct"/>
                  <w:noWrap w:val="0"/>
                  <w:tcMar>
                    <w:top w:w="28" w:type="dxa"/>
                    <w:left w:w="28" w:type="dxa"/>
                    <w:bottom w:w="28" w:type="dxa"/>
                    <w:right w:w="28" w:type="dxa"/>
                  </w:tcMar>
                  <w:vAlign w:val="center"/>
                </w:tcPr>
                <w:p w14:paraId="7C75BCC8">
                  <w:pPr>
                    <w:pageBreakBefore w:val="0"/>
                    <w:kinsoku/>
                    <w:wordWrap/>
                    <w:topLinePunct w:val="0"/>
                    <w:bidi w:val="0"/>
                    <w:spacing w:line="280" w:lineRule="exact"/>
                    <w:jc w:val="center"/>
                    <w:rPr>
                      <w:bCs/>
                      <w:szCs w:val="21"/>
                    </w:rPr>
                  </w:pPr>
                  <w:r>
                    <w:rPr>
                      <w:rFonts w:hint="eastAsia"/>
                      <w:bCs/>
                      <w:szCs w:val="21"/>
                    </w:rPr>
                    <w:t>TSA</w:t>
                  </w:r>
                </w:p>
              </w:tc>
              <w:tc>
                <w:tcPr>
                  <w:tcW w:w="1243" w:type="pct"/>
                  <w:noWrap w:val="0"/>
                  <w:tcMar>
                    <w:top w:w="28" w:type="dxa"/>
                    <w:left w:w="28" w:type="dxa"/>
                    <w:bottom w:w="28" w:type="dxa"/>
                    <w:right w:w="28" w:type="dxa"/>
                  </w:tcMar>
                  <w:vAlign w:val="center"/>
                </w:tcPr>
                <w:p w14:paraId="6E5B8F46">
                  <w:pPr>
                    <w:pageBreakBefore w:val="0"/>
                    <w:kinsoku/>
                    <w:wordWrap/>
                    <w:topLinePunct w:val="0"/>
                    <w:bidi w:val="0"/>
                    <w:spacing w:line="280" w:lineRule="exact"/>
                    <w:jc w:val="center"/>
                    <w:rPr>
                      <w:bCs/>
                      <w:szCs w:val="21"/>
                    </w:rPr>
                  </w:pPr>
                  <w:r>
                    <w:rPr>
                      <w:bCs/>
                      <w:szCs w:val="21"/>
                    </w:rPr>
                    <w:t>危险废物（HW49-900-041-49）</w:t>
                  </w:r>
                </w:p>
              </w:tc>
              <w:tc>
                <w:tcPr>
                  <w:tcW w:w="440" w:type="pct"/>
                  <w:noWrap w:val="0"/>
                  <w:tcMar>
                    <w:top w:w="28" w:type="dxa"/>
                    <w:left w:w="28" w:type="dxa"/>
                    <w:bottom w:w="28" w:type="dxa"/>
                    <w:right w:w="28" w:type="dxa"/>
                  </w:tcMar>
                  <w:vAlign w:val="center"/>
                </w:tcPr>
                <w:p w14:paraId="04ECB2C5">
                  <w:pPr>
                    <w:pageBreakBefore w:val="0"/>
                    <w:kinsoku/>
                    <w:wordWrap/>
                    <w:topLinePunct w:val="0"/>
                    <w:bidi w:val="0"/>
                    <w:spacing w:line="280" w:lineRule="exact"/>
                    <w:jc w:val="center"/>
                    <w:rPr>
                      <w:bCs/>
                      <w:szCs w:val="21"/>
                    </w:rPr>
                  </w:pPr>
                  <w:r>
                    <w:rPr>
                      <w:rFonts w:hint="eastAsia"/>
                      <w:bCs/>
                      <w:szCs w:val="21"/>
                    </w:rPr>
                    <w:t>256.571</w:t>
                  </w:r>
                </w:p>
              </w:tc>
              <w:tc>
                <w:tcPr>
                  <w:tcW w:w="2133" w:type="pct"/>
                  <w:noWrap w:val="0"/>
                  <w:tcMar>
                    <w:top w:w="28" w:type="dxa"/>
                    <w:left w:w="28" w:type="dxa"/>
                    <w:bottom w:w="28" w:type="dxa"/>
                    <w:right w:w="28" w:type="dxa"/>
                  </w:tcMar>
                  <w:vAlign w:val="center"/>
                </w:tcPr>
                <w:p w14:paraId="546D590B">
                  <w:pPr>
                    <w:pageBreakBefore w:val="0"/>
                    <w:kinsoku/>
                    <w:wordWrap/>
                    <w:topLinePunct w:val="0"/>
                    <w:bidi w:val="0"/>
                    <w:spacing w:line="280" w:lineRule="exact"/>
                    <w:jc w:val="center"/>
                    <w:rPr>
                      <w:bCs/>
                      <w:szCs w:val="21"/>
                    </w:rPr>
                  </w:pPr>
                  <w:r>
                    <w:rPr>
                      <w:bCs/>
                      <w:szCs w:val="21"/>
                    </w:rPr>
                    <w:t>密闭容器</w:t>
                  </w:r>
                  <w:r>
                    <w:rPr>
                      <w:rFonts w:hint="eastAsia"/>
                      <w:bCs/>
                      <w:szCs w:val="21"/>
                    </w:rPr>
                    <w:t>存储</w:t>
                  </w:r>
                  <w:r>
                    <w:rPr>
                      <w:bCs/>
                      <w:szCs w:val="21"/>
                    </w:rPr>
                    <w:t>，依托新疆圣雄能源股份有限公司危险废物暂存间临时存储，委托有对应类别危废处置资质的单位负责清运并处置</w:t>
                  </w:r>
                </w:p>
              </w:tc>
            </w:tr>
            <w:tr w14:paraId="6F6C15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12" w:type="pct"/>
                  <w:noWrap w:val="0"/>
                  <w:tcMar>
                    <w:top w:w="28" w:type="dxa"/>
                    <w:left w:w="28" w:type="dxa"/>
                    <w:bottom w:w="28" w:type="dxa"/>
                    <w:right w:w="28" w:type="dxa"/>
                  </w:tcMar>
                  <w:vAlign w:val="center"/>
                </w:tcPr>
                <w:p w14:paraId="63E51371">
                  <w:pPr>
                    <w:pageBreakBefore w:val="0"/>
                    <w:kinsoku/>
                    <w:wordWrap/>
                    <w:topLinePunct w:val="0"/>
                    <w:bidi w:val="0"/>
                    <w:spacing w:line="280" w:lineRule="exact"/>
                    <w:jc w:val="center"/>
                    <w:rPr>
                      <w:szCs w:val="21"/>
                    </w:rPr>
                  </w:pPr>
                  <w:r>
                    <w:rPr>
                      <w:rFonts w:hint="eastAsia"/>
                      <w:szCs w:val="21"/>
                    </w:rPr>
                    <w:t>4</w:t>
                  </w:r>
                </w:p>
              </w:tc>
              <w:tc>
                <w:tcPr>
                  <w:tcW w:w="320" w:type="pct"/>
                  <w:noWrap w:val="0"/>
                  <w:tcMar>
                    <w:top w:w="28" w:type="dxa"/>
                    <w:left w:w="28" w:type="dxa"/>
                    <w:bottom w:w="28" w:type="dxa"/>
                    <w:right w:w="28" w:type="dxa"/>
                  </w:tcMar>
                  <w:vAlign w:val="center"/>
                </w:tcPr>
                <w:p w14:paraId="5F1FEC53">
                  <w:pPr>
                    <w:pageBreakBefore w:val="0"/>
                    <w:kinsoku/>
                    <w:wordWrap/>
                    <w:topLinePunct w:val="0"/>
                    <w:bidi w:val="0"/>
                    <w:spacing w:line="280" w:lineRule="exact"/>
                    <w:jc w:val="center"/>
                    <w:rPr>
                      <w:szCs w:val="21"/>
                    </w:rPr>
                  </w:pPr>
                  <w:r>
                    <w:rPr>
                      <w:bCs/>
                      <w:szCs w:val="21"/>
                    </w:rPr>
                    <w:t>生活垃圾</w:t>
                  </w:r>
                </w:p>
              </w:tc>
              <w:tc>
                <w:tcPr>
                  <w:tcW w:w="550" w:type="pct"/>
                  <w:noWrap w:val="0"/>
                  <w:tcMar>
                    <w:top w:w="28" w:type="dxa"/>
                    <w:left w:w="28" w:type="dxa"/>
                    <w:bottom w:w="28" w:type="dxa"/>
                    <w:right w:w="28" w:type="dxa"/>
                  </w:tcMar>
                  <w:vAlign w:val="center"/>
                </w:tcPr>
                <w:p w14:paraId="532C9031">
                  <w:pPr>
                    <w:pageBreakBefore w:val="0"/>
                    <w:kinsoku/>
                    <w:wordWrap/>
                    <w:topLinePunct w:val="0"/>
                    <w:bidi w:val="0"/>
                    <w:spacing w:line="280" w:lineRule="exact"/>
                    <w:jc w:val="center"/>
                    <w:rPr>
                      <w:bCs/>
                      <w:szCs w:val="21"/>
                    </w:rPr>
                  </w:pPr>
                  <w:r>
                    <w:rPr>
                      <w:bCs/>
                      <w:szCs w:val="21"/>
                    </w:rPr>
                    <w:t>员工生活</w:t>
                  </w:r>
                </w:p>
              </w:tc>
              <w:tc>
                <w:tcPr>
                  <w:tcW w:w="1243" w:type="pct"/>
                  <w:noWrap w:val="0"/>
                  <w:tcMar>
                    <w:top w:w="28" w:type="dxa"/>
                    <w:left w:w="28" w:type="dxa"/>
                    <w:bottom w:w="28" w:type="dxa"/>
                    <w:right w:w="28" w:type="dxa"/>
                  </w:tcMar>
                  <w:vAlign w:val="center"/>
                </w:tcPr>
                <w:p w14:paraId="3F8B8293">
                  <w:pPr>
                    <w:pageBreakBefore w:val="0"/>
                    <w:kinsoku/>
                    <w:wordWrap/>
                    <w:topLinePunct w:val="0"/>
                    <w:bidi w:val="0"/>
                    <w:spacing w:line="280" w:lineRule="exact"/>
                    <w:jc w:val="center"/>
                    <w:rPr>
                      <w:bCs/>
                      <w:szCs w:val="21"/>
                    </w:rPr>
                  </w:pPr>
                  <w:r>
                    <w:rPr>
                      <w:bCs/>
                      <w:szCs w:val="21"/>
                    </w:rPr>
                    <w:t>-</w:t>
                  </w:r>
                </w:p>
              </w:tc>
              <w:tc>
                <w:tcPr>
                  <w:tcW w:w="440" w:type="pct"/>
                  <w:noWrap w:val="0"/>
                  <w:tcMar>
                    <w:top w:w="28" w:type="dxa"/>
                    <w:left w:w="28" w:type="dxa"/>
                    <w:bottom w:w="28" w:type="dxa"/>
                    <w:right w:w="28" w:type="dxa"/>
                  </w:tcMar>
                  <w:vAlign w:val="center"/>
                </w:tcPr>
                <w:p w14:paraId="442FC40B">
                  <w:pPr>
                    <w:pageBreakBefore w:val="0"/>
                    <w:kinsoku/>
                    <w:wordWrap/>
                    <w:topLinePunct w:val="0"/>
                    <w:bidi w:val="0"/>
                    <w:spacing w:line="280" w:lineRule="exact"/>
                    <w:jc w:val="center"/>
                    <w:rPr>
                      <w:bCs/>
                      <w:szCs w:val="21"/>
                    </w:rPr>
                  </w:pPr>
                  <w:r>
                    <w:rPr>
                      <w:rFonts w:hint="eastAsia"/>
                      <w:bCs/>
                      <w:szCs w:val="21"/>
                    </w:rPr>
                    <w:t>7.493</w:t>
                  </w:r>
                </w:p>
              </w:tc>
              <w:tc>
                <w:tcPr>
                  <w:tcW w:w="2133" w:type="pct"/>
                  <w:noWrap w:val="0"/>
                  <w:tcMar>
                    <w:top w:w="28" w:type="dxa"/>
                    <w:left w:w="28" w:type="dxa"/>
                    <w:bottom w:w="28" w:type="dxa"/>
                    <w:right w:w="28" w:type="dxa"/>
                  </w:tcMar>
                  <w:vAlign w:val="center"/>
                </w:tcPr>
                <w:p w14:paraId="01A943FD">
                  <w:pPr>
                    <w:pageBreakBefore w:val="0"/>
                    <w:kinsoku/>
                    <w:wordWrap/>
                    <w:topLinePunct w:val="0"/>
                    <w:bidi w:val="0"/>
                    <w:spacing w:line="280" w:lineRule="exact"/>
                    <w:jc w:val="center"/>
                    <w:rPr>
                      <w:bCs/>
                      <w:szCs w:val="21"/>
                    </w:rPr>
                  </w:pPr>
                  <w:r>
                    <w:rPr>
                      <w:bCs/>
                      <w:szCs w:val="21"/>
                    </w:rPr>
                    <w:t>设置垃圾箱收集，由当地环卫部门定期清运处置</w:t>
                  </w:r>
                </w:p>
              </w:tc>
            </w:tr>
          </w:tbl>
          <w:p w14:paraId="42915DF6">
            <w:pPr>
              <w:pageBreakBefore w:val="0"/>
              <w:kinsoku/>
              <w:wordWrap/>
              <w:topLinePunct w:val="0"/>
              <w:bidi w:val="0"/>
              <w:spacing w:line="360" w:lineRule="auto"/>
              <w:ind w:firstLine="482" w:firstLineChars="200"/>
              <w:rPr>
                <w:sz w:val="24"/>
              </w:rPr>
            </w:pPr>
            <w:r>
              <w:rPr>
                <w:b/>
                <w:bCs/>
                <w:sz w:val="24"/>
              </w:rPr>
              <w:t>4.2 固体废物管理要求</w:t>
            </w:r>
          </w:p>
          <w:p w14:paraId="038418FF">
            <w:pPr>
              <w:pageBreakBefore w:val="0"/>
              <w:kinsoku/>
              <w:wordWrap/>
              <w:topLinePunct w:val="0"/>
              <w:bidi w:val="0"/>
              <w:spacing w:line="360" w:lineRule="auto"/>
              <w:ind w:firstLine="480" w:firstLineChars="200"/>
              <w:rPr>
                <w:rFonts w:hint="default" w:eastAsia="宋体"/>
                <w:sz w:val="24"/>
                <w:lang w:val="en-US" w:eastAsia="zh-CN"/>
              </w:rPr>
            </w:pPr>
            <w:r>
              <w:rPr>
                <w:sz w:val="24"/>
              </w:rPr>
              <w:t>本项目</w:t>
            </w:r>
            <w:r>
              <w:rPr>
                <w:rFonts w:hint="eastAsia"/>
                <w:sz w:val="24"/>
                <w:lang w:val="en-US" w:eastAsia="zh-CN"/>
              </w:rPr>
              <w:t>预处理生产工序设置污油罐临时存储含油废液，污油罐区域采取重点防渗要求。经收集的含油废液和废润滑油用密闭</w:t>
            </w:r>
            <w:r>
              <w:rPr>
                <w:sz w:val="24"/>
              </w:rPr>
              <w:t>钢制容器存装，</w:t>
            </w:r>
            <w:r>
              <w:rPr>
                <w:rFonts w:hint="eastAsia"/>
                <w:sz w:val="24"/>
              </w:rPr>
              <w:t>废吸附剂用密闭容器存装，</w:t>
            </w:r>
            <w:r>
              <w:rPr>
                <w:rFonts w:hint="eastAsia"/>
                <w:sz w:val="24"/>
                <w:lang w:val="en-US" w:eastAsia="zh-CN"/>
              </w:rPr>
              <w:t>不在本项目内存储，全部</w:t>
            </w:r>
            <w:r>
              <w:rPr>
                <w:rFonts w:hint="eastAsia"/>
                <w:sz w:val="24"/>
              </w:rPr>
              <w:t>依托新疆圣雄能源股份有限公司危险废物暂存间临时存储，委托有对应类别危废处置资质的单位负责清运并处置</w:t>
            </w:r>
            <w:r>
              <w:rPr>
                <w:sz w:val="24"/>
              </w:rPr>
              <w:t>；</w:t>
            </w:r>
            <w:r>
              <w:rPr>
                <w:rFonts w:hint="eastAsia"/>
                <w:sz w:val="24"/>
                <w:lang w:val="en-US" w:eastAsia="zh-CN"/>
              </w:rPr>
              <w:t>设置垃圾箱收集</w:t>
            </w:r>
            <w:r>
              <w:rPr>
                <w:sz w:val="24"/>
              </w:rPr>
              <w:t>生活垃圾</w:t>
            </w:r>
            <w:r>
              <w:rPr>
                <w:rFonts w:hint="eastAsia"/>
                <w:sz w:val="24"/>
                <w:lang w:eastAsia="zh-CN"/>
              </w:rPr>
              <w:t>，</w:t>
            </w:r>
            <w:r>
              <w:rPr>
                <w:sz w:val="24"/>
              </w:rPr>
              <w:t>依托当地环卫部门定期清运。</w:t>
            </w:r>
            <w:r>
              <w:rPr>
                <w:rFonts w:hint="eastAsia"/>
                <w:sz w:val="24"/>
                <w:lang w:val="en-US" w:eastAsia="zh-CN"/>
              </w:rPr>
              <w:t>所有固体废物均得到妥善处置，不随意排放。</w:t>
            </w:r>
          </w:p>
          <w:p w14:paraId="30DAB5FD">
            <w:pPr>
              <w:pageBreakBefore w:val="0"/>
              <w:kinsoku/>
              <w:wordWrap/>
              <w:topLinePunct w:val="0"/>
              <w:bidi w:val="0"/>
              <w:spacing w:line="360" w:lineRule="auto"/>
              <w:ind w:firstLine="480" w:firstLineChars="200"/>
              <w:rPr>
                <w:sz w:val="24"/>
              </w:rPr>
            </w:pPr>
            <w:r>
              <w:rPr>
                <w:sz w:val="24"/>
              </w:rPr>
              <w:t>本项目产生的固体废物应按性质不同分类进行贮存，贮存场所采取防风、防雨、防渗措施。生活垃圾参照《一般工业固体废物贮存和填埋污染控制标准》</w:t>
            </w:r>
            <w:r>
              <w:rPr>
                <w:rFonts w:hint="eastAsia"/>
                <w:sz w:val="24"/>
              </w:rPr>
              <w:t>（</w:t>
            </w:r>
            <w:r>
              <w:rPr>
                <w:sz w:val="24"/>
              </w:rPr>
              <w:t>GB</w:t>
            </w:r>
            <w:r>
              <w:rPr>
                <w:rFonts w:hint="eastAsia"/>
                <w:sz w:val="24"/>
              </w:rPr>
              <w:t xml:space="preserve"> </w:t>
            </w:r>
            <w:r>
              <w:rPr>
                <w:sz w:val="24"/>
              </w:rPr>
              <w:t>18599-2020）要求执行；危险废物按照《危险废物贮存污染控制标准》（GB 18597-20</w:t>
            </w:r>
            <w:r>
              <w:rPr>
                <w:rFonts w:hint="eastAsia"/>
                <w:sz w:val="24"/>
              </w:rPr>
              <w:t>23</w:t>
            </w:r>
            <w:r>
              <w:rPr>
                <w:sz w:val="24"/>
              </w:rPr>
              <w:t>）、《危险废物收集 贮存 运输技术规范》（HJ 2025-2012）要求执行。</w:t>
            </w:r>
          </w:p>
          <w:p w14:paraId="05818534">
            <w:pPr>
              <w:pageBreakBefore w:val="0"/>
              <w:kinsoku/>
              <w:wordWrap/>
              <w:topLinePunct w:val="0"/>
              <w:bidi w:val="0"/>
              <w:spacing w:line="360" w:lineRule="auto"/>
              <w:ind w:firstLine="482" w:firstLineChars="200"/>
              <w:rPr>
                <w:b/>
                <w:sz w:val="24"/>
              </w:rPr>
            </w:pPr>
            <w:r>
              <w:rPr>
                <w:b/>
                <w:sz w:val="24"/>
              </w:rPr>
              <w:t>5 地下水、土壤</w:t>
            </w:r>
          </w:p>
          <w:p w14:paraId="7898C93D">
            <w:pPr>
              <w:pageBreakBefore w:val="0"/>
              <w:kinsoku/>
              <w:wordWrap/>
              <w:topLinePunct w:val="0"/>
              <w:bidi w:val="0"/>
              <w:spacing w:line="360" w:lineRule="auto"/>
              <w:ind w:firstLine="482" w:firstLineChars="200"/>
              <w:rPr>
                <w:bCs/>
                <w:sz w:val="24"/>
              </w:rPr>
            </w:pPr>
            <w:r>
              <w:rPr>
                <w:b/>
                <w:sz w:val="24"/>
              </w:rPr>
              <w:t>5.1 污染源、污染类型及污染途径</w:t>
            </w:r>
          </w:p>
          <w:p w14:paraId="69C8DE68">
            <w:pPr>
              <w:pageBreakBefore w:val="0"/>
              <w:kinsoku/>
              <w:wordWrap/>
              <w:topLinePunct w:val="0"/>
              <w:bidi w:val="0"/>
              <w:spacing w:line="360" w:lineRule="auto"/>
              <w:ind w:firstLine="480" w:firstLineChars="200"/>
              <w:rPr>
                <w:bCs/>
                <w:sz w:val="24"/>
              </w:rPr>
            </w:pPr>
            <w:r>
              <w:rPr>
                <w:bCs/>
                <w:sz w:val="24"/>
              </w:rPr>
              <w:t>地下水及土壤污染源包括有工业污染源、农业污染源以及生活污染源。根据项目工程分析与现场踏勘的结果，评价区域内与本项目有关的主要地下水及土壤污染源为工业污染源。</w:t>
            </w:r>
          </w:p>
          <w:p w14:paraId="41083842">
            <w:pPr>
              <w:pageBreakBefore w:val="0"/>
              <w:kinsoku/>
              <w:wordWrap/>
              <w:topLinePunct w:val="0"/>
              <w:bidi w:val="0"/>
              <w:spacing w:line="360" w:lineRule="auto"/>
              <w:ind w:firstLine="480" w:firstLineChars="200"/>
              <w:rPr>
                <w:bCs/>
                <w:sz w:val="24"/>
              </w:rPr>
            </w:pPr>
            <w:r>
              <w:rPr>
                <w:kern w:val="0"/>
                <w:sz w:val="24"/>
              </w:rPr>
              <w:t>本项目运营期正常运营情况下产生的废物不存在地下水、土壤环境污染途径，</w:t>
            </w:r>
            <w:r>
              <w:rPr>
                <w:bCs/>
                <w:sz w:val="24"/>
              </w:rPr>
              <w:t>与本项目地下水及土壤相关的污染源可能为</w:t>
            </w:r>
            <w:r>
              <w:rPr>
                <w:rFonts w:hint="eastAsia"/>
                <w:bCs/>
                <w:sz w:val="24"/>
              </w:rPr>
              <w:t>排水管线破损，生活污水和循环排水渗入地下</w:t>
            </w:r>
            <w:r>
              <w:rPr>
                <w:bCs/>
                <w:sz w:val="24"/>
              </w:rPr>
              <w:t>。</w:t>
            </w:r>
          </w:p>
          <w:p w14:paraId="210991B1">
            <w:pPr>
              <w:pageBreakBefore w:val="0"/>
              <w:kinsoku/>
              <w:wordWrap/>
              <w:topLinePunct w:val="0"/>
              <w:bidi w:val="0"/>
              <w:spacing w:line="360" w:lineRule="auto"/>
              <w:ind w:firstLine="482" w:firstLineChars="200"/>
              <w:rPr>
                <w:bCs/>
                <w:sz w:val="24"/>
              </w:rPr>
            </w:pPr>
            <w:r>
              <w:rPr>
                <w:b/>
                <w:sz w:val="24"/>
              </w:rPr>
              <w:t>5.2 污染防控措施</w:t>
            </w:r>
          </w:p>
          <w:p w14:paraId="4721051C">
            <w:pPr>
              <w:pageBreakBefore w:val="0"/>
              <w:kinsoku/>
              <w:wordWrap/>
              <w:topLinePunct w:val="0"/>
              <w:bidi w:val="0"/>
              <w:spacing w:line="360" w:lineRule="auto"/>
              <w:ind w:firstLine="480" w:firstLineChars="200"/>
              <w:rPr>
                <w:bCs/>
                <w:sz w:val="24"/>
              </w:rPr>
            </w:pPr>
            <w:r>
              <w:rPr>
                <w:bCs/>
                <w:sz w:val="24"/>
              </w:rPr>
              <w:t>针对可能发生的地下水及土壤污染，本项目运行期地下水及土壤污染防治措施将按照“源头控制、分区防治、污染监控、应急响应”相结合的原则，从污染物的产生、入渗、扩散、应急响应全方位进行防控。</w:t>
            </w:r>
          </w:p>
          <w:p w14:paraId="4F989004">
            <w:pPr>
              <w:pageBreakBefore w:val="0"/>
              <w:kinsoku/>
              <w:wordWrap/>
              <w:topLinePunct w:val="0"/>
              <w:bidi w:val="0"/>
              <w:spacing w:line="360" w:lineRule="auto"/>
              <w:ind w:firstLine="480" w:firstLineChars="200"/>
              <w:rPr>
                <w:bCs/>
                <w:sz w:val="24"/>
              </w:rPr>
            </w:pPr>
            <w:r>
              <w:rPr>
                <w:sz w:val="24"/>
              </w:rPr>
              <w:t>（</w:t>
            </w:r>
            <w:r>
              <w:rPr>
                <w:bCs/>
                <w:sz w:val="24"/>
              </w:rPr>
              <w:t>1）源头控制措施</w:t>
            </w:r>
          </w:p>
          <w:p w14:paraId="0E6AFE64">
            <w:pPr>
              <w:pageBreakBefore w:val="0"/>
              <w:kinsoku/>
              <w:wordWrap/>
              <w:topLinePunct w:val="0"/>
              <w:bidi w:val="0"/>
              <w:spacing w:line="360" w:lineRule="auto"/>
              <w:ind w:firstLine="480" w:firstLineChars="200"/>
              <w:rPr>
                <w:bCs/>
                <w:sz w:val="24"/>
              </w:rPr>
            </w:pPr>
            <w:r>
              <w:rPr>
                <w:bCs/>
                <w:sz w:val="24"/>
              </w:rPr>
              <w:t>定期检查</w:t>
            </w:r>
            <w:r>
              <w:rPr>
                <w:rFonts w:hint="eastAsia"/>
                <w:bCs/>
                <w:sz w:val="24"/>
              </w:rPr>
              <w:t>排水管线的密闭性和完好程度，检查</w:t>
            </w:r>
            <w:r>
              <w:rPr>
                <w:bCs/>
                <w:sz w:val="24"/>
              </w:rPr>
              <w:t>是否有</w:t>
            </w:r>
            <w:r>
              <w:rPr>
                <w:rFonts w:hint="eastAsia"/>
                <w:bCs/>
                <w:sz w:val="24"/>
              </w:rPr>
              <w:t>渗漏</w:t>
            </w:r>
            <w:r>
              <w:rPr>
                <w:bCs/>
                <w:sz w:val="24"/>
              </w:rPr>
              <w:t>、</w:t>
            </w:r>
            <w:r>
              <w:rPr>
                <w:rFonts w:hint="eastAsia"/>
                <w:bCs/>
                <w:sz w:val="24"/>
              </w:rPr>
              <w:t>破损</w:t>
            </w:r>
            <w:r>
              <w:rPr>
                <w:bCs/>
                <w:sz w:val="24"/>
              </w:rPr>
              <w:t>等迹象，及时发现隐患。</w:t>
            </w:r>
          </w:p>
          <w:p w14:paraId="52E2507A">
            <w:pPr>
              <w:pageBreakBefore w:val="0"/>
              <w:kinsoku/>
              <w:wordWrap/>
              <w:topLinePunct w:val="0"/>
              <w:bidi w:val="0"/>
              <w:spacing w:line="360" w:lineRule="auto"/>
              <w:ind w:firstLine="480" w:firstLineChars="200"/>
              <w:rPr>
                <w:bCs/>
                <w:sz w:val="24"/>
              </w:rPr>
            </w:pPr>
            <w:r>
              <w:rPr>
                <w:sz w:val="24"/>
              </w:rPr>
              <w:t>（</w:t>
            </w:r>
            <w:r>
              <w:rPr>
                <w:bCs/>
                <w:sz w:val="24"/>
              </w:rPr>
              <w:t>2）分区防渗</w:t>
            </w:r>
          </w:p>
          <w:p w14:paraId="678C8311">
            <w:pPr>
              <w:pageBreakBefore w:val="0"/>
              <w:kinsoku/>
              <w:wordWrap/>
              <w:topLinePunct w:val="0"/>
              <w:bidi w:val="0"/>
              <w:spacing w:line="360" w:lineRule="auto"/>
              <w:ind w:firstLine="480" w:firstLineChars="200"/>
              <w:rPr>
                <w:bCs/>
                <w:sz w:val="24"/>
              </w:rPr>
            </w:pPr>
            <w:r>
              <w:rPr>
                <w:bCs/>
                <w:sz w:val="24"/>
              </w:rPr>
              <w:t>参照《环境影响评价技术导则 地下水环境》(HJ</w:t>
            </w:r>
            <w:r>
              <w:rPr>
                <w:rFonts w:hint="eastAsia"/>
                <w:bCs/>
                <w:sz w:val="24"/>
              </w:rPr>
              <w:t xml:space="preserve"> </w:t>
            </w:r>
            <w:r>
              <w:rPr>
                <w:bCs/>
                <w:sz w:val="24"/>
              </w:rPr>
              <w:t>610-2016)、《一般工业固体废物贮存和填埋污染控制标准》(GB</w:t>
            </w:r>
            <w:r>
              <w:rPr>
                <w:rFonts w:hint="eastAsia"/>
                <w:bCs/>
                <w:sz w:val="24"/>
              </w:rPr>
              <w:t xml:space="preserve"> </w:t>
            </w:r>
            <w:r>
              <w:rPr>
                <w:bCs/>
                <w:sz w:val="24"/>
              </w:rPr>
              <w:t>18599-2020)、《危险废物贮存污染控制标准》</w:t>
            </w:r>
            <w:r>
              <w:rPr>
                <w:rFonts w:hint="eastAsia"/>
                <w:bCs/>
                <w:sz w:val="24"/>
              </w:rPr>
              <w:t>（</w:t>
            </w:r>
            <w:r>
              <w:rPr>
                <w:bCs/>
                <w:sz w:val="24"/>
              </w:rPr>
              <w:t>GB</w:t>
            </w:r>
            <w:r>
              <w:rPr>
                <w:rFonts w:hint="eastAsia"/>
                <w:bCs/>
                <w:sz w:val="24"/>
              </w:rPr>
              <w:t xml:space="preserve"> </w:t>
            </w:r>
            <w:r>
              <w:rPr>
                <w:bCs/>
                <w:sz w:val="24"/>
              </w:rPr>
              <w:t>18597-20</w:t>
            </w:r>
            <w:r>
              <w:rPr>
                <w:rFonts w:hint="eastAsia"/>
                <w:bCs/>
                <w:sz w:val="24"/>
              </w:rPr>
              <w:t>23</w:t>
            </w:r>
            <w:r>
              <w:rPr>
                <w:bCs/>
                <w:sz w:val="24"/>
              </w:rPr>
              <w:t>）及其修改单，本项目的防渗污染防治区划见</w:t>
            </w:r>
            <w:r>
              <w:rPr>
                <w:rFonts w:hint="eastAsia"/>
                <w:bCs/>
                <w:sz w:val="24"/>
              </w:rPr>
              <w:t>下</w:t>
            </w:r>
            <w:r>
              <w:rPr>
                <w:bCs/>
                <w:sz w:val="24"/>
              </w:rPr>
              <w:t>表、附图</w:t>
            </w:r>
            <w:r>
              <w:rPr>
                <w:rFonts w:hint="eastAsia"/>
                <w:bCs/>
                <w:sz w:val="24"/>
                <w:lang w:val="en-US" w:eastAsia="zh-CN"/>
              </w:rPr>
              <w:t>6</w:t>
            </w:r>
            <w:r>
              <w:rPr>
                <w:bCs/>
                <w:sz w:val="24"/>
              </w:rPr>
              <w:t>。</w:t>
            </w:r>
          </w:p>
          <w:p w14:paraId="7D3CC2D1">
            <w:pPr>
              <w:pageBreakBefore w:val="0"/>
              <w:kinsoku/>
              <w:wordWrap/>
              <w:topLinePunct w:val="0"/>
              <w:bidi w:val="0"/>
              <w:spacing w:line="360" w:lineRule="auto"/>
              <w:jc w:val="center"/>
              <w:rPr>
                <w:bCs/>
                <w:sz w:val="24"/>
              </w:rPr>
            </w:pPr>
            <w:r>
              <w:rPr>
                <w:rFonts w:eastAsia="黑体"/>
                <w:bCs/>
                <w:szCs w:val="21"/>
              </w:rPr>
              <w:t>表4-</w:t>
            </w:r>
            <w:r>
              <w:rPr>
                <w:rFonts w:hint="eastAsia" w:eastAsia="黑体"/>
                <w:bCs/>
                <w:szCs w:val="21"/>
              </w:rPr>
              <w:t>6</w:t>
            </w:r>
            <w:r>
              <w:rPr>
                <w:rFonts w:eastAsia="黑体"/>
                <w:bCs/>
                <w:szCs w:val="21"/>
              </w:rPr>
              <w:t xml:space="preserve">  分区防渗一览表</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28" w:type="dxa"/>
                <w:left w:w="28" w:type="dxa"/>
                <w:bottom w:w="28" w:type="dxa"/>
                <w:right w:w="28" w:type="dxa"/>
              </w:tblCellMar>
            </w:tblPr>
            <w:tblGrid>
              <w:gridCol w:w="1245"/>
              <w:gridCol w:w="1314"/>
              <w:gridCol w:w="5831"/>
            </w:tblGrid>
            <w:tr w14:paraId="39304E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245" w:type="dxa"/>
                  <w:noWrap w:val="0"/>
                  <w:tcMar>
                    <w:top w:w="28" w:type="dxa"/>
                    <w:left w:w="28" w:type="dxa"/>
                    <w:bottom w:w="28" w:type="dxa"/>
                    <w:right w:w="28" w:type="dxa"/>
                  </w:tcMar>
                  <w:vAlign w:val="center"/>
                </w:tcPr>
                <w:p w14:paraId="1AE2ABE5">
                  <w:pPr>
                    <w:pageBreakBefore w:val="0"/>
                    <w:kinsoku/>
                    <w:wordWrap/>
                    <w:topLinePunct w:val="0"/>
                    <w:bidi w:val="0"/>
                    <w:spacing w:line="280" w:lineRule="exact"/>
                    <w:jc w:val="center"/>
                    <w:rPr>
                      <w:b/>
                      <w:bCs/>
                      <w:szCs w:val="21"/>
                    </w:rPr>
                  </w:pPr>
                  <w:r>
                    <w:rPr>
                      <w:b/>
                      <w:bCs/>
                      <w:szCs w:val="21"/>
                    </w:rPr>
                    <w:t>防渗区分类</w:t>
                  </w:r>
                </w:p>
              </w:tc>
              <w:tc>
                <w:tcPr>
                  <w:tcW w:w="1314" w:type="dxa"/>
                  <w:noWrap w:val="0"/>
                  <w:tcMar>
                    <w:top w:w="28" w:type="dxa"/>
                    <w:left w:w="28" w:type="dxa"/>
                    <w:bottom w:w="28" w:type="dxa"/>
                    <w:right w:w="28" w:type="dxa"/>
                  </w:tcMar>
                  <w:vAlign w:val="center"/>
                </w:tcPr>
                <w:p w14:paraId="601472B4">
                  <w:pPr>
                    <w:pageBreakBefore w:val="0"/>
                    <w:kinsoku/>
                    <w:wordWrap/>
                    <w:topLinePunct w:val="0"/>
                    <w:bidi w:val="0"/>
                    <w:spacing w:line="280" w:lineRule="exact"/>
                    <w:jc w:val="center"/>
                    <w:rPr>
                      <w:b/>
                      <w:bCs/>
                      <w:szCs w:val="21"/>
                    </w:rPr>
                  </w:pPr>
                  <w:r>
                    <w:rPr>
                      <w:b/>
                      <w:bCs/>
                      <w:szCs w:val="21"/>
                    </w:rPr>
                    <w:t>区域</w:t>
                  </w:r>
                </w:p>
              </w:tc>
              <w:tc>
                <w:tcPr>
                  <w:tcW w:w="5831" w:type="dxa"/>
                  <w:noWrap w:val="0"/>
                  <w:tcMar>
                    <w:top w:w="28" w:type="dxa"/>
                    <w:left w:w="28" w:type="dxa"/>
                    <w:bottom w:w="28" w:type="dxa"/>
                    <w:right w:w="28" w:type="dxa"/>
                  </w:tcMar>
                  <w:vAlign w:val="center"/>
                </w:tcPr>
                <w:p w14:paraId="6A8E137E">
                  <w:pPr>
                    <w:pageBreakBefore w:val="0"/>
                    <w:kinsoku/>
                    <w:wordWrap/>
                    <w:topLinePunct w:val="0"/>
                    <w:bidi w:val="0"/>
                    <w:spacing w:line="280" w:lineRule="exact"/>
                    <w:jc w:val="center"/>
                    <w:rPr>
                      <w:b/>
                      <w:bCs/>
                      <w:szCs w:val="21"/>
                    </w:rPr>
                  </w:pPr>
                  <w:r>
                    <w:rPr>
                      <w:b/>
                      <w:bCs/>
                      <w:szCs w:val="21"/>
                    </w:rPr>
                    <w:t>防渗要求</w:t>
                  </w:r>
                </w:p>
              </w:tc>
            </w:tr>
            <w:tr w14:paraId="157003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245" w:type="dxa"/>
                  <w:noWrap w:val="0"/>
                  <w:tcMar>
                    <w:top w:w="28" w:type="dxa"/>
                    <w:left w:w="28" w:type="dxa"/>
                    <w:bottom w:w="28" w:type="dxa"/>
                    <w:right w:w="28" w:type="dxa"/>
                  </w:tcMar>
                  <w:vAlign w:val="center"/>
                </w:tcPr>
                <w:p w14:paraId="3B1C8B48">
                  <w:pPr>
                    <w:pageBreakBefore w:val="0"/>
                    <w:kinsoku/>
                    <w:wordWrap/>
                    <w:topLinePunct w:val="0"/>
                    <w:bidi w:val="0"/>
                    <w:spacing w:line="280" w:lineRule="exact"/>
                    <w:jc w:val="center"/>
                    <w:rPr>
                      <w:bCs/>
                      <w:szCs w:val="21"/>
                    </w:rPr>
                  </w:pPr>
                  <w:r>
                    <w:rPr>
                      <w:bCs/>
                      <w:szCs w:val="21"/>
                    </w:rPr>
                    <w:t>简单污染</w:t>
                  </w:r>
                </w:p>
                <w:p w14:paraId="0EB4BA5D">
                  <w:pPr>
                    <w:pageBreakBefore w:val="0"/>
                    <w:kinsoku/>
                    <w:wordWrap/>
                    <w:topLinePunct w:val="0"/>
                    <w:bidi w:val="0"/>
                    <w:spacing w:line="280" w:lineRule="exact"/>
                    <w:jc w:val="center"/>
                    <w:rPr>
                      <w:bCs/>
                      <w:szCs w:val="21"/>
                    </w:rPr>
                  </w:pPr>
                  <w:r>
                    <w:rPr>
                      <w:bCs/>
                      <w:szCs w:val="21"/>
                    </w:rPr>
                    <w:t>防渗区</w:t>
                  </w:r>
                </w:p>
              </w:tc>
              <w:tc>
                <w:tcPr>
                  <w:tcW w:w="1314" w:type="dxa"/>
                  <w:noWrap w:val="0"/>
                  <w:tcMar>
                    <w:top w:w="28" w:type="dxa"/>
                    <w:left w:w="28" w:type="dxa"/>
                    <w:bottom w:w="28" w:type="dxa"/>
                    <w:right w:w="28" w:type="dxa"/>
                  </w:tcMar>
                  <w:vAlign w:val="center"/>
                </w:tcPr>
                <w:p w14:paraId="6CF35F06">
                  <w:pPr>
                    <w:pageBreakBefore w:val="0"/>
                    <w:kinsoku/>
                    <w:wordWrap/>
                    <w:topLinePunct w:val="0"/>
                    <w:bidi w:val="0"/>
                    <w:spacing w:line="280" w:lineRule="exact"/>
                    <w:jc w:val="center"/>
                    <w:rPr>
                      <w:bCs/>
                      <w:szCs w:val="21"/>
                    </w:rPr>
                  </w:pPr>
                  <w:r>
                    <w:rPr>
                      <w:rFonts w:hint="eastAsia"/>
                      <w:bCs/>
                      <w:szCs w:val="21"/>
                    </w:rPr>
                    <w:t>生产设备区</w:t>
                  </w:r>
                </w:p>
              </w:tc>
              <w:tc>
                <w:tcPr>
                  <w:tcW w:w="5831" w:type="dxa"/>
                  <w:noWrap w:val="0"/>
                  <w:tcMar>
                    <w:top w:w="28" w:type="dxa"/>
                    <w:left w:w="28" w:type="dxa"/>
                    <w:bottom w:w="28" w:type="dxa"/>
                    <w:right w:w="28" w:type="dxa"/>
                  </w:tcMar>
                  <w:vAlign w:val="center"/>
                </w:tcPr>
                <w:p w14:paraId="0457152A">
                  <w:pPr>
                    <w:pageBreakBefore w:val="0"/>
                    <w:kinsoku/>
                    <w:wordWrap/>
                    <w:topLinePunct w:val="0"/>
                    <w:bidi w:val="0"/>
                    <w:spacing w:line="280" w:lineRule="exact"/>
                    <w:jc w:val="center"/>
                    <w:rPr>
                      <w:bCs/>
                      <w:szCs w:val="21"/>
                    </w:rPr>
                  </w:pPr>
                  <w:r>
                    <w:rPr>
                      <w:bCs/>
                      <w:szCs w:val="21"/>
                    </w:rPr>
                    <w:t>水泥硬化防渗</w:t>
                  </w:r>
                </w:p>
              </w:tc>
            </w:tr>
            <w:tr w14:paraId="6C0495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245" w:type="dxa"/>
                  <w:noWrap w:val="0"/>
                  <w:tcMar>
                    <w:top w:w="28" w:type="dxa"/>
                    <w:left w:w="28" w:type="dxa"/>
                    <w:bottom w:w="28" w:type="dxa"/>
                    <w:right w:w="28" w:type="dxa"/>
                  </w:tcMar>
                  <w:vAlign w:val="center"/>
                </w:tcPr>
                <w:p w14:paraId="3C0BA009">
                  <w:pPr>
                    <w:pageBreakBefore w:val="0"/>
                    <w:kinsoku/>
                    <w:wordWrap/>
                    <w:topLinePunct w:val="0"/>
                    <w:bidi w:val="0"/>
                    <w:spacing w:line="280" w:lineRule="exact"/>
                    <w:jc w:val="center"/>
                    <w:rPr>
                      <w:szCs w:val="21"/>
                    </w:rPr>
                  </w:pPr>
                  <w:r>
                    <w:rPr>
                      <w:szCs w:val="21"/>
                    </w:rPr>
                    <w:t>一般污染</w:t>
                  </w:r>
                </w:p>
                <w:p w14:paraId="3F20814A">
                  <w:pPr>
                    <w:pageBreakBefore w:val="0"/>
                    <w:kinsoku/>
                    <w:wordWrap/>
                    <w:topLinePunct w:val="0"/>
                    <w:bidi w:val="0"/>
                    <w:spacing w:line="280" w:lineRule="exact"/>
                    <w:jc w:val="center"/>
                    <w:rPr>
                      <w:szCs w:val="21"/>
                    </w:rPr>
                  </w:pPr>
                  <w:r>
                    <w:rPr>
                      <w:szCs w:val="21"/>
                    </w:rPr>
                    <w:t>防渗区</w:t>
                  </w:r>
                </w:p>
              </w:tc>
              <w:tc>
                <w:tcPr>
                  <w:tcW w:w="1314" w:type="dxa"/>
                  <w:noWrap w:val="0"/>
                  <w:tcMar>
                    <w:top w:w="28" w:type="dxa"/>
                    <w:left w:w="28" w:type="dxa"/>
                    <w:bottom w:w="28" w:type="dxa"/>
                    <w:right w:w="28" w:type="dxa"/>
                  </w:tcMar>
                  <w:vAlign w:val="center"/>
                </w:tcPr>
                <w:p w14:paraId="5FBC7A8A">
                  <w:pPr>
                    <w:pageBreakBefore w:val="0"/>
                    <w:kinsoku/>
                    <w:wordWrap/>
                    <w:topLinePunct w:val="0"/>
                    <w:bidi w:val="0"/>
                    <w:spacing w:line="280" w:lineRule="exact"/>
                    <w:jc w:val="center"/>
                    <w:rPr>
                      <w:szCs w:val="21"/>
                    </w:rPr>
                  </w:pPr>
                  <w:r>
                    <w:rPr>
                      <w:rFonts w:hint="eastAsia"/>
                      <w:bCs/>
                      <w:szCs w:val="21"/>
                    </w:rPr>
                    <w:t>循环水池</w:t>
                  </w:r>
                </w:p>
              </w:tc>
              <w:tc>
                <w:tcPr>
                  <w:tcW w:w="5831" w:type="dxa"/>
                  <w:noWrap w:val="0"/>
                  <w:tcMar>
                    <w:top w:w="28" w:type="dxa"/>
                    <w:left w:w="28" w:type="dxa"/>
                    <w:bottom w:w="28" w:type="dxa"/>
                    <w:right w:w="28" w:type="dxa"/>
                  </w:tcMar>
                  <w:vAlign w:val="center"/>
                </w:tcPr>
                <w:p w14:paraId="03595FD8">
                  <w:pPr>
                    <w:pageBreakBefore w:val="0"/>
                    <w:kinsoku/>
                    <w:wordWrap/>
                    <w:topLinePunct w:val="0"/>
                    <w:bidi w:val="0"/>
                    <w:spacing w:line="280" w:lineRule="exact"/>
                    <w:jc w:val="center"/>
                    <w:rPr>
                      <w:szCs w:val="21"/>
                    </w:rPr>
                  </w:pPr>
                  <w:r>
                    <w:rPr>
                      <w:szCs w:val="21"/>
                    </w:rPr>
                    <w:t>按照《一般工业固体废物贮存和填埋污染控制标准》</w:t>
                  </w:r>
                  <w:r>
                    <w:rPr>
                      <w:rFonts w:hint="eastAsia"/>
                      <w:szCs w:val="21"/>
                    </w:rPr>
                    <w:t>（</w:t>
                  </w:r>
                  <w:r>
                    <w:rPr>
                      <w:szCs w:val="21"/>
                    </w:rPr>
                    <w:t>GB 18599-2020）一般工业固体废物暂存场渗透系数达1.0×10</w:t>
                  </w:r>
                  <w:r>
                    <w:rPr>
                      <w:szCs w:val="21"/>
                      <w:vertAlign w:val="superscript"/>
                    </w:rPr>
                    <w:t>-7</w:t>
                  </w:r>
                  <w:r>
                    <w:rPr>
                      <w:szCs w:val="21"/>
                    </w:rPr>
                    <w:t>cm/s</w:t>
                  </w:r>
                </w:p>
              </w:tc>
            </w:tr>
            <w:tr w14:paraId="33CEED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245" w:type="dxa"/>
                  <w:noWrap w:val="0"/>
                  <w:tcMar>
                    <w:top w:w="28" w:type="dxa"/>
                    <w:left w:w="28" w:type="dxa"/>
                    <w:bottom w:w="28" w:type="dxa"/>
                    <w:right w:w="28" w:type="dxa"/>
                  </w:tcMar>
                  <w:vAlign w:val="center"/>
                </w:tcPr>
                <w:p w14:paraId="6E9C1492">
                  <w:pPr>
                    <w:pageBreakBefore w:val="0"/>
                    <w:kinsoku/>
                    <w:wordWrap/>
                    <w:topLinePunct w:val="0"/>
                    <w:bidi w:val="0"/>
                    <w:spacing w:line="280" w:lineRule="exact"/>
                    <w:jc w:val="center"/>
                    <w:rPr>
                      <w:rFonts w:hint="eastAsia"/>
                      <w:szCs w:val="21"/>
                    </w:rPr>
                  </w:pPr>
                  <w:r>
                    <w:rPr>
                      <w:rFonts w:hint="eastAsia"/>
                      <w:szCs w:val="21"/>
                    </w:rPr>
                    <w:t>重点污染</w:t>
                  </w:r>
                </w:p>
                <w:p w14:paraId="5DC951D2">
                  <w:pPr>
                    <w:pageBreakBefore w:val="0"/>
                    <w:kinsoku/>
                    <w:wordWrap/>
                    <w:topLinePunct w:val="0"/>
                    <w:bidi w:val="0"/>
                    <w:spacing w:line="280" w:lineRule="exact"/>
                    <w:jc w:val="center"/>
                    <w:rPr>
                      <w:szCs w:val="21"/>
                    </w:rPr>
                  </w:pPr>
                  <w:r>
                    <w:rPr>
                      <w:rFonts w:hint="eastAsia"/>
                      <w:szCs w:val="21"/>
                    </w:rPr>
                    <w:t>防渗区</w:t>
                  </w:r>
                </w:p>
              </w:tc>
              <w:tc>
                <w:tcPr>
                  <w:tcW w:w="1314" w:type="dxa"/>
                  <w:noWrap w:val="0"/>
                  <w:tcMar>
                    <w:top w:w="28" w:type="dxa"/>
                    <w:left w:w="28" w:type="dxa"/>
                    <w:bottom w:w="28" w:type="dxa"/>
                    <w:right w:w="28" w:type="dxa"/>
                  </w:tcMar>
                  <w:vAlign w:val="center"/>
                </w:tcPr>
                <w:p w14:paraId="6E3F42F3">
                  <w:pPr>
                    <w:pageBreakBefore w:val="0"/>
                    <w:kinsoku/>
                    <w:wordWrap/>
                    <w:topLinePunct w:val="0"/>
                    <w:bidi w:val="0"/>
                    <w:spacing w:line="280" w:lineRule="exact"/>
                    <w:jc w:val="center"/>
                    <w:rPr>
                      <w:bCs/>
                      <w:szCs w:val="21"/>
                    </w:rPr>
                  </w:pPr>
                  <w:r>
                    <w:rPr>
                      <w:rFonts w:hint="eastAsia"/>
                      <w:bCs/>
                      <w:szCs w:val="21"/>
                    </w:rPr>
                    <w:t>污油罐</w:t>
                  </w:r>
                </w:p>
              </w:tc>
              <w:tc>
                <w:tcPr>
                  <w:tcW w:w="5831" w:type="dxa"/>
                  <w:noWrap w:val="0"/>
                  <w:tcMar>
                    <w:top w:w="28" w:type="dxa"/>
                    <w:left w:w="28" w:type="dxa"/>
                    <w:bottom w:w="28" w:type="dxa"/>
                    <w:right w:w="28" w:type="dxa"/>
                  </w:tcMar>
                  <w:vAlign w:val="center"/>
                </w:tcPr>
                <w:p w14:paraId="5F791F08">
                  <w:pPr>
                    <w:pageBreakBefore w:val="0"/>
                    <w:kinsoku/>
                    <w:wordWrap/>
                    <w:topLinePunct w:val="0"/>
                    <w:bidi w:val="0"/>
                    <w:spacing w:line="280" w:lineRule="exact"/>
                    <w:jc w:val="center"/>
                    <w:rPr>
                      <w:szCs w:val="21"/>
                    </w:rPr>
                  </w:pPr>
                  <w:r>
                    <w:rPr>
                      <w:rFonts w:hint="eastAsia"/>
                      <w:szCs w:val="21"/>
                    </w:rPr>
                    <w:t>按照《危险废物贮存污染控制标准》（GB 18597-2023）危险废物暂存场所渗透系数达1.0×10</w:t>
                  </w:r>
                  <w:r>
                    <w:rPr>
                      <w:rFonts w:hint="eastAsia"/>
                      <w:szCs w:val="21"/>
                      <w:vertAlign w:val="superscript"/>
                    </w:rPr>
                    <w:t>-10</w:t>
                  </w:r>
                  <w:r>
                    <w:rPr>
                      <w:rFonts w:hint="eastAsia"/>
                      <w:szCs w:val="21"/>
                    </w:rPr>
                    <w:t>cm/s。</w:t>
                  </w:r>
                </w:p>
              </w:tc>
            </w:tr>
          </w:tbl>
          <w:p w14:paraId="5B8742EE">
            <w:pPr>
              <w:pageBreakBefore w:val="0"/>
              <w:kinsoku/>
              <w:wordWrap/>
              <w:topLinePunct w:val="0"/>
              <w:bidi w:val="0"/>
              <w:spacing w:line="360" w:lineRule="auto"/>
              <w:ind w:firstLine="480" w:firstLineChars="200"/>
              <w:rPr>
                <w:bCs/>
                <w:sz w:val="24"/>
              </w:rPr>
            </w:pPr>
            <w:r>
              <w:rPr>
                <w:sz w:val="24"/>
              </w:rPr>
              <w:t>（</w:t>
            </w:r>
            <w:r>
              <w:rPr>
                <w:bCs/>
                <w:sz w:val="24"/>
              </w:rPr>
              <w:t>3）污染监控</w:t>
            </w:r>
          </w:p>
          <w:p w14:paraId="09E69E85">
            <w:pPr>
              <w:pageBreakBefore w:val="0"/>
              <w:kinsoku/>
              <w:wordWrap/>
              <w:topLinePunct w:val="0"/>
              <w:bidi w:val="0"/>
              <w:spacing w:line="360" w:lineRule="auto"/>
              <w:ind w:firstLine="480" w:firstLineChars="200"/>
              <w:rPr>
                <w:bCs/>
                <w:sz w:val="24"/>
              </w:rPr>
            </w:pPr>
            <w:r>
              <w:rPr>
                <w:bCs/>
                <w:sz w:val="24"/>
              </w:rPr>
              <w:t>本项目设置专人负责定期巡检生产设备，一旦发现风险趋势，立即</w:t>
            </w:r>
            <w:r>
              <w:rPr>
                <w:rFonts w:hint="eastAsia"/>
                <w:bCs/>
                <w:sz w:val="24"/>
              </w:rPr>
              <w:t>采取相应</w:t>
            </w:r>
            <w:r>
              <w:rPr>
                <w:bCs/>
                <w:sz w:val="24"/>
              </w:rPr>
              <w:t>的应急措施。</w:t>
            </w:r>
          </w:p>
          <w:p w14:paraId="1EE55446">
            <w:pPr>
              <w:pageBreakBefore w:val="0"/>
              <w:kinsoku/>
              <w:wordWrap/>
              <w:topLinePunct w:val="0"/>
              <w:bidi w:val="0"/>
              <w:spacing w:line="360" w:lineRule="auto"/>
              <w:ind w:firstLine="480" w:firstLineChars="200"/>
              <w:rPr>
                <w:bCs/>
                <w:sz w:val="24"/>
              </w:rPr>
            </w:pPr>
            <w:r>
              <w:rPr>
                <w:sz w:val="24"/>
              </w:rPr>
              <w:t>（</w:t>
            </w:r>
            <w:r>
              <w:rPr>
                <w:bCs/>
                <w:sz w:val="24"/>
              </w:rPr>
              <w:t>4）应急响应</w:t>
            </w:r>
          </w:p>
          <w:p w14:paraId="50920AA4">
            <w:pPr>
              <w:pageBreakBefore w:val="0"/>
              <w:kinsoku/>
              <w:wordWrap/>
              <w:topLinePunct w:val="0"/>
              <w:bidi w:val="0"/>
              <w:spacing w:line="360" w:lineRule="auto"/>
              <w:ind w:firstLine="480" w:firstLineChars="200"/>
              <w:rPr>
                <w:bCs/>
                <w:sz w:val="24"/>
              </w:rPr>
            </w:pPr>
            <w:r>
              <w:rPr>
                <w:bCs/>
                <w:sz w:val="24"/>
              </w:rPr>
              <w:t>当发生泄漏事故对地下水及土壤造成污染后，为了能以最快的速度防止污染物进一步向周围扩散，根据前述分析，可以采取如下相应措施来控制：</w:t>
            </w:r>
          </w:p>
          <w:p w14:paraId="349DC46D">
            <w:pPr>
              <w:pageBreakBefore w:val="0"/>
              <w:kinsoku/>
              <w:wordWrap/>
              <w:topLinePunct w:val="0"/>
              <w:bidi w:val="0"/>
              <w:spacing w:line="360" w:lineRule="auto"/>
              <w:ind w:firstLine="480" w:firstLineChars="200"/>
              <w:rPr>
                <w:bCs/>
                <w:sz w:val="24"/>
              </w:rPr>
            </w:pPr>
            <w:r>
              <w:rPr>
                <w:bCs/>
                <w:sz w:val="24"/>
              </w:rPr>
              <w:t>① 一旦发生污染物泄漏，应及时切断并封堵泄漏源，并对泄漏物所在的地面进行及时截流封堵，尽可能将泄漏物控制在一个相对较小的范围内，防止泄漏物四处流淌而增加地下水及土壤污染的风险。</w:t>
            </w:r>
          </w:p>
          <w:p w14:paraId="5A5CF33F">
            <w:pPr>
              <w:pageBreakBefore w:val="0"/>
              <w:kinsoku/>
              <w:wordWrap/>
              <w:topLinePunct w:val="0"/>
              <w:bidi w:val="0"/>
              <w:spacing w:line="360" w:lineRule="auto"/>
              <w:ind w:firstLine="480" w:firstLineChars="200"/>
              <w:rPr>
                <w:bCs/>
                <w:sz w:val="24"/>
              </w:rPr>
            </w:pPr>
            <w:r>
              <w:rPr>
                <w:bCs/>
                <w:sz w:val="24"/>
              </w:rPr>
              <w:t>② 当发生严重的地下水污染事故，使得项目场地不能正常工作时，则应报环保部门批准后实行非正常封场，防止污染进一步扩散；同时进行评估决定是否采取进一步的工程防护措施；继续对地下水及土壤已经受到污染的区域进行跟踪监测，并根据需要开展风险评估，根据风险评估结果决定是否进行地下水修复工作。</w:t>
            </w:r>
          </w:p>
          <w:p w14:paraId="505FCF6D">
            <w:pPr>
              <w:pageBreakBefore w:val="0"/>
              <w:kinsoku/>
              <w:wordWrap/>
              <w:topLinePunct w:val="0"/>
              <w:bidi w:val="0"/>
              <w:spacing w:line="360" w:lineRule="auto"/>
              <w:ind w:firstLine="480" w:firstLineChars="200"/>
              <w:rPr>
                <w:bCs/>
                <w:sz w:val="24"/>
              </w:rPr>
            </w:pPr>
            <w:r>
              <w:rPr>
                <w:bCs/>
                <w:sz w:val="24"/>
              </w:rPr>
              <w:t>③ 由于受项目所在地水文地质条件限制，被污染的地下水径流迁移较缓慢，将较长时间存在于项目场地所在区域的潜水含水层中。对于已被污染的土壤需及时挖掘清理并妥善处置，防止土壤中污染物随降雨淋滤进一步下渗进入地下水中，同时可考虑通过小范围内的地下水抽排措施降低地下水水位，切断污染物在地下水中的迁移途径，防止污染</w:t>
            </w:r>
            <w:r>
              <w:rPr>
                <w:rFonts w:hint="eastAsia"/>
                <w:bCs/>
                <w:sz w:val="24"/>
              </w:rPr>
              <w:t>物</w:t>
            </w:r>
            <w:r>
              <w:rPr>
                <w:bCs/>
                <w:sz w:val="24"/>
              </w:rPr>
              <w:t>扩散，或在污染源下游建设渗透性反应墙，控制污染源向下游扩散并去除地下水中的污染物。</w:t>
            </w:r>
          </w:p>
          <w:p w14:paraId="7D4AECC5">
            <w:pPr>
              <w:pageBreakBefore w:val="0"/>
              <w:kinsoku/>
              <w:wordWrap/>
              <w:topLinePunct w:val="0"/>
              <w:bidi w:val="0"/>
              <w:spacing w:line="360" w:lineRule="auto"/>
              <w:ind w:firstLine="482" w:firstLineChars="200"/>
              <w:rPr>
                <w:bCs/>
                <w:sz w:val="24"/>
              </w:rPr>
            </w:pPr>
            <w:r>
              <w:rPr>
                <w:b/>
                <w:sz w:val="24"/>
              </w:rPr>
              <w:t>6 生态</w:t>
            </w:r>
          </w:p>
          <w:p w14:paraId="13801FBB">
            <w:pPr>
              <w:pStyle w:val="18"/>
              <w:pageBreakBefore w:val="0"/>
              <w:kinsoku/>
              <w:wordWrap/>
              <w:topLinePunct w:val="0"/>
              <w:bidi w:val="0"/>
              <w:rPr>
                <w:spacing w:val="0"/>
                <w:sz w:val="24"/>
              </w:rPr>
            </w:pPr>
            <w:r>
              <w:rPr>
                <w:spacing w:val="0"/>
                <w:sz w:val="24"/>
              </w:rPr>
              <w:t>项目所在区域无农作物及</w:t>
            </w:r>
            <w:r>
              <w:rPr>
                <w:rFonts w:hint="eastAsia"/>
                <w:spacing w:val="0"/>
                <w:sz w:val="24"/>
              </w:rPr>
              <w:t>珍稀植物</w:t>
            </w:r>
            <w:r>
              <w:rPr>
                <w:spacing w:val="0"/>
                <w:sz w:val="24"/>
              </w:rPr>
              <w:t>生长，无国家重点保护野生动物及生境，无生态保护目标。</w:t>
            </w:r>
          </w:p>
          <w:p w14:paraId="1F264FE9">
            <w:pPr>
              <w:pStyle w:val="18"/>
              <w:pageBreakBefore w:val="0"/>
              <w:kinsoku/>
              <w:wordWrap/>
              <w:topLinePunct w:val="0"/>
              <w:bidi w:val="0"/>
              <w:rPr>
                <w:bCs/>
                <w:spacing w:val="0"/>
                <w:sz w:val="24"/>
              </w:rPr>
            </w:pPr>
            <w:r>
              <w:rPr>
                <w:spacing w:val="0"/>
                <w:sz w:val="24"/>
              </w:rPr>
              <w:t>项目建成后所在区域地面全部进行硬化处理，有效减少水土流失发生的可能性，可有效改善所在区域的局部生态环境，相关生态防护措施可行且有效。</w:t>
            </w:r>
          </w:p>
          <w:p w14:paraId="0128C152">
            <w:pPr>
              <w:pageBreakBefore w:val="0"/>
              <w:kinsoku/>
              <w:wordWrap/>
              <w:topLinePunct w:val="0"/>
              <w:bidi w:val="0"/>
              <w:spacing w:line="360" w:lineRule="auto"/>
              <w:ind w:firstLine="482" w:firstLineChars="200"/>
              <w:rPr>
                <w:b/>
                <w:sz w:val="24"/>
              </w:rPr>
            </w:pPr>
            <w:r>
              <w:rPr>
                <w:rFonts w:hint="eastAsia"/>
                <w:b/>
                <w:sz w:val="24"/>
              </w:rPr>
              <w:t>7 环境风险</w:t>
            </w:r>
          </w:p>
          <w:p w14:paraId="57FFC9AD">
            <w:pPr>
              <w:pageBreakBefore w:val="0"/>
              <w:kinsoku/>
              <w:wordWrap/>
              <w:topLinePunct w:val="0"/>
              <w:bidi w:val="0"/>
              <w:spacing w:line="520" w:lineRule="exact"/>
              <w:ind w:firstLine="482" w:firstLineChars="200"/>
              <w:rPr>
                <w:sz w:val="24"/>
              </w:rPr>
            </w:pPr>
            <w:r>
              <w:rPr>
                <w:b/>
                <w:bCs/>
                <w:sz w:val="24"/>
              </w:rPr>
              <w:t>7.1 风险调查</w:t>
            </w:r>
          </w:p>
          <w:p w14:paraId="3018A423">
            <w:pPr>
              <w:pageBreakBefore w:val="0"/>
              <w:kinsoku/>
              <w:wordWrap/>
              <w:topLinePunct w:val="0"/>
              <w:bidi w:val="0"/>
              <w:spacing w:line="520" w:lineRule="exact"/>
              <w:ind w:firstLine="480" w:firstLineChars="200"/>
              <w:rPr>
                <w:bCs/>
                <w:sz w:val="24"/>
              </w:rPr>
            </w:pPr>
            <w:r>
              <w:rPr>
                <w:bCs/>
                <w:sz w:val="24"/>
              </w:rPr>
              <w:t>根据《建设项目环境风险评价技术导则》（HJ/T 169-2018）</w:t>
            </w:r>
            <w:r>
              <w:rPr>
                <w:rFonts w:hint="eastAsia"/>
                <w:bCs/>
                <w:sz w:val="24"/>
              </w:rPr>
              <w:t>和危险化学品重大危险源辨识（GB 18218-2009）</w:t>
            </w:r>
            <w:r>
              <w:rPr>
                <w:bCs/>
                <w:sz w:val="24"/>
              </w:rPr>
              <w:t>，调查本项目危险物质数量和分布情况、生产工艺特点，收集危险物质安全技术说明书等资料。经分析本项目涉及的风险物质主要是</w:t>
            </w:r>
            <w:r>
              <w:rPr>
                <w:rFonts w:hint="eastAsia"/>
                <w:bCs/>
                <w:sz w:val="24"/>
                <w:lang w:val="en-US" w:eastAsia="zh-CN"/>
              </w:rPr>
              <w:t>含油废液</w:t>
            </w:r>
            <w:r>
              <w:rPr>
                <w:rFonts w:hint="eastAsia"/>
                <w:bCs/>
                <w:sz w:val="24"/>
              </w:rPr>
              <w:t>、</w:t>
            </w:r>
            <w:r>
              <w:rPr>
                <w:bCs/>
                <w:sz w:val="24"/>
              </w:rPr>
              <w:t>废润滑油</w:t>
            </w:r>
            <w:r>
              <w:rPr>
                <w:rFonts w:hint="eastAsia"/>
                <w:bCs/>
                <w:sz w:val="24"/>
                <w:lang w:eastAsia="zh-CN"/>
              </w:rPr>
              <w:t>、</w:t>
            </w:r>
            <w:r>
              <w:rPr>
                <w:rFonts w:hint="eastAsia"/>
                <w:bCs/>
                <w:sz w:val="24"/>
              </w:rPr>
              <w:t>氢气</w:t>
            </w:r>
            <w:r>
              <w:rPr>
                <w:rFonts w:hint="eastAsia"/>
                <w:bCs/>
                <w:sz w:val="24"/>
                <w:lang w:eastAsia="zh-CN"/>
              </w:rPr>
              <w:t>、</w:t>
            </w:r>
            <w:r>
              <w:rPr>
                <w:rFonts w:hint="eastAsia"/>
                <w:bCs/>
                <w:sz w:val="24"/>
                <w:lang w:val="en-US" w:eastAsia="zh-CN"/>
              </w:rPr>
              <w:t>一氧化碳和甲烷</w:t>
            </w:r>
            <w:r>
              <w:rPr>
                <w:rFonts w:hint="eastAsia"/>
                <w:bCs/>
                <w:sz w:val="24"/>
              </w:rPr>
              <w:t>，分别属于油类物质和易燃易爆气态物质</w:t>
            </w:r>
            <w:r>
              <w:rPr>
                <w:bCs/>
                <w:sz w:val="24"/>
              </w:rPr>
              <w:t>。</w:t>
            </w:r>
          </w:p>
          <w:p w14:paraId="2A2D8998">
            <w:pPr>
              <w:pageBreakBefore w:val="0"/>
              <w:kinsoku/>
              <w:wordWrap/>
              <w:topLinePunct w:val="0"/>
              <w:bidi w:val="0"/>
              <w:spacing w:line="520" w:lineRule="exact"/>
              <w:ind w:firstLine="482" w:firstLineChars="200"/>
              <w:outlineLvl w:val="2"/>
              <w:rPr>
                <w:b/>
                <w:sz w:val="24"/>
              </w:rPr>
            </w:pPr>
            <w:r>
              <w:rPr>
                <w:b/>
                <w:sz w:val="24"/>
              </w:rPr>
              <w:t>7.2 风险潜势初判</w:t>
            </w:r>
          </w:p>
          <w:p w14:paraId="5C0F58DE">
            <w:pPr>
              <w:pageBreakBefore w:val="0"/>
              <w:kinsoku/>
              <w:wordWrap/>
              <w:topLinePunct w:val="0"/>
              <w:bidi w:val="0"/>
              <w:spacing w:line="520" w:lineRule="exact"/>
              <w:ind w:firstLine="480" w:firstLineChars="200"/>
              <w:rPr>
                <w:sz w:val="24"/>
              </w:rPr>
            </w:pPr>
            <w:r>
              <w:rPr>
                <w:sz w:val="24"/>
              </w:rPr>
              <w:t>计算本项目所涉及的危险物质在厂界内的最大存在总量与其在HJ169-2018附录B中对应临界量的比值Q。</w:t>
            </w:r>
          </w:p>
          <w:p w14:paraId="2ECBAA46">
            <w:pPr>
              <w:pageBreakBefore w:val="0"/>
              <w:kinsoku/>
              <w:wordWrap/>
              <w:topLinePunct w:val="0"/>
              <w:bidi w:val="0"/>
              <w:spacing w:line="520" w:lineRule="exact"/>
              <w:ind w:firstLine="480" w:firstLineChars="200"/>
              <w:rPr>
                <w:sz w:val="24"/>
              </w:rPr>
            </w:pPr>
            <w:r>
              <w:rPr>
                <w:sz w:val="24"/>
              </w:rPr>
              <w:t>根据HJ169-2018附录C，按下式计算物质总量与其临界量比值（Q）：</w:t>
            </w:r>
          </w:p>
          <w:p w14:paraId="2B39B7F1">
            <w:pPr>
              <w:pageBreakBefore w:val="0"/>
              <w:kinsoku/>
              <w:wordWrap/>
              <w:topLinePunct w:val="0"/>
              <w:autoSpaceDE w:val="0"/>
              <w:autoSpaceDN w:val="0"/>
              <w:bidi w:val="0"/>
              <w:jc w:val="center"/>
              <w:rPr>
                <w:sz w:val="24"/>
              </w:rPr>
            </w:pPr>
            <w:r>
              <w:rPr>
                <w:position w:val="-30"/>
                <w:sz w:val="24"/>
              </w:rPr>
              <w:object>
                <v:shape id="_x0000_i1028" o:spt="75" type="#_x0000_t75" style="height:34.6pt;width:100.6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p>
          <w:p w14:paraId="5F0DC905">
            <w:pPr>
              <w:pageBreakBefore w:val="0"/>
              <w:kinsoku/>
              <w:wordWrap/>
              <w:topLinePunct w:val="0"/>
              <w:bidi w:val="0"/>
              <w:spacing w:line="520" w:lineRule="exact"/>
              <w:ind w:firstLine="480"/>
              <w:rPr>
                <w:sz w:val="24"/>
              </w:rPr>
            </w:pPr>
            <w:r>
              <w:rPr>
                <w:sz w:val="24"/>
              </w:rPr>
              <w:t>式中：q</w:t>
            </w:r>
            <w:r>
              <w:rPr>
                <w:sz w:val="24"/>
                <w:vertAlign w:val="subscript"/>
              </w:rPr>
              <w:t>1</w:t>
            </w:r>
            <w:r>
              <w:rPr>
                <w:sz w:val="24"/>
              </w:rPr>
              <w:t>，q</w:t>
            </w:r>
            <w:r>
              <w:rPr>
                <w:sz w:val="24"/>
                <w:vertAlign w:val="subscript"/>
              </w:rPr>
              <w:t>2</w:t>
            </w:r>
            <w:r>
              <w:rPr>
                <w:sz w:val="24"/>
              </w:rPr>
              <w:t>，...，q</w:t>
            </w:r>
            <w:r>
              <w:rPr>
                <w:sz w:val="24"/>
                <w:vertAlign w:val="subscript"/>
              </w:rPr>
              <w:t>n</w:t>
            </w:r>
            <w:r>
              <w:rPr>
                <w:sz w:val="24"/>
              </w:rPr>
              <w:t>——每种危险物质的最大存在总量，t；</w:t>
            </w:r>
          </w:p>
          <w:p w14:paraId="522828C3">
            <w:pPr>
              <w:pageBreakBefore w:val="0"/>
              <w:kinsoku/>
              <w:wordWrap/>
              <w:topLinePunct w:val="0"/>
              <w:bidi w:val="0"/>
              <w:spacing w:line="520" w:lineRule="exact"/>
              <w:ind w:firstLine="1200" w:firstLineChars="500"/>
              <w:rPr>
                <w:sz w:val="24"/>
              </w:rPr>
            </w:pPr>
            <w:r>
              <w:rPr>
                <w:sz w:val="24"/>
              </w:rPr>
              <w:t>Q</w:t>
            </w:r>
            <w:r>
              <w:rPr>
                <w:sz w:val="24"/>
                <w:vertAlign w:val="subscript"/>
              </w:rPr>
              <w:t>1</w:t>
            </w:r>
            <w:r>
              <w:rPr>
                <w:sz w:val="24"/>
              </w:rPr>
              <w:t>，Q</w:t>
            </w:r>
            <w:r>
              <w:rPr>
                <w:sz w:val="24"/>
                <w:vertAlign w:val="subscript"/>
              </w:rPr>
              <w:t>2</w:t>
            </w:r>
            <w:r>
              <w:rPr>
                <w:sz w:val="24"/>
              </w:rPr>
              <w:t>，...，Qn——每种危险物质的临界量，t。</w:t>
            </w:r>
          </w:p>
          <w:p w14:paraId="5EF1A2A0">
            <w:pPr>
              <w:pageBreakBefore w:val="0"/>
              <w:kinsoku/>
              <w:wordWrap/>
              <w:topLinePunct w:val="0"/>
              <w:bidi w:val="0"/>
              <w:spacing w:line="520" w:lineRule="exact"/>
              <w:ind w:firstLine="480" w:firstLineChars="200"/>
              <w:rPr>
                <w:kern w:val="0"/>
                <w:sz w:val="24"/>
              </w:rPr>
            </w:pPr>
            <w:r>
              <w:rPr>
                <w:sz w:val="24"/>
              </w:rPr>
              <w:t>当Q＜1时，该项目环境风险潜势为Ⅰ。当Q≥1时，将Q值划分为：（1）1≤Q＜10；（2）10≤Q＜100；（3）Q≥100。</w:t>
            </w:r>
          </w:p>
          <w:p w14:paraId="30CC27FE">
            <w:pPr>
              <w:pageBreakBefore w:val="0"/>
              <w:kinsoku/>
              <w:wordWrap/>
              <w:topLinePunct w:val="0"/>
              <w:bidi w:val="0"/>
              <w:spacing w:line="520" w:lineRule="exact"/>
              <w:ind w:firstLine="480"/>
              <w:rPr>
                <w:rFonts w:hint="default" w:eastAsia="宋体"/>
                <w:sz w:val="24"/>
                <w:lang w:val="en-US" w:eastAsia="zh-CN"/>
              </w:rPr>
            </w:pPr>
            <w:r>
              <w:rPr>
                <w:rFonts w:hint="eastAsia"/>
                <w:sz w:val="24"/>
                <w:lang w:val="en-US" w:eastAsia="zh-CN"/>
              </w:rPr>
              <w:t>本项目各危险化学品的最大存储量如下：</w:t>
            </w:r>
          </w:p>
          <w:p w14:paraId="7A7B97C1">
            <w:pPr>
              <w:pageBreakBefore w:val="0"/>
              <w:kinsoku/>
              <w:wordWrap/>
              <w:topLinePunct w:val="0"/>
              <w:bidi w:val="0"/>
              <w:spacing w:line="520" w:lineRule="exact"/>
              <w:ind w:firstLine="480"/>
              <w:rPr>
                <w:rFonts w:hint="default"/>
                <w:sz w:val="24"/>
                <w:lang w:val="en-US"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含油废液</w:t>
            </w:r>
          </w:p>
          <w:p w14:paraId="3781C5D4">
            <w:pPr>
              <w:pageBreakBefore w:val="0"/>
              <w:kinsoku/>
              <w:wordWrap/>
              <w:topLinePunct w:val="0"/>
              <w:bidi w:val="0"/>
              <w:spacing w:line="520" w:lineRule="exact"/>
              <w:ind w:firstLine="480"/>
              <w:rPr>
                <w:rFonts w:hint="eastAsia"/>
                <w:sz w:val="24"/>
              </w:rPr>
            </w:pPr>
            <w:r>
              <w:rPr>
                <w:sz w:val="24"/>
              </w:rPr>
              <w:t>本项目</w:t>
            </w:r>
            <w:r>
              <w:rPr>
                <w:rFonts w:hint="eastAsia"/>
                <w:sz w:val="24"/>
              </w:rPr>
              <w:t>地下污油罐最大存储量为12.56m</w:t>
            </w:r>
            <w:r>
              <w:rPr>
                <w:rFonts w:hint="eastAsia"/>
                <w:sz w:val="24"/>
                <w:vertAlign w:val="superscript"/>
              </w:rPr>
              <w:t>3</w:t>
            </w:r>
            <w:r>
              <w:rPr>
                <w:rFonts w:hint="eastAsia"/>
                <w:sz w:val="24"/>
              </w:rPr>
              <w:t>，</w:t>
            </w:r>
            <w:r>
              <w:rPr>
                <w:rFonts w:hint="eastAsia"/>
                <w:bCs/>
                <w:sz w:val="24"/>
                <w:lang w:val="en-US" w:eastAsia="zh-CN"/>
              </w:rPr>
              <w:t>根据建设单位提供的资料，产生量约12t/a</w:t>
            </w:r>
            <w:r>
              <w:rPr>
                <w:rFonts w:hint="eastAsia"/>
                <w:sz w:val="24"/>
              </w:rPr>
              <w:t>。</w:t>
            </w:r>
          </w:p>
          <w:p w14:paraId="054911DD">
            <w:pPr>
              <w:pageBreakBefore w:val="0"/>
              <w:kinsoku/>
              <w:wordWrap/>
              <w:topLinePunct w:val="0"/>
              <w:bidi w:val="0"/>
              <w:spacing w:line="520" w:lineRule="exact"/>
              <w:ind w:firstLine="48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废润滑油</w:t>
            </w:r>
          </w:p>
          <w:p w14:paraId="4886FA57">
            <w:pPr>
              <w:pageBreakBefore w:val="0"/>
              <w:kinsoku/>
              <w:wordWrap/>
              <w:topLinePunct w:val="0"/>
              <w:bidi w:val="0"/>
              <w:spacing w:line="520" w:lineRule="exact"/>
              <w:ind w:firstLine="480"/>
              <w:rPr>
                <w:rFonts w:hint="eastAsia"/>
                <w:sz w:val="24"/>
              </w:rPr>
            </w:pPr>
            <w:r>
              <w:rPr>
                <w:rFonts w:hint="eastAsia"/>
                <w:sz w:val="24"/>
                <w:lang w:val="en-US" w:eastAsia="zh-CN"/>
              </w:rPr>
              <w:t>本项目</w:t>
            </w:r>
            <w:r>
              <w:rPr>
                <w:rFonts w:hint="eastAsia"/>
                <w:sz w:val="24"/>
              </w:rPr>
              <w:t>更换时最大临时存储量为1t。</w:t>
            </w:r>
          </w:p>
          <w:p w14:paraId="738299D2">
            <w:pPr>
              <w:pageBreakBefore w:val="0"/>
              <w:kinsoku/>
              <w:wordWrap/>
              <w:topLinePunct w:val="0"/>
              <w:bidi w:val="0"/>
              <w:spacing w:line="520" w:lineRule="exact"/>
              <w:ind w:firstLine="480"/>
              <w:rPr>
                <w:rFonts w:hint="default"/>
                <w:sz w:val="24"/>
                <w:lang w:val="en-US"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氢气</w:t>
            </w:r>
          </w:p>
          <w:p w14:paraId="7FCEBAB6">
            <w:pPr>
              <w:pageBreakBefore w:val="0"/>
              <w:kinsoku/>
              <w:wordWrap/>
              <w:topLinePunct w:val="0"/>
              <w:bidi w:val="0"/>
              <w:spacing w:line="520" w:lineRule="exact"/>
              <w:ind w:firstLine="480"/>
              <w:rPr>
                <w:rFonts w:hint="eastAsia"/>
                <w:sz w:val="24"/>
                <w:lang w:val="en-US" w:eastAsia="zh-CN"/>
              </w:rPr>
            </w:pPr>
            <w:r>
              <w:rPr>
                <w:rFonts w:hint="eastAsia"/>
                <w:sz w:val="24"/>
                <w:lang w:val="en-US" w:eastAsia="zh-CN"/>
              </w:rPr>
              <w:t>本</w:t>
            </w:r>
            <w:r>
              <w:rPr>
                <w:rFonts w:hint="eastAsia"/>
                <w:sz w:val="24"/>
              </w:rPr>
              <w:t>项目</w:t>
            </w:r>
            <w:r>
              <w:rPr>
                <w:rFonts w:hint="eastAsia"/>
                <w:sz w:val="24"/>
                <w:lang w:val="en-US" w:eastAsia="zh-CN"/>
              </w:rPr>
              <w:t>预净化分液罐、原料气缓冲罐和产品氢气缓冲罐中均涉及氢气存储，根据组分不同分别计算。</w:t>
            </w:r>
          </w:p>
          <w:p w14:paraId="4C77A8E8">
            <w:pPr>
              <w:pageBreakBefore w:val="0"/>
              <w:kinsoku/>
              <w:wordWrap/>
              <w:topLinePunct w:val="0"/>
              <w:bidi w:val="0"/>
              <w:spacing w:line="520" w:lineRule="exact"/>
              <w:ind w:firstLine="480"/>
              <w:rPr>
                <w:rFonts w:hint="default"/>
                <w:sz w:val="24"/>
                <w:lang w:val="en-US" w:eastAsia="zh-CN"/>
              </w:rPr>
            </w:pPr>
            <w:r>
              <w:rPr>
                <w:rFonts w:hint="eastAsia"/>
                <w:sz w:val="24"/>
                <w:lang w:val="en-US" w:eastAsia="zh-CN"/>
              </w:rPr>
              <w:t>① 原料气计算</w:t>
            </w:r>
          </w:p>
          <w:p w14:paraId="44C9B801">
            <w:pPr>
              <w:pageBreakBefore w:val="0"/>
              <w:kinsoku/>
              <w:wordWrap/>
              <w:topLinePunct w:val="0"/>
              <w:bidi w:val="0"/>
              <w:spacing w:line="520" w:lineRule="exact"/>
              <w:ind w:firstLine="480"/>
              <w:rPr>
                <w:rFonts w:hint="eastAsia" w:eastAsia="宋体"/>
                <w:sz w:val="24"/>
                <w:vertAlign w:val="baseline"/>
                <w:lang w:val="en-US" w:eastAsia="zh-CN"/>
              </w:rPr>
            </w:pPr>
            <w:r>
              <w:rPr>
                <w:rFonts w:hint="eastAsia"/>
                <w:sz w:val="24"/>
                <w:lang w:val="en-US" w:eastAsia="zh-CN"/>
              </w:rPr>
              <w:t>预净化分液罐规格为</w:t>
            </w:r>
            <w:r>
              <w:rPr>
                <w:rFonts w:hint="eastAsia"/>
                <w:sz w:val="24"/>
              </w:rPr>
              <w:t>Φ</w:t>
            </w:r>
            <w:r>
              <w:rPr>
                <w:rFonts w:hint="eastAsia"/>
                <w:sz w:val="24"/>
                <w:lang w:val="en-US" w:eastAsia="zh-CN"/>
              </w:rPr>
              <w:t>18</w:t>
            </w:r>
            <w:r>
              <w:rPr>
                <w:rFonts w:hint="eastAsia"/>
                <w:sz w:val="24"/>
              </w:rPr>
              <w:t>00×</w:t>
            </w:r>
            <w:r>
              <w:rPr>
                <w:rFonts w:hint="eastAsia"/>
                <w:sz w:val="24"/>
                <w:lang w:val="en-US" w:eastAsia="zh-CN"/>
              </w:rPr>
              <w:t>6</w:t>
            </w:r>
            <w:r>
              <w:rPr>
                <w:rFonts w:hint="eastAsia"/>
                <w:sz w:val="24"/>
              </w:rPr>
              <w:t>000，设计压力1.</w:t>
            </w:r>
            <w:r>
              <w:rPr>
                <w:rFonts w:hint="eastAsia"/>
                <w:sz w:val="24"/>
                <w:lang w:val="en-US" w:eastAsia="zh-CN"/>
              </w:rPr>
              <w:t>2</w:t>
            </w:r>
            <w:r>
              <w:rPr>
                <w:rFonts w:hint="eastAsia"/>
                <w:sz w:val="24"/>
                <w:lang w:eastAsia="zh-CN"/>
              </w:rPr>
              <w:t>MPa(G)，</w:t>
            </w:r>
            <w:r>
              <w:rPr>
                <w:rFonts w:hint="eastAsia"/>
                <w:sz w:val="24"/>
              </w:rPr>
              <w:t>折标况下</w:t>
            </w:r>
            <w:r>
              <w:rPr>
                <w:rFonts w:hint="eastAsia"/>
                <w:sz w:val="24"/>
                <w:lang w:val="en-US" w:eastAsia="zh-CN"/>
              </w:rPr>
              <w:t>存储原料气量为183.125</w:t>
            </w:r>
            <w:r>
              <w:rPr>
                <w:rFonts w:hint="eastAsia"/>
                <w:sz w:val="24"/>
              </w:rPr>
              <w:t>m</w:t>
            </w:r>
            <w:r>
              <w:rPr>
                <w:rFonts w:hint="eastAsia"/>
                <w:sz w:val="24"/>
                <w:vertAlign w:val="superscript"/>
              </w:rPr>
              <w:t>3</w:t>
            </w:r>
            <w:r>
              <w:rPr>
                <w:rFonts w:hint="eastAsia"/>
                <w:sz w:val="24"/>
                <w:vertAlign w:val="baseline"/>
                <w:lang w:eastAsia="zh-CN"/>
              </w:rPr>
              <w:t>；</w:t>
            </w:r>
            <w:r>
              <w:rPr>
                <w:rFonts w:hint="eastAsia"/>
                <w:sz w:val="24"/>
                <w:vertAlign w:val="baseline"/>
                <w:lang w:val="en-US" w:eastAsia="zh-CN"/>
              </w:rPr>
              <w:t>原料气缓冲罐规格为</w:t>
            </w:r>
            <w:r>
              <w:rPr>
                <w:rFonts w:hint="eastAsia"/>
                <w:sz w:val="24"/>
              </w:rPr>
              <w:t>Φ</w:t>
            </w:r>
            <w:r>
              <w:rPr>
                <w:rFonts w:hint="eastAsia"/>
                <w:sz w:val="24"/>
                <w:lang w:val="en-US" w:eastAsia="zh-CN"/>
              </w:rPr>
              <w:t>44</w:t>
            </w:r>
            <w:r>
              <w:rPr>
                <w:rFonts w:hint="eastAsia"/>
                <w:sz w:val="24"/>
              </w:rPr>
              <w:t>00×</w:t>
            </w:r>
            <w:r>
              <w:rPr>
                <w:rFonts w:hint="eastAsia"/>
                <w:sz w:val="24"/>
                <w:lang w:val="en-US" w:eastAsia="zh-CN"/>
              </w:rPr>
              <w:t>10</w:t>
            </w:r>
            <w:r>
              <w:rPr>
                <w:rFonts w:hint="eastAsia"/>
                <w:sz w:val="24"/>
              </w:rPr>
              <w:t>000，设计压力</w:t>
            </w:r>
            <w:r>
              <w:rPr>
                <w:rFonts w:hint="eastAsia"/>
                <w:sz w:val="24"/>
                <w:lang w:val="en-US" w:eastAsia="zh-CN"/>
              </w:rPr>
              <w:t>0</w:t>
            </w:r>
            <w:r>
              <w:rPr>
                <w:rFonts w:hint="eastAsia"/>
                <w:sz w:val="24"/>
              </w:rPr>
              <w:t>.</w:t>
            </w:r>
            <w:r>
              <w:rPr>
                <w:rFonts w:hint="eastAsia"/>
                <w:sz w:val="24"/>
                <w:lang w:val="en-US" w:eastAsia="zh-CN"/>
              </w:rPr>
              <w:t>2</w:t>
            </w:r>
            <w:r>
              <w:rPr>
                <w:rFonts w:hint="eastAsia"/>
                <w:sz w:val="24"/>
                <w:lang w:eastAsia="zh-CN"/>
              </w:rPr>
              <w:t>MPa(G)，</w:t>
            </w:r>
            <w:r>
              <w:rPr>
                <w:rFonts w:hint="eastAsia"/>
                <w:sz w:val="24"/>
              </w:rPr>
              <w:t>折标况下</w:t>
            </w:r>
            <w:r>
              <w:rPr>
                <w:rFonts w:hint="eastAsia"/>
                <w:sz w:val="24"/>
                <w:lang w:val="en-US" w:eastAsia="zh-CN"/>
              </w:rPr>
              <w:t>存储原料气量为303.952</w:t>
            </w:r>
            <w:r>
              <w:rPr>
                <w:rFonts w:hint="eastAsia"/>
                <w:sz w:val="24"/>
              </w:rPr>
              <w:t>m</w:t>
            </w:r>
            <w:r>
              <w:rPr>
                <w:rFonts w:hint="eastAsia"/>
                <w:sz w:val="24"/>
                <w:vertAlign w:val="superscript"/>
              </w:rPr>
              <w:t>3</w:t>
            </w:r>
            <w:r>
              <w:rPr>
                <w:rFonts w:hint="eastAsia"/>
                <w:sz w:val="24"/>
                <w:vertAlign w:val="baseline"/>
                <w:lang w:eastAsia="zh-CN"/>
              </w:rPr>
              <w:t>，</w:t>
            </w:r>
            <w:r>
              <w:rPr>
                <w:rFonts w:hint="eastAsia"/>
                <w:sz w:val="24"/>
                <w:vertAlign w:val="baseline"/>
                <w:lang w:val="en-US" w:eastAsia="zh-CN"/>
              </w:rPr>
              <w:t>则折标况下原料气存储总量为487.077</w:t>
            </w:r>
            <w:r>
              <w:rPr>
                <w:rFonts w:hint="eastAsia"/>
                <w:sz w:val="24"/>
              </w:rPr>
              <w:t>m</w:t>
            </w:r>
            <w:r>
              <w:rPr>
                <w:rFonts w:hint="eastAsia"/>
                <w:sz w:val="24"/>
                <w:vertAlign w:val="superscript"/>
              </w:rPr>
              <w:t>3</w:t>
            </w:r>
            <w:r>
              <w:rPr>
                <w:rFonts w:hint="eastAsia"/>
                <w:sz w:val="24"/>
                <w:vertAlign w:val="baseline"/>
                <w:lang w:eastAsia="zh-CN"/>
              </w:rPr>
              <w:t>。</w:t>
            </w:r>
            <w:r>
              <w:rPr>
                <w:rFonts w:hint="eastAsia"/>
                <w:sz w:val="24"/>
                <w:vertAlign w:val="baseline"/>
                <w:lang w:val="en-US" w:eastAsia="zh-CN"/>
              </w:rPr>
              <w:t>根据建设单位提供资料，原料气中氢气组分构成为24.063%，则计算可得原料气中氢气存储量为117.205</w:t>
            </w:r>
            <w:r>
              <w:rPr>
                <w:rFonts w:hint="eastAsia"/>
                <w:sz w:val="24"/>
              </w:rPr>
              <w:t>m</w:t>
            </w:r>
            <w:r>
              <w:rPr>
                <w:rFonts w:hint="eastAsia"/>
                <w:sz w:val="24"/>
                <w:vertAlign w:val="superscript"/>
              </w:rPr>
              <w:t>3</w:t>
            </w:r>
            <w:r>
              <w:rPr>
                <w:rFonts w:hint="eastAsia"/>
                <w:sz w:val="24"/>
              </w:rPr>
              <w:t>，氢气密度按0.0899g/L计，则</w:t>
            </w:r>
            <w:r>
              <w:rPr>
                <w:rFonts w:hint="eastAsia"/>
                <w:sz w:val="24"/>
                <w:lang w:val="en-US" w:eastAsia="zh-CN"/>
              </w:rPr>
              <w:t>原料气中</w:t>
            </w:r>
            <w:r>
              <w:rPr>
                <w:rFonts w:hint="eastAsia"/>
                <w:sz w:val="24"/>
              </w:rPr>
              <w:t>氢气最大存储量为0.</w:t>
            </w:r>
            <w:r>
              <w:rPr>
                <w:rFonts w:hint="eastAsia"/>
                <w:sz w:val="24"/>
                <w:lang w:eastAsia="zh-CN"/>
              </w:rPr>
              <w:t>0</w:t>
            </w:r>
            <w:r>
              <w:rPr>
                <w:rFonts w:hint="eastAsia"/>
                <w:sz w:val="24"/>
                <w:lang w:val="en-US" w:eastAsia="zh-CN"/>
              </w:rPr>
              <w:t>11</w:t>
            </w:r>
            <w:r>
              <w:rPr>
                <w:rFonts w:hint="eastAsia"/>
                <w:sz w:val="24"/>
              </w:rPr>
              <w:t>t</w:t>
            </w:r>
            <w:r>
              <w:rPr>
                <w:rFonts w:hint="eastAsia"/>
                <w:sz w:val="24"/>
                <w:lang w:eastAsia="zh-CN"/>
              </w:rPr>
              <w:t>。</w:t>
            </w:r>
          </w:p>
          <w:p w14:paraId="07E5297E">
            <w:pPr>
              <w:pageBreakBefore w:val="0"/>
              <w:kinsoku/>
              <w:wordWrap/>
              <w:topLinePunct w:val="0"/>
              <w:bidi w:val="0"/>
              <w:spacing w:line="520" w:lineRule="exact"/>
              <w:ind w:firstLine="480"/>
              <w:rPr>
                <w:rFonts w:hint="default"/>
                <w:sz w:val="24"/>
                <w:vertAlign w:val="baseline"/>
                <w:lang w:val="en-US" w:eastAsia="zh-CN"/>
              </w:rPr>
            </w:pPr>
            <w:r>
              <w:rPr>
                <w:rFonts w:hint="eastAsia"/>
                <w:sz w:val="24"/>
                <w:vertAlign w:val="baseline"/>
                <w:lang w:val="en-US" w:eastAsia="zh-CN"/>
              </w:rPr>
              <w:t>② 产品计算</w:t>
            </w:r>
          </w:p>
          <w:p w14:paraId="1E4884D5">
            <w:pPr>
              <w:pStyle w:val="18"/>
              <w:pageBreakBefore w:val="0"/>
              <w:kinsoku/>
              <w:wordWrap/>
              <w:topLinePunct w:val="0"/>
              <w:bidi w:val="0"/>
              <w:rPr>
                <w:spacing w:val="0"/>
                <w:sz w:val="24"/>
              </w:rPr>
            </w:pPr>
            <w:r>
              <w:rPr>
                <w:rFonts w:hint="eastAsia"/>
                <w:spacing w:val="0"/>
                <w:sz w:val="24"/>
                <w:vertAlign w:val="baseline"/>
                <w:lang w:val="en-US" w:eastAsia="zh-CN"/>
              </w:rPr>
              <w:t>项目</w:t>
            </w:r>
            <w:r>
              <w:rPr>
                <w:rFonts w:hint="eastAsia"/>
                <w:spacing w:val="0"/>
                <w:sz w:val="24"/>
              </w:rPr>
              <w:t>设有</w:t>
            </w:r>
            <w:r>
              <w:rPr>
                <w:rFonts w:hint="eastAsia"/>
                <w:spacing w:val="0"/>
                <w:sz w:val="24"/>
                <w:lang w:eastAsia="zh-CN"/>
              </w:rPr>
              <w:t>1</w:t>
            </w:r>
            <w:r>
              <w:rPr>
                <w:rFonts w:hint="eastAsia"/>
                <w:spacing w:val="0"/>
                <w:sz w:val="24"/>
              </w:rPr>
              <w:t>个</w:t>
            </w:r>
            <w:r>
              <w:rPr>
                <w:rFonts w:hint="eastAsia"/>
                <w:spacing w:val="0"/>
                <w:sz w:val="24"/>
                <w:lang w:val="en-US" w:eastAsia="zh-CN"/>
              </w:rPr>
              <w:t>产品</w:t>
            </w:r>
            <w:r>
              <w:rPr>
                <w:rFonts w:hint="eastAsia"/>
                <w:spacing w:val="0"/>
                <w:sz w:val="24"/>
              </w:rPr>
              <w:t>氢气</w:t>
            </w:r>
            <w:r>
              <w:rPr>
                <w:rFonts w:hint="eastAsia"/>
                <w:spacing w:val="0"/>
                <w:sz w:val="24"/>
                <w:lang w:val="en-US" w:eastAsia="zh-CN"/>
              </w:rPr>
              <w:t>存储</w:t>
            </w:r>
            <w:r>
              <w:rPr>
                <w:rFonts w:hint="eastAsia"/>
                <w:spacing w:val="0"/>
                <w:sz w:val="24"/>
              </w:rPr>
              <w:t>罐，规格为Φ2200×10000，设计压力1.0</w:t>
            </w:r>
            <w:r>
              <w:rPr>
                <w:rFonts w:hint="eastAsia"/>
                <w:spacing w:val="0"/>
                <w:sz w:val="24"/>
                <w:lang w:eastAsia="zh-CN"/>
              </w:rPr>
              <w:t>MPa(G)。</w:t>
            </w:r>
            <w:r>
              <w:rPr>
                <w:rFonts w:hint="eastAsia"/>
                <w:spacing w:val="0"/>
                <w:sz w:val="24"/>
                <w:lang w:val="en-US" w:eastAsia="zh-CN"/>
              </w:rPr>
              <w:t>根据建设单位提供资料，产品气中氢气组分构成为99.543%，则计算可得存储罐中</w:t>
            </w:r>
            <w:r>
              <w:rPr>
                <w:rFonts w:hint="eastAsia"/>
                <w:spacing w:val="0"/>
                <w:sz w:val="24"/>
              </w:rPr>
              <w:t>氢气存储量为</w:t>
            </w:r>
            <w:r>
              <w:rPr>
                <w:rFonts w:hint="eastAsia"/>
                <w:spacing w:val="0"/>
                <w:sz w:val="24"/>
                <w:lang w:val="en-US" w:eastAsia="zh-CN"/>
              </w:rPr>
              <w:t>378.204</w:t>
            </w:r>
            <w:r>
              <w:rPr>
                <w:rFonts w:hint="eastAsia"/>
                <w:spacing w:val="0"/>
                <w:sz w:val="24"/>
              </w:rPr>
              <w:t>m</w:t>
            </w:r>
            <w:r>
              <w:rPr>
                <w:rFonts w:hint="eastAsia"/>
                <w:spacing w:val="0"/>
                <w:sz w:val="24"/>
                <w:vertAlign w:val="superscript"/>
              </w:rPr>
              <w:t>3</w:t>
            </w:r>
            <w:r>
              <w:rPr>
                <w:rFonts w:hint="eastAsia"/>
                <w:spacing w:val="0"/>
                <w:sz w:val="24"/>
              </w:rPr>
              <w:t>，氢气密度按0.0899g/L计，则</w:t>
            </w:r>
            <w:r>
              <w:rPr>
                <w:rFonts w:hint="eastAsia"/>
                <w:spacing w:val="0"/>
                <w:sz w:val="24"/>
                <w:lang w:val="en-US" w:eastAsia="zh-CN"/>
              </w:rPr>
              <w:t>氢气存储罐中</w:t>
            </w:r>
            <w:r>
              <w:rPr>
                <w:rFonts w:hint="eastAsia"/>
                <w:spacing w:val="0"/>
                <w:sz w:val="24"/>
              </w:rPr>
              <w:t>氢气最大存储量为0.</w:t>
            </w:r>
            <w:r>
              <w:rPr>
                <w:rFonts w:hint="eastAsia"/>
                <w:spacing w:val="0"/>
                <w:sz w:val="24"/>
                <w:lang w:eastAsia="zh-CN"/>
              </w:rPr>
              <w:t>0</w:t>
            </w:r>
            <w:r>
              <w:rPr>
                <w:rFonts w:hint="eastAsia"/>
                <w:spacing w:val="0"/>
                <w:sz w:val="24"/>
                <w:lang w:val="en-US" w:eastAsia="zh-CN"/>
              </w:rPr>
              <w:t>34</w:t>
            </w:r>
            <w:r>
              <w:rPr>
                <w:rFonts w:hint="eastAsia"/>
                <w:spacing w:val="0"/>
                <w:sz w:val="24"/>
              </w:rPr>
              <w:t>t。</w:t>
            </w:r>
          </w:p>
          <w:p w14:paraId="12D46B30">
            <w:pPr>
              <w:pStyle w:val="18"/>
              <w:pageBreakBefore w:val="0"/>
              <w:kinsoku/>
              <w:wordWrap/>
              <w:topLinePunct w:val="0"/>
              <w:bidi w:val="0"/>
              <w:rPr>
                <w:rFonts w:hint="default"/>
                <w:spacing w:val="0"/>
                <w:sz w:val="24"/>
                <w:lang w:val="en-US"/>
              </w:rPr>
            </w:pPr>
            <w:r>
              <w:rPr>
                <w:rFonts w:hint="eastAsia"/>
                <w:spacing w:val="0"/>
                <w:sz w:val="24"/>
                <w:lang w:val="en-US" w:eastAsia="zh-CN"/>
              </w:rPr>
              <w:t>项目设有2个解吸气存储罐，规格均为</w:t>
            </w:r>
            <w:r>
              <w:rPr>
                <w:rFonts w:hint="eastAsia"/>
                <w:spacing w:val="0"/>
                <w:sz w:val="24"/>
              </w:rPr>
              <w:t>Ф3600×</w:t>
            </w:r>
            <w:r>
              <w:rPr>
                <w:rFonts w:hint="eastAsia"/>
                <w:spacing w:val="0"/>
                <w:sz w:val="24"/>
                <w:lang w:val="en-US" w:eastAsia="zh-CN"/>
              </w:rPr>
              <w:t>1971</w:t>
            </w:r>
            <w:r>
              <w:rPr>
                <w:rFonts w:hint="eastAsia"/>
                <w:spacing w:val="0"/>
                <w:sz w:val="24"/>
              </w:rPr>
              <w:t>0</w:t>
            </w:r>
            <w:r>
              <w:rPr>
                <w:rFonts w:hint="eastAsia"/>
                <w:spacing w:val="0"/>
                <w:sz w:val="24"/>
                <w:lang w:eastAsia="zh-CN"/>
              </w:rPr>
              <w:t>，</w:t>
            </w:r>
            <w:r>
              <w:rPr>
                <w:rFonts w:hint="eastAsia"/>
                <w:spacing w:val="0"/>
                <w:sz w:val="24"/>
                <w:lang w:val="en-US" w:eastAsia="zh-CN"/>
              </w:rPr>
              <w:t>设计压力0.3</w:t>
            </w:r>
            <w:r>
              <w:rPr>
                <w:rFonts w:hint="eastAsia"/>
                <w:spacing w:val="0"/>
                <w:sz w:val="24"/>
                <w:lang w:eastAsia="zh-CN"/>
              </w:rPr>
              <w:t>MPa(G)，</w:t>
            </w:r>
            <w:r>
              <w:rPr>
                <w:rFonts w:hint="eastAsia"/>
                <w:spacing w:val="0"/>
                <w:sz w:val="24"/>
              </w:rPr>
              <w:t>折标况下</w:t>
            </w:r>
            <w:r>
              <w:rPr>
                <w:rFonts w:hint="eastAsia"/>
                <w:spacing w:val="0"/>
                <w:sz w:val="24"/>
                <w:lang w:val="en-US" w:eastAsia="zh-CN"/>
              </w:rPr>
              <w:t>单个储罐解吸气</w:t>
            </w:r>
            <w:r>
              <w:rPr>
                <w:rFonts w:hint="eastAsia"/>
                <w:spacing w:val="0"/>
                <w:sz w:val="24"/>
              </w:rPr>
              <w:t>存储量为</w:t>
            </w:r>
            <w:r>
              <w:rPr>
                <w:rFonts w:hint="eastAsia"/>
                <w:spacing w:val="0"/>
                <w:sz w:val="24"/>
                <w:lang w:val="en-US" w:eastAsia="zh-CN"/>
              </w:rPr>
              <w:t>601.565</w:t>
            </w:r>
            <w:r>
              <w:rPr>
                <w:rFonts w:hint="eastAsia"/>
                <w:spacing w:val="0"/>
                <w:sz w:val="24"/>
              </w:rPr>
              <w:t>m</w:t>
            </w:r>
            <w:r>
              <w:rPr>
                <w:rFonts w:hint="eastAsia"/>
                <w:spacing w:val="0"/>
                <w:sz w:val="24"/>
                <w:vertAlign w:val="superscript"/>
              </w:rPr>
              <w:t>3</w:t>
            </w:r>
            <w:r>
              <w:rPr>
                <w:rFonts w:hint="eastAsia"/>
                <w:spacing w:val="0"/>
                <w:sz w:val="24"/>
                <w:vertAlign w:val="baseline"/>
                <w:lang w:eastAsia="zh-CN"/>
              </w:rPr>
              <w:t>，</w:t>
            </w:r>
            <w:r>
              <w:rPr>
                <w:rFonts w:hint="eastAsia"/>
                <w:spacing w:val="0"/>
                <w:sz w:val="24"/>
                <w:vertAlign w:val="baseline"/>
                <w:lang w:val="en-US" w:eastAsia="zh-CN"/>
              </w:rPr>
              <w:t>合计1203.130</w:t>
            </w:r>
            <w:r>
              <w:rPr>
                <w:rFonts w:hint="eastAsia"/>
                <w:spacing w:val="0"/>
                <w:sz w:val="24"/>
              </w:rPr>
              <w:t>m</w:t>
            </w:r>
            <w:r>
              <w:rPr>
                <w:rFonts w:hint="eastAsia"/>
                <w:spacing w:val="0"/>
                <w:sz w:val="24"/>
                <w:vertAlign w:val="superscript"/>
              </w:rPr>
              <w:t>3</w:t>
            </w:r>
            <w:r>
              <w:rPr>
                <w:rFonts w:hint="eastAsia"/>
                <w:spacing w:val="0"/>
                <w:sz w:val="24"/>
                <w:vertAlign w:val="baseline"/>
                <w:lang w:eastAsia="zh-CN"/>
              </w:rPr>
              <w:t>。</w:t>
            </w:r>
            <w:r>
              <w:rPr>
                <w:rFonts w:hint="eastAsia"/>
                <w:spacing w:val="0"/>
                <w:sz w:val="24"/>
                <w:vertAlign w:val="baseline"/>
                <w:lang w:val="en-US" w:eastAsia="zh-CN"/>
              </w:rPr>
              <w:t>根据建设单位提供资料，解吸气中氢气组分构成为9.363%，</w:t>
            </w:r>
            <w:r>
              <w:rPr>
                <w:rFonts w:hint="eastAsia"/>
                <w:spacing w:val="0"/>
                <w:sz w:val="24"/>
                <w:lang w:val="en-US" w:eastAsia="zh-CN"/>
              </w:rPr>
              <w:t>则计算可得解吸气存储罐中</w:t>
            </w:r>
            <w:r>
              <w:rPr>
                <w:rFonts w:hint="eastAsia"/>
                <w:spacing w:val="0"/>
                <w:sz w:val="24"/>
              </w:rPr>
              <w:t>氢气存储量为</w:t>
            </w:r>
            <w:r>
              <w:rPr>
                <w:rFonts w:hint="eastAsia"/>
                <w:spacing w:val="0"/>
                <w:sz w:val="24"/>
                <w:lang w:val="en-US" w:eastAsia="zh-CN"/>
              </w:rPr>
              <w:t>112.649</w:t>
            </w:r>
            <w:r>
              <w:rPr>
                <w:rFonts w:hint="eastAsia"/>
                <w:spacing w:val="0"/>
                <w:sz w:val="24"/>
              </w:rPr>
              <w:t>m</w:t>
            </w:r>
            <w:r>
              <w:rPr>
                <w:rFonts w:hint="eastAsia"/>
                <w:spacing w:val="0"/>
                <w:sz w:val="24"/>
                <w:vertAlign w:val="superscript"/>
              </w:rPr>
              <w:t>3</w:t>
            </w:r>
            <w:r>
              <w:rPr>
                <w:rFonts w:hint="eastAsia"/>
                <w:spacing w:val="0"/>
                <w:sz w:val="24"/>
              </w:rPr>
              <w:t>，氢气密度按0.0899g/L计，则</w:t>
            </w:r>
            <w:r>
              <w:rPr>
                <w:rFonts w:hint="eastAsia"/>
                <w:spacing w:val="0"/>
                <w:sz w:val="24"/>
                <w:lang w:val="en-US" w:eastAsia="zh-CN"/>
              </w:rPr>
              <w:t>解吸气存储罐中</w:t>
            </w:r>
            <w:r>
              <w:rPr>
                <w:rFonts w:hint="eastAsia"/>
                <w:spacing w:val="0"/>
                <w:sz w:val="24"/>
              </w:rPr>
              <w:t>氢气最大存储量为0.</w:t>
            </w:r>
            <w:r>
              <w:rPr>
                <w:rFonts w:hint="eastAsia"/>
                <w:spacing w:val="0"/>
                <w:sz w:val="24"/>
                <w:lang w:eastAsia="zh-CN"/>
              </w:rPr>
              <w:t>0</w:t>
            </w:r>
            <w:r>
              <w:rPr>
                <w:rFonts w:hint="eastAsia"/>
                <w:spacing w:val="0"/>
                <w:sz w:val="24"/>
                <w:lang w:val="en-US" w:eastAsia="zh-CN"/>
              </w:rPr>
              <w:t>10</w:t>
            </w:r>
            <w:r>
              <w:rPr>
                <w:rFonts w:hint="eastAsia"/>
                <w:spacing w:val="0"/>
                <w:sz w:val="24"/>
              </w:rPr>
              <w:t>t。</w:t>
            </w:r>
          </w:p>
          <w:p w14:paraId="3CBE7609">
            <w:pPr>
              <w:pStyle w:val="18"/>
              <w:pageBreakBefore w:val="0"/>
              <w:kinsoku/>
              <w:wordWrap/>
              <w:topLinePunct w:val="0"/>
              <w:bidi w:val="0"/>
              <w:rPr>
                <w:rFonts w:hint="default"/>
                <w:spacing w:val="0"/>
                <w:sz w:val="24"/>
                <w:lang w:val="en-US" w:eastAsia="zh-CN"/>
              </w:rPr>
            </w:pPr>
            <w:r>
              <w:rPr>
                <w:rFonts w:hint="eastAsia"/>
                <w:spacing w:val="0"/>
                <w:sz w:val="24"/>
                <w:lang w:val="en-US" w:eastAsia="zh-CN"/>
              </w:rPr>
              <w:t>综上所述，项目运营期氢气存储总量约为0.055t。</w:t>
            </w:r>
          </w:p>
          <w:p w14:paraId="69233347">
            <w:pPr>
              <w:pStyle w:val="18"/>
              <w:pageBreakBefore w:val="0"/>
              <w:kinsoku/>
              <w:wordWrap/>
              <w:topLinePunct w:val="0"/>
              <w:bidi w:val="0"/>
              <w:rPr>
                <w:rFonts w:hint="default"/>
                <w:spacing w:val="0"/>
                <w:sz w:val="24"/>
                <w:lang w:val="en-US" w:eastAsia="zh-CN"/>
              </w:rPr>
            </w:pPr>
            <w:r>
              <w:rPr>
                <w:rFonts w:hint="eastAsia"/>
                <w:spacing w:val="0"/>
                <w:sz w:val="24"/>
                <w:lang w:val="en-US" w:eastAsia="zh-CN"/>
              </w:rPr>
              <w:t>（4）一氧化碳</w:t>
            </w:r>
          </w:p>
          <w:p w14:paraId="3EBDD39B">
            <w:pPr>
              <w:pStyle w:val="18"/>
              <w:pageBreakBefore w:val="0"/>
              <w:kinsoku/>
              <w:wordWrap/>
              <w:topLinePunct w:val="0"/>
              <w:bidi w:val="0"/>
              <w:rPr>
                <w:rFonts w:hint="default"/>
                <w:spacing w:val="0"/>
                <w:sz w:val="24"/>
                <w:lang w:val="en-US" w:eastAsia="zh-CN"/>
              </w:rPr>
            </w:pPr>
            <w:r>
              <w:rPr>
                <w:rFonts w:hint="eastAsia"/>
                <w:spacing w:val="0"/>
                <w:sz w:val="24"/>
                <w:lang w:val="en-US" w:eastAsia="zh-CN"/>
              </w:rPr>
              <w:t>项目预净化分液罐、原料气缓冲罐和解吸气缓冲罐、解吸气混合罐中均涉及一氧化碳存储，根据组分不同分别计算</w:t>
            </w:r>
          </w:p>
          <w:p w14:paraId="2F60608D">
            <w:pPr>
              <w:pStyle w:val="18"/>
              <w:pageBreakBefore w:val="0"/>
              <w:kinsoku/>
              <w:wordWrap/>
              <w:topLinePunct w:val="0"/>
              <w:bidi w:val="0"/>
              <w:rPr>
                <w:rFonts w:hint="default"/>
                <w:spacing w:val="0"/>
                <w:sz w:val="24"/>
                <w:lang w:val="en-US" w:eastAsia="zh-CN"/>
              </w:rPr>
            </w:pPr>
            <w:r>
              <w:rPr>
                <w:rFonts w:hint="eastAsia"/>
                <w:spacing w:val="0"/>
                <w:sz w:val="24"/>
                <w:lang w:val="en-US" w:eastAsia="zh-CN"/>
              </w:rPr>
              <w:t>① 原料气计算</w:t>
            </w:r>
          </w:p>
          <w:p w14:paraId="52C76030">
            <w:pPr>
              <w:pStyle w:val="18"/>
              <w:pageBreakBefore w:val="0"/>
              <w:kinsoku/>
              <w:wordWrap/>
              <w:topLinePunct w:val="0"/>
              <w:bidi w:val="0"/>
              <w:rPr>
                <w:rFonts w:hint="default"/>
                <w:spacing w:val="0"/>
                <w:sz w:val="24"/>
                <w:lang w:val="en-US" w:eastAsia="zh-CN"/>
              </w:rPr>
            </w:pPr>
            <w:r>
              <w:rPr>
                <w:rFonts w:hint="eastAsia"/>
                <w:spacing w:val="0"/>
                <w:sz w:val="24"/>
                <w:lang w:val="en-US" w:eastAsia="zh-CN"/>
              </w:rPr>
              <w:t>由前文可知，</w:t>
            </w:r>
            <w:r>
              <w:rPr>
                <w:rFonts w:hint="eastAsia"/>
                <w:spacing w:val="0"/>
                <w:sz w:val="24"/>
                <w:vertAlign w:val="baseline"/>
                <w:lang w:val="en-US" w:eastAsia="zh-CN"/>
              </w:rPr>
              <w:t>折标况下原料气存储总量为487.077</w:t>
            </w:r>
            <w:r>
              <w:rPr>
                <w:rFonts w:hint="eastAsia"/>
                <w:spacing w:val="0"/>
                <w:sz w:val="24"/>
              </w:rPr>
              <w:t>m</w:t>
            </w:r>
            <w:r>
              <w:rPr>
                <w:rFonts w:hint="eastAsia"/>
                <w:spacing w:val="0"/>
                <w:sz w:val="24"/>
                <w:vertAlign w:val="superscript"/>
              </w:rPr>
              <w:t>3</w:t>
            </w:r>
            <w:r>
              <w:rPr>
                <w:rFonts w:hint="eastAsia"/>
                <w:spacing w:val="0"/>
                <w:sz w:val="24"/>
                <w:vertAlign w:val="baseline"/>
                <w:lang w:eastAsia="zh-CN"/>
              </w:rPr>
              <w:t>。</w:t>
            </w:r>
            <w:r>
              <w:rPr>
                <w:rFonts w:hint="eastAsia"/>
                <w:spacing w:val="0"/>
                <w:sz w:val="24"/>
                <w:vertAlign w:val="baseline"/>
                <w:lang w:val="en-US" w:eastAsia="zh-CN"/>
              </w:rPr>
              <w:t>根据建设单位提供资料，原料气中一氧化碳组分构成为10.6%，则计算可得原料气中一氧化碳存储量为52.585</w:t>
            </w:r>
            <w:r>
              <w:rPr>
                <w:rFonts w:hint="eastAsia"/>
                <w:spacing w:val="0"/>
                <w:sz w:val="24"/>
              </w:rPr>
              <w:t>m</w:t>
            </w:r>
            <w:r>
              <w:rPr>
                <w:rFonts w:hint="eastAsia"/>
                <w:spacing w:val="0"/>
                <w:sz w:val="24"/>
                <w:vertAlign w:val="superscript"/>
              </w:rPr>
              <w:t>3</w:t>
            </w:r>
            <w:r>
              <w:rPr>
                <w:rFonts w:hint="eastAsia"/>
                <w:spacing w:val="0"/>
                <w:sz w:val="24"/>
              </w:rPr>
              <w:t>，</w:t>
            </w:r>
            <w:r>
              <w:rPr>
                <w:rFonts w:hint="eastAsia"/>
                <w:spacing w:val="0"/>
                <w:sz w:val="24"/>
                <w:vertAlign w:val="baseline"/>
                <w:lang w:val="en-US" w:eastAsia="zh-CN"/>
              </w:rPr>
              <w:t>一氧化碳</w:t>
            </w:r>
            <w:r>
              <w:rPr>
                <w:rFonts w:hint="eastAsia"/>
                <w:spacing w:val="0"/>
                <w:sz w:val="24"/>
              </w:rPr>
              <w:t>密度按</w:t>
            </w:r>
            <w:r>
              <w:rPr>
                <w:rFonts w:hint="eastAsia"/>
                <w:spacing w:val="0"/>
                <w:sz w:val="24"/>
                <w:lang w:val="en-US" w:eastAsia="zh-CN"/>
              </w:rPr>
              <w:t>1.25</w:t>
            </w:r>
            <w:r>
              <w:rPr>
                <w:rFonts w:hint="eastAsia"/>
                <w:spacing w:val="0"/>
                <w:sz w:val="24"/>
              </w:rPr>
              <w:t>g/L计，则</w:t>
            </w:r>
            <w:r>
              <w:rPr>
                <w:rFonts w:hint="eastAsia"/>
                <w:spacing w:val="0"/>
                <w:sz w:val="24"/>
                <w:lang w:val="en-US" w:eastAsia="zh-CN"/>
              </w:rPr>
              <w:t>原料气中</w:t>
            </w:r>
            <w:r>
              <w:rPr>
                <w:rFonts w:hint="eastAsia"/>
                <w:spacing w:val="0"/>
                <w:sz w:val="24"/>
                <w:vertAlign w:val="baseline"/>
                <w:lang w:val="en-US" w:eastAsia="zh-CN"/>
              </w:rPr>
              <w:t>一氧化碳</w:t>
            </w:r>
            <w:r>
              <w:rPr>
                <w:rFonts w:hint="eastAsia"/>
                <w:spacing w:val="0"/>
                <w:sz w:val="24"/>
              </w:rPr>
              <w:t>最大存储量为0.</w:t>
            </w:r>
            <w:r>
              <w:rPr>
                <w:rFonts w:hint="eastAsia"/>
                <w:spacing w:val="0"/>
                <w:sz w:val="24"/>
                <w:lang w:eastAsia="zh-CN"/>
              </w:rPr>
              <w:t>0</w:t>
            </w:r>
            <w:r>
              <w:rPr>
                <w:rFonts w:hint="eastAsia"/>
                <w:spacing w:val="0"/>
                <w:sz w:val="24"/>
                <w:lang w:val="en-US" w:eastAsia="zh-CN"/>
              </w:rPr>
              <w:t>66</w:t>
            </w:r>
            <w:r>
              <w:rPr>
                <w:rFonts w:hint="eastAsia"/>
                <w:spacing w:val="0"/>
                <w:sz w:val="24"/>
              </w:rPr>
              <w:t>t</w:t>
            </w:r>
            <w:r>
              <w:rPr>
                <w:rFonts w:hint="eastAsia"/>
                <w:spacing w:val="0"/>
                <w:sz w:val="24"/>
                <w:lang w:eastAsia="zh-CN"/>
              </w:rPr>
              <w:t>。</w:t>
            </w:r>
          </w:p>
          <w:p w14:paraId="11A63F87">
            <w:pPr>
              <w:pStyle w:val="18"/>
              <w:pageBreakBefore w:val="0"/>
              <w:kinsoku/>
              <w:wordWrap/>
              <w:topLinePunct w:val="0"/>
              <w:bidi w:val="0"/>
              <w:rPr>
                <w:rFonts w:hint="default"/>
                <w:spacing w:val="0"/>
                <w:sz w:val="24"/>
                <w:lang w:val="en-US" w:eastAsia="zh-CN"/>
              </w:rPr>
            </w:pPr>
            <w:r>
              <w:rPr>
                <w:rFonts w:hint="eastAsia"/>
                <w:spacing w:val="0"/>
                <w:sz w:val="24"/>
                <w:lang w:val="en-US" w:eastAsia="zh-CN"/>
              </w:rPr>
              <w:t>② 产品计算</w:t>
            </w:r>
          </w:p>
          <w:p w14:paraId="7AAD282D">
            <w:pPr>
              <w:pStyle w:val="18"/>
              <w:pageBreakBefore w:val="0"/>
              <w:kinsoku/>
              <w:wordWrap/>
              <w:topLinePunct w:val="0"/>
              <w:bidi w:val="0"/>
              <w:rPr>
                <w:rFonts w:hint="eastAsia" w:eastAsia="宋体"/>
                <w:spacing w:val="0"/>
                <w:sz w:val="24"/>
                <w:lang w:val="en-US" w:eastAsia="zh-CN"/>
              </w:rPr>
            </w:pPr>
            <w:r>
              <w:rPr>
                <w:rFonts w:hint="eastAsia"/>
                <w:spacing w:val="0"/>
                <w:sz w:val="24"/>
                <w:lang w:val="en-US" w:eastAsia="zh-CN"/>
              </w:rPr>
              <w:t>项目设有2个解吸气存储罐，规格均为</w:t>
            </w:r>
            <w:r>
              <w:rPr>
                <w:rFonts w:hint="eastAsia"/>
                <w:spacing w:val="0"/>
                <w:sz w:val="24"/>
              </w:rPr>
              <w:t>Ф3600×</w:t>
            </w:r>
            <w:r>
              <w:rPr>
                <w:rFonts w:hint="eastAsia"/>
                <w:spacing w:val="0"/>
                <w:sz w:val="24"/>
                <w:lang w:val="en-US" w:eastAsia="zh-CN"/>
              </w:rPr>
              <w:t>1971</w:t>
            </w:r>
            <w:r>
              <w:rPr>
                <w:rFonts w:hint="eastAsia"/>
                <w:spacing w:val="0"/>
                <w:sz w:val="24"/>
              </w:rPr>
              <w:t>0</w:t>
            </w:r>
            <w:r>
              <w:rPr>
                <w:rFonts w:hint="eastAsia"/>
                <w:spacing w:val="0"/>
                <w:sz w:val="24"/>
                <w:lang w:eastAsia="zh-CN"/>
              </w:rPr>
              <w:t>，</w:t>
            </w:r>
            <w:r>
              <w:rPr>
                <w:rFonts w:hint="eastAsia"/>
                <w:spacing w:val="0"/>
                <w:sz w:val="24"/>
                <w:lang w:val="en-US" w:eastAsia="zh-CN"/>
              </w:rPr>
              <w:t>设计压力0.3</w:t>
            </w:r>
            <w:r>
              <w:rPr>
                <w:rFonts w:hint="eastAsia"/>
                <w:spacing w:val="0"/>
                <w:sz w:val="24"/>
                <w:lang w:eastAsia="zh-CN"/>
              </w:rPr>
              <w:t>MPa(G)，</w:t>
            </w:r>
            <w:r>
              <w:rPr>
                <w:rFonts w:hint="eastAsia"/>
                <w:spacing w:val="0"/>
                <w:sz w:val="24"/>
              </w:rPr>
              <w:t>折标况下</w:t>
            </w:r>
            <w:r>
              <w:rPr>
                <w:rFonts w:hint="eastAsia"/>
                <w:spacing w:val="0"/>
                <w:sz w:val="24"/>
                <w:lang w:val="en-US" w:eastAsia="zh-CN"/>
              </w:rPr>
              <w:t>单个储罐解吸气</w:t>
            </w:r>
            <w:r>
              <w:rPr>
                <w:rFonts w:hint="eastAsia"/>
                <w:spacing w:val="0"/>
                <w:sz w:val="24"/>
              </w:rPr>
              <w:t>存储量为</w:t>
            </w:r>
            <w:r>
              <w:rPr>
                <w:rFonts w:hint="eastAsia"/>
                <w:spacing w:val="0"/>
                <w:sz w:val="24"/>
                <w:lang w:val="en-US" w:eastAsia="zh-CN"/>
              </w:rPr>
              <w:t>601.565</w:t>
            </w:r>
            <w:r>
              <w:rPr>
                <w:rFonts w:hint="eastAsia"/>
                <w:spacing w:val="0"/>
                <w:sz w:val="24"/>
              </w:rPr>
              <w:t>m</w:t>
            </w:r>
            <w:r>
              <w:rPr>
                <w:rFonts w:hint="eastAsia"/>
                <w:spacing w:val="0"/>
                <w:sz w:val="24"/>
                <w:vertAlign w:val="superscript"/>
              </w:rPr>
              <w:t>3</w:t>
            </w:r>
            <w:r>
              <w:rPr>
                <w:rFonts w:hint="eastAsia"/>
                <w:spacing w:val="0"/>
                <w:sz w:val="24"/>
                <w:vertAlign w:val="baseline"/>
                <w:lang w:eastAsia="zh-CN"/>
              </w:rPr>
              <w:t>，</w:t>
            </w:r>
            <w:r>
              <w:rPr>
                <w:rFonts w:hint="eastAsia"/>
                <w:spacing w:val="0"/>
                <w:sz w:val="24"/>
                <w:vertAlign w:val="baseline"/>
                <w:lang w:val="en-US" w:eastAsia="zh-CN"/>
              </w:rPr>
              <w:t>合计1203.130</w:t>
            </w:r>
            <w:r>
              <w:rPr>
                <w:rFonts w:hint="eastAsia"/>
                <w:spacing w:val="0"/>
                <w:sz w:val="24"/>
              </w:rPr>
              <w:t>m</w:t>
            </w:r>
            <w:r>
              <w:rPr>
                <w:rFonts w:hint="eastAsia"/>
                <w:spacing w:val="0"/>
                <w:sz w:val="24"/>
                <w:vertAlign w:val="superscript"/>
              </w:rPr>
              <w:t>3</w:t>
            </w:r>
            <w:r>
              <w:rPr>
                <w:rFonts w:hint="eastAsia"/>
                <w:spacing w:val="0"/>
                <w:sz w:val="24"/>
                <w:vertAlign w:val="baseline"/>
                <w:lang w:eastAsia="zh-CN"/>
              </w:rPr>
              <w:t>。</w:t>
            </w:r>
            <w:r>
              <w:rPr>
                <w:rFonts w:hint="eastAsia"/>
                <w:spacing w:val="0"/>
                <w:sz w:val="24"/>
                <w:vertAlign w:val="baseline"/>
                <w:lang w:val="en-US" w:eastAsia="zh-CN"/>
              </w:rPr>
              <w:t>根据建设单位提供资料，解吸气中一氧化碳组分构成为13.999%，则计算可得解吸气中一氧化碳存储量为168.426</w:t>
            </w:r>
            <w:r>
              <w:rPr>
                <w:rFonts w:hint="eastAsia"/>
                <w:spacing w:val="0"/>
                <w:sz w:val="24"/>
              </w:rPr>
              <w:t>m</w:t>
            </w:r>
            <w:r>
              <w:rPr>
                <w:rFonts w:hint="eastAsia"/>
                <w:spacing w:val="0"/>
                <w:sz w:val="24"/>
                <w:vertAlign w:val="superscript"/>
              </w:rPr>
              <w:t>3</w:t>
            </w:r>
            <w:r>
              <w:rPr>
                <w:rFonts w:hint="eastAsia"/>
                <w:spacing w:val="0"/>
                <w:sz w:val="24"/>
              </w:rPr>
              <w:t>，</w:t>
            </w:r>
            <w:r>
              <w:rPr>
                <w:rFonts w:hint="eastAsia"/>
                <w:spacing w:val="0"/>
                <w:sz w:val="24"/>
                <w:lang w:val="en-US" w:eastAsia="zh-CN"/>
              </w:rPr>
              <w:t>一氧化碳</w:t>
            </w:r>
            <w:r>
              <w:rPr>
                <w:rFonts w:hint="eastAsia"/>
                <w:spacing w:val="0"/>
                <w:sz w:val="24"/>
              </w:rPr>
              <w:t>密度按</w:t>
            </w:r>
            <w:r>
              <w:rPr>
                <w:rFonts w:hint="eastAsia"/>
                <w:spacing w:val="0"/>
                <w:sz w:val="24"/>
                <w:lang w:val="en-US" w:eastAsia="zh-CN"/>
              </w:rPr>
              <w:t>1.25</w:t>
            </w:r>
            <w:r>
              <w:rPr>
                <w:rFonts w:hint="eastAsia"/>
                <w:spacing w:val="0"/>
                <w:sz w:val="24"/>
              </w:rPr>
              <w:t>g/L计，则</w:t>
            </w:r>
            <w:r>
              <w:rPr>
                <w:rFonts w:hint="eastAsia"/>
                <w:spacing w:val="0"/>
                <w:sz w:val="24"/>
                <w:lang w:val="en-US" w:eastAsia="zh-CN"/>
              </w:rPr>
              <w:t>原料气中</w:t>
            </w:r>
            <w:r>
              <w:rPr>
                <w:rFonts w:hint="eastAsia"/>
                <w:spacing w:val="0"/>
                <w:sz w:val="24"/>
                <w:vertAlign w:val="baseline"/>
                <w:lang w:val="en-US" w:eastAsia="zh-CN"/>
              </w:rPr>
              <w:t>一氧化碳</w:t>
            </w:r>
            <w:r>
              <w:rPr>
                <w:rFonts w:hint="eastAsia"/>
                <w:spacing w:val="0"/>
                <w:sz w:val="24"/>
              </w:rPr>
              <w:t>最大存储量为0.</w:t>
            </w:r>
            <w:r>
              <w:rPr>
                <w:rFonts w:hint="eastAsia"/>
                <w:spacing w:val="0"/>
                <w:sz w:val="24"/>
                <w:lang w:val="en-US" w:eastAsia="zh-CN"/>
              </w:rPr>
              <w:t>211</w:t>
            </w:r>
            <w:r>
              <w:rPr>
                <w:rFonts w:hint="eastAsia"/>
                <w:spacing w:val="0"/>
                <w:sz w:val="24"/>
              </w:rPr>
              <w:t>t</w:t>
            </w:r>
            <w:r>
              <w:rPr>
                <w:rFonts w:hint="eastAsia"/>
                <w:spacing w:val="0"/>
                <w:sz w:val="24"/>
                <w:lang w:eastAsia="zh-CN"/>
              </w:rPr>
              <w:t>。</w:t>
            </w:r>
          </w:p>
          <w:p w14:paraId="174BC392">
            <w:pPr>
              <w:pStyle w:val="18"/>
              <w:pageBreakBefore w:val="0"/>
              <w:kinsoku/>
              <w:wordWrap/>
              <w:topLinePunct w:val="0"/>
              <w:bidi w:val="0"/>
              <w:rPr>
                <w:rFonts w:hint="eastAsia"/>
                <w:spacing w:val="0"/>
                <w:sz w:val="24"/>
              </w:rPr>
            </w:pPr>
            <w:r>
              <w:rPr>
                <w:rFonts w:hint="eastAsia"/>
                <w:spacing w:val="0"/>
                <w:sz w:val="24"/>
                <w:lang w:val="en-US" w:eastAsia="zh-CN"/>
              </w:rPr>
              <w:t>综上所述，项目运营期一氧化碳存储总量约为0.277t。</w:t>
            </w:r>
          </w:p>
          <w:p w14:paraId="41EF353B">
            <w:pPr>
              <w:pStyle w:val="18"/>
              <w:pageBreakBefore w:val="0"/>
              <w:kinsoku/>
              <w:wordWrap/>
              <w:topLinePunct w:val="0"/>
              <w:bidi w:val="0"/>
              <w:rPr>
                <w:rFonts w:hint="default"/>
                <w:spacing w:val="0"/>
                <w:sz w:val="24"/>
                <w:lang w:val="en-US" w:eastAsia="zh-CN"/>
              </w:rPr>
            </w:pPr>
            <w:r>
              <w:rPr>
                <w:rFonts w:hint="eastAsia"/>
                <w:spacing w:val="0"/>
                <w:sz w:val="24"/>
                <w:lang w:val="en-US" w:eastAsia="zh-CN"/>
              </w:rPr>
              <w:t>（4）甲烷</w:t>
            </w:r>
          </w:p>
          <w:p w14:paraId="4D49BAD1">
            <w:pPr>
              <w:pStyle w:val="18"/>
              <w:pageBreakBefore w:val="0"/>
              <w:kinsoku/>
              <w:wordWrap/>
              <w:topLinePunct w:val="0"/>
              <w:bidi w:val="0"/>
              <w:rPr>
                <w:rFonts w:hint="default"/>
                <w:spacing w:val="0"/>
                <w:sz w:val="24"/>
                <w:lang w:val="en-US" w:eastAsia="zh-CN"/>
              </w:rPr>
            </w:pPr>
            <w:r>
              <w:rPr>
                <w:rFonts w:hint="eastAsia"/>
                <w:spacing w:val="0"/>
                <w:sz w:val="24"/>
                <w:lang w:val="en-US" w:eastAsia="zh-CN"/>
              </w:rPr>
              <w:t>项目预净化分液罐、原料气缓冲罐和解吸气缓冲罐、解吸气混合罐中均涉及</w:t>
            </w:r>
            <w:r>
              <w:rPr>
                <w:rStyle w:val="24"/>
                <w:rFonts w:hint="eastAsia"/>
                <w:spacing w:val="0"/>
                <w:sz w:val="24"/>
                <w:lang w:val="en-US" w:eastAsia="zh-CN"/>
              </w:rPr>
              <w:t>甲烷</w:t>
            </w:r>
            <w:r>
              <w:rPr>
                <w:rFonts w:hint="eastAsia"/>
                <w:spacing w:val="0"/>
                <w:sz w:val="24"/>
                <w:lang w:val="en-US" w:eastAsia="zh-CN"/>
              </w:rPr>
              <w:t>存储，根据组分不同分别计算</w:t>
            </w:r>
          </w:p>
          <w:p w14:paraId="487B0B26">
            <w:pPr>
              <w:pStyle w:val="18"/>
              <w:pageBreakBefore w:val="0"/>
              <w:kinsoku/>
              <w:wordWrap/>
              <w:topLinePunct w:val="0"/>
              <w:bidi w:val="0"/>
              <w:rPr>
                <w:rFonts w:hint="default"/>
                <w:spacing w:val="0"/>
                <w:sz w:val="24"/>
                <w:lang w:val="en-US" w:eastAsia="zh-CN"/>
              </w:rPr>
            </w:pPr>
            <w:r>
              <w:rPr>
                <w:rFonts w:hint="eastAsia"/>
                <w:spacing w:val="0"/>
                <w:sz w:val="24"/>
                <w:lang w:val="en-US" w:eastAsia="zh-CN"/>
              </w:rPr>
              <w:t>① 原料气计算</w:t>
            </w:r>
          </w:p>
          <w:p w14:paraId="6E3771A6">
            <w:pPr>
              <w:pStyle w:val="18"/>
              <w:pageBreakBefore w:val="0"/>
              <w:kinsoku/>
              <w:wordWrap/>
              <w:topLinePunct w:val="0"/>
              <w:bidi w:val="0"/>
              <w:rPr>
                <w:rFonts w:hint="default"/>
                <w:spacing w:val="0"/>
                <w:sz w:val="24"/>
                <w:lang w:val="en-US" w:eastAsia="zh-CN"/>
              </w:rPr>
            </w:pPr>
            <w:r>
              <w:rPr>
                <w:rFonts w:hint="eastAsia"/>
                <w:spacing w:val="0"/>
                <w:sz w:val="24"/>
                <w:lang w:val="en-US" w:eastAsia="zh-CN"/>
              </w:rPr>
              <w:t>由前文可知，</w:t>
            </w:r>
            <w:r>
              <w:rPr>
                <w:rFonts w:hint="eastAsia"/>
                <w:spacing w:val="0"/>
                <w:sz w:val="24"/>
                <w:vertAlign w:val="baseline"/>
                <w:lang w:val="en-US" w:eastAsia="zh-CN"/>
              </w:rPr>
              <w:t>折标况下原料气存储总量为487.077</w:t>
            </w:r>
            <w:r>
              <w:rPr>
                <w:rFonts w:hint="eastAsia"/>
                <w:spacing w:val="0"/>
                <w:sz w:val="24"/>
              </w:rPr>
              <w:t>m</w:t>
            </w:r>
            <w:r>
              <w:rPr>
                <w:rFonts w:hint="eastAsia"/>
                <w:spacing w:val="0"/>
                <w:sz w:val="24"/>
                <w:vertAlign w:val="superscript"/>
              </w:rPr>
              <w:t>3</w:t>
            </w:r>
            <w:r>
              <w:rPr>
                <w:rFonts w:hint="eastAsia"/>
                <w:spacing w:val="0"/>
                <w:sz w:val="24"/>
                <w:vertAlign w:val="baseline"/>
                <w:lang w:eastAsia="zh-CN"/>
              </w:rPr>
              <w:t>。</w:t>
            </w:r>
            <w:r>
              <w:rPr>
                <w:rFonts w:hint="eastAsia"/>
                <w:spacing w:val="0"/>
                <w:sz w:val="24"/>
                <w:vertAlign w:val="baseline"/>
                <w:lang w:val="en-US" w:eastAsia="zh-CN"/>
              </w:rPr>
              <w:t>根据建设单位提供资料，原料气中</w:t>
            </w:r>
            <w:r>
              <w:rPr>
                <w:rStyle w:val="24"/>
                <w:rFonts w:hint="eastAsia"/>
                <w:spacing w:val="0"/>
                <w:sz w:val="24"/>
                <w:lang w:val="en-US" w:eastAsia="zh-CN"/>
              </w:rPr>
              <w:t>甲烷</w:t>
            </w:r>
            <w:r>
              <w:rPr>
                <w:rFonts w:hint="eastAsia"/>
                <w:spacing w:val="0"/>
                <w:sz w:val="24"/>
                <w:vertAlign w:val="baseline"/>
                <w:lang w:val="en-US" w:eastAsia="zh-CN"/>
              </w:rPr>
              <w:t>组分构成为8.357%，则计算可得原料气中</w:t>
            </w:r>
            <w:r>
              <w:rPr>
                <w:rStyle w:val="24"/>
                <w:rFonts w:hint="eastAsia"/>
                <w:spacing w:val="0"/>
                <w:sz w:val="24"/>
                <w:lang w:val="en-US" w:eastAsia="zh-CN"/>
              </w:rPr>
              <w:t>甲烷</w:t>
            </w:r>
            <w:r>
              <w:rPr>
                <w:rFonts w:hint="eastAsia"/>
                <w:spacing w:val="0"/>
                <w:sz w:val="24"/>
                <w:vertAlign w:val="baseline"/>
                <w:lang w:val="en-US" w:eastAsia="zh-CN"/>
              </w:rPr>
              <w:t>存储量为40.705</w:t>
            </w:r>
            <w:r>
              <w:rPr>
                <w:rFonts w:hint="eastAsia"/>
                <w:spacing w:val="0"/>
                <w:sz w:val="24"/>
              </w:rPr>
              <w:t>m</w:t>
            </w:r>
            <w:r>
              <w:rPr>
                <w:rFonts w:hint="eastAsia"/>
                <w:spacing w:val="0"/>
                <w:sz w:val="24"/>
                <w:vertAlign w:val="superscript"/>
              </w:rPr>
              <w:t>3</w:t>
            </w:r>
            <w:r>
              <w:rPr>
                <w:rFonts w:hint="eastAsia"/>
                <w:spacing w:val="0"/>
                <w:sz w:val="24"/>
              </w:rPr>
              <w:t>，</w:t>
            </w:r>
            <w:r>
              <w:rPr>
                <w:rStyle w:val="24"/>
                <w:rFonts w:hint="eastAsia"/>
                <w:spacing w:val="0"/>
                <w:sz w:val="24"/>
                <w:lang w:val="en-US" w:eastAsia="zh-CN"/>
              </w:rPr>
              <w:t>甲烷</w:t>
            </w:r>
            <w:r>
              <w:rPr>
                <w:rFonts w:hint="eastAsia"/>
                <w:spacing w:val="0"/>
                <w:sz w:val="24"/>
              </w:rPr>
              <w:t>密度按0.</w:t>
            </w:r>
            <w:r>
              <w:rPr>
                <w:rFonts w:hint="eastAsia"/>
                <w:spacing w:val="0"/>
                <w:sz w:val="24"/>
                <w:lang w:val="en-US" w:eastAsia="zh-CN"/>
              </w:rPr>
              <w:t>717</w:t>
            </w:r>
            <w:r>
              <w:rPr>
                <w:rFonts w:hint="eastAsia"/>
                <w:spacing w:val="0"/>
                <w:sz w:val="24"/>
              </w:rPr>
              <w:t>g/L计，则</w:t>
            </w:r>
            <w:r>
              <w:rPr>
                <w:rFonts w:hint="eastAsia"/>
                <w:spacing w:val="0"/>
                <w:sz w:val="24"/>
                <w:lang w:val="en-US" w:eastAsia="zh-CN"/>
              </w:rPr>
              <w:t>原料气中</w:t>
            </w:r>
            <w:r>
              <w:rPr>
                <w:rStyle w:val="24"/>
                <w:rFonts w:hint="eastAsia"/>
                <w:spacing w:val="0"/>
                <w:sz w:val="24"/>
                <w:lang w:val="en-US" w:eastAsia="zh-CN"/>
              </w:rPr>
              <w:t>甲烷</w:t>
            </w:r>
            <w:r>
              <w:rPr>
                <w:rFonts w:hint="eastAsia"/>
                <w:spacing w:val="0"/>
                <w:sz w:val="24"/>
              </w:rPr>
              <w:t>最大存储量为0.</w:t>
            </w:r>
            <w:r>
              <w:rPr>
                <w:rFonts w:hint="eastAsia"/>
                <w:spacing w:val="0"/>
                <w:sz w:val="24"/>
                <w:lang w:eastAsia="zh-CN"/>
              </w:rPr>
              <w:t>0</w:t>
            </w:r>
            <w:r>
              <w:rPr>
                <w:rFonts w:hint="eastAsia"/>
                <w:spacing w:val="0"/>
                <w:sz w:val="24"/>
                <w:lang w:val="en-US" w:eastAsia="zh-CN"/>
              </w:rPr>
              <w:t>29</w:t>
            </w:r>
            <w:r>
              <w:rPr>
                <w:rFonts w:hint="eastAsia"/>
                <w:spacing w:val="0"/>
                <w:sz w:val="24"/>
              </w:rPr>
              <w:t>t</w:t>
            </w:r>
            <w:r>
              <w:rPr>
                <w:rFonts w:hint="eastAsia"/>
                <w:spacing w:val="0"/>
                <w:sz w:val="24"/>
                <w:lang w:eastAsia="zh-CN"/>
              </w:rPr>
              <w:t>。</w:t>
            </w:r>
          </w:p>
          <w:p w14:paraId="477D2647">
            <w:pPr>
              <w:pStyle w:val="18"/>
              <w:pageBreakBefore w:val="0"/>
              <w:kinsoku/>
              <w:wordWrap/>
              <w:topLinePunct w:val="0"/>
              <w:bidi w:val="0"/>
              <w:rPr>
                <w:rFonts w:hint="default"/>
                <w:spacing w:val="0"/>
                <w:sz w:val="24"/>
                <w:lang w:val="en-US" w:eastAsia="zh-CN"/>
              </w:rPr>
            </w:pPr>
            <w:r>
              <w:rPr>
                <w:rFonts w:hint="eastAsia"/>
                <w:spacing w:val="0"/>
                <w:sz w:val="24"/>
                <w:lang w:val="en-US" w:eastAsia="zh-CN"/>
              </w:rPr>
              <w:t>② 产品计算</w:t>
            </w:r>
          </w:p>
          <w:p w14:paraId="2EC581D0">
            <w:pPr>
              <w:pStyle w:val="18"/>
              <w:pageBreakBefore w:val="0"/>
              <w:kinsoku/>
              <w:wordWrap/>
              <w:topLinePunct w:val="0"/>
              <w:bidi w:val="0"/>
              <w:rPr>
                <w:rFonts w:hint="eastAsia" w:eastAsia="宋体"/>
                <w:spacing w:val="0"/>
                <w:sz w:val="24"/>
                <w:lang w:val="en-US" w:eastAsia="zh-CN"/>
              </w:rPr>
            </w:pPr>
            <w:r>
              <w:rPr>
                <w:rFonts w:hint="eastAsia"/>
                <w:spacing w:val="0"/>
                <w:sz w:val="24"/>
                <w:lang w:val="en-US" w:eastAsia="zh-CN"/>
              </w:rPr>
              <w:t>项目设有2个解吸气存储罐，规格均为</w:t>
            </w:r>
            <w:r>
              <w:rPr>
                <w:rFonts w:hint="eastAsia"/>
                <w:spacing w:val="0"/>
                <w:sz w:val="24"/>
              </w:rPr>
              <w:t>Ф3600×</w:t>
            </w:r>
            <w:r>
              <w:rPr>
                <w:rFonts w:hint="eastAsia"/>
                <w:spacing w:val="0"/>
                <w:sz w:val="24"/>
                <w:lang w:val="en-US" w:eastAsia="zh-CN"/>
              </w:rPr>
              <w:t>1971</w:t>
            </w:r>
            <w:r>
              <w:rPr>
                <w:rFonts w:hint="eastAsia"/>
                <w:spacing w:val="0"/>
                <w:sz w:val="24"/>
              </w:rPr>
              <w:t>0</w:t>
            </w:r>
            <w:r>
              <w:rPr>
                <w:rFonts w:hint="eastAsia"/>
                <w:spacing w:val="0"/>
                <w:sz w:val="24"/>
                <w:lang w:eastAsia="zh-CN"/>
              </w:rPr>
              <w:t>，</w:t>
            </w:r>
            <w:r>
              <w:rPr>
                <w:rFonts w:hint="eastAsia"/>
                <w:spacing w:val="0"/>
                <w:sz w:val="24"/>
                <w:lang w:val="en-US" w:eastAsia="zh-CN"/>
              </w:rPr>
              <w:t>设计压力0.3</w:t>
            </w:r>
            <w:r>
              <w:rPr>
                <w:rFonts w:hint="eastAsia"/>
                <w:spacing w:val="0"/>
                <w:sz w:val="24"/>
                <w:lang w:eastAsia="zh-CN"/>
              </w:rPr>
              <w:t>MPa(G)，</w:t>
            </w:r>
            <w:r>
              <w:rPr>
                <w:rFonts w:hint="eastAsia"/>
                <w:spacing w:val="0"/>
                <w:sz w:val="24"/>
              </w:rPr>
              <w:t>折标况下</w:t>
            </w:r>
            <w:r>
              <w:rPr>
                <w:rFonts w:hint="eastAsia"/>
                <w:spacing w:val="0"/>
                <w:sz w:val="24"/>
                <w:lang w:val="en-US" w:eastAsia="zh-CN"/>
              </w:rPr>
              <w:t>单个储罐解吸气</w:t>
            </w:r>
            <w:r>
              <w:rPr>
                <w:rFonts w:hint="eastAsia"/>
                <w:spacing w:val="0"/>
                <w:sz w:val="24"/>
              </w:rPr>
              <w:t>存储量为</w:t>
            </w:r>
            <w:r>
              <w:rPr>
                <w:rFonts w:hint="eastAsia"/>
                <w:spacing w:val="0"/>
                <w:sz w:val="24"/>
                <w:lang w:val="en-US" w:eastAsia="zh-CN"/>
              </w:rPr>
              <w:t>601.565</w:t>
            </w:r>
            <w:r>
              <w:rPr>
                <w:rFonts w:hint="eastAsia"/>
                <w:spacing w:val="0"/>
                <w:sz w:val="24"/>
              </w:rPr>
              <w:t>m</w:t>
            </w:r>
            <w:r>
              <w:rPr>
                <w:rFonts w:hint="eastAsia"/>
                <w:spacing w:val="0"/>
                <w:sz w:val="24"/>
                <w:vertAlign w:val="superscript"/>
              </w:rPr>
              <w:t>3</w:t>
            </w:r>
            <w:r>
              <w:rPr>
                <w:rFonts w:hint="eastAsia"/>
                <w:spacing w:val="0"/>
                <w:sz w:val="24"/>
                <w:vertAlign w:val="baseline"/>
                <w:lang w:eastAsia="zh-CN"/>
              </w:rPr>
              <w:t>，</w:t>
            </w:r>
            <w:r>
              <w:rPr>
                <w:rFonts w:hint="eastAsia"/>
                <w:spacing w:val="0"/>
                <w:sz w:val="24"/>
                <w:vertAlign w:val="baseline"/>
                <w:lang w:val="en-US" w:eastAsia="zh-CN"/>
              </w:rPr>
              <w:t>合计1203.130</w:t>
            </w:r>
            <w:r>
              <w:rPr>
                <w:rFonts w:hint="eastAsia"/>
                <w:spacing w:val="0"/>
                <w:sz w:val="24"/>
              </w:rPr>
              <w:t>m</w:t>
            </w:r>
            <w:r>
              <w:rPr>
                <w:rFonts w:hint="eastAsia"/>
                <w:spacing w:val="0"/>
                <w:sz w:val="24"/>
                <w:vertAlign w:val="superscript"/>
              </w:rPr>
              <w:t>3</w:t>
            </w:r>
            <w:r>
              <w:rPr>
                <w:rFonts w:hint="eastAsia"/>
                <w:spacing w:val="0"/>
                <w:sz w:val="24"/>
                <w:vertAlign w:val="baseline"/>
                <w:lang w:eastAsia="zh-CN"/>
              </w:rPr>
              <w:t>。</w:t>
            </w:r>
            <w:r>
              <w:rPr>
                <w:rFonts w:hint="eastAsia"/>
                <w:spacing w:val="0"/>
                <w:sz w:val="24"/>
                <w:vertAlign w:val="baseline"/>
                <w:lang w:val="en-US" w:eastAsia="zh-CN"/>
              </w:rPr>
              <w:t>根据建设单位提供资料，解吸气中</w:t>
            </w:r>
            <w:r>
              <w:rPr>
                <w:rStyle w:val="24"/>
                <w:rFonts w:hint="eastAsia"/>
                <w:spacing w:val="0"/>
                <w:sz w:val="24"/>
                <w:lang w:val="en-US" w:eastAsia="zh-CN"/>
              </w:rPr>
              <w:t>甲烷</w:t>
            </w:r>
            <w:r>
              <w:rPr>
                <w:rFonts w:hint="eastAsia"/>
                <w:spacing w:val="0"/>
                <w:sz w:val="24"/>
                <w:vertAlign w:val="baseline"/>
                <w:lang w:val="en-US" w:eastAsia="zh-CN"/>
              </w:rPr>
              <w:t>组分构成为10.86%，则计算可得解吸气中</w:t>
            </w:r>
            <w:r>
              <w:rPr>
                <w:rStyle w:val="24"/>
                <w:rFonts w:hint="eastAsia"/>
                <w:spacing w:val="0"/>
                <w:sz w:val="24"/>
                <w:lang w:val="en-US" w:eastAsia="zh-CN"/>
              </w:rPr>
              <w:t>甲烷</w:t>
            </w:r>
            <w:r>
              <w:rPr>
                <w:rFonts w:hint="eastAsia"/>
                <w:spacing w:val="0"/>
                <w:sz w:val="24"/>
                <w:vertAlign w:val="baseline"/>
                <w:lang w:val="en-US" w:eastAsia="zh-CN"/>
              </w:rPr>
              <w:t>存储量为130.66</w:t>
            </w:r>
            <w:r>
              <w:rPr>
                <w:rFonts w:hint="eastAsia"/>
                <w:spacing w:val="0"/>
                <w:sz w:val="24"/>
              </w:rPr>
              <w:t>m</w:t>
            </w:r>
            <w:r>
              <w:rPr>
                <w:rFonts w:hint="eastAsia"/>
                <w:spacing w:val="0"/>
                <w:sz w:val="24"/>
                <w:vertAlign w:val="superscript"/>
              </w:rPr>
              <w:t>3</w:t>
            </w:r>
            <w:r>
              <w:rPr>
                <w:rFonts w:hint="eastAsia"/>
                <w:spacing w:val="0"/>
                <w:sz w:val="24"/>
              </w:rPr>
              <w:t>，</w:t>
            </w:r>
            <w:r>
              <w:rPr>
                <w:rStyle w:val="24"/>
                <w:rFonts w:hint="eastAsia"/>
                <w:spacing w:val="0"/>
                <w:sz w:val="24"/>
                <w:lang w:val="en-US" w:eastAsia="zh-CN"/>
              </w:rPr>
              <w:t>甲烷</w:t>
            </w:r>
            <w:r>
              <w:rPr>
                <w:rFonts w:hint="eastAsia"/>
                <w:spacing w:val="0"/>
                <w:sz w:val="24"/>
              </w:rPr>
              <w:t>密度按0.</w:t>
            </w:r>
            <w:r>
              <w:rPr>
                <w:rFonts w:hint="eastAsia"/>
                <w:spacing w:val="0"/>
                <w:sz w:val="24"/>
                <w:lang w:val="en-US" w:eastAsia="zh-CN"/>
              </w:rPr>
              <w:t>717</w:t>
            </w:r>
            <w:r>
              <w:rPr>
                <w:rFonts w:hint="eastAsia"/>
                <w:spacing w:val="0"/>
                <w:sz w:val="24"/>
              </w:rPr>
              <w:t>g/L计，则</w:t>
            </w:r>
            <w:r>
              <w:rPr>
                <w:rFonts w:hint="eastAsia"/>
                <w:spacing w:val="0"/>
                <w:sz w:val="24"/>
                <w:lang w:val="en-US" w:eastAsia="zh-CN"/>
              </w:rPr>
              <w:t>原料气中</w:t>
            </w:r>
            <w:r>
              <w:rPr>
                <w:rStyle w:val="24"/>
                <w:rFonts w:hint="eastAsia"/>
                <w:spacing w:val="0"/>
                <w:sz w:val="24"/>
                <w:lang w:val="en-US" w:eastAsia="zh-CN"/>
              </w:rPr>
              <w:t>甲烷</w:t>
            </w:r>
            <w:r>
              <w:rPr>
                <w:rFonts w:hint="eastAsia"/>
                <w:spacing w:val="0"/>
                <w:sz w:val="24"/>
              </w:rPr>
              <w:t>最大存储量为0.</w:t>
            </w:r>
            <w:r>
              <w:rPr>
                <w:rFonts w:hint="eastAsia"/>
                <w:spacing w:val="0"/>
                <w:sz w:val="24"/>
                <w:lang w:val="en-US" w:eastAsia="zh-CN"/>
              </w:rPr>
              <w:t>094</w:t>
            </w:r>
            <w:r>
              <w:rPr>
                <w:rFonts w:hint="eastAsia"/>
                <w:spacing w:val="0"/>
                <w:sz w:val="24"/>
              </w:rPr>
              <w:t>t</w:t>
            </w:r>
            <w:r>
              <w:rPr>
                <w:rFonts w:hint="eastAsia"/>
                <w:spacing w:val="0"/>
                <w:sz w:val="24"/>
                <w:lang w:eastAsia="zh-CN"/>
              </w:rPr>
              <w:t>。</w:t>
            </w:r>
          </w:p>
          <w:p w14:paraId="27424A1A">
            <w:pPr>
              <w:pStyle w:val="18"/>
              <w:pageBreakBefore w:val="0"/>
              <w:kinsoku/>
              <w:wordWrap/>
              <w:topLinePunct w:val="0"/>
              <w:bidi w:val="0"/>
              <w:rPr>
                <w:rFonts w:hint="eastAsia"/>
                <w:spacing w:val="0"/>
                <w:sz w:val="24"/>
              </w:rPr>
            </w:pPr>
            <w:r>
              <w:rPr>
                <w:rFonts w:hint="eastAsia"/>
                <w:spacing w:val="0"/>
                <w:sz w:val="24"/>
                <w:lang w:val="en-US" w:eastAsia="zh-CN"/>
              </w:rPr>
              <w:t>综上所述，项目运营期甲烷存储总量约为0.123t。</w:t>
            </w:r>
          </w:p>
          <w:p w14:paraId="5E8D35B1">
            <w:pPr>
              <w:pageBreakBefore w:val="0"/>
              <w:kinsoku/>
              <w:wordWrap/>
              <w:topLinePunct w:val="0"/>
              <w:bidi w:val="0"/>
              <w:spacing w:line="520" w:lineRule="exact"/>
              <w:ind w:firstLine="480"/>
              <w:rPr>
                <w:sz w:val="24"/>
              </w:rPr>
            </w:pPr>
            <w:r>
              <w:rPr>
                <w:sz w:val="24"/>
              </w:rPr>
              <w:t>Q值计算结果，见</w:t>
            </w:r>
            <w:r>
              <w:rPr>
                <w:rFonts w:hint="eastAsia"/>
                <w:sz w:val="24"/>
              </w:rPr>
              <w:t>下</w:t>
            </w:r>
            <w:r>
              <w:rPr>
                <w:sz w:val="24"/>
              </w:rPr>
              <w:t>表。</w:t>
            </w:r>
          </w:p>
          <w:p w14:paraId="4B8FAD04">
            <w:pPr>
              <w:pageBreakBefore w:val="0"/>
              <w:tabs>
                <w:tab w:val="left" w:pos="3600"/>
              </w:tabs>
              <w:kinsoku/>
              <w:wordWrap/>
              <w:topLinePunct w:val="0"/>
              <w:bidi w:val="0"/>
              <w:spacing w:line="520" w:lineRule="exact"/>
              <w:jc w:val="center"/>
              <w:outlineLvl w:val="8"/>
              <w:rPr>
                <w:rFonts w:eastAsia="黑体"/>
                <w:bCs/>
                <w:szCs w:val="21"/>
              </w:rPr>
            </w:pPr>
            <w:r>
              <w:rPr>
                <w:rFonts w:eastAsia="黑体"/>
                <w:bCs/>
                <w:szCs w:val="21"/>
              </w:rPr>
              <w:t>表</w:t>
            </w:r>
            <w:r>
              <w:rPr>
                <w:rFonts w:hint="eastAsia" w:eastAsia="黑体"/>
                <w:bCs/>
                <w:szCs w:val="21"/>
              </w:rPr>
              <w:t>4</w:t>
            </w:r>
            <w:r>
              <w:rPr>
                <w:rFonts w:hint="eastAsia" w:eastAsia="黑体"/>
                <w:bCs/>
                <w:szCs w:val="21"/>
                <w:lang w:val="en-US" w:eastAsia="zh-CN"/>
              </w:rPr>
              <w:t>-7</w:t>
            </w:r>
            <w:r>
              <w:rPr>
                <w:rFonts w:eastAsia="黑体"/>
                <w:bCs/>
                <w:szCs w:val="21"/>
              </w:rPr>
              <w:t xml:space="preserve">  建设项目Q值确定表</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500"/>
              <w:gridCol w:w="2219"/>
              <w:gridCol w:w="963"/>
              <w:gridCol w:w="1733"/>
              <w:gridCol w:w="1133"/>
              <w:gridCol w:w="1842"/>
            </w:tblGrid>
            <w:tr w14:paraId="573A7B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noWrap w:val="0"/>
                  <w:vAlign w:val="center"/>
                </w:tcPr>
                <w:p w14:paraId="7ADE8802">
                  <w:pPr>
                    <w:pageBreakBefore w:val="0"/>
                    <w:kinsoku/>
                    <w:wordWrap/>
                    <w:topLinePunct w:val="0"/>
                    <w:bidi w:val="0"/>
                    <w:spacing w:line="280" w:lineRule="exact"/>
                    <w:jc w:val="center"/>
                    <w:rPr>
                      <w:b/>
                      <w:bCs/>
                      <w:sz w:val="18"/>
                      <w:szCs w:val="18"/>
                    </w:rPr>
                  </w:pPr>
                  <w:r>
                    <w:rPr>
                      <w:b/>
                      <w:bCs/>
                      <w:sz w:val="18"/>
                      <w:szCs w:val="18"/>
                    </w:rPr>
                    <w:t>序号</w:t>
                  </w:r>
                </w:p>
              </w:tc>
              <w:tc>
                <w:tcPr>
                  <w:tcW w:w="2219" w:type="dxa"/>
                  <w:noWrap w:val="0"/>
                  <w:vAlign w:val="center"/>
                </w:tcPr>
                <w:p w14:paraId="7C106D73">
                  <w:pPr>
                    <w:pageBreakBefore w:val="0"/>
                    <w:kinsoku/>
                    <w:wordWrap/>
                    <w:topLinePunct w:val="0"/>
                    <w:bidi w:val="0"/>
                    <w:spacing w:line="280" w:lineRule="exact"/>
                    <w:jc w:val="center"/>
                    <w:rPr>
                      <w:b/>
                      <w:bCs/>
                      <w:sz w:val="18"/>
                      <w:szCs w:val="18"/>
                    </w:rPr>
                  </w:pPr>
                  <w:r>
                    <w:rPr>
                      <w:b/>
                      <w:bCs/>
                      <w:sz w:val="18"/>
                      <w:szCs w:val="18"/>
                    </w:rPr>
                    <w:t>危险物质名称</w:t>
                  </w:r>
                </w:p>
              </w:tc>
              <w:tc>
                <w:tcPr>
                  <w:tcW w:w="963" w:type="dxa"/>
                  <w:noWrap w:val="0"/>
                  <w:vAlign w:val="center"/>
                </w:tcPr>
                <w:p w14:paraId="6EC4A8DA">
                  <w:pPr>
                    <w:pageBreakBefore w:val="0"/>
                    <w:kinsoku/>
                    <w:wordWrap/>
                    <w:topLinePunct w:val="0"/>
                    <w:bidi w:val="0"/>
                    <w:spacing w:line="280" w:lineRule="exact"/>
                    <w:jc w:val="center"/>
                    <w:rPr>
                      <w:b/>
                      <w:bCs/>
                      <w:sz w:val="18"/>
                      <w:szCs w:val="18"/>
                    </w:rPr>
                  </w:pPr>
                  <w:r>
                    <w:rPr>
                      <w:rFonts w:hint="eastAsia"/>
                      <w:b/>
                      <w:bCs/>
                      <w:sz w:val="18"/>
                      <w:szCs w:val="18"/>
                    </w:rPr>
                    <w:t>CAS号</w:t>
                  </w:r>
                </w:p>
              </w:tc>
              <w:tc>
                <w:tcPr>
                  <w:tcW w:w="1733" w:type="dxa"/>
                  <w:noWrap w:val="0"/>
                  <w:vAlign w:val="center"/>
                </w:tcPr>
                <w:p w14:paraId="3656B7FF">
                  <w:pPr>
                    <w:pageBreakBefore w:val="0"/>
                    <w:kinsoku/>
                    <w:wordWrap/>
                    <w:topLinePunct w:val="0"/>
                    <w:bidi w:val="0"/>
                    <w:spacing w:line="280" w:lineRule="exact"/>
                    <w:jc w:val="center"/>
                    <w:rPr>
                      <w:b/>
                      <w:bCs/>
                      <w:sz w:val="18"/>
                      <w:szCs w:val="18"/>
                    </w:rPr>
                  </w:pPr>
                  <w:r>
                    <w:rPr>
                      <w:b/>
                      <w:bCs/>
                      <w:sz w:val="18"/>
                      <w:szCs w:val="18"/>
                    </w:rPr>
                    <w:t>最大存在总量</w:t>
                  </w:r>
                  <w:r>
                    <w:rPr>
                      <w:b/>
                      <w:bCs/>
                      <w:i/>
                      <w:iCs/>
                      <w:sz w:val="18"/>
                      <w:szCs w:val="18"/>
                    </w:rPr>
                    <w:t>q</w:t>
                  </w:r>
                  <w:r>
                    <w:rPr>
                      <w:b/>
                      <w:bCs/>
                      <w:i/>
                      <w:iCs/>
                      <w:sz w:val="18"/>
                      <w:szCs w:val="18"/>
                      <w:vertAlign w:val="subscript"/>
                    </w:rPr>
                    <w:t>n</w:t>
                  </w:r>
                  <w:r>
                    <w:rPr>
                      <w:b/>
                      <w:bCs/>
                      <w:sz w:val="18"/>
                      <w:szCs w:val="18"/>
                    </w:rPr>
                    <w:t>/t</w:t>
                  </w:r>
                </w:p>
              </w:tc>
              <w:tc>
                <w:tcPr>
                  <w:tcW w:w="1133" w:type="dxa"/>
                  <w:noWrap w:val="0"/>
                  <w:vAlign w:val="center"/>
                </w:tcPr>
                <w:p w14:paraId="7D312CC0">
                  <w:pPr>
                    <w:pageBreakBefore w:val="0"/>
                    <w:kinsoku/>
                    <w:wordWrap/>
                    <w:topLinePunct w:val="0"/>
                    <w:bidi w:val="0"/>
                    <w:spacing w:line="280" w:lineRule="exact"/>
                    <w:jc w:val="center"/>
                    <w:rPr>
                      <w:b/>
                      <w:bCs/>
                      <w:sz w:val="18"/>
                      <w:szCs w:val="18"/>
                    </w:rPr>
                  </w:pPr>
                  <w:r>
                    <w:rPr>
                      <w:b/>
                      <w:bCs/>
                      <w:sz w:val="18"/>
                      <w:szCs w:val="18"/>
                    </w:rPr>
                    <w:t>临界量</w:t>
                  </w:r>
                  <w:r>
                    <w:rPr>
                      <w:b/>
                      <w:bCs/>
                      <w:i/>
                      <w:iCs/>
                      <w:sz w:val="18"/>
                      <w:szCs w:val="18"/>
                    </w:rPr>
                    <w:t>Q</w:t>
                  </w:r>
                  <w:r>
                    <w:rPr>
                      <w:b/>
                      <w:bCs/>
                      <w:i/>
                      <w:iCs/>
                      <w:sz w:val="18"/>
                      <w:szCs w:val="18"/>
                      <w:vertAlign w:val="subscript"/>
                    </w:rPr>
                    <w:t>n</w:t>
                  </w:r>
                  <w:r>
                    <w:rPr>
                      <w:b/>
                      <w:bCs/>
                      <w:i/>
                      <w:iCs/>
                      <w:sz w:val="18"/>
                      <w:szCs w:val="18"/>
                    </w:rPr>
                    <w:t>/</w:t>
                  </w:r>
                  <w:r>
                    <w:rPr>
                      <w:b/>
                      <w:bCs/>
                      <w:sz w:val="18"/>
                      <w:szCs w:val="18"/>
                    </w:rPr>
                    <w:t>t</w:t>
                  </w:r>
                </w:p>
              </w:tc>
              <w:tc>
                <w:tcPr>
                  <w:tcW w:w="1842" w:type="dxa"/>
                  <w:noWrap w:val="0"/>
                  <w:vAlign w:val="center"/>
                </w:tcPr>
                <w:p w14:paraId="42B3592C">
                  <w:pPr>
                    <w:pageBreakBefore w:val="0"/>
                    <w:kinsoku/>
                    <w:wordWrap/>
                    <w:topLinePunct w:val="0"/>
                    <w:bidi w:val="0"/>
                    <w:spacing w:line="280" w:lineRule="exact"/>
                    <w:jc w:val="center"/>
                    <w:rPr>
                      <w:b/>
                      <w:bCs/>
                      <w:sz w:val="18"/>
                      <w:szCs w:val="18"/>
                    </w:rPr>
                  </w:pPr>
                  <w:r>
                    <w:rPr>
                      <w:b/>
                      <w:bCs/>
                      <w:sz w:val="18"/>
                      <w:szCs w:val="18"/>
                    </w:rPr>
                    <w:t>该种危险物质</w:t>
                  </w:r>
                  <w:r>
                    <w:rPr>
                      <w:b/>
                      <w:bCs/>
                      <w:i/>
                      <w:iCs/>
                      <w:sz w:val="18"/>
                      <w:szCs w:val="18"/>
                    </w:rPr>
                    <w:t>Q</w:t>
                  </w:r>
                  <w:r>
                    <w:rPr>
                      <w:b/>
                      <w:bCs/>
                      <w:sz w:val="18"/>
                      <w:szCs w:val="18"/>
                    </w:rPr>
                    <w:t>值</w:t>
                  </w:r>
                </w:p>
              </w:tc>
            </w:tr>
            <w:tr w14:paraId="70FE9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noWrap w:val="0"/>
                  <w:vAlign w:val="center"/>
                </w:tcPr>
                <w:p w14:paraId="1BDF1509">
                  <w:pPr>
                    <w:pageBreakBefore w:val="0"/>
                    <w:kinsoku/>
                    <w:wordWrap/>
                    <w:topLinePunct w:val="0"/>
                    <w:bidi w:val="0"/>
                    <w:spacing w:line="280" w:lineRule="exact"/>
                    <w:jc w:val="center"/>
                    <w:rPr>
                      <w:rFonts w:hint="eastAsia"/>
                      <w:sz w:val="18"/>
                      <w:szCs w:val="18"/>
                    </w:rPr>
                  </w:pPr>
                  <w:r>
                    <w:rPr>
                      <w:rFonts w:hint="eastAsia"/>
                      <w:sz w:val="18"/>
                      <w:szCs w:val="18"/>
                    </w:rPr>
                    <w:t>1</w:t>
                  </w:r>
                </w:p>
              </w:tc>
              <w:tc>
                <w:tcPr>
                  <w:tcW w:w="2219" w:type="dxa"/>
                  <w:noWrap w:val="0"/>
                  <w:vAlign w:val="center"/>
                </w:tcPr>
                <w:p w14:paraId="269D2F35">
                  <w:pPr>
                    <w:pageBreakBefore w:val="0"/>
                    <w:kinsoku/>
                    <w:wordWrap/>
                    <w:topLinePunct w:val="0"/>
                    <w:bidi w:val="0"/>
                    <w:spacing w:line="280" w:lineRule="exact"/>
                    <w:jc w:val="center"/>
                    <w:rPr>
                      <w:rFonts w:hint="eastAsia"/>
                      <w:sz w:val="18"/>
                      <w:szCs w:val="18"/>
                    </w:rPr>
                  </w:pPr>
                  <w:r>
                    <w:rPr>
                      <w:rFonts w:hint="eastAsia"/>
                      <w:sz w:val="18"/>
                      <w:szCs w:val="18"/>
                      <w:lang w:val="en-US" w:eastAsia="zh-CN"/>
                    </w:rPr>
                    <w:t>含油废液</w:t>
                  </w:r>
                  <w:r>
                    <w:rPr>
                      <w:rFonts w:hint="eastAsia"/>
                      <w:sz w:val="18"/>
                      <w:szCs w:val="18"/>
                    </w:rPr>
                    <w:t>（油类物质）</w:t>
                  </w:r>
                </w:p>
              </w:tc>
              <w:tc>
                <w:tcPr>
                  <w:tcW w:w="963" w:type="dxa"/>
                  <w:noWrap w:val="0"/>
                  <w:vAlign w:val="center"/>
                </w:tcPr>
                <w:p w14:paraId="232A7C52">
                  <w:pPr>
                    <w:pageBreakBefore w:val="0"/>
                    <w:kinsoku/>
                    <w:wordWrap/>
                    <w:topLinePunct w:val="0"/>
                    <w:bidi w:val="0"/>
                    <w:spacing w:line="280" w:lineRule="exact"/>
                    <w:jc w:val="center"/>
                    <w:rPr>
                      <w:sz w:val="18"/>
                      <w:szCs w:val="18"/>
                    </w:rPr>
                  </w:pPr>
                  <w:r>
                    <w:rPr>
                      <w:rFonts w:hint="eastAsia"/>
                      <w:sz w:val="18"/>
                      <w:szCs w:val="18"/>
                    </w:rPr>
                    <w:t>/</w:t>
                  </w:r>
                </w:p>
              </w:tc>
              <w:tc>
                <w:tcPr>
                  <w:tcW w:w="1733" w:type="dxa"/>
                  <w:noWrap w:val="0"/>
                  <w:vAlign w:val="center"/>
                </w:tcPr>
                <w:p w14:paraId="45D4F9EF">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lang w:val="en-US" w:eastAsia="zh-CN"/>
                    </w:rPr>
                    <w:t>12</w:t>
                  </w:r>
                </w:p>
              </w:tc>
              <w:tc>
                <w:tcPr>
                  <w:tcW w:w="1133" w:type="dxa"/>
                  <w:noWrap w:val="0"/>
                  <w:vAlign w:val="center"/>
                </w:tcPr>
                <w:p w14:paraId="16EF8E79">
                  <w:pPr>
                    <w:pageBreakBefore w:val="0"/>
                    <w:kinsoku/>
                    <w:wordWrap/>
                    <w:topLinePunct w:val="0"/>
                    <w:bidi w:val="0"/>
                    <w:spacing w:line="280" w:lineRule="exact"/>
                    <w:jc w:val="center"/>
                    <w:rPr>
                      <w:sz w:val="18"/>
                      <w:szCs w:val="18"/>
                    </w:rPr>
                  </w:pPr>
                  <w:r>
                    <w:rPr>
                      <w:rFonts w:hint="eastAsia"/>
                      <w:sz w:val="18"/>
                      <w:szCs w:val="18"/>
                    </w:rPr>
                    <w:t>2500</w:t>
                  </w:r>
                </w:p>
              </w:tc>
              <w:tc>
                <w:tcPr>
                  <w:tcW w:w="1842" w:type="dxa"/>
                  <w:noWrap w:val="0"/>
                  <w:vAlign w:val="center"/>
                </w:tcPr>
                <w:p w14:paraId="5314D948">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rPr>
                    <w:t>0.00</w:t>
                  </w:r>
                  <w:r>
                    <w:rPr>
                      <w:rFonts w:hint="eastAsia"/>
                      <w:sz w:val="18"/>
                      <w:szCs w:val="18"/>
                      <w:lang w:val="en-US" w:eastAsia="zh-CN"/>
                    </w:rPr>
                    <w:t>48</w:t>
                  </w:r>
                </w:p>
              </w:tc>
            </w:tr>
            <w:tr w14:paraId="790360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noWrap w:val="0"/>
                  <w:vAlign w:val="center"/>
                </w:tcPr>
                <w:p w14:paraId="4B683EFD">
                  <w:pPr>
                    <w:pageBreakBefore w:val="0"/>
                    <w:kinsoku/>
                    <w:wordWrap/>
                    <w:topLinePunct w:val="0"/>
                    <w:bidi w:val="0"/>
                    <w:spacing w:line="280" w:lineRule="exact"/>
                    <w:jc w:val="center"/>
                    <w:rPr>
                      <w:rFonts w:hint="eastAsia"/>
                      <w:sz w:val="18"/>
                      <w:szCs w:val="18"/>
                    </w:rPr>
                  </w:pPr>
                  <w:r>
                    <w:rPr>
                      <w:rFonts w:hint="eastAsia"/>
                      <w:sz w:val="18"/>
                      <w:szCs w:val="18"/>
                    </w:rPr>
                    <w:t>2</w:t>
                  </w:r>
                </w:p>
              </w:tc>
              <w:tc>
                <w:tcPr>
                  <w:tcW w:w="2219" w:type="dxa"/>
                  <w:noWrap w:val="0"/>
                  <w:vAlign w:val="center"/>
                </w:tcPr>
                <w:p w14:paraId="54AC5358">
                  <w:pPr>
                    <w:pageBreakBefore w:val="0"/>
                    <w:kinsoku/>
                    <w:wordWrap/>
                    <w:topLinePunct w:val="0"/>
                    <w:bidi w:val="0"/>
                    <w:spacing w:line="280" w:lineRule="exact"/>
                    <w:jc w:val="center"/>
                    <w:rPr>
                      <w:rFonts w:hint="eastAsia"/>
                      <w:sz w:val="18"/>
                      <w:szCs w:val="18"/>
                    </w:rPr>
                  </w:pPr>
                  <w:r>
                    <w:rPr>
                      <w:rFonts w:hint="eastAsia"/>
                      <w:sz w:val="18"/>
                      <w:szCs w:val="18"/>
                    </w:rPr>
                    <w:t>废润滑油（油类物质）</w:t>
                  </w:r>
                </w:p>
              </w:tc>
              <w:tc>
                <w:tcPr>
                  <w:tcW w:w="963" w:type="dxa"/>
                  <w:noWrap w:val="0"/>
                  <w:vAlign w:val="center"/>
                </w:tcPr>
                <w:p w14:paraId="392BED13">
                  <w:pPr>
                    <w:pageBreakBefore w:val="0"/>
                    <w:kinsoku/>
                    <w:wordWrap/>
                    <w:topLinePunct w:val="0"/>
                    <w:bidi w:val="0"/>
                    <w:spacing w:line="280" w:lineRule="exact"/>
                    <w:jc w:val="center"/>
                    <w:rPr>
                      <w:sz w:val="18"/>
                      <w:szCs w:val="18"/>
                    </w:rPr>
                  </w:pPr>
                  <w:r>
                    <w:rPr>
                      <w:rFonts w:hint="eastAsia"/>
                      <w:sz w:val="18"/>
                      <w:szCs w:val="18"/>
                    </w:rPr>
                    <w:t>/</w:t>
                  </w:r>
                </w:p>
              </w:tc>
              <w:tc>
                <w:tcPr>
                  <w:tcW w:w="1733" w:type="dxa"/>
                  <w:noWrap w:val="0"/>
                  <w:vAlign w:val="center"/>
                </w:tcPr>
                <w:p w14:paraId="64F4F6EC">
                  <w:pPr>
                    <w:pageBreakBefore w:val="0"/>
                    <w:kinsoku/>
                    <w:wordWrap/>
                    <w:topLinePunct w:val="0"/>
                    <w:bidi w:val="0"/>
                    <w:spacing w:line="280" w:lineRule="exact"/>
                    <w:jc w:val="center"/>
                    <w:rPr>
                      <w:sz w:val="18"/>
                      <w:szCs w:val="18"/>
                    </w:rPr>
                  </w:pPr>
                  <w:r>
                    <w:rPr>
                      <w:rFonts w:hint="eastAsia"/>
                      <w:sz w:val="18"/>
                      <w:szCs w:val="18"/>
                    </w:rPr>
                    <w:t>1</w:t>
                  </w:r>
                </w:p>
              </w:tc>
              <w:tc>
                <w:tcPr>
                  <w:tcW w:w="1133" w:type="dxa"/>
                  <w:noWrap w:val="0"/>
                  <w:vAlign w:val="center"/>
                </w:tcPr>
                <w:p w14:paraId="6430BDEC">
                  <w:pPr>
                    <w:pageBreakBefore w:val="0"/>
                    <w:kinsoku/>
                    <w:wordWrap/>
                    <w:topLinePunct w:val="0"/>
                    <w:bidi w:val="0"/>
                    <w:spacing w:line="280" w:lineRule="exact"/>
                    <w:jc w:val="center"/>
                    <w:rPr>
                      <w:sz w:val="18"/>
                      <w:szCs w:val="18"/>
                    </w:rPr>
                  </w:pPr>
                  <w:r>
                    <w:rPr>
                      <w:rFonts w:hint="eastAsia"/>
                      <w:sz w:val="18"/>
                      <w:szCs w:val="18"/>
                    </w:rPr>
                    <w:t>2500</w:t>
                  </w:r>
                </w:p>
              </w:tc>
              <w:tc>
                <w:tcPr>
                  <w:tcW w:w="1842" w:type="dxa"/>
                  <w:noWrap w:val="0"/>
                  <w:vAlign w:val="center"/>
                </w:tcPr>
                <w:p w14:paraId="33D9F395">
                  <w:pPr>
                    <w:pageBreakBefore w:val="0"/>
                    <w:kinsoku/>
                    <w:wordWrap/>
                    <w:topLinePunct w:val="0"/>
                    <w:bidi w:val="0"/>
                    <w:spacing w:line="280" w:lineRule="exact"/>
                    <w:jc w:val="center"/>
                    <w:rPr>
                      <w:sz w:val="18"/>
                      <w:szCs w:val="18"/>
                    </w:rPr>
                  </w:pPr>
                  <w:r>
                    <w:rPr>
                      <w:rFonts w:hint="eastAsia"/>
                      <w:sz w:val="18"/>
                      <w:szCs w:val="18"/>
                    </w:rPr>
                    <w:t>0.0004</w:t>
                  </w:r>
                </w:p>
              </w:tc>
            </w:tr>
            <w:tr w14:paraId="5401DC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noWrap w:val="0"/>
                  <w:vAlign w:val="center"/>
                </w:tcPr>
                <w:p w14:paraId="6628D842">
                  <w:pPr>
                    <w:pageBreakBefore w:val="0"/>
                    <w:kinsoku/>
                    <w:wordWrap/>
                    <w:topLinePunct w:val="0"/>
                    <w:bidi w:val="0"/>
                    <w:spacing w:line="280" w:lineRule="exact"/>
                    <w:jc w:val="center"/>
                    <w:rPr>
                      <w:rFonts w:hint="eastAsia"/>
                      <w:sz w:val="18"/>
                      <w:szCs w:val="18"/>
                    </w:rPr>
                  </w:pPr>
                  <w:r>
                    <w:rPr>
                      <w:rFonts w:hint="eastAsia"/>
                      <w:sz w:val="18"/>
                      <w:szCs w:val="18"/>
                    </w:rPr>
                    <w:t>3</w:t>
                  </w:r>
                </w:p>
              </w:tc>
              <w:tc>
                <w:tcPr>
                  <w:tcW w:w="2219" w:type="dxa"/>
                  <w:noWrap w:val="0"/>
                  <w:vAlign w:val="center"/>
                </w:tcPr>
                <w:p w14:paraId="584323FA">
                  <w:pPr>
                    <w:pageBreakBefore w:val="0"/>
                    <w:kinsoku/>
                    <w:wordWrap/>
                    <w:topLinePunct w:val="0"/>
                    <w:bidi w:val="0"/>
                    <w:spacing w:line="280" w:lineRule="exact"/>
                    <w:jc w:val="center"/>
                    <w:rPr>
                      <w:rFonts w:hint="eastAsia" w:eastAsia="宋体"/>
                      <w:sz w:val="18"/>
                      <w:szCs w:val="18"/>
                      <w:lang w:eastAsia="zh-CN"/>
                    </w:rPr>
                  </w:pPr>
                  <w:r>
                    <w:rPr>
                      <w:rFonts w:hint="eastAsia"/>
                      <w:sz w:val="18"/>
                      <w:szCs w:val="18"/>
                      <w:lang w:val="en-US" w:eastAsia="zh-CN"/>
                    </w:rPr>
                    <w:t>氢气</w:t>
                  </w:r>
                </w:p>
              </w:tc>
              <w:tc>
                <w:tcPr>
                  <w:tcW w:w="963" w:type="dxa"/>
                  <w:noWrap w:val="0"/>
                  <w:vAlign w:val="center"/>
                </w:tcPr>
                <w:p w14:paraId="793C6C78">
                  <w:pPr>
                    <w:pageBreakBefore w:val="0"/>
                    <w:kinsoku/>
                    <w:wordWrap/>
                    <w:topLinePunct w:val="0"/>
                    <w:bidi w:val="0"/>
                    <w:spacing w:line="280" w:lineRule="exact"/>
                    <w:jc w:val="center"/>
                    <w:rPr>
                      <w:sz w:val="18"/>
                      <w:szCs w:val="18"/>
                    </w:rPr>
                  </w:pPr>
                  <w:r>
                    <w:rPr>
                      <w:rFonts w:hint="eastAsia"/>
                      <w:sz w:val="18"/>
                      <w:szCs w:val="18"/>
                    </w:rPr>
                    <w:t>1333-74-0</w:t>
                  </w:r>
                </w:p>
              </w:tc>
              <w:tc>
                <w:tcPr>
                  <w:tcW w:w="1733" w:type="dxa"/>
                  <w:noWrap w:val="0"/>
                  <w:vAlign w:val="center"/>
                </w:tcPr>
                <w:p w14:paraId="3F3506FC">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rPr>
                    <w:t>0.</w:t>
                  </w:r>
                  <w:r>
                    <w:rPr>
                      <w:rFonts w:hint="eastAsia"/>
                      <w:sz w:val="18"/>
                      <w:szCs w:val="18"/>
                      <w:lang w:val="en-US" w:eastAsia="zh-CN"/>
                    </w:rPr>
                    <w:t>055</w:t>
                  </w:r>
                </w:p>
              </w:tc>
              <w:tc>
                <w:tcPr>
                  <w:tcW w:w="1133" w:type="dxa"/>
                  <w:noWrap w:val="0"/>
                  <w:vAlign w:val="center"/>
                </w:tcPr>
                <w:p w14:paraId="545FDCDD">
                  <w:pPr>
                    <w:pageBreakBefore w:val="0"/>
                    <w:kinsoku/>
                    <w:wordWrap/>
                    <w:topLinePunct w:val="0"/>
                    <w:bidi w:val="0"/>
                    <w:spacing w:line="280" w:lineRule="exact"/>
                    <w:jc w:val="center"/>
                    <w:rPr>
                      <w:sz w:val="18"/>
                      <w:szCs w:val="18"/>
                    </w:rPr>
                  </w:pPr>
                  <w:r>
                    <w:rPr>
                      <w:rFonts w:hint="eastAsia"/>
                      <w:sz w:val="18"/>
                      <w:szCs w:val="18"/>
                    </w:rPr>
                    <w:t>10</w:t>
                  </w:r>
                </w:p>
              </w:tc>
              <w:tc>
                <w:tcPr>
                  <w:tcW w:w="1842" w:type="dxa"/>
                  <w:noWrap w:val="0"/>
                  <w:vAlign w:val="center"/>
                </w:tcPr>
                <w:p w14:paraId="224D7EFE">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rPr>
                    <w:t>0.0</w:t>
                  </w:r>
                  <w:r>
                    <w:rPr>
                      <w:rFonts w:hint="eastAsia"/>
                      <w:sz w:val="18"/>
                      <w:szCs w:val="18"/>
                      <w:lang w:val="en-US" w:eastAsia="zh-CN"/>
                    </w:rPr>
                    <w:t>055</w:t>
                  </w:r>
                </w:p>
              </w:tc>
            </w:tr>
            <w:tr w14:paraId="69390F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noWrap w:val="0"/>
                  <w:vAlign w:val="center"/>
                </w:tcPr>
                <w:p w14:paraId="73D3C3ED">
                  <w:pPr>
                    <w:pageBreakBefore w:val="0"/>
                    <w:kinsoku/>
                    <w:wordWrap/>
                    <w:topLinePunct w:val="0"/>
                    <w:bidi w:val="0"/>
                    <w:spacing w:line="280" w:lineRule="exact"/>
                    <w:jc w:val="center"/>
                    <w:rPr>
                      <w:rFonts w:hint="eastAsia" w:eastAsia="宋体"/>
                      <w:sz w:val="18"/>
                      <w:szCs w:val="18"/>
                      <w:lang w:val="en-US" w:eastAsia="zh-CN"/>
                    </w:rPr>
                  </w:pPr>
                  <w:r>
                    <w:rPr>
                      <w:rFonts w:hint="eastAsia"/>
                      <w:sz w:val="18"/>
                      <w:szCs w:val="18"/>
                      <w:lang w:val="en-US" w:eastAsia="zh-CN"/>
                    </w:rPr>
                    <w:t>4</w:t>
                  </w:r>
                </w:p>
              </w:tc>
              <w:tc>
                <w:tcPr>
                  <w:tcW w:w="2219" w:type="dxa"/>
                  <w:noWrap w:val="0"/>
                  <w:vAlign w:val="center"/>
                </w:tcPr>
                <w:p w14:paraId="2EA5425F">
                  <w:pPr>
                    <w:pageBreakBefore w:val="0"/>
                    <w:kinsoku/>
                    <w:wordWrap/>
                    <w:topLinePunct w:val="0"/>
                    <w:bidi w:val="0"/>
                    <w:spacing w:line="280" w:lineRule="exact"/>
                    <w:jc w:val="center"/>
                    <w:rPr>
                      <w:rFonts w:hint="eastAsia" w:eastAsia="宋体"/>
                      <w:sz w:val="18"/>
                      <w:szCs w:val="18"/>
                      <w:lang w:val="en-US" w:eastAsia="zh-CN"/>
                    </w:rPr>
                  </w:pPr>
                  <w:r>
                    <w:rPr>
                      <w:rFonts w:hint="eastAsia"/>
                      <w:sz w:val="18"/>
                      <w:szCs w:val="18"/>
                      <w:lang w:val="en-US" w:eastAsia="zh-CN"/>
                    </w:rPr>
                    <w:t>一氧化碳</w:t>
                  </w:r>
                </w:p>
              </w:tc>
              <w:tc>
                <w:tcPr>
                  <w:tcW w:w="963" w:type="dxa"/>
                  <w:noWrap w:val="0"/>
                  <w:vAlign w:val="center"/>
                </w:tcPr>
                <w:p w14:paraId="4EBAEB59">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lang w:val="en-US" w:eastAsia="zh-CN"/>
                    </w:rPr>
                    <w:t>630-08-0</w:t>
                  </w:r>
                </w:p>
              </w:tc>
              <w:tc>
                <w:tcPr>
                  <w:tcW w:w="1733" w:type="dxa"/>
                  <w:noWrap w:val="0"/>
                  <w:vAlign w:val="center"/>
                </w:tcPr>
                <w:p w14:paraId="549869E7">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lang w:val="en-US" w:eastAsia="zh-CN"/>
                    </w:rPr>
                    <w:t>0.277</w:t>
                  </w:r>
                </w:p>
              </w:tc>
              <w:tc>
                <w:tcPr>
                  <w:tcW w:w="1133" w:type="dxa"/>
                  <w:noWrap w:val="0"/>
                  <w:vAlign w:val="center"/>
                </w:tcPr>
                <w:p w14:paraId="77A9FEC9">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lang w:val="en-US" w:eastAsia="zh-CN"/>
                    </w:rPr>
                    <w:t>7.5</w:t>
                  </w:r>
                </w:p>
              </w:tc>
              <w:tc>
                <w:tcPr>
                  <w:tcW w:w="1842" w:type="dxa"/>
                  <w:noWrap w:val="0"/>
                  <w:vAlign w:val="center"/>
                </w:tcPr>
                <w:p w14:paraId="235BA47B">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lang w:val="en-US" w:eastAsia="zh-CN"/>
                    </w:rPr>
                    <w:t>0.0369</w:t>
                  </w:r>
                </w:p>
              </w:tc>
            </w:tr>
            <w:tr w14:paraId="736833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noWrap w:val="0"/>
                  <w:vAlign w:val="center"/>
                </w:tcPr>
                <w:p w14:paraId="5C981592">
                  <w:pPr>
                    <w:pageBreakBefore w:val="0"/>
                    <w:kinsoku/>
                    <w:wordWrap/>
                    <w:topLinePunct w:val="0"/>
                    <w:bidi w:val="0"/>
                    <w:spacing w:line="280" w:lineRule="exact"/>
                    <w:jc w:val="center"/>
                    <w:rPr>
                      <w:rFonts w:hint="eastAsia" w:eastAsia="宋体"/>
                      <w:sz w:val="18"/>
                      <w:szCs w:val="18"/>
                      <w:lang w:val="en-US" w:eastAsia="zh-CN"/>
                    </w:rPr>
                  </w:pPr>
                  <w:r>
                    <w:rPr>
                      <w:rFonts w:hint="eastAsia"/>
                      <w:sz w:val="18"/>
                      <w:szCs w:val="18"/>
                      <w:lang w:val="en-US" w:eastAsia="zh-CN"/>
                    </w:rPr>
                    <w:t>5</w:t>
                  </w:r>
                </w:p>
              </w:tc>
              <w:tc>
                <w:tcPr>
                  <w:tcW w:w="2219" w:type="dxa"/>
                  <w:noWrap w:val="0"/>
                  <w:vAlign w:val="center"/>
                </w:tcPr>
                <w:p w14:paraId="220DD77C">
                  <w:pPr>
                    <w:pageBreakBefore w:val="0"/>
                    <w:kinsoku/>
                    <w:wordWrap/>
                    <w:topLinePunct w:val="0"/>
                    <w:bidi w:val="0"/>
                    <w:spacing w:line="280" w:lineRule="exact"/>
                    <w:jc w:val="center"/>
                    <w:rPr>
                      <w:rFonts w:hint="eastAsia" w:eastAsia="宋体"/>
                      <w:sz w:val="18"/>
                      <w:szCs w:val="18"/>
                      <w:lang w:val="en-US" w:eastAsia="zh-CN"/>
                    </w:rPr>
                  </w:pPr>
                  <w:r>
                    <w:rPr>
                      <w:rFonts w:hint="eastAsia"/>
                      <w:sz w:val="18"/>
                      <w:szCs w:val="18"/>
                      <w:lang w:val="en-US" w:eastAsia="zh-CN"/>
                    </w:rPr>
                    <w:t>甲烷</w:t>
                  </w:r>
                </w:p>
              </w:tc>
              <w:tc>
                <w:tcPr>
                  <w:tcW w:w="963" w:type="dxa"/>
                  <w:noWrap w:val="0"/>
                  <w:vAlign w:val="center"/>
                </w:tcPr>
                <w:p w14:paraId="3F2BFFF1">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lang w:val="en-US" w:eastAsia="zh-CN"/>
                    </w:rPr>
                    <w:t>74-82-8</w:t>
                  </w:r>
                </w:p>
              </w:tc>
              <w:tc>
                <w:tcPr>
                  <w:tcW w:w="1733" w:type="dxa"/>
                  <w:noWrap w:val="0"/>
                  <w:vAlign w:val="center"/>
                </w:tcPr>
                <w:p w14:paraId="205191E0">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lang w:val="en-US" w:eastAsia="zh-CN"/>
                    </w:rPr>
                    <w:t>0.123</w:t>
                  </w:r>
                </w:p>
              </w:tc>
              <w:tc>
                <w:tcPr>
                  <w:tcW w:w="1133" w:type="dxa"/>
                  <w:noWrap w:val="0"/>
                  <w:vAlign w:val="center"/>
                </w:tcPr>
                <w:p w14:paraId="0A1449CB">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lang w:val="en-US" w:eastAsia="zh-CN"/>
                    </w:rPr>
                    <w:t>10</w:t>
                  </w:r>
                </w:p>
              </w:tc>
              <w:tc>
                <w:tcPr>
                  <w:tcW w:w="1842" w:type="dxa"/>
                  <w:noWrap w:val="0"/>
                  <w:vAlign w:val="center"/>
                </w:tcPr>
                <w:p w14:paraId="5556D4EB">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lang w:val="en-US" w:eastAsia="zh-CN"/>
                    </w:rPr>
                    <w:t>0.0123</w:t>
                  </w:r>
                </w:p>
              </w:tc>
            </w:tr>
            <w:tr w14:paraId="229267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548" w:type="dxa"/>
                  <w:gridSpan w:val="5"/>
                  <w:noWrap w:val="0"/>
                  <w:vAlign w:val="center"/>
                </w:tcPr>
                <w:p w14:paraId="467247F8">
                  <w:pPr>
                    <w:pageBreakBefore w:val="0"/>
                    <w:kinsoku/>
                    <w:wordWrap/>
                    <w:topLinePunct w:val="0"/>
                    <w:bidi w:val="0"/>
                    <w:spacing w:line="280" w:lineRule="exact"/>
                    <w:jc w:val="center"/>
                    <w:rPr>
                      <w:sz w:val="18"/>
                      <w:szCs w:val="18"/>
                    </w:rPr>
                  </w:pPr>
                  <w:r>
                    <w:rPr>
                      <w:sz w:val="18"/>
                      <w:szCs w:val="18"/>
                    </w:rPr>
                    <w:t>项目</w:t>
                  </w:r>
                  <w:r>
                    <w:rPr>
                      <w:i/>
                      <w:iCs/>
                      <w:sz w:val="18"/>
                      <w:szCs w:val="18"/>
                    </w:rPr>
                    <w:t>Q</w:t>
                  </w:r>
                  <w:r>
                    <w:rPr>
                      <w:sz w:val="18"/>
                      <w:szCs w:val="18"/>
                    </w:rPr>
                    <w:t>值Σ</w:t>
                  </w:r>
                </w:p>
              </w:tc>
              <w:tc>
                <w:tcPr>
                  <w:tcW w:w="1842" w:type="dxa"/>
                  <w:noWrap w:val="0"/>
                  <w:vAlign w:val="center"/>
                </w:tcPr>
                <w:p w14:paraId="1EC77065">
                  <w:pPr>
                    <w:pageBreakBefore w:val="0"/>
                    <w:kinsoku/>
                    <w:wordWrap/>
                    <w:topLinePunct w:val="0"/>
                    <w:bidi w:val="0"/>
                    <w:spacing w:line="280" w:lineRule="exact"/>
                    <w:jc w:val="center"/>
                    <w:rPr>
                      <w:rFonts w:hint="default" w:eastAsia="宋体"/>
                      <w:sz w:val="18"/>
                      <w:szCs w:val="18"/>
                      <w:lang w:val="en-US" w:eastAsia="zh-CN"/>
                    </w:rPr>
                  </w:pPr>
                  <w:r>
                    <w:rPr>
                      <w:rFonts w:hint="eastAsia"/>
                      <w:sz w:val="18"/>
                      <w:szCs w:val="18"/>
                    </w:rPr>
                    <w:t>0.05</w:t>
                  </w:r>
                  <w:r>
                    <w:rPr>
                      <w:rFonts w:hint="eastAsia"/>
                      <w:sz w:val="18"/>
                      <w:szCs w:val="18"/>
                      <w:lang w:val="en-US" w:eastAsia="zh-CN"/>
                    </w:rPr>
                    <w:t>99</w:t>
                  </w:r>
                </w:p>
              </w:tc>
            </w:tr>
          </w:tbl>
          <w:p w14:paraId="2D9066F1">
            <w:pPr>
              <w:pageBreakBefore w:val="0"/>
              <w:kinsoku/>
              <w:wordWrap/>
              <w:topLinePunct w:val="0"/>
              <w:bidi w:val="0"/>
              <w:spacing w:line="360" w:lineRule="auto"/>
              <w:ind w:firstLine="480" w:firstLineChars="200"/>
              <w:rPr>
                <w:rFonts w:hint="eastAsia"/>
                <w:bCs/>
                <w:sz w:val="24"/>
              </w:rPr>
            </w:pPr>
            <w:r>
              <w:rPr>
                <w:sz w:val="24"/>
              </w:rPr>
              <w:t>从上表可知本项目涉及危险物质的Q值为</w:t>
            </w:r>
            <w:r>
              <w:rPr>
                <w:rFonts w:hint="eastAsia"/>
                <w:sz w:val="24"/>
              </w:rPr>
              <w:t>0.00</w:t>
            </w:r>
            <w:r>
              <w:rPr>
                <w:rFonts w:hint="eastAsia"/>
                <w:sz w:val="24"/>
                <w:lang w:val="en-US" w:eastAsia="zh-CN"/>
              </w:rPr>
              <w:t>48</w:t>
            </w:r>
            <w:r>
              <w:rPr>
                <w:rFonts w:hint="eastAsia"/>
                <w:sz w:val="24"/>
              </w:rPr>
              <w:t>+</w:t>
            </w:r>
            <w:r>
              <w:rPr>
                <w:sz w:val="24"/>
              </w:rPr>
              <w:t>0.000</w:t>
            </w:r>
            <w:r>
              <w:rPr>
                <w:rFonts w:hint="eastAsia"/>
                <w:sz w:val="24"/>
              </w:rPr>
              <w:t>4+0.0</w:t>
            </w:r>
            <w:r>
              <w:rPr>
                <w:rFonts w:hint="eastAsia"/>
                <w:sz w:val="24"/>
                <w:lang w:val="en-US" w:eastAsia="zh-CN"/>
              </w:rPr>
              <w:t>055+0.0369+0.0123</w:t>
            </w:r>
            <w:r>
              <w:rPr>
                <w:rFonts w:hint="eastAsia"/>
                <w:sz w:val="24"/>
              </w:rPr>
              <w:t>=0.05</w:t>
            </w:r>
            <w:r>
              <w:rPr>
                <w:rFonts w:hint="eastAsia"/>
                <w:sz w:val="24"/>
                <w:lang w:val="en-US" w:eastAsia="zh-CN"/>
              </w:rPr>
              <w:t>99</w:t>
            </w:r>
            <w:r>
              <w:rPr>
                <w:sz w:val="24"/>
              </w:rPr>
              <w:t>，该项目环境风险潜势为Ⅰ，因此对本项目环境风险开展简单分析。</w:t>
            </w:r>
          </w:p>
          <w:p w14:paraId="7D948F1B">
            <w:pPr>
              <w:pageBreakBefore w:val="0"/>
              <w:kinsoku/>
              <w:wordWrap/>
              <w:topLinePunct w:val="0"/>
              <w:bidi w:val="0"/>
              <w:spacing w:line="520" w:lineRule="exact"/>
              <w:ind w:firstLine="482" w:firstLineChars="200"/>
              <w:rPr>
                <w:bCs/>
                <w:sz w:val="24"/>
              </w:rPr>
            </w:pPr>
            <w:r>
              <w:rPr>
                <w:b/>
                <w:sz w:val="24"/>
              </w:rPr>
              <w:t>7.3 环境敏感目标概括</w:t>
            </w:r>
          </w:p>
          <w:p w14:paraId="2F5E4BD9">
            <w:pPr>
              <w:pageBreakBefore w:val="0"/>
              <w:kinsoku/>
              <w:wordWrap/>
              <w:topLinePunct w:val="0"/>
              <w:bidi w:val="0"/>
              <w:spacing w:line="520" w:lineRule="exact"/>
              <w:ind w:firstLine="480" w:firstLineChars="200"/>
              <w:rPr>
                <w:bCs/>
                <w:sz w:val="24"/>
              </w:rPr>
            </w:pPr>
            <w:r>
              <w:rPr>
                <w:bCs/>
                <w:sz w:val="24"/>
              </w:rPr>
              <w:t>本项目所在区域为国家未利用土地，经现场勘查，无环境敏感目标。</w:t>
            </w:r>
          </w:p>
          <w:p w14:paraId="1C139983">
            <w:pPr>
              <w:pageBreakBefore w:val="0"/>
              <w:kinsoku/>
              <w:wordWrap/>
              <w:topLinePunct w:val="0"/>
              <w:bidi w:val="0"/>
              <w:spacing w:line="520" w:lineRule="exact"/>
              <w:ind w:firstLine="482" w:firstLineChars="200"/>
              <w:rPr>
                <w:bCs/>
                <w:sz w:val="24"/>
              </w:rPr>
            </w:pPr>
            <w:r>
              <w:rPr>
                <w:b/>
                <w:sz w:val="24"/>
              </w:rPr>
              <w:t>7.4 环境风险识别</w:t>
            </w:r>
          </w:p>
          <w:p w14:paraId="5B6050D6">
            <w:pPr>
              <w:pageBreakBefore w:val="0"/>
              <w:kinsoku/>
              <w:wordWrap/>
              <w:topLinePunct w:val="0"/>
              <w:bidi w:val="0"/>
              <w:spacing w:line="360" w:lineRule="auto"/>
              <w:ind w:firstLine="480" w:firstLineChars="200"/>
              <w:rPr>
                <w:bCs/>
                <w:sz w:val="24"/>
              </w:rPr>
            </w:pPr>
            <w:r>
              <w:rPr>
                <w:bCs/>
                <w:sz w:val="24"/>
              </w:rPr>
              <w:t>本项目涉及的环境风险物质为</w:t>
            </w:r>
            <w:r>
              <w:rPr>
                <w:rFonts w:hint="eastAsia"/>
                <w:bCs/>
                <w:sz w:val="24"/>
                <w:lang w:val="en-US" w:eastAsia="zh-CN"/>
              </w:rPr>
              <w:t>含油废液</w:t>
            </w:r>
            <w:r>
              <w:rPr>
                <w:rFonts w:hint="eastAsia"/>
                <w:bCs/>
                <w:sz w:val="24"/>
              </w:rPr>
              <w:t>、</w:t>
            </w:r>
            <w:r>
              <w:rPr>
                <w:bCs/>
                <w:sz w:val="24"/>
              </w:rPr>
              <w:t>废润滑油</w:t>
            </w:r>
            <w:r>
              <w:rPr>
                <w:rFonts w:hint="eastAsia"/>
                <w:bCs/>
                <w:sz w:val="24"/>
                <w:lang w:eastAsia="zh-CN"/>
              </w:rPr>
              <w:t>、</w:t>
            </w:r>
            <w:r>
              <w:rPr>
                <w:rFonts w:hint="eastAsia"/>
                <w:bCs/>
                <w:sz w:val="24"/>
              </w:rPr>
              <w:t>氢气</w:t>
            </w:r>
            <w:r>
              <w:rPr>
                <w:rFonts w:hint="eastAsia"/>
                <w:bCs/>
                <w:sz w:val="24"/>
                <w:lang w:eastAsia="zh-CN"/>
              </w:rPr>
              <w:t>、</w:t>
            </w:r>
            <w:r>
              <w:rPr>
                <w:rFonts w:hint="eastAsia"/>
                <w:bCs/>
                <w:sz w:val="24"/>
                <w:lang w:val="en-US" w:eastAsia="zh-CN"/>
              </w:rPr>
              <w:t>一氧化碳和甲烷</w:t>
            </w:r>
            <w:r>
              <w:rPr>
                <w:bCs/>
                <w:sz w:val="24"/>
              </w:rPr>
              <w:t>，风险源是</w:t>
            </w:r>
            <w:r>
              <w:rPr>
                <w:rFonts w:hint="eastAsia"/>
                <w:bCs/>
                <w:sz w:val="24"/>
                <w:lang w:val="en-US" w:eastAsia="zh-CN"/>
              </w:rPr>
              <w:t>污油罐、临时</w:t>
            </w:r>
            <w:r>
              <w:rPr>
                <w:bCs/>
                <w:sz w:val="24"/>
              </w:rPr>
              <w:t>存储容器</w:t>
            </w:r>
            <w:r>
              <w:rPr>
                <w:rFonts w:hint="eastAsia"/>
                <w:bCs/>
                <w:sz w:val="24"/>
              </w:rPr>
              <w:t>和</w:t>
            </w:r>
            <w:r>
              <w:rPr>
                <w:rFonts w:hint="eastAsia"/>
                <w:bCs/>
                <w:sz w:val="24"/>
                <w:lang w:val="en-US" w:eastAsia="zh-CN"/>
              </w:rPr>
              <w:t>气体</w:t>
            </w:r>
            <w:r>
              <w:rPr>
                <w:rFonts w:hint="eastAsia"/>
                <w:bCs/>
                <w:sz w:val="24"/>
              </w:rPr>
              <w:t>缓冲罐。</w:t>
            </w:r>
          </w:p>
          <w:p w14:paraId="488D7B4B">
            <w:pPr>
              <w:pageBreakBefore w:val="0"/>
              <w:kinsoku/>
              <w:wordWrap/>
              <w:topLinePunct w:val="0"/>
              <w:bidi w:val="0"/>
              <w:spacing w:line="360" w:lineRule="auto"/>
              <w:ind w:firstLine="480" w:firstLineChars="200"/>
              <w:rPr>
                <w:rFonts w:hint="eastAsia"/>
                <w:bCs/>
                <w:sz w:val="24"/>
              </w:rPr>
            </w:pPr>
            <w:r>
              <w:rPr>
                <w:rFonts w:hint="eastAsia"/>
                <w:bCs/>
                <w:sz w:val="24"/>
                <w:lang w:val="en-US" w:eastAsia="zh-CN"/>
              </w:rPr>
              <w:t>含油废液</w:t>
            </w:r>
            <w:r>
              <w:rPr>
                <w:rFonts w:hint="eastAsia"/>
                <w:bCs/>
                <w:sz w:val="24"/>
              </w:rPr>
              <w:t>和废润滑油的</w:t>
            </w:r>
            <w:r>
              <w:rPr>
                <w:bCs/>
                <w:sz w:val="24"/>
              </w:rPr>
              <w:t>污染途径为</w:t>
            </w:r>
            <w:r>
              <w:rPr>
                <w:rFonts w:hint="eastAsia"/>
                <w:bCs/>
                <w:sz w:val="24"/>
                <w:lang w:val="en-US" w:eastAsia="zh-CN"/>
              </w:rPr>
              <w:t>污油罐或</w:t>
            </w:r>
            <w:r>
              <w:rPr>
                <w:bCs/>
                <w:sz w:val="24"/>
              </w:rPr>
              <w:t>存储容器发生破损造成的泄漏，进而对</w:t>
            </w:r>
            <w:r>
              <w:rPr>
                <w:rFonts w:hint="eastAsia"/>
                <w:bCs/>
                <w:sz w:val="24"/>
              </w:rPr>
              <w:t>泄漏点</w:t>
            </w:r>
            <w:r>
              <w:rPr>
                <w:bCs/>
                <w:sz w:val="24"/>
              </w:rPr>
              <w:t>所在区域的地下水和土壤造成污染</w:t>
            </w:r>
            <w:r>
              <w:rPr>
                <w:rFonts w:hint="eastAsia"/>
                <w:bCs/>
                <w:sz w:val="24"/>
              </w:rPr>
              <w:t>；氢气</w:t>
            </w:r>
            <w:r>
              <w:rPr>
                <w:rFonts w:hint="eastAsia"/>
                <w:bCs/>
                <w:sz w:val="24"/>
                <w:lang w:val="en-US" w:eastAsia="zh-CN"/>
              </w:rPr>
              <w:t>、一氧化碳和甲烷</w:t>
            </w:r>
            <w:r>
              <w:rPr>
                <w:rFonts w:hint="eastAsia"/>
                <w:bCs/>
                <w:sz w:val="24"/>
              </w:rPr>
              <w:t>的环境风险为缓冲罐</w:t>
            </w:r>
            <w:r>
              <w:rPr>
                <w:rFonts w:hint="eastAsia"/>
                <w:sz w:val="24"/>
              </w:rPr>
              <w:t>破裂时，泄漏的</w:t>
            </w:r>
            <w:r>
              <w:rPr>
                <w:rFonts w:hint="eastAsia"/>
                <w:sz w:val="24"/>
                <w:lang w:val="en-US" w:eastAsia="zh-CN"/>
              </w:rPr>
              <w:t>气相物质</w:t>
            </w:r>
            <w:r>
              <w:rPr>
                <w:rFonts w:hint="eastAsia"/>
                <w:sz w:val="24"/>
              </w:rPr>
              <w:t>与空气混合形成爆炸性混合物，遇热或明火会发生爆炸</w:t>
            </w:r>
            <w:r>
              <w:rPr>
                <w:bCs/>
                <w:sz w:val="24"/>
              </w:rPr>
              <w:t>。</w:t>
            </w:r>
          </w:p>
          <w:p w14:paraId="241A9529">
            <w:pPr>
              <w:pageBreakBefore w:val="0"/>
              <w:kinsoku/>
              <w:wordWrap/>
              <w:topLinePunct w:val="0"/>
              <w:bidi w:val="0"/>
              <w:spacing w:line="360" w:lineRule="auto"/>
              <w:ind w:firstLine="482" w:firstLineChars="200"/>
              <w:rPr>
                <w:bCs/>
                <w:sz w:val="24"/>
              </w:rPr>
            </w:pPr>
            <w:r>
              <w:rPr>
                <w:b/>
                <w:sz w:val="24"/>
              </w:rPr>
              <w:t>7.5 环境风险分析</w:t>
            </w:r>
          </w:p>
          <w:p w14:paraId="01258CB6">
            <w:pPr>
              <w:pageBreakBefore w:val="0"/>
              <w:kinsoku/>
              <w:wordWrap/>
              <w:topLinePunct w:val="0"/>
              <w:bidi w:val="0"/>
              <w:spacing w:line="360" w:lineRule="auto"/>
              <w:ind w:firstLine="480" w:firstLineChars="200"/>
              <w:outlineLvl w:val="3"/>
              <w:rPr>
                <w:sz w:val="24"/>
              </w:rPr>
            </w:pPr>
            <w:r>
              <w:rPr>
                <w:sz w:val="24"/>
              </w:rPr>
              <w:t>（1）对土壤的影响分析</w:t>
            </w:r>
          </w:p>
          <w:p w14:paraId="7826330A">
            <w:pPr>
              <w:pageBreakBefore w:val="0"/>
              <w:kinsoku/>
              <w:wordWrap/>
              <w:topLinePunct w:val="0"/>
              <w:bidi w:val="0"/>
              <w:spacing w:line="360" w:lineRule="auto"/>
              <w:ind w:firstLine="480" w:firstLineChars="200"/>
              <w:rPr>
                <w:sz w:val="24"/>
              </w:rPr>
            </w:pPr>
            <w:r>
              <w:rPr>
                <w:sz w:val="24"/>
              </w:rPr>
              <w:t>当</w:t>
            </w:r>
            <w:r>
              <w:rPr>
                <w:rFonts w:hint="eastAsia"/>
                <w:bCs/>
                <w:sz w:val="24"/>
                <w:lang w:val="en-US" w:eastAsia="zh-CN"/>
              </w:rPr>
              <w:t>含油废液</w:t>
            </w:r>
            <w:r>
              <w:rPr>
                <w:rFonts w:hint="eastAsia"/>
                <w:bCs/>
                <w:sz w:val="24"/>
              </w:rPr>
              <w:t>和废润滑油</w:t>
            </w:r>
            <w:r>
              <w:rPr>
                <w:sz w:val="24"/>
              </w:rPr>
              <w:t>的</w:t>
            </w:r>
            <w:r>
              <w:rPr>
                <w:rFonts w:hint="eastAsia"/>
                <w:sz w:val="24"/>
              </w:rPr>
              <w:t>存储容器</w:t>
            </w:r>
            <w:r>
              <w:rPr>
                <w:rFonts w:hint="eastAsia"/>
                <w:sz w:val="24"/>
                <w:lang w:val="en-US" w:eastAsia="zh-CN"/>
              </w:rPr>
              <w:t>或污油罐</w:t>
            </w:r>
            <w:r>
              <w:rPr>
                <w:rFonts w:hint="eastAsia"/>
                <w:sz w:val="24"/>
              </w:rPr>
              <w:t>因</w:t>
            </w:r>
            <w:r>
              <w:rPr>
                <w:sz w:val="24"/>
              </w:rPr>
              <w:t>破损而造成泄漏，相当于向土壤中直接注入油品，油品渗入土壤孔隙，则使土壤透气性和呼吸作用减弱，影响土壤中的微生物生存，造成土壤盐碱化，破坏土壤结构，增加土壤中石油类污染物，造成土地肥力下降，改变土壤的理化性质，影响土壤正常的结构和功能，进而影响荒漠植被的生长，并可影响局部的生态环境。</w:t>
            </w:r>
          </w:p>
          <w:p w14:paraId="514F0D54">
            <w:pPr>
              <w:pageBreakBefore w:val="0"/>
              <w:kinsoku/>
              <w:wordWrap/>
              <w:topLinePunct w:val="0"/>
              <w:bidi w:val="0"/>
              <w:spacing w:line="360" w:lineRule="auto"/>
              <w:ind w:firstLine="480" w:firstLineChars="200"/>
              <w:outlineLvl w:val="3"/>
              <w:rPr>
                <w:sz w:val="24"/>
              </w:rPr>
            </w:pPr>
            <w:r>
              <w:rPr>
                <w:sz w:val="24"/>
              </w:rPr>
              <w:t>（2）对地下水的影响分析</w:t>
            </w:r>
          </w:p>
          <w:p w14:paraId="58BFDCAC">
            <w:pPr>
              <w:pageBreakBefore w:val="0"/>
              <w:kinsoku/>
              <w:wordWrap/>
              <w:topLinePunct w:val="0"/>
              <w:bidi w:val="0"/>
              <w:spacing w:line="360" w:lineRule="auto"/>
              <w:ind w:firstLine="480" w:firstLineChars="200"/>
              <w:rPr>
                <w:sz w:val="24"/>
              </w:rPr>
            </w:pPr>
            <w:r>
              <w:rPr>
                <w:sz w:val="24"/>
              </w:rPr>
              <w:t>当</w:t>
            </w:r>
            <w:r>
              <w:rPr>
                <w:rFonts w:hint="eastAsia"/>
                <w:bCs/>
                <w:sz w:val="24"/>
                <w:lang w:val="en-US" w:eastAsia="zh-CN"/>
              </w:rPr>
              <w:t>含油废液</w:t>
            </w:r>
            <w:r>
              <w:rPr>
                <w:rFonts w:hint="eastAsia"/>
                <w:bCs/>
                <w:sz w:val="24"/>
              </w:rPr>
              <w:t>和废润滑油因</w:t>
            </w:r>
            <w:r>
              <w:rPr>
                <w:sz w:val="24"/>
              </w:rPr>
              <w:t>发生泄漏</w:t>
            </w:r>
            <w:r>
              <w:rPr>
                <w:rFonts w:hint="eastAsia"/>
                <w:sz w:val="24"/>
              </w:rPr>
              <w:t>事故</w:t>
            </w:r>
            <w:r>
              <w:rPr>
                <w:sz w:val="24"/>
              </w:rPr>
              <w:t>时可能造成油品下渗，进而导致地下水污染风险的发生。发生泄漏事故后，及时发现、及时维修处理，即使有少量的污染物泄漏，也很难通过防渗层渗入包气带。</w:t>
            </w:r>
          </w:p>
          <w:p w14:paraId="6668C15D">
            <w:pPr>
              <w:pageBreakBefore w:val="0"/>
              <w:kinsoku/>
              <w:wordWrap/>
              <w:topLinePunct w:val="0"/>
              <w:bidi w:val="0"/>
              <w:spacing w:line="360" w:lineRule="auto"/>
              <w:ind w:firstLine="480" w:firstLineChars="200"/>
              <w:rPr>
                <w:rFonts w:hint="eastAsia"/>
                <w:sz w:val="24"/>
              </w:rPr>
            </w:pPr>
            <w:r>
              <w:rPr>
                <w:rFonts w:hint="eastAsia"/>
                <w:sz w:val="24"/>
              </w:rPr>
              <w:t>（3）火灾爆炸风险影响分析</w:t>
            </w:r>
          </w:p>
          <w:p w14:paraId="1E96FDDF">
            <w:pPr>
              <w:pageBreakBefore w:val="0"/>
              <w:kinsoku/>
              <w:wordWrap/>
              <w:topLinePunct w:val="0"/>
              <w:bidi w:val="0"/>
              <w:spacing w:line="360" w:lineRule="auto"/>
              <w:ind w:firstLine="480" w:firstLineChars="200"/>
              <w:rPr>
                <w:bCs/>
                <w:sz w:val="24"/>
              </w:rPr>
            </w:pPr>
            <w:r>
              <w:rPr>
                <w:rFonts w:hint="eastAsia"/>
                <w:sz w:val="24"/>
              </w:rPr>
              <w:t>氢气</w:t>
            </w:r>
            <w:r>
              <w:rPr>
                <w:rFonts w:hint="eastAsia"/>
                <w:sz w:val="24"/>
                <w:lang w:eastAsia="zh-CN"/>
              </w:rPr>
              <w:t>、</w:t>
            </w:r>
            <w:r>
              <w:rPr>
                <w:rFonts w:hint="eastAsia"/>
                <w:sz w:val="24"/>
                <w:lang w:val="en-US" w:eastAsia="zh-CN"/>
              </w:rPr>
              <w:t>一氧化碳和甲烷均</w:t>
            </w:r>
            <w:r>
              <w:rPr>
                <w:rFonts w:hint="eastAsia"/>
                <w:sz w:val="24"/>
              </w:rPr>
              <w:t>为易燃易爆气体，与空气混合形成爆炸性混合物，以蒸汽云的形式存在，遇热或明火会发生爆炸</w:t>
            </w:r>
            <w:r>
              <w:rPr>
                <w:bCs/>
                <w:sz w:val="24"/>
              </w:rPr>
              <w:t>。</w:t>
            </w:r>
          </w:p>
          <w:p w14:paraId="6E39B839">
            <w:pPr>
              <w:pageBreakBefore w:val="0"/>
              <w:kinsoku/>
              <w:wordWrap/>
              <w:topLinePunct w:val="0"/>
              <w:bidi w:val="0"/>
              <w:spacing w:line="360" w:lineRule="auto"/>
              <w:ind w:firstLine="480" w:firstLineChars="200"/>
              <w:rPr>
                <w:bCs/>
                <w:sz w:val="24"/>
              </w:rPr>
            </w:pPr>
            <w:r>
              <w:rPr>
                <w:rFonts w:hint="eastAsia"/>
                <w:bCs/>
                <w:sz w:val="24"/>
                <w:lang w:val="en-US" w:eastAsia="zh-CN"/>
              </w:rPr>
              <w:t>本项目危险气体</w:t>
            </w:r>
            <w:r>
              <w:rPr>
                <w:rFonts w:hint="eastAsia"/>
                <w:bCs/>
                <w:sz w:val="24"/>
              </w:rPr>
              <w:t>的理化特性详见下表。</w:t>
            </w:r>
          </w:p>
          <w:p w14:paraId="0FB703B2">
            <w:pPr>
              <w:pStyle w:val="25"/>
              <w:pageBreakBefore w:val="0"/>
              <w:kinsoku/>
              <w:wordWrap/>
              <w:topLinePunct w:val="0"/>
              <w:bidi w:val="0"/>
              <w:rPr>
                <w:rFonts w:hint="default" w:ascii="Times New Roman" w:hAnsi="Times New Roman" w:cs="Times New Roman"/>
              </w:rPr>
            </w:pPr>
            <w:r>
              <w:t>表4-</w:t>
            </w:r>
            <w:r>
              <w:rPr>
                <w:rFonts w:hint="eastAsia"/>
                <w:lang w:val="en-US" w:eastAsia="zh-CN"/>
              </w:rPr>
              <w:t>8</w:t>
            </w:r>
            <w:r>
              <w:t xml:space="preserve">  </w:t>
            </w:r>
            <w:r>
              <w:rPr>
                <w:rFonts w:hint="eastAsia"/>
                <w:lang w:val="en-US" w:eastAsia="zh-CN"/>
              </w:rPr>
              <w:t>项目危险气体</w:t>
            </w:r>
            <w:r>
              <w:t>的理化特性</w:t>
            </w:r>
          </w:p>
          <w:tbl>
            <w:tblPr>
              <w:tblStyle w:val="14"/>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820"/>
              <w:gridCol w:w="2238"/>
              <w:gridCol w:w="2936"/>
            </w:tblGrid>
            <w:tr w14:paraId="23F58F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1BF86A12">
                  <w:pPr>
                    <w:pStyle w:val="21"/>
                    <w:pageBreakBefore w:val="0"/>
                    <w:kinsoku/>
                    <w:wordWrap/>
                    <w:topLinePunct w:val="0"/>
                    <w:bidi w:val="0"/>
                    <w:rPr>
                      <w:b/>
                      <w:bCs/>
                      <w:lang w:eastAsia="zh-CN"/>
                    </w:rPr>
                  </w:pPr>
                  <w:r>
                    <w:rPr>
                      <w:rFonts w:hint="eastAsia"/>
                      <w:b/>
                      <w:bCs/>
                      <w:lang w:eastAsia="zh-CN"/>
                    </w:rPr>
                    <w:t>名称</w:t>
                  </w:r>
                </w:p>
              </w:tc>
              <w:tc>
                <w:tcPr>
                  <w:tcW w:w="0" w:type="auto"/>
                  <w:noWrap w:val="0"/>
                  <w:vAlign w:val="center"/>
                </w:tcPr>
                <w:p w14:paraId="22E448C1">
                  <w:pPr>
                    <w:pStyle w:val="21"/>
                    <w:pageBreakBefore w:val="0"/>
                    <w:kinsoku/>
                    <w:wordWrap/>
                    <w:topLinePunct w:val="0"/>
                    <w:bidi w:val="0"/>
                    <w:rPr>
                      <w:b/>
                      <w:bCs/>
                      <w:lang w:eastAsia="zh-CN"/>
                    </w:rPr>
                  </w:pPr>
                  <w:r>
                    <w:rPr>
                      <w:rFonts w:hint="eastAsia"/>
                      <w:b/>
                      <w:bCs/>
                      <w:lang w:eastAsia="zh-CN"/>
                    </w:rPr>
                    <w:t>密度（g/L）</w:t>
                  </w:r>
                </w:p>
              </w:tc>
              <w:tc>
                <w:tcPr>
                  <w:tcW w:w="0" w:type="auto"/>
                  <w:noWrap w:val="0"/>
                  <w:vAlign w:val="center"/>
                </w:tcPr>
                <w:p w14:paraId="0D24AD46">
                  <w:pPr>
                    <w:pStyle w:val="21"/>
                    <w:pageBreakBefore w:val="0"/>
                    <w:kinsoku/>
                    <w:wordWrap/>
                    <w:topLinePunct w:val="0"/>
                    <w:bidi w:val="0"/>
                    <w:rPr>
                      <w:b/>
                      <w:bCs/>
                      <w:lang w:eastAsia="zh-CN"/>
                    </w:rPr>
                  </w:pPr>
                  <w:r>
                    <w:rPr>
                      <w:rFonts w:hint="eastAsia"/>
                      <w:b/>
                      <w:bCs/>
                      <w:lang w:eastAsia="zh-CN"/>
                    </w:rPr>
                    <w:t>爆炸极限（V%）</w:t>
                  </w:r>
                </w:p>
              </w:tc>
              <w:tc>
                <w:tcPr>
                  <w:tcW w:w="0" w:type="auto"/>
                  <w:noWrap w:val="0"/>
                  <w:vAlign w:val="center"/>
                </w:tcPr>
                <w:p w14:paraId="35930B31">
                  <w:pPr>
                    <w:pStyle w:val="21"/>
                    <w:pageBreakBefore w:val="0"/>
                    <w:kinsoku/>
                    <w:wordWrap/>
                    <w:topLinePunct w:val="0"/>
                    <w:bidi w:val="0"/>
                    <w:rPr>
                      <w:b/>
                      <w:bCs/>
                      <w:lang w:eastAsia="zh-CN"/>
                    </w:rPr>
                  </w:pPr>
                  <w:r>
                    <w:rPr>
                      <w:rFonts w:hint="eastAsia"/>
                      <w:b/>
                      <w:bCs/>
                      <w:lang w:val="en-US" w:eastAsia="zh-CN"/>
                    </w:rPr>
                    <w:t>高燃烧热值</w:t>
                  </w:r>
                  <w:r>
                    <w:rPr>
                      <w:rFonts w:hint="eastAsia"/>
                      <w:b/>
                      <w:bCs/>
                      <w:lang w:eastAsia="zh-CN"/>
                    </w:rPr>
                    <w:t>（kJ/</w:t>
                  </w:r>
                  <w:r>
                    <w:rPr>
                      <w:rFonts w:hint="eastAsia"/>
                      <w:b/>
                      <w:bCs/>
                      <w:lang w:val="en-US" w:eastAsia="zh-CN"/>
                    </w:rPr>
                    <w:t>kg</w:t>
                  </w:r>
                  <w:r>
                    <w:rPr>
                      <w:rFonts w:hint="eastAsia"/>
                      <w:b/>
                      <w:bCs/>
                      <w:lang w:eastAsia="zh-CN"/>
                    </w:rPr>
                    <w:t>）</w:t>
                  </w:r>
                </w:p>
              </w:tc>
            </w:tr>
            <w:tr w14:paraId="28E101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6EA52597">
                  <w:pPr>
                    <w:pStyle w:val="21"/>
                    <w:pageBreakBefore w:val="0"/>
                    <w:kinsoku/>
                    <w:wordWrap/>
                    <w:topLinePunct w:val="0"/>
                    <w:bidi w:val="0"/>
                    <w:rPr>
                      <w:lang w:eastAsia="zh-CN"/>
                    </w:rPr>
                  </w:pPr>
                  <w:r>
                    <w:rPr>
                      <w:rFonts w:hint="eastAsia"/>
                      <w:lang w:eastAsia="zh-CN"/>
                    </w:rPr>
                    <w:t>氢</w:t>
                  </w:r>
                </w:p>
              </w:tc>
              <w:tc>
                <w:tcPr>
                  <w:tcW w:w="0" w:type="auto"/>
                  <w:noWrap w:val="0"/>
                  <w:vAlign w:val="center"/>
                </w:tcPr>
                <w:p w14:paraId="05A24B9C">
                  <w:pPr>
                    <w:pStyle w:val="21"/>
                    <w:pageBreakBefore w:val="0"/>
                    <w:kinsoku/>
                    <w:wordWrap/>
                    <w:topLinePunct w:val="0"/>
                    <w:bidi w:val="0"/>
                    <w:rPr>
                      <w:lang w:eastAsia="zh-CN"/>
                    </w:rPr>
                  </w:pPr>
                  <w:r>
                    <w:rPr>
                      <w:rFonts w:hint="eastAsia"/>
                      <w:lang w:eastAsia="zh-CN"/>
                    </w:rPr>
                    <w:t>0.</w:t>
                  </w:r>
                  <w:r>
                    <w:rPr>
                      <w:rFonts w:hint="eastAsia"/>
                      <w:lang w:val="en-US" w:eastAsia="zh-CN"/>
                    </w:rPr>
                    <w:t>0</w:t>
                  </w:r>
                  <w:r>
                    <w:rPr>
                      <w:rFonts w:hint="eastAsia"/>
                      <w:lang w:eastAsia="zh-CN"/>
                    </w:rPr>
                    <w:t>899</w:t>
                  </w:r>
                </w:p>
              </w:tc>
              <w:tc>
                <w:tcPr>
                  <w:tcW w:w="0" w:type="auto"/>
                  <w:noWrap w:val="0"/>
                  <w:vAlign w:val="center"/>
                </w:tcPr>
                <w:p w14:paraId="79868908">
                  <w:pPr>
                    <w:pStyle w:val="21"/>
                    <w:pageBreakBefore w:val="0"/>
                    <w:kinsoku/>
                    <w:wordWrap/>
                    <w:topLinePunct w:val="0"/>
                    <w:bidi w:val="0"/>
                    <w:rPr>
                      <w:rFonts w:hint="default"/>
                      <w:lang w:val="en-US" w:eastAsia="zh-CN"/>
                    </w:rPr>
                  </w:pPr>
                  <w:r>
                    <w:rPr>
                      <w:rFonts w:hint="eastAsia"/>
                      <w:lang w:eastAsia="zh-CN"/>
                    </w:rPr>
                    <w:t>4.</w:t>
                  </w:r>
                  <w:r>
                    <w:rPr>
                      <w:rFonts w:hint="eastAsia"/>
                      <w:lang w:val="en-US" w:eastAsia="zh-CN"/>
                    </w:rPr>
                    <w:t>0</w:t>
                  </w:r>
                  <w:r>
                    <w:rPr>
                      <w:rFonts w:hint="eastAsia"/>
                      <w:lang w:eastAsia="zh-CN"/>
                    </w:rPr>
                    <w:t>～</w:t>
                  </w:r>
                  <w:r>
                    <w:rPr>
                      <w:rFonts w:hint="eastAsia"/>
                      <w:lang w:val="en-US" w:eastAsia="zh-CN"/>
                    </w:rPr>
                    <w:t>75.6</w:t>
                  </w:r>
                </w:p>
              </w:tc>
              <w:tc>
                <w:tcPr>
                  <w:tcW w:w="0" w:type="auto"/>
                  <w:noWrap w:val="0"/>
                  <w:vAlign w:val="center"/>
                </w:tcPr>
                <w:p w14:paraId="5826407B">
                  <w:pPr>
                    <w:pStyle w:val="21"/>
                    <w:pageBreakBefore w:val="0"/>
                    <w:kinsoku/>
                    <w:wordWrap/>
                    <w:topLinePunct w:val="0"/>
                    <w:bidi w:val="0"/>
                    <w:rPr>
                      <w:rFonts w:hint="default"/>
                      <w:lang w:val="en-US" w:eastAsia="zh-CN"/>
                    </w:rPr>
                  </w:pPr>
                  <w:r>
                    <w:rPr>
                      <w:rFonts w:hint="eastAsia"/>
                      <w:lang w:val="en-US" w:eastAsia="zh-CN"/>
                    </w:rPr>
                    <w:t>142351</w:t>
                  </w:r>
                </w:p>
              </w:tc>
            </w:tr>
            <w:tr w14:paraId="3A06BB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35A5A715">
                  <w:pPr>
                    <w:pStyle w:val="21"/>
                    <w:pageBreakBefore w:val="0"/>
                    <w:kinsoku/>
                    <w:wordWrap/>
                    <w:topLinePunct w:val="0"/>
                    <w:bidi w:val="0"/>
                    <w:rPr>
                      <w:rFonts w:hint="default"/>
                      <w:lang w:val="en-US" w:eastAsia="zh-CN"/>
                    </w:rPr>
                  </w:pPr>
                  <w:r>
                    <w:rPr>
                      <w:rFonts w:hint="eastAsia"/>
                      <w:lang w:val="en-US" w:eastAsia="zh-CN"/>
                    </w:rPr>
                    <w:t>一氧化碳</w:t>
                  </w:r>
                </w:p>
              </w:tc>
              <w:tc>
                <w:tcPr>
                  <w:tcW w:w="0" w:type="auto"/>
                  <w:noWrap w:val="0"/>
                  <w:vAlign w:val="center"/>
                </w:tcPr>
                <w:p w14:paraId="3B853406">
                  <w:pPr>
                    <w:pStyle w:val="21"/>
                    <w:pageBreakBefore w:val="0"/>
                    <w:kinsoku/>
                    <w:wordWrap/>
                    <w:topLinePunct w:val="0"/>
                    <w:bidi w:val="0"/>
                    <w:rPr>
                      <w:rFonts w:hint="eastAsia"/>
                      <w:lang w:eastAsia="zh-CN"/>
                    </w:rPr>
                  </w:pPr>
                  <w:r>
                    <w:rPr>
                      <w:rFonts w:hint="eastAsia"/>
                      <w:lang w:eastAsia="zh-CN"/>
                    </w:rPr>
                    <w:t>1.25</w:t>
                  </w:r>
                </w:p>
              </w:tc>
              <w:tc>
                <w:tcPr>
                  <w:tcW w:w="0" w:type="auto"/>
                  <w:noWrap w:val="0"/>
                  <w:vAlign w:val="center"/>
                </w:tcPr>
                <w:p w14:paraId="1862FA45">
                  <w:pPr>
                    <w:pStyle w:val="21"/>
                    <w:pageBreakBefore w:val="0"/>
                    <w:kinsoku/>
                    <w:wordWrap/>
                    <w:topLinePunct w:val="0"/>
                    <w:bidi w:val="0"/>
                    <w:rPr>
                      <w:rFonts w:hint="default"/>
                      <w:lang w:val="en-US" w:eastAsia="zh-CN"/>
                    </w:rPr>
                  </w:pPr>
                  <w:r>
                    <w:rPr>
                      <w:rFonts w:hint="eastAsia"/>
                      <w:lang w:val="en-US" w:eastAsia="zh-CN"/>
                    </w:rPr>
                    <w:t>12.5～74.2</w:t>
                  </w:r>
                </w:p>
              </w:tc>
              <w:tc>
                <w:tcPr>
                  <w:tcW w:w="0" w:type="auto"/>
                  <w:noWrap w:val="0"/>
                  <w:vAlign w:val="center"/>
                </w:tcPr>
                <w:p w14:paraId="009B51DD">
                  <w:pPr>
                    <w:pStyle w:val="21"/>
                    <w:pageBreakBefore w:val="0"/>
                    <w:kinsoku/>
                    <w:wordWrap/>
                    <w:topLinePunct w:val="0"/>
                    <w:bidi w:val="0"/>
                    <w:rPr>
                      <w:rFonts w:hint="default"/>
                      <w:lang w:val="en-US" w:eastAsia="zh-CN"/>
                    </w:rPr>
                  </w:pPr>
                  <w:r>
                    <w:rPr>
                      <w:rFonts w:hint="eastAsia"/>
                      <w:lang w:val="en-US" w:eastAsia="zh-CN"/>
                    </w:rPr>
                    <w:t>29445</w:t>
                  </w:r>
                </w:p>
              </w:tc>
            </w:tr>
            <w:tr w14:paraId="08AA0C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02301C7D">
                  <w:pPr>
                    <w:pStyle w:val="21"/>
                    <w:pageBreakBefore w:val="0"/>
                    <w:kinsoku/>
                    <w:wordWrap/>
                    <w:topLinePunct w:val="0"/>
                    <w:bidi w:val="0"/>
                    <w:rPr>
                      <w:rFonts w:hint="default"/>
                      <w:lang w:val="en-US" w:eastAsia="zh-CN"/>
                    </w:rPr>
                  </w:pPr>
                  <w:r>
                    <w:rPr>
                      <w:rFonts w:hint="eastAsia"/>
                      <w:lang w:val="en-US" w:eastAsia="zh-CN"/>
                    </w:rPr>
                    <w:t>甲烷</w:t>
                  </w:r>
                </w:p>
              </w:tc>
              <w:tc>
                <w:tcPr>
                  <w:tcW w:w="0" w:type="auto"/>
                  <w:noWrap w:val="0"/>
                  <w:vAlign w:val="center"/>
                </w:tcPr>
                <w:p w14:paraId="77D31362">
                  <w:pPr>
                    <w:pStyle w:val="21"/>
                    <w:pageBreakBefore w:val="0"/>
                    <w:kinsoku/>
                    <w:wordWrap/>
                    <w:topLinePunct w:val="0"/>
                    <w:bidi w:val="0"/>
                    <w:rPr>
                      <w:rFonts w:hint="eastAsia"/>
                      <w:lang w:eastAsia="zh-CN"/>
                    </w:rPr>
                  </w:pPr>
                  <w:r>
                    <w:rPr>
                      <w:rFonts w:hint="eastAsia"/>
                      <w:lang w:eastAsia="zh-CN"/>
                    </w:rPr>
                    <w:t>0.717</w:t>
                  </w:r>
                </w:p>
              </w:tc>
              <w:tc>
                <w:tcPr>
                  <w:tcW w:w="0" w:type="auto"/>
                  <w:noWrap w:val="0"/>
                  <w:vAlign w:val="center"/>
                </w:tcPr>
                <w:p w14:paraId="1115A489">
                  <w:pPr>
                    <w:pStyle w:val="21"/>
                    <w:pageBreakBefore w:val="0"/>
                    <w:kinsoku/>
                    <w:wordWrap/>
                    <w:topLinePunct w:val="0"/>
                    <w:bidi w:val="0"/>
                    <w:rPr>
                      <w:rFonts w:hint="default"/>
                      <w:lang w:val="en-US" w:eastAsia="zh-CN"/>
                    </w:rPr>
                  </w:pPr>
                  <w:r>
                    <w:rPr>
                      <w:rFonts w:hint="eastAsia"/>
                      <w:lang w:val="en-US" w:eastAsia="zh-CN"/>
                    </w:rPr>
                    <w:t>5～16</w:t>
                  </w:r>
                </w:p>
              </w:tc>
              <w:tc>
                <w:tcPr>
                  <w:tcW w:w="0" w:type="auto"/>
                  <w:noWrap w:val="0"/>
                  <w:vAlign w:val="center"/>
                </w:tcPr>
                <w:p w14:paraId="0BF5A93A">
                  <w:pPr>
                    <w:pStyle w:val="21"/>
                    <w:pageBreakBefore w:val="0"/>
                    <w:kinsoku/>
                    <w:wordWrap/>
                    <w:topLinePunct w:val="0"/>
                    <w:bidi w:val="0"/>
                    <w:rPr>
                      <w:rFonts w:hint="default"/>
                      <w:lang w:val="en-US" w:eastAsia="zh-CN"/>
                    </w:rPr>
                  </w:pPr>
                  <w:r>
                    <w:rPr>
                      <w:rFonts w:hint="eastAsia"/>
                      <w:lang w:val="en-US" w:eastAsia="zh-CN"/>
                    </w:rPr>
                    <w:t>55500</w:t>
                  </w:r>
                </w:p>
              </w:tc>
            </w:tr>
          </w:tbl>
          <w:p w14:paraId="629359D9">
            <w:pPr>
              <w:pageBreakBefore w:val="0"/>
              <w:kinsoku/>
              <w:wordWrap/>
              <w:topLinePunct w:val="0"/>
              <w:bidi w:val="0"/>
              <w:spacing w:line="360" w:lineRule="auto"/>
              <w:ind w:firstLine="480" w:firstLineChars="200"/>
              <w:rPr>
                <w:bCs/>
                <w:sz w:val="24"/>
              </w:rPr>
            </w:pPr>
            <w:r>
              <w:rPr>
                <w:bCs/>
                <w:sz w:val="24"/>
              </w:rPr>
              <w:t>根据荷兰应用科研院（TNO）建议，按下式预测蒸汽云爆炸的冲击波损害半径：</w:t>
            </w:r>
          </w:p>
          <w:p w14:paraId="1A9FE46B">
            <w:pPr>
              <w:pageBreakBefore w:val="0"/>
              <w:kinsoku/>
              <w:wordWrap/>
              <w:topLinePunct w:val="0"/>
              <w:bidi w:val="0"/>
              <w:spacing w:line="360" w:lineRule="auto"/>
              <w:jc w:val="center"/>
              <w:rPr>
                <w:bCs/>
                <w:i/>
                <w:iCs/>
                <w:sz w:val="24"/>
              </w:rPr>
            </w:pPr>
            <m:oMathPara>
              <m:oMath>
                <m:r>
                  <m:rPr/>
                  <w:rPr>
                    <w:rFonts w:hint="default" w:ascii="Cambria Math" w:hAnsi="Cambria Math" w:cs="Times New Roman"/>
                    <w:color w:val="auto"/>
                    <w:kern w:val="2"/>
                    <w:sz w:val="24"/>
                    <w:szCs w:val="24"/>
                    <w:highlight w:val="none"/>
                    <w:lang w:val="en-US" w:eastAsia="zh-CN" w:bidi="ar-SA"/>
                  </w:rPr>
                  <m:t>R=</m:t>
                </m:r>
                <m:sSub>
                  <m:sSubPr>
                    <m:ctrlPr>
                      <w:rPr>
                        <w:rFonts w:hint="default" w:ascii="Cambria Math" w:hAnsi="Cambria Math" w:cs="Times New Roman"/>
                        <w:i/>
                        <w:iCs/>
                        <w:color w:val="auto"/>
                        <w:kern w:val="2"/>
                        <w:sz w:val="24"/>
                        <w:szCs w:val="24"/>
                        <w:highlight w:val="none"/>
                        <w:lang w:val="en-US" w:eastAsia="zh-CN" w:bidi="ar-SA"/>
                      </w:rPr>
                    </m:ctrlPr>
                  </m:sSubPr>
                  <m:e>
                    <m:r>
                      <m:rPr/>
                      <w:rPr>
                        <w:rFonts w:hint="default" w:ascii="Cambria Math" w:hAnsi="Cambria Math" w:cs="Times New Roman"/>
                        <w:color w:val="auto"/>
                        <w:kern w:val="2"/>
                        <w:sz w:val="24"/>
                        <w:szCs w:val="24"/>
                        <w:highlight w:val="none"/>
                        <w:lang w:val="en-US" w:eastAsia="zh-CN" w:bidi="ar-SA"/>
                      </w:rPr>
                      <m:t>C</m:t>
                    </m:r>
                    <m:ctrlPr>
                      <w:rPr>
                        <w:rFonts w:hint="default" w:ascii="Cambria Math" w:hAnsi="Cambria Math" w:cs="Times New Roman"/>
                        <w:i/>
                        <w:iCs/>
                        <w:color w:val="auto"/>
                        <w:kern w:val="2"/>
                        <w:sz w:val="24"/>
                        <w:szCs w:val="24"/>
                        <w:highlight w:val="none"/>
                        <w:lang w:val="en-US" w:eastAsia="zh-CN" w:bidi="ar-SA"/>
                      </w:rPr>
                    </m:ctrlPr>
                  </m:e>
                  <m:sub>
                    <m:r>
                      <m:rPr/>
                      <w:rPr>
                        <w:rFonts w:hint="default" w:ascii="Cambria Math" w:hAnsi="Cambria Math" w:cs="Times New Roman"/>
                        <w:color w:val="auto"/>
                        <w:kern w:val="2"/>
                        <w:sz w:val="24"/>
                        <w:szCs w:val="24"/>
                        <w:highlight w:val="none"/>
                        <w:lang w:val="en-US" w:eastAsia="zh-CN" w:bidi="ar-SA"/>
                      </w:rPr>
                      <m:t>S</m:t>
                    </m:r>
                    <m:ctrlPr>
                      <w:rPr>
                        <w:rFonts w:hint="default" w:ascii="Cambria Math" w:hAnsi="Cambria Math" w:cs="Times New Roman"/>
                        <w:i/>
                        <w:iCs/>
                        <w:color w:val="auto"/>
                        <w:kern w:val="2"/>
                        <w:sz w:val="24"/>
                        <w:szCs w:val="24"/>
                        <w:highlight w:val="none"/>
                        <w:lang w:val="en-US" w:eastAsia="zh-CN" w:bidi="ar-SA"/>
                      </w:rPr>
                    </m:ctrlPr>
                  </m:sub>
                </m:sSub>
                <m:sSup>
                  <m:sSupPr>
                    <m:ctrlPr>
                      <w:rPr>
                        <w:rFonts w:hint="default" w:ascii="Cambria Math" w:hAnsi="Cambria Math" w:cs="Times New Roman"/>
                        <w:i/>
                        <w:iCs/>
                        <w:color w:val="auto"/>
                        <w:kern w:val="2"/>
                        <w:sz w:val="24"/>
                        <w:szCs w:val="24"/>
                        <w:highlight w:val="none"/>
                        <w:lang w:val="en-US" w:eastAsia="zh-CN" w:bidi="ar-SA"/>
                      </w:rPr>
                    </m:ctrlPr>
                  </m:sSupPr>
                  <m:e>
                    <m:d>
                      <m:dPr>
                        <m:ctrlPr>
                          <w:rPr>
                            <w:rFonts w:hint="default" w:ascii="Cambria Math" w:hAnsi="Cambria Math" w:cs="Times New Roman"/>
                            <w:i/>
                            <w:iCs/>
                            <w:color w:val="auto"/>
                            <w:kern w:val="2"/>
                            <w:sz w:val="24"/>
                            <w:szCs w:val="24"/>
                            <w:highlight w:val="none"/>
                            <w:lang w:val="en-US" w:eastAsia="zh-CN" w:bidi="ar-SA"/>
                          </w:rPr>
                        </m:ctrlPr>
                      </m:dPr>
                      <m:e>
                        <m:r>
                          <m:rPr/>
                          <w:rPr>
                            <w:rFonts w:hint="default" w:ascii="Cambria Math" w:hAnsi="Cambria Math" w:cs="Times New Roman"/>
                            <w:color w:val="auto"/>
                            <w:kern w:val="2"/>
                            <w:sz w:val="24"/>
                            <w:szCs w:val="24"/>
                            <w:highlight w:val="none"/>
                            <w:lang w:val="en-US" w:eastAsia="zh-CN" w:bidi="ar-SA"/>
                          </w:rPr>
                          <m:t>NE</m:t>
                        </m:r>
                        <m:ctrlPr>
                          <w:rPr>
                            <w:rFonts w:hint="default" w:ascii="Cambria Math" w:hAnsi="Cambria Math" w:cs="Times New Roman"/>
                            <w:i/>
                            <w:iCs/>
                            <w:color w:val="auto"/>
                            <w:kern w:val="2"/>
                            <w:sz w:val="24"/>
                            <w:szCs w:val="24"/>
                            <w:highlight w:val="none"/>
                            <w:lang w:val="en-US" w:eastAsia="zh-CN" w:bidi="ar-SA"/>
                          </w:rPr>
                        </m:ctrlPr>
                      </m:e>
                    </m:d>
                    <m:ctrlPr>
                      <w:rPr>
                        <w:rFonts w:hint="default" w:ascii="Cambria Math" w:hAnsi="Cambria Math" w:cs="Times New Roman"/>
                        <w:i/>
                        <w:iCs/>
                        <w:color w:val="auto"/>
                        <w:kern w:val="2"/>
                        <w:sz w:val="24"/>
                        <w:szCs w:val="24"/>
                        <w:highlight w:val="none"/>
                        <w:lang w:val="en-US" w:eastAsia="zh-CN" w:bidi="ar-SA"/>
                      </w:rPr>
                    </m:ctrlPr>
                  </m:e>
                  <m:sup>
                    <m:f>
                      <m:fPr>
                        <m:type m:val="lin"/>
                        <m:ctrlPr>
                          <w:rPr>
                            <w:rFonts w:hint="default" w:ascii="Cambria Math" w:hAnsi="Cambria Math" w:cs="Times New Roman"/>
                            <w:i/>
                            <w:iCs/>
                            <w:color w:val="auto"/>
                            <w:kern w:val="2"/>
                            <w:sz w:val="24"/>
                            <w:szCs w:val="24"/>
                            <w:highlight w:val="none"/>
                            <w:lang w:val="en-US" w:eastAsia="zh-CN" w:bidi="ar-SA"/>
                          </w:rPr>
                        </m:ctrlPr>
                      </m:fPr>
                      <m:num>
                        <m:r>
                          <m:rPr/>
                          <w:rPr>
                            <w:rFonts w:hint="default" w:ascii="Cambria Math" w:hAnsi="Cambria Math" w:cs="Times New Roman"/>
                            <w:color w:val="auto"/>
                            <w:kern w:val="2"/>
                            <w:sz w:val="24"/>
                            <w:szCs w:val="24"/>
                            <w:highlight w:val="none"/>
                            <w:lang w:val="en-US" w:eastAsia="zh-CN" w:bidi="ar-SA"/>
                          </w:rPr>
                          <m:t>1</m:t>
                        </m:r>
                        <m:ctrlPr>
                          <w:rPr>
                            <w:rFonts w:hint="default" w:ascii="Cambria Math" w:hAnsi="Cambria Math" w:cs="Times New Roman"/>
                            <w:i/>
                            <w:iCs/>
                            <w:color w:val="auto"/>
                            <w:kern w:val="2"/>
                            <w:sz w:val="24"/>
                            <w:szCs w:val="24"/>
                            <w:highlight w:val="none"/>
                            <w:lang w:val="en-US" w:eastAsia="zh-CN" w:bidi="ar-SA"/>
                          </w:rPr>
                        </m:ctrlPr>
                      </m:num>
                      <m:den>
                        <m:r>
                          <m:rPr/>
                          <w:rPr>
                            <w:rFonts w:hint="default" w:ascii="Cambria Math" w:hAnsi="Cambria Math" w:cs="Times New Roman"/>
                            <w:color w:val="auto"/>
                            <w:kern w:val="2"/>
                            <w:sz w:val="24"/>
                            <w:szCs w:val="24"/>
                            <w:highlight w:val="none"/>
                            <w:lang w:val="en-US" w:eastAsia="zh-CN" w:bidi="ar-SA"/>
                          </w:rPr>
                          <m:t>3</m:t>
                        </m:r>
                        <m:ctrlPr>
                          <w:rPr>
                            <w:rFonts w:hint="default" w:ascii="Cambria Math" w:hAnsi="Cambria Math" w:cs="Times New Roman"/>
                            <w:i/>
                            <w:iCs/>
                            <w:color w:val="auto"/>
                            <w:kern w:val="2"/>
                            <w:sz w:val="24"/>
                            <w:szCs w:val="24"/>
                            <w:highlight w:val="none"/>
                            <w:lang w:val="en-US" w:eastAsia="zh-CN" w:bidi="ar-SA"/>
                          </w:rPr>
                        </m:ctrlPr>
                      </m:den>
                    </m:f>
                    <m:ctrlPr>
                      <w:rPr>
                        <w:rFonts w:hint="default" w:ascii="Cambria Math" w:hAnsi="Cambria Math" w:cs="Times New Roman"/>
                        <w:i/>
                        <w:iCs/>
                        <w:color w:val="auto"/>
                        <w:kern w:val="2"/>
                        <w:sz w:val="24"/>
                        <w:szCs w:val="24"/>
                        <w:highlight w:val="none"/>
                        <w:lang w:val="en-US" w:eastAsia="zh-CN" w:bidi="ar-SA"/>
                      </w:rPr>
                    </m:ctrlPr>
                  </m:sup>
                </m:sSup>
              </m:oMath>
            </m:oMathPara>
          </w:p>
          <w:p w14:paraId="5B1108E8">
            <w:pPr>
              <w:pageBreakBefore w:val="0"/>
              <w:kinsoku/>
              <w:wordWrap/>
              <w:topLinePunct w:val="0"/>
              <w:bidi w:val="0"/>
              <w:spacing w:line="360" w:lineRule="auto"/>
              <w:ind w:firstLine="480" w:firstLineChars="200"/>
              <w:rPr>
                <w:bCs/>
                <w:sz w:val="24"/>
              </w:rPr>
            </w:pPr>
            <w:r>
              <w:rPr>
                <w:bCs/>
                <w:sz w:val="24"/>
              </w:rPr>
              <w:t>式中：</w:t>
            </w:r>
            <w:r>
              <w:rPr>
                <w:rFonts w:hint="eastAsia"/>
                <w:bCs/>
                <w:sz w:val="24"/>
              </w:rPr>
              <w:t>R——</w:t>
            </w:r>
            <w:r>
              <w:rPr>
                <w:bCs/>
                <w:sz w:val="24"/>
              </w:rPr>
              <w:t>损害半径，m；</w:t>
            </w:r>
          </w:p>
          <w:p w14:paraId="6044C2B4">
            <w:pPr>
              <w:pageBreakBefore w:val="0"/>
              <w:kinsoku/>
              <w:wordWrap/>
              <w:topLinePunct w:val="0"/>
              <w:bidi w:val="0"/>
              <w:spacing w:line="360" w:lineRule="auto"/>
              <w:ind w:firstLine="1200" w:firstLineChars="500"/>
              <w:rPr>
                <w:bCs/>
                <w:sz w:val="24"/>
              </w:rPr>
            </w:pPr>
            <w:r>
              <w:rPr>
                <w:bCs/>
                <w:sz w:val="24"/>
              </w:rPr>
              <w:t>E</w:t>
            </w:r>
            <w:r>
              <w:rPr>
                <w:rFonts w:hint="eastAsia"/>
                <w:bCs/>
                <w:sz w:val="24"/>
              </w:rPr>
              <w:t>——</w:t>
            </w:r>
            <w:r>
              <w:rPr>
                <w:bCs/>
                <w:sz w:val="24"/>
              </w:rPr>
              <w:t>爆炸能量，kJ，可按下式取：</w:t>
            </w:r>
          </w:p>
          <w:p w14:paraId="663B4DF3">
            <w:pPr>
              <w:pageBreakBefore w:val="0"/>
              <w:kinsoku/>
              <w:wordWrap/>
              <w:topLinePunct w:val="0"/>
              <w:bidi w:val="0"/>
              <w:spacing w:line="360" w:lineRule="auto"/>
              <w:jc w:val="center"/>
              <w:rPr>
                <w:bCs/>
                <w:sz w:val="24"/>
              </w:rPr>
            </w:pPr>
            <w:r>
              <w:rPr>
                <w:bCs/>
                <w:sz w:val="24"/>
              </w:rPr>
              <w:t>E＝WHc</w:t>
            </w:r>
          </w:p>
          <w:p w14:paraId="17BA6707">
            <w:pPr>
              <w:pageBreakBefore w:val="0"/>
              <w:kinsoku/>
              <w:wordWrap/>
              <w:topLinePunct w:val="0"/>
              <w:bidi w:val="0"/>
              <w:spacing w:line="360" w:lineRule="auto"/>
              <w:ind w:firstLine="480" w:firstLineChars="200"/>
              <w:rPr>
                <w:bCs/>
                <w:sz w:val="24"/>
              </w:rPr>
            </w:pPr>
            <w:r>
              <w:rPr>
                <w:bCs/>
                <w:sz w:val="24"/>
              </w:rPr>
              <w:t>式中：W</w:t>
            </w:r>
            <w:r>
              <w:rPr>
                <w:rFonts w:hint="eastAsia"/>
                <w:bCs/>
                <w:sz w:val="24"/>
              </w:rPr>
              <w:t>——</w:t>
            </w:r>
            <w:r>
              <w:rPr>
                <w:bCs/>
                <w:sz w:val="24"/>
              </w:rPr>
              <w:t>参加反应的可燃物体的量，</w:t>
            </w:r>
            <w:r>
              <w:rPr>
                <w:rFonts w:hint="eastAsia"/>
                <w:bCs/>
                <w:sz w:val="24"/>
                <w:lang w:val="en-US" w:eastAsia="zh-CN"/>
              </w:rPr>
              <w:t>氢气</w:t>
            </w:r>
            <w:r>
              <w:rPr>
                <w:bCs/>
                <w:sz w:val="24"/>
              </w:rPr>
              <w:t>取</w:t>
            </w:r>
            <w:r>
              <w:rPr>
                <w:rFonts w:hint="eastAsia"/>
                <w:bCs/>
                <w:sz w:val="24"/>
              </w:rPr>
              <w:t>存储量最大的氢气缓冲罐容积折标体积，即</w:t>
            </w:r>
            <w:r>
              <w:rPr>
                <w:rFonts w:hint="eastAsia"/>
                <w:bCs/>
                <w:sz w:val="24"/>
                <w:lang w:val="en-US" w:eastAsia="zh-CN"/>
              </w:rPr>
              <w:t>378.204</w:t>
            </w:r>
            <w:r>
              <w:rPr>
                <w:bCs/>
                <w:sz w:val="24"/>
              </w:rPr>
              <w:t>m</w:t>
            </w:r>
            <w:r>
              <w:rPr>
                <w:bCs/>
                <w:sz w:val="24"/>
                <w:vertAlign w:val="superscript"/>
              </w:rPr>
              <w:t>3</w:t>
            </w:r>
            <w:r>
              <w:rPr>
                <w:rFonts w:hint="eastAsia"/>
                <w:bCs/>
                <w:sz w:val="24"/>
                <w:vertAlign w:val="baseline"/>
                <w:lang w:eastAsia="zh-CN"/>
              </w:rPr>
              <w:t>，</w:t>
            </w:r>
            <w:r>
              <w:rPr>
                <w:rFonts w:hint="eastAsia"/>
                <w:bCs/>
                <w:sz w:val="24"/>
                <w:vertAlign w:val="baseline"/>
                <w:lang w:val="en-US" w:eastAsia="zh-CN"/>
              </w:rPr>
              <w:t>一氧化碳和甲烷取单个解吸气缓冲罐中存储量的折标体积，分别为84.213</w:t>
            </w:r>
            <w:r>
              <w:rPr>
                <w:bCs/>
                <w:sz w:val="24"/>
              </w:rPr>
              <w:t>m</w:t>
            </w:r>
            <w:r>
              <w:rPr>
                <w:bCs/>
                <w:sz w:val="24"/>
                <w:vertAlign w:val="superscript"/>
              </w:rPr>
              <w:t>3</w:t>
            </w:r>
            <w:r>
              <w:rPr>
                <w:rFonts w:hint="eastAsia"/>
                <w:bCs/>
                <w:sz w:val="24"/>
                <w:vertAlign w:val="baseline"/>
                <w:lang w:val="en-US" w:eastAsia="zh-CN"/>
              </w:rPr>
              <w:t>和65.330</w:t>
            </w:r>
            <w:r>
              <w:rPr>
                <w:bCs/>
                <w:sz w:val="24"/>
              </w:rPr>
              <w:t>m</w:t>
            </w:r>
            <w:r>
              <w:rPr>
                <w:bCs/>
                <w:sz w:val="24"/>
                <w:vertAlign w:val="superscript"/>
              </w:rPr>
              <w:t>3</w:t>
            </w:r>
            <w:r>
              <w:rPr>
                <w:rFonts w:hint="eastAsia"/>
                <w:bCs/>
                <w:sz w:val="24"/>
              </w:rPr>
              <w:t>；</w:t>
            </w:r>
          </w:p>
          <w:p w14:paraId="4784863A">
            <w:pPr>
              <w:pageBreakBefore w:val="0"/>
              <w:kinsoku/>
              <w:wordWrap/>
              <w:topLinePunct w:val="0"/>
              <w:bidi w:val="0"/>
              <w:spacing w:line="360" w:lineRule="auto"/>
              <w:ind w:firstLine="1200" w:firstLineChars="500"/>
              <w:rPr>
                <w:bCs/>
                <w:sz w:val="24"/>
              </w:rPr>
            </w:pPr>
            <w:r>
              <w:rPr>
                <w:bCs/>
                <w:sz w:val="24"/>
              </w:rPr>
              <w:t>Hc</w:t>
            </w:r>
            <w:r>
              <w:rPr>
                <w:rFonts w:hint="eastAsia"/>
                <w:bCs/>
                <w:sz w:val="24"/>
              </w:rPr>
              <w:t>——</w:t>
            </w:r>
            <w:r>
              <w:rPr>
                <w:bCs/>
                <w:sz w:val="24"/>
              </w:rPr>
              <w:t>可燃气体的高燃烧热值，kJ/kg；</w:t>
            </w:r>
          </w:p>
          <w:p w14:paraId="1957B1BB">
            <w:pPr>
              <w:pageBreakBefore w:val="0"/>
              <w:kinsoku/>
              <w:wordWrap/>
              <w:topLinePunct w:val="0"/>
              <w:bidi w:val="0"/>
              <w:spacing w:line="360" w:lineRule="auto"/>
              <w:ind w:firstLine="1200" w:firstLineChars="500"/>
              <w:rPr>
                <w:bCs/>
                <w:sz w:val="24"/>
              </w:rPr>
            </w:pPr>
            <w:r>
              <w:rPr>
                <w:bCs/>
                <w:sz w:val="24"/>
              </w:rPr>
              <w:t>N</w:t>
            </w:r>
            <w:r>
              <w:rPr>
                <w:rFonts w:hint="eastAsia"/>
                <w:bCs/>
                <w:sz w:val="24"/>
              </w:rPr>
              <w:t>——</w:t>
            </w:r>
            <w:r>
              <w:rPr>
                <w:bCs/>
                <w:sz w:val="24"/>
              </w:rPr>
              <w:t>效率因子，一般取N＝10%；</w:t>
            </w:r>
          </w:p>
          <w:p w14:paraId="06229850">
            <w:pPr>
              <w:pageBreakBefore w:val="0"/>
              <w:kinsoku/>
              <w:wordWrap/>
              <w:topLinePunct w:val="0"/>
              <w:bidi w:val="0"/>
              <w:spacing w:line="360" w:lineRule="auto"/>
              <w:ind w:firstLine="1200" w:firstLineChars="500"/>
              <w:rPr>
                <w:bCs/>
                <w:sz w:val="24"/>
              </w:rPr>
            </w:pPr>
            <w:r>
              <w:rPr>
                <w:bCs/>
                <w:sz w:val="24"/>
              </w:rPr>
              <w:t>Cs</w:t>
            </w:r>
            <w:r>
              <w:rPr>
                <w:rFonts w:hint="eastAsia"/>
                <w:bCs/>
                <w:sz w:val="24"/>
              </w:rPr>
              <w:t>——</w:t>
            </w:r>
            <w:r>
              <w:rPr>
                <w:bCs/>
                <w:sz w:val="24"/>
              </w:rPr>
              <w:t>经验常数，取决于损害等级，其取值如表所示。</w:t>
            </w:r>
          </w:p>
          <w:p w14:paraId="16930FF7">
            <w:pPr>
              <w:pStyle w:val="25"/>
              <w:pageBreakBefore w:val="0"/>
              <w:kinsoku/>
              <w:wordWrap/>
              <w:topLinePunct w:val="0"/>
              <w:bidi w:val="0"/>
              <w:rPr>
                <w:rFonts w:hint="default" w:ascii="Times New Roman" w:hAnsi="Times New Roman" w:cs="Times New Roman"/>
              </w:rPr>
            </w:pPr>
            <w:r>
              <w:t>表4-</w:t>
            </w:r>
            <w:r>
              <w:rPr>
                <w:rFonts w:hint="eastAsia"/>
                <w:lang w:val="en-US" w:eastAsia="zh-CN"/>
              </w:rPr>
              <w:t>9</w:t>
            </w:r>
            <w:r>
              <w:t xml:space="preserve">  损坏等级及Cs取值</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1166"/>
              <w:gridCol w:w="1373"/>
              <w:gridCol w:w="2261"/>
              <w:gridCol w:w="3590"/>
            </w:tblGrid>
            <w:tr w14:paraId="5786C6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166" w:type="dxa"/>
                  <w:noWrap w:val="0"/>
                  <w:vAlign w:val="center"/>
                </w:tcPr>
                <w:p w14:paraId="4EEDA066">
                  <w:pPr>
                    <w:pStyle w:val="26"/>
                    <w:pageBreakBefore w:val="0"/>
                    <w:kinsoku/>
                    <w:wordWrap/>
                    <w:topLinePunct w:val="0"/>
                    <w:bidi w:val="0"/>
                    <w:rPr>
                      <w:rFonts w:hint="default"/>
                      <w:b/>
                      <w:bCs/>
                    </w:rPr>
                  </w:pPr>
                  <w:r>
                    <w:rPr>
                      <w:b/>
                      <w:bCs/>
                    </w:rPr>
                    <w:t>损害等级</w:t>
                  </w:r>
                </w:p>
              </w:tc>
              <w:tc>
                <w:tcPr>
                  <w:tcW w:w="1373" w:type="dxa"/>
                  <w:noWrap w:val="0"/>
                  <w:vAlign w:val="center"/>
                </w:tcPr>
                <w:p w14:paraId="62883BE5">
                  <w:pPr>
                    <w:pStyle w:val="26"/>
                    <w:pageBreakBefore w:val="0"/>
                    <w:kinsoku/>
                    <w:wordWrap/>
                    <w:topLinePunct w:val="0"/>
                    <w:bidi w:val="0"/>
                    <w:rPr>
                      <w:rFonts w:hint="default"/>
                      <w:b/>
                      <w:bCs/>
                    </w:rPr>
                  </w:pPr>
                  <w:r>
                    <w:rPr>
                      <w:b/>
                      <w:bCs/>
                    </w:rPr>
                    <w:t>Cs/m·J</w:t>
                  </w:r>
                  <w:r>
                    <w:rPr>
                      <w:b/>
                      <w:bCs/>
                      <w:vertAlign w:val="superscript"/>
                    </w:rPr>
                    <w:t>-1/3</w:t>
                  </w:r>
                </w:p>
              </w:tc>
              <w:tc>
                <w:tcPr>
                  <w:tcW w:w="2261" w:type="dxa"/>
                  <w:noWrap w:val="0"/>
                  <w:vAlign w:val="center"/>
                </w:tcPr>
                <w:p w14:paraId="08D7BC37">
                  <w:pPr>
                    <w:pStyle w:val="26"/>
                    <w:pageBreakBefore w:val="0"/>
                    <w:kinsoku/>
                    <w:wordWrap/>
                    <w:topLinePunct w:val="0"/>
                    <w:bidi w:val="0"/>
                    <w:rPr>
                      <w:rFonts w:hint="default"/>
                      <w:b/>
                      <w:bCs/>
                    </w:rPr>
                  </w:pPr>
                  <w:r>
                    <w:rPr>
                      <w:b/>
                      <w:bCs/>
                    </w:rPr>
                    <w:t>设备损坏</w:t>
                  </w:r>
                </w:p>
              </w:tc>
              <w:tc>
                <w:tcPr>
                  <w:tcW w:w="3590" w:type="dxa"/>
                  <w:noWrap w:val="0"/>
                  <w:vAlign w:val="center"/>
                </w:tcPr>
                <w:p w14:paraId="1F0AD9AF">
                  <w:pPr>
                    <w:pStyle w:val="26"/>
                    <w:pageBreakBefore w:val="0"/>
                    <w:kinsoku/>
                    <w:wordWrap/>
                    <w:topLinePunct w:val="0"/>
                    <w:bidi w:val="0"/>
                    <w:rPr>
                      <w:rFonts w:hint="default"/>
                      <w:b/>
                      <w:bCs/>
                    </w:rPr>
                  </w:pPr>
                  <w:r>
                    <w:rPr>
                      <w:b/>
                      <w:bCs/>
                    </w:rPr>
                    <w:t>人员伤害</w:t>
                  </w:r>
                </w:p>
              </w:tc>
            </w:tr>
            <w:tr w14:paraId="7AF552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166" w:type="dxa"/>
                  <w:noWrap w:val="0"/>
                  <w:vAlign w:val="center"/>
                </w:tcPr>
                <w:p w14:paraId="5E0E3BB4">
                  <w:pPr>
                    <w:pStyle w:val="26"/>
                    <w:pageBreakBefore w:val="0"/>
                    <w:kinsoku/>
                    <w:wordWrap/>
                    <w:topLinePunct w:val="0"/>
                    <w:bidi w:val="0"/>
                    <w:rPr>
                      <w:rFonts w:hint="default"/>
                    </w:rPr>
                  </w:pPr>
                  <w:r>
                    <w:t>1</w:t>
                  </w:r>
                </w:p>
              </w:tc>
              <w:tc>
                <w:tcPr>
                  <w:tcW w:w="1373" w:type="dxa"/>
                  <w:noWrap w:val="0"/>
                  <w:vAlign w:val="center"/>
                </w:tcPr>
                <w:p w14:paraId="165841BF">
                  <w:pPr>
                    <w:pStyle w:val="26"/>
                    <w:pageBreakBefore w:val="0"/>
                    <w:kinsoku/>
                    <w:wordWrap/>
                    <w:topLinePunct w:val="0"/>
                    <w:bidi w:val="0"/>
                    <w:rPr>
                      <w:rFonts w:hint="default"/>
                    </w:rPr>
                  </w:pPr>
                  <w:r>
                    <w:t>0.03</w:t>
                  </w:r>
                </w:p>
              </w:tc>
              <w:tc>
                <w:tcPr>
                  <w:tcW w:w="2261" w:type="dxa"/>
                  <w:noWrap w:val="0"/>
                  <w:vAlign w:val="center"/>
                </w:tcPr>
                <w:p w14:paraId="375CE865">
                  <w:pPr>
                    <w:pStyle w:val="26"/>
                    <w:pageBreakBefore w:val="0"/>
                    <w:kinsoku/>
                    <w:wordWrap/>
                    <w:topLinePunct w:val="0"/>
                    <w:bidi w:val="0"/>
                    <w:rPr>
                      <w:rFonts w:hint="default"/>
                    </w:rPr>
                  </w:pPr>
                  <w:r>
                    <w:rPr>
                      <w:rFonts w:hint="default"/>
                    </w:rPr>
                    <w:t>重创建筑物和设备</w:t>
                  </w:r>
                </w:p>
              </w:tc>
              <w:tc>
                <w:tcPr>
                  <w:tcW w:w="3590" w:type="dxa"/>
                  <w:noWrap w:val="0"/>
                  <w:vAlign w:val="center"/>
                </w:tcPr>
                <w:p w14:paraId="25E227C4">
                  <w:pPr>
                    <w:pStyle w:val="26"/>
                    <w:pageBreakBefore w:val="0"/>
                    <w:kinsoku/>
                    <w:wordWrap/>
                    <w:topLinePunct w:val="0"/>
                    <w:bidi w:val="0"/>
                  </w:pPr>
                  <w:r>
                    <w:rPr>
                      <w:rFonts w:hint="default"/>
                    </w:rPr>
                    <w:t>1%死亡，肺部伤害＞50%</w:t>
                  </w:r>
                  <w:r>
                    <w:t>，</w:t>
                  </w:r>
                </w:p>
                <w:p w14:paraId="236CB204">
                  <w:pPr>
                    <w:pStyle w:val="26"/>
                    <w:pageBreakBefore w:val="0"/>
                    <w:kinsoku/>
                    <w:wordWrap/>
                    <w:topLinePunct w:val="0"/>
                    <w:bidi w:val="0"/>
                    <w:rPr>
                      <w:rFonts w:hint="default"/>
                    </w:rPr>
                  </w:pPr>
                  <w:r>
                    <w:rPr>
                      <w:rFonts w:hint="default"/>
                    </w:rPr>
                    <w:t>耳膜破裂＞50%</w:t>
                  </w:r>
                  <w:r>
                    <w:t>，</w:t>
                  </w:r>
                  <w:r>
                    <w:rPr>
                      <w:rFonts w:hint="default"/>
                    </w:rPr>
                    <w:t>被碎片击伤</w:t>
                  </w:r>
                </w:p>
              </w:tc>
            </w:tr>
            <w:tr w14:paraId="235AF9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166" w:type="dxa"/>
                  <w:noWrap w:val="0"/>
                  <w:vAlign w:val="center"/>
                </w:tcPr>
                <w:p w14:paraId="2CBE0ABD">
                  <w:pPr>
                    <w:pStyle w:val="26"/>
                    <w:pageBreakBefore w:val="0"/>
                    <w:kinsoku/>
                    <w:wordWrap/>
                    <w:topLinePunct w:val="0"/>
                    <w:bidi w:val="0"/>
                    <w:rPr>
                      <w:rFonts w:hint="default"/>
                    </w:rPr>
                  </w:pPr>
                  <w:r>
                    <w:t>2</w:t>
                  </w:r>
                </w:p>
              </w:tc>
              <w:tc>
                <w:tcPr>
                  <w:tcW w:w="1373" w:type="dxa"/>
                  <w:noWrap w:val="0"/>
                  <w:vAlign w:val="center"/>
                </w:tcPr>
                <w:p w14:paraId="20BB45CE">
                  <w:pPr>
                    <w:pStyle w:val="26"/>
                    <w:pageBreakBefore w:val="0"/>
                    <w:kinsoku/>
                    <w:wordWrap/>
                    <w:topLinePunct w:val="0"/>
                    <w:bidi w:val="0"/>
                    <w:rPr>
                      <w:rFonts w:hint="default"/>
                    </w:rPr>
                  </w:pPr>
                  <w:r>
                    <w:t>0.06</w:t>
                  </w:r>
                </w:p>
              </w:tc>
              <w:tc>
                <w:tcPr>
                  <w:tcW w:w="2261" w:type="dxa"/>
                  <w:noWrap w:val="0"/>
                  <w:vAlign w:val="center"/>
                </w:tcPr>
                <w:p w14:paraId="4A334BD9">
                  <w:pPr>
                    <w:pStyle w:val="26"/>
                    <w:pageBreakBefore w:val="0"/>
                    <w:kinsoku/>
                    <w:wordWrap/>
                    <w:topLinePunct w:val="0"/>
                    <w:bidi w:val="0"/>
                    <w:rPr>
                      <w:rFonts w:hint="default"/>
                    </w:rPr>
                  </w:pPr>
                  <w:r>
                    <w:rPr>
                      <w:rFonts w:hint="default"/>
                    </w:rPr>
                    <w:t>损坏建筑物外表，</w:t>
                  </w:r>
                </w:p>
                <w:p w14:paraId="1E81DE31">
                  <w:pPr>
                    <w:pStyle w:val="26"/>
                    <w:pageBreakBefore w:val="0"/>
                    <w:kinsoku/>
                    <w:wordWrap/>
                    <w:topLinePunct w:val="0"/>
                    <w:bidi w:val="0"/>
                    <w:rPr>
                      <w:rFonts w:hint="default"/>
                    </w:rPr>
                  </w:pPr>
                  <w:r>
                    <w:rPr>
                      <w:rFonts w:hint="default"/>
                    </w:rPr>
                    <w:t>可修复性破坏</w:t>
                  </w:r>
                </w:p>
              </w:tc>
              <w:tc>
                <w:tcPr>
                  <w:tcW w:w="3590" w:type="dxa"/>
                  <w:noWrap w:val="0"/>
                  <w:vAlign w:val="center"/>
                </w:tcPr>
                <w:p w14:paraId="795D044A">
                  <w:pPr>
                    <w:pStyle w:val="26"/>
                    <w:pageBreakBefore w:val="0"/>
                    <w:kinsoku/>
                    <w:wordWrap/>
                    <w:topLinePunct w:val="0"/>
                    <w:bidi w:val="0"/>
                    <w:rPr>
                      <w:rFonts w:hint="default"/>
                    </w:rPr>
                  </w:pPr>
                  <w:r>
                    <w:rPr>
                      <w:rFonts w:hint="default"/>
                    </w:rPr>
                    <w:t>1%耳膜破裂</w:t>
                  </w:r>
                  <w:r>
                    <w:t>，</w:t>
                  </w:r>
                  <w:r>
                    <w:rPr>
                      <w:rFonts w:hint="default"/>
                    </w:rPr>
                    <w:t>1%被碎片击伤</w:t>
                  </w:r>
                </w:p>
              </w:tc>
            </w:tr>
            <w:tr w14:paraId="04F16F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166" w:type="dxa"/>
                  <w:noWrap w:val="0"/>
                  <w:vAlign w:val="center"/>
                </w:tcPr>
                <w:p w14:paraId="5768EAF4">
                  <w:pPr>
                    <w:pStyle w:val="26"/>
                    <w:pageBreakBefore w:val="0"/>
                    <w:kinsoku/>
                    <w:wordWrap/>
                    <w:topLinePunct w:val="0"/>
                    <w:bidi w:val="0"/>
                    <w:rPr>
                      <w:rFonts w:hint="default"/>
                    </w:rPr>
                  </w:pPr>
                  <w:r>
                    <w:t>3</w:t>
                  </w:r>
                </w:p>
              </w:tc>
              <w:tc>
                <w:tcPr>
                  <w:tcW w:w="1373" w:type="dxa"/>
                  <w:noWrap w:val="0"/>
                  <w:vAlign w:val="center"/>
                </w:tcPr>
                <w:p w14:paraId="64131A14">
                  <w:pPr>
                    <w:pStyle w:val="26"/>
                    <w:pageBreakBefore w:val="0"/>
                    <w:kinsoku/>
                    <w:wordWrap/>
                    <w:topLinePunct w:val="0"/>
                    <w:bidi w:val="0"/>
                    <w:rPr>
                      <w:rFonts w:hint="default"/>
                    </w:rPr>
                  </w:pPr>
                  <w:r>
                    <w:t>0.15</w:t>
                  </w:r>
                </w:p>
              </w:tc>
              <w:tc>
                <w:tcPr>
                  <w:tcW w:w="2261" w:type="dxa"/>
                  <w:noWrap w:val="0"/>
                  <w:vAlign w:val="center"/>
                </w:tcPr>
                <w:p w14:paraId="4E281F47">
                  <w:pPr>
                    <w:pStyle w:val="26"/>
                    <w:pageBreakBefore w:val="0"/>
                    <w:kinsoku/>
                    <w:wordWrap/>
                    <w:topLinePunct w:val="0"/>
                    <w:bidi w:val="0"/>
                    <w:rPr>
                      <w:rFonts w:hint="default"/>
                    </w:rPr>
                  </w:pPr>
                  <w:r>
                    <w:rPr>
                      <w:rFonts w:hint="default"/>
                    </w:rPr>
                    <w:t>玻璃破碎</w:t>
                  </w:r>
                </w:p>
              </w:tc>
              <w:tc>
                <w:tcPr>
                  <w:tcW w:w="3590" w:type="dxa"/>
                  <w:noWrap w:val="0"/>
                  <w:vAlign w:val="center"/>
                </w:tcPr>
                <w:p w14:paraId="57AAF8ED">
                  <w:pPr>
                    <w:pStyle w:val="26"/>
                    <w:pageBreakBefore w:val="0"/>
                    <w:kinsoku/>
                    <w:wordWrap/>
                    <w:topLinePunct w:val="0"/>
                    <w:bidi w:val="0"/>
                    <w:rPr>
                      <w:rFonts w:hint="default"/>
                    </w:rPr>
                  </w:pPr>
                  <w:r>
                    <w:rPr>
                      <w:rFonts w:hint="default"/>
                    </w:rPr>
                    <w:t>被碎玻璃击伤</w:t>
                  </w:r>
                </w:p>
              </w:tc>
            </w:tr>
            <w:tr w14:paraId="13FAC1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166" w:type="dxa"/>
                  <w:noWrap w:val="0"/>
                  <w:vAlign w:val="center"/>
                </w:tcPr>
                <w:p w14:paraId="149AECAE">
                  <w:pPr>
                    <w:pStyle w:val="26"/>
                    <w:pageBreakBefore w:val="0"/>
                    <w:kinsoku/>
                    <w:wordWrap/>
                    <w:topLinePunct w:val="0"/>
                    <w:bidi w:val="0"/>
                    <w:rPr>
                      <w:rFonts w:hint="default"/>
                    </w:rPr>
                  </w:pPr>
                  <w:r>
                    <w:t>4</w:t>
                  </w:r>
                </w:p>
              </w:tc>
              <w:tc>
                <w:tcPr>
                  <w:tcW w:w="1373" w:type="dxa"/>
                  <w:noWrap w:val="0"/>
                  <w:vAlign w:val="center"/>
                </w:tcPr>
                <w:p w14:paraId="24A3C475">
                  <w:pPr>
                    <w:pStyle w:val="26"/>
                    <w:pageBreakBefore w:val="0"/>
                    <w:kinsoku/>
                    <w:wordWrap/>
                    <w:topLinePunct w:val="0"/>
                    <w:bidi w:val="0"/>
                    <w:rPr>
                      <w:rFonts w:hint="default"/>
                    </w:rPr>
                  </w:pPr>
                  <w:r>
                    <w:t>0.4</w:t>
                  </w:r>
                </w:p>
              </w:tc>
              <w:tc>
                <w:tcPr>
                  <w:tcW w:w="2261" w:type="dxa"/>
                  <w:noWrap w:val="0"/>
                  <w:vAlign w:val="center"/>
                </w:tcPr>
                <w:p w14:paraId="1FD7368F">
                  <w:pPr>
                    <w:pStyle w:val="26"/>
                    <w:pageBreakBefore w:val="0"/>
                    <w:kinsoku/>
                    <w:wordWrap/>
                    <w:topLinePunct w:val="0"/>
                    <w:bidi w:val="0"/>
                    <w:rPr>
                      <w:rFonts w:hint="default"/>
                    </w:rPr>
                  </w:pPr>
                  <w:r>
                    <w:t>10%玻璃破碎</w:t>
                  </w:r>
                </w:p>
              </w:tc>
              <w:tc>
                <w:tcPr>
                  <w:tcW w:w="3590" w:type="dxa"/>
                  <w:noWrap w:val="0"/>
                  <w:vAlign w:val="center"/>
                </w:tcPr>
                <w:p w14:paraId="2ED7D6BD">
                  <w:pPr>
                    <w:pStyle w:val="26"/>
                    <w:pageBreakBefore w:val="0"/>
                    <w:kinsoku/>
                    <w:wordWrap/>
                    <w:topLinePunct w:val="0"/>
                    <w:bidi w:val="0"/>
                    <w:rPr>
                      <w:rFonts w:hint="eastAsia" w:eastAsia="宋体"/>
                      <w:lang w:val="en-US" w:eastAsia="zh-CN"/>
                    </w:rPr>
                  </w:pPr>
                  <w:r>
                    <w:rPr>
                      <w:rFonts w:hint="eastAsia"/>
                      <w:lang w:val="en-US" w:eastAsia="zh-CN"/>
                    </w:rPr>
                    <w:t>/</w:t>
                  </w:r>
                </w:p>
              </w:tc>
            </w:tr>
          </w:tbl>
          <w:p w14:paraId="784F2FF0">
            <w:pPr>
              <w:pageBreakBefore w:val="0"/>
              <w:kinsoku/>
              <w:wordWrap/>
              <w:topLinePunct w:val="0"/>
              <w:bidi w:val="0"/>
              <w:spacing w:line="360" w:lineRule="auto"/>
              <w:ind w:firstLine="480" w:firstLineChars="200"/>
              <w:rPr>
                <w:rFonts w:hint="eastAsia"/>
                <w:bCs/>
                <w:sz w:val="24"/>
              </w:rPr>
            </w:pPr>
            <w:r>
              <w:rPr>
                <w:rFonts w:hint="eastAsia"/>
                <w:bCs/>
                <w:sz w:val="24"/>
              </w:rPr>
              <w:t>计算结果如下：</w:t>
            </w:r>
          </w:p>
          <w:p w14:paraId="2547EB3E">
            <w:pPr>
              <w:pStyle w:val="25"/>
              <w:pageBreakBefore w:val="0"/>
              <w:kinsoku/>
              <w:wordWrap/>
              <w:topLinePunct w:val="0"/>
              <w:bidi w:val="0"/>
              <w:rPr>
                <w:rFonts w:hint="default" w:ascii="Times New Roman" w:hAnsi="Times New Roman" w:cs="Times New Roman"/>
              </w:rPr>
            </w:pPr>
            <w:r>
              <w:t>表4-1</w:t>
            </w:r>
            <w:r>
              <w:rPr>
                <w:rFonts w:hint="eastAsia"/>
                <w:lang w:val="en-US" w:eastAsia="zh-CN"/>
              </w:rPr>
              <w:t>0</w:t>
            </w:r>
            <w:r>
              <w:t xml:space="preserve">  </w:t>
            </w:r>
            <w:r>
              <w:rPr>
                <w:rFonts w:hint="eastAsia"/>
                <w:lang w:val="en-US" w:eastAsia="zh-CN"/>
              </w:rPr>
              <w:t>氢气</w:t>
            </w:r>
            <w:r>
              <w:t>事故影响半径计算结果</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1010"/>
              <w:gridCol w:w="1482"/>
              <w:gridCol w:w="827"/>
              <w:gridCol w:w="1959"/>
              <w:gridCol w:w="3112"/>
            </w:tblGrid>
            <w:tr w14:paraId="77CAE4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61249C99">
                  <w:pPr>
                    <w:pStyle w:val="26"/>
                    <w:pageBreakBefore w:val="0"/>
                    <w:kinsoku/>
                    <w:wordWrap/>
                    <w:topLinePunct w:val="0"/>
                    <w:bidi w:val="0"/>
                    <w:rPr>
                      <w:rFonts w:hint="default"/>
                      <w:b/>
                      <w:bCs/>
                    </w:rPr>
                  </w:pPr>
                  <w:r>
                    <w:rPr>
                      <w:b/>
                      <w:bCs/>
                    </w:rPr>
                    <w:t>损害等级</w:t>
                  </w:r>
                </w:p>
              </w:tc>
              <w:tc>
                <w:tcPr>
                  <w:tcW w:w="2309" w:type="dxa"/>
                  <w:gridSpan w:val="2"/>
                  <w:noWrap w:val="0"/>
                  <w:vAlign w:val="center"/>
                </w:tcPr>
                <w:p w14:paraId="5813AFE7">
                  <w:pPr>
                    <w:pStyle w:val="26"/>
                    <w:pageBreakBefore w:val="0"/>
                    <w:kinsoku/>
                    <w:wordWrap/>
                    <w:topLinePunct w:val="0"/>
                    <w:bidi w:val="0"/>
                    <w:rPr>
                      <w:rFonts w:hint="default"/>
                      <w:b/>
                      <w:bCs/>
                    </w:rPr>
                  </w:pPr>
                  <w:r>
                    <w:rPr>
                      <w:b/>
                      <w:bCs/>
                    </w:rPr>
                    <w:t>影响半径（m）</w:t>
                  </w:r>
                </w:p>
              </w:tc>
              <w:tc>
                <w:tcPr>
                  <w:tcW w:w="1959" w:type="dxa"/>
                  <w:noWrap w:val="0"/>
                  <w:vAlign w:val="center"/>
                </w:tcPr>
                <w:p w14:paraId="53CCEA4D">
                  <w:pPr>
                    <w:pStyle w:val="26"/>
                    <w:pageBreakBefore w:val="0"/>
                    <w:kinsoku/>
                    <w:wordWrap/>
                    <w:topLinePunct w:val="0"/>
                    <w:bidi w:val="0"/>
                    <w:rPr>
                      <w:rFonts w:hint="default"/>
                      <w:b/>
                      <w:bCs/>
                    </w:rPr>
                  </w:pPr>
                  <w:r>
                    <w:rPr>
                      <w:b/>
                      <w:bCs/>
                    </w:rPr>
                    <w:t>设备损坏</w:t>
                  </w:r>
                </w:p>
              </w:tc>
              <w:tc>
                <w:tcPr>
                  <w:tcW w:w="3112" w:type="dxa"/>
                  <w:noWrap w:val="0"/>
                  <w:vAlign w:val="center"/>
                </w:tcPr>
                <w:p w14:paraId="25BBB875">
                  <w:pPr>
                    <w:pStyle w:val="26"/>
                    <w:pageBreakBefore w:val="0"/>
                    <w:kinsoku/>
                    <w:wordWrap/>
                    <w:topLinePunct w:val="0"/>
                    <w:bidi w:val="0"/>
                    <w:rPr>
                      <w:rFonts w:hint="default"/>
                      <w:b/>
                      <w:bCs/>
                    </w:rPr>
                  </w:pPr>
                  <w:r>
                    <w:rPr>
                      <w:b/>
                      <w:bCs/>
                    </w:rPr>
                    <w:t>人员伤害</w:t>
                  </w:r>
                </w:p>
              </w:tc>
            </w:tr>
            <w:tr w14:paraId="28C2C5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40584785">
                  <w:pPr>
                    <w:pStyle w:val="26"/>
                    <w:pageBreakBefore w:val="0"/>
                    <w:kinsoku/>
                    <w:wordWrap/>
                    <w:topLinePunct w:val="0"/>
                    <w:bidi w:val="0"/>
                    <w:rPr>
                      <w:rFonts w:hint="default"/>
                    </w:rPr>
                  </w:pPr>
                  <w:r>
                    <w:t>1</w:t>
                  </w:r>
                </w:p>
              </w:tc>
              <w:tc>
                <w:tcPr>
                  <w:tcW w:w="1482" w:type="dxa"/>
                  <w:noWrap w:val="0"/>
                  <w:vAlign w:val="center"/>
                </w:tcPr>
                <w:p w14:paraId="3DCCA699">
                  <w:pPr>
                    <w:pStyle w:val="26"/>
                    <w:pageBreakBefore w:val="0"/>
                    <w:kinsoku/>
                    <w:wordWrap/>
                    <w:topLinePunct w:val="0"/>
                    <w:bidi w:val="0"/>
                    <w:rPr>
                      <w:rFonts w:hint="default"/>
                    </w:rPr>
                  </w:pPr>
                  <w:r>
                    <w:t>死亡半径</w:t>
                  </w:r>
                </w:p>
              </w:tc>
              <w:tc>
                <w:tcPr>
                  <w:tcW w:w="827" w:type="dxa"/>
                  <w:noWrap w:val="0"/>
                  <w:vAlign w:val="center"/>
                </w:tcPr>
                <w:p w14:paraId="3C7462C8">
                  <w:pPr>
                    <w:pStyle w:val="26"/>
                    <w:pageBreakBefore w:val="0"/>
                    <w:kinsoku/>
                    <w:wordWrap/>
                    <w:topLinePunct w:val="0"/>
                    <w:bidi w:val="0"/>
                    <w:rPr>
                      <w:rFonts w:hint="default" w:eastAsia="宋体"/>
                      <w:lang w:val="en-US" w:eastAsia="zh-CN"/>
                    </w:rPr>
                  </w:pPr>
                  <w:r>
                    <w:rPr>
                      <w:rFonts w:hint="eastAsia"/>
                      <w:lang w:val="en-US" w:eastAsia="zh-CN"/>
                    </w:rPr>
                    <w:t>5.257</w:t>
                  </w:r>
                </w:p>
              </w:tc>
              <w:tc>
                <w:tcPr>
                  <w:tcW w:w="1959" w:type="dxa"/>
                  <w:noWrap w:val="0"/>
                  <w:vAlign w:val="center"/>
                </w:tcPr>
                <w:p w14:paraId="6B2EB3EF">
                  <w:pPr>
                    <w:pStyle w:val="26"/>
                    <w:pageBreakBefore w:val="0"/>
                    <w:kinsoku/>
                    <w:wordWrap/>
                    <w:topLinePunct w:val="0"/>
                    <w:bidi w:val="0"/>
                    <w:rPr>
                      <w:rFonts w:hint="default"/>
                    </w:rPr>
                  </w:pPr>
                  <w:r>
                    <w:rPr>
                      <w:rFonts w:hint="default"/>
                    </w:rPr>
                    <w:t>重创建筑物和设备</w:t>
                  </w:r>
                </w:p>
              </w:tc>
              <w:tc>
                <w:tcPr>
                  <w:tcW w:w="3112" w:type="dxa"/>
                  <w:noWrap w:val="0"/>
                  <w:vAlign w:val="center"/>
                </w:tcPr>
                <w:p w14:paraId="3C298B0B">
                  <w:pPr>
                    <w:pStyle w:val="26"/>
                    <w:pageBreakBefore w:val="0"/>
                    <w:kinsoku/>
                    <w:wordWrap/>
                    <w:topLinePunct w:val="0"/>
                    <w:bidi w:val="0"/>
                  </w:pPr>
                  <w:r>
                    <w:rPr>
                      <w:rFonts w:hint="default"/>
                    </w:rPr>
                    <w:t>1%死亡，肺部伤害＞50%</w:t>
                  </w:r>
                  <w:r>
                    <w:t>，</w:t>
                  </w:r>
                </w:p>
                <w:p w14:paraId="2EF7D165">
                  <w:pPr>
                    <w:pStyle w:val="26"/>
                    <w:pageBreakBefore w:val="0"/>
                    <w:kinsoku/>
                    <w:wordWrap/>
                    <w:topLinePunct w:val="0"/>
                    <w:bidi w:val="0"/>
                    <w:rPr>
                      <w:rFonts w:hint="default"/>
                    </w:rPr>
                  </w:pPr>
                  <w:r>
                    <w:rPr>
                      <w:rFonts w:hint="default"/>
                    </w:rPr>
                    <w:t>耳膜破裂＞50%</w:t>
                  </w:r>
                  <w:r>
                    <w:t>，</w:t>
                  </w:r>
                  <w:r>
                    <w:rPr>
                      <w:rFonts w:hint="default"/>
                    </w:rPr>
                    <w:t>被碎片击伤</w:t>
                  </w:r>
                </w:p>
              </w:tc>
            </w:tr>
            <w:tr w14:paraId="4C0CD2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33878ED9">
                  <w:pPr>
                    <w:pStyle w:val="26"/>
                    <w:pageBreakBefore w:val="0"/>
                    <w:kinsoku/>
                    <w:wordWrap/>
                    <w:topLinePunct w:val="0"/>
                    <w:bidi w:val="0"/>
                    <w:rPr>
                      <w:rFonts w:hint="default"/>
                    </w:rPr>
                  </w:pPr>
                  <w:r>
                    <w:t>2</w:t>
                  </w:r>
                </w:p>
              </w:tc>
              <w:tc>
                <w:tcPr>
                  <w:tcW w:w="1482" w:type="dxa"/>
                  <w:noWrap w:val="0"/>
                  <w:vAlign w:val="center"/>
                </w:tcPr>
                <w:p w14:paraId="25E7AD42">
                  <w:pPr>
                    <w:pStyle w:val="26"/>
                    <w:pageBreakBefore w:val="0"/>
                    <w:kinsoku/>
                    <w:wordWrap/>
                    <w:topLinePunct w:val="0"/>
                    <w:bidi w:val="0"/>
                    <w:rPr>
                      <w:rFonts w:hint="default"/>
                    </w:rPr>
                  </w:pPr>
                  <w:r>
                    <w:t>重伤半径</w:t>
                  </w:r>
                </w:p>
              </w:tc>
              <w:tc>
                <w:tcPr>
                  <w:tcW w:w="827" w:type="dxa"/>
                  <w:noWrap w:val="0"/>
                  <w:vAlign w:val="center"/>
                </w:tcPr>
                <w:p w14:paraId="4608EE93">
                  <w:pPr>
                    <w:pStyle w:val="26"/>
                    <w:pageBreakBefore w:val="0"/>
                    <w:kinsoku/>
                    <w:wordWrap/>
                    <w:topLinePunct w:val="0"/>
                    <w:bidi w:val="0"/>
                    <w:rPr>
                      <w:rFonts w:hint="default" w:eastAsia="宋体"/>
                      <w:lang w:val="en-US" w:eastAsia="zh-CN"/>
                    </w:rPr>
                  </w:pPr>
                  <w:r>
                    <w:rPr>
                      <w:rFonts w:hint="eastAsia"/>
                      <w:lang w:val="en-US" w:eastAsia="zh-CN"/>
                    </w:rPr>
                    <w:t>10.516</w:t>
                  </w:r>
                </w:p>
              </w:tc>
              <w:tc>
                <w:tcPr>
                  <w:tcW w:w="1959" w:type="dxa"/>
                  <w:noWrap w:val="0"/>
                  <w:vAlign w:val="center"/>
                </w:tcPr>
                <w:p w14:paraId="418EAEEA">
                  <w:pPr>
                    <w:pStyle w:val="26"/>
                    <w:pageBreakBefore w:val="0"/>
                    <w:kinsoku/>
                    <w:wordWrap/>
                    <w:topLinePunct w:val="0"/>
                    <w:bidi w:val="0"/>
                    <w:rPr>
                      <w:rFonts w:hint="default"/>
                    </w:rPr>
                  </w:pPr>
                  <w:r>
                    <w:rPr>
                      <w:rFonts w:hint="default"/>
                    </w:rPr>
                    <w:t>损坏建筑物外表，</w:t>
                  </w:r>
                </w:p>
                <w:p w14:paraId="5BB349B9">
                  <w:pPr>
                    <w:pStyle w:val="26"/>
                    <w:pageBreakBefore w:val="0"/>
                    <w:kinsoku/>
                    <w:wordWrap/>
                    <w:topLinePunct w:val="0"/>
                    <w:bidi w:val="0"/>
                    <w:rPr>
                      <w:rFonts w:hint="default"/>
                    </w:rPr>
                  </w:pPr>
                  <w:r>
                    <w:rPr>
                      <w:rFonts w:hint="default"/>
                    </w:rPr>
                    <w:t>可修复性破坏</w:t>
                  </w:r>
                </w:p>
              </w:tc>
              <w:tc>
                <w:tcPr>
                  <w:tcW w:w="3112" w:type="dxa"/>
                  <w:noWrap w:val="0"/>
                  <w:vAlign w:val="center"/>
                </w:tcPr>
                <w:p w14:paraId="5823A2C5">
                  <w:pPr>
                    <w:pStyle w:val="26"/>
                    <w:pageBreakBefore w:val="0"/>
                    <w:kinsoku/>
                    <w:wordWrap/>
                    <w:topLinePunct w:val="0"/>
                    <w:bidi w:val="0"/>
                    <w:rPr>
                      <w:rFonts w:hint="default"/>
                    </w:rPr>
                  </w:pPr>
                  <w:r>
                    <w:rPr>
                      <w:rFonts w:hint="default"/>
                    </w:rPr>
                    <w:t>1%耳膜破裂</w:t>
                  </w:r>
                  <w:r>
                    <w:t>，</w:t>
                  </w:r>
                  <w:r>
                    <w:rPr>
                      <w:rFonts w:hint="default"/>
                    </w:rPr>
                    <w:t>1%被碎片击伤</w:t>
                  </w:r>
                </w:p>
              </w:tc>
            </w:tr>
            <w:tr w14:paraId="1578CB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645C3143">
                  <w:pPr>
                    <w:pStyle w:val="26"/>
                    <w:pageBreakBefore w:val="0"/>
                    <w:kinsoku/>
                    <w:wordWrap/>
                    <w:topLinePunct w:val="0"/>
                    <w:bidi w:val="0"/>
                    <w:rPr>
                      <w:rFonts w:hint="default"/>
                    </w:rPr>
                  </w:pPr>
                  <w:r>
                    <w:t>3</w:t>
                  </w:r>
                </w:p>
              </w:tc>
              <w:tc>
                <w:tcPr>
                  <w:tcW w:w="1482" w:type="dxa"/>
                  <w:noWrap w:val="0"/>
                  <w:vAlign w:val="center"/>
                </w:tcPr>
                <w:p w14:paraId="19EDC2AE">
                  <w:pPr>
                    <w:pStyle w:val="26"/>
                    <w:pageBreakBefore w:val="0"/>
                    <w:kinsoku/>
                    <w:wordWrap/>
                    <w:topLinePunct w:val="0"/>
                    <w:bidi w:val="0"/>
                    <w:rPr>
                      <w:rFonts w:hint="default"/>
                    </w:rPr>
                  </w:pPr>
                  <w:r>
                    <w:t>轻伤半径</w:t>
                  </w:r>
                </w:p>
              </w:tc>
              <w:tc>
                <w:tcPr>
                  <w:tcW w:w="827" w:type="dxa"/>
                  <w:noWrap w:val="0"/>
                  <w:vAlign w:val="center"/>
                </w:tcPr>
                <w:p w14:paraId="62134E51">
                  <w:pPr>
                    <w:pStyle w:val="26"/>
                    <w:pageBreakBefore w:val="0"/>
                    <w:kinsoku/>
                    <w:wordWrap/>
                    <w:topLinePunct w:val="0"/>
                    <w:bidi w:val="0"/>
                    <w:rPr>
                      <w:rFonts w:hint="default" w:eastAsia="宋体"/>
                      <w:lang w:val="en-US" w:eastAsia="zh-CN"/>
                    </w:rPr>
                  </w:pPr>
                  <w:r>
                    <w:rPr>
                      <w:rFonts w:hint="eastAsia"/>
                      <w:lang w:val="en-US" w:eastAsia="zh-CN"/>
                    </w:rPr>
                    <w:t>26.290</w:t>
                  </w:r>
                </w:p>
              </w:tc>
              <w:tc>
                <w:tcPr>
                  <w:tcW w:w="1959" w:type="dxa"/>
                  <w:noWrap w:val="0"/>
                  <w:vAlign w:val="center"/>
                </w:tcPr>
                <w:p w14:paraId="031EEC00">
                  <w:pPr>
                    <w:pStyle w:val="26"/>
                    <w:pageBreakBefore w:val="0"/>
                    <w:kinsoku/>
                    <w:wordWrap/>
                    <w:topLinePunct w:val="0"/>
                    <w:bidi w:val="0"/>
                    <w:rPr>
                      <w:rFonts w:hint="default"/>
                    </w:rPr>
                  </w:pPr>
                  <w:r>
                    <w:rPr>
                      <w:rFonts w:hint="default"/>
                    </w:rPr>
                    <w:t>玻璃破碎</w:t>
                  </w:r>
                </w:p>
              </w:tc>
              <w:tc>
                <w:tcPr>
                  <w:tcW w:w="3112" w:type="dxa"/>
                  <w:noWrap w:val="0"/>
                  <w:vAlign w:val="center"/>
                </w:tcPr>
                <w:p w14:paraId="71BDD01D">
                  <w:pPr>
                    <w:pStyle w:val="26"/>
                    <w:pageBreakBefore w:val="0"/>
                    <w:kinsoku/>
                    <w:wordWrap/>
                    <w:topLinePunct w:val="0"/>
                    <w:bidi w:val="0"/>
                    <w:rPr>
                      <w:rFonts w:hint="default"/>
                    </w:rPr>
                  </w:pPr>
                  <w:r>
                    <w:rPr>
                      <w:rFonts w:hint="default"/>
                    </w:rPr>
                    <w:t>被碎玻璃击伤</w:t>
                  </w:r>
                </w:p>
              </w:tc>
            </w:tr>
            <w:tr w14:paraId="3223B1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468D16AD">
                  <w:pPr>
                    <w:pStyle w:val="26"/>
                    <w:pageBreakBefore w:val="0"/>
                    <w:kinsoku/>
                    <w:wordWrap/>
                    <w:topLinePunct w:val="0"/>
                    <w:bidi w:val="0"/>
                    <w:rPr>
                      <w:rFonts w:hint="default"/>
                    </w:rPr>
                  </w:pPr>
                  <w:r>
                    <w:t>4</w:t>
                  </w:r>
                </w:p>
              </w:tc>
              <w:tc>
                <w:tcPr>
                  <w:tcW w:w="1482" w:type="dxa"/>
                  <w:noWrap w:val="0"/>
                  <w:vAlign w:val="center"/>
                </w:tcPr>
                <w:p w14:paraId="2CFA037B">
                  <w:pPr>
                    <w:pStyle w:val="26"/>
                    <w:pageBreakBefore w:val="0"/>
                    <w:kinsoku/>
                    <w:wordWrap/>
                    <w:topLinePunct w:val="0"/>
                    <w:bidi w:val="0"/>
                    <w:rPr>
                      <w:rFonts w:hint="default"/>
                    </w:rPr>
                  </w:pPr>
                  <w:r>
                    <w:t>财产损失半径</w:t>
                  </w:r>
                </w:p>
              </w:tc>
              <w:tc>
                <w:tcPr>
                  <w:tcW w:w="827" w:type="dxa"/>
                  <w:noWrap w:val="0"/>
                  <w:vAlign w:val="center"/>
                </w:tcPr>
                <w:p w14:paraId="604F2DE5">
                  <w:pPr>
                    <w:pStyle w:val="26"/>
                    <w:pageBreakBefore w:val="0"/>
                    <w:kinsoku/>
                    <w:wordWrap/>
                    <w:topLinePunct w:val="0"/>
                    <w:bidi w:val="0"/>
                    <w:rPr>
                      <w:rFonts w:hint="default" w:eastAsia="宋体"/>
                      <w:lang w:val="en-US" w:eastAsia="zh-CN"/>
                    </w:rPr>
                  </w:pPr>
                  <w:r>
                    <w:rPr>
                      <w:rFonts w:hint="eastAsia"/>
                      <w:lang w:val="en-US" w:eastAsia="zh-CN"/>
                    </w:rPr>
                    <w:t>70.106</w:t>
                  </w:r>
                </w:p>
              </w:tc>
              <w:tc>
                <w:tcPr>
                  <w:tcW w:w="1959" w:type="dxa"/>
                  <w:noWrap w:val="0"/>
                  <w:vAlign w:val="center"/>
                </w:tcPr>
                <w:p w14:paraId="6770A239">
                  <w:pPr>
                    <w:pStyle w:val="26"/>
                    <w:pageBreakBefore w:val="0"/>
                    <w:kinsoku/>
                    <w:wordWrap/>
                    <w:topLinePunct w:val="0"/>
                    <w:bidi w:val="0"/>
                    <w:rPr>
                      <w:rFonts w:hint="default"/>
                    </w:rPr>
                  </w:pPr>
                  <w:r>
                    <w:t>10%玻璃破碎</w:t>
                  </w:r>
                </w:p>
              </w:tc>
              <w:tc>
                <w:tcPr>
                  <w:tcW w:w="3112" w:type="dxa"/>
                  <w:noWrap w:val="0"/>
                  <w:vAlign w:val="center"/>
                </w:tcPr>
                <w:p w14:paraId="719D8494">
                  <w:pPr>
                    <w:pStyle w:val="26"/>
                    <w:pageBreakBefore w:val="0"/>
                    <w:kinsoku/>
                    <w:wordWrap/>
                    <w:topLinePunct w:val="0"/>
                    <w:bidi w:val="0"/>
                    <w:rPr>
                      <w:rFonts w:hint="eastAsia" w:eastAsia="宋体"/>
                      <w:lang w:val="en-US" w:eastAsia="zh-CN"/>
                    </w:rPr>
                  </w:pPr>
                  <w:r>
                    <w:rPr>
                      <w:rFonts w:hint="eastAsia"/>
                      <w:lang w:val="en-US" w:eastAsia="zh-CN"/>
                    </w:rPr>
                    <w:t>/</w:t>
                  </w:r>
                </w:p>
              </w:tc>
            </w:tr>
          </w:tbl>
          <w:p w14:paraId="24256B6C">
            <w:pPr>
              <w:pStyle w:val="25"/>
              <w:pageBreakBefore w:val="0"/>
              <w:kinsoku/>
              <w:wordWrap/>
              <w:topLinePunct w:val="0"/>
              <w:bidi w:val="0"/>
              <w:rPr>
                <w:rFonts w:hint="default" w:ascii="Times New Roman" w:hAnsi="Times New Roman" w:cs="Times New Roman"/>
              </w:rPr>
            </w:pPr>
            <w:r>
              <w:t xml:space="preserve">表4-11  </w:t>
            </w:r>
            <w:r>
              <w:rPr>
                <w:rFonts w:hint="eastAsia"/>
                <w:lang w:val="en-US" w:eastAsia="zh-CN"/>
              </w:rPr>
              <w:t>一氧化碳</w:t>
            </w:r>
            <w:r>
              <w:t>事故影响半径计算结果</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1010"/>
              <w:gridCol w:w="1482"/>
              <w:gridCol w:w="827"/>
              <w:gridCol w:w="1959"/>
              <w:gridCol w:w="3112"/>
            </w:tblGrid>
            <w:tr w14:paraId="0FFC9A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30DCC248">
                  <w:pPr>
                    <w:pStyle w:val="26"/>
                    <w:pageBreakBefore w:val="0"/>
                    <w:kinsoku/>
                    <w:wordWrap/>
                    <w:topLinePunct w:val="0"/>
                    <w:bidi w:val="0"/>
                    <w:rPr>
                      <w:rFonts w:hint="default"/>
                      <w:b/>
                      <w:bCs/>
                    </w:rPr>
                  </w:pPr>
                  <w:r>
                    <w:rPr>
                      <w:b/>
                      <w:bCs/>
                    </w:rPr>
                    <w:t>损害等级</w:t>
                  </w:r>
                </w:p>
              </w:tc>
              <w:tc>
                <w:tcPr>
                  <w:tcW w:w="2309" w:type="dxa"/>
                  <w:gridSpan w:val="2"/>
                  <w:noWrap w:val="0"/>
                  <w:vAlign w:val="center"/>
                </w:tcPr>
                <w:p w14:paraId="57C1DE16">
                  <w:pPr>
                    <w:pStyle w:val="26"/>
                    <w:pageBreakBefore w:val="0"/>
                    <w:kinsoku/>
                    <w:wordWrap/>
                    <w:topLinePunct w:val="0"/>
                    <w:bidi w:val="0"/>
                    <w:rPr>
                      <w:rFonts w:hint="default"/>
                      <w:b/>
                      <w:bCs/>
                    </w:rPr>
                  </w:pPr>
                  <w:r>
                    <w:rPr>
                      <w:b/>
                      <w:bCs/>
                    </w:rPr>
                    <w:t>影响半径（m）</w:t>
                  </w:r>
                </w:p>
              </w:tc>
              <w:tc>
                <w:tcPr>
                  <w:tcW w:w="1959" w:type="dxa"/>
                  <w:noWrap w:val="0"/>
                  <w:vAlign w:val="center"/>
                </w:tcPr>
                <w:p w14:paraId="036E643A">
                  <w:pPr>
                    <w:pStyle w:val="26"/>
                    <w:pageBreakBefore w:val="0"/>
                    <w:kinsoku/>
                    <w:wordWrap/>
                    <w:topLinePunct w:val="0"/>
                    <w:bidi w:val="0"/>
                    <w:rPr>
                      <w:rFonts w:hint="default"/>
                      <w:b/>
                      <w:bCs/>
                    </w:rPr>
                  </w:pPr>
                  <w:r>
                    <w:rPr>
                      <w:b/>
                      <w:bCs/>
                    </w:rPr>
                    <w:t>设备损坏</w:t>
                  </w:r>
                </w:p>
              </w:tc>
              <w:tc>
                <w:tcPr>
                  <w:tcW w:w="3112" w:type="dxa"/>
                  <w:noWrap w:val="0"/>
                  <w:vAlign w:val="center"/>
                </w:tcPr>
                <w:p w14:paraId="2C5CE342">
                  <w:pPr>
                    <w:pStyle w:val="26"/>
                    <w:pageBreakBefore w:val="0"/>
                    <w:kinsoku/>
                    <w:wordWrap/>
                    <w:topLinePunct w:val="0"/>
                    <w:bidi w:val="0"/>
                    <w:rPr>
                      <w:rFonts w:hint="default"/>
                      <w:b/>
                      <w:bCs/>
                    </w:rPr>
                  </w:pPr>
                  <w:r>
                    <w:rPr>
                      <w:b/>
                      <w:bCs/>
                    </w:rPr>
                    <w:t>人员伤害</w:t>
                  </w:r>
                </w:p>
              </w:tc>
            </w:tr>
            <w:tr w14:paraId="7160A5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77231B5B">
                  <w:pPr>
                    <w:pStyle w:val="26"/>
                    <w:pageBreakBefore w:val="0"/>
                    <w:kinsoku/>
                    <w:wordWrap/>
                    <w:topLinePunct w:val="0"/>
                    <w:bidi w:val="0"/>
                    <w:rPr>
                      <w:rFonts w:hint="default"/>
                    </w:rPr>
                  </w:pPr>
                  <w:r>
                    <w:t>1</w:t>
                  </w:r>
                </w:p>
              </w:tc>
              <w:tc>
                <w:tcPr>
                  <w:tcW w:w="1482" w:type="dxa"/>
                  <w:noWrap w:val="0"/>
                  <w:vAlign w:val="center"/>
                </w:tcPr>
                <w:p w14:paraId="2A1ED63D">
                  <w:pPr>
                    <w:pStyle w:val="26"/>
                    <w:pageBreakBefore w:val="0"/>
                    <w:kinsoku/>
                    <w:wordWrap/>
                    <w:topLinePunct w:val="0"/>
                    <w:bidi w:val="0"/>
                    <w:rPr>
                      <w:rFonts w:hint="default"/>
                    </w:rPr>
                  </w:pPr>
                  <w:r>
                    <w:t>死亡半径</w:t>
                  </w:r>
                </w:p>
              </w:tc>
              <w:tc>
                <w:tcPr>
                  <w:tcW w:w="827" w:type="dxa"/>
                  <w:noWrap w:val="0"/>
                  <w:vAlign w:val="center"/>
                </w:tcPr>
                <w:p w14:paraId="6CA3AC2B">
                  <w:pPr>
                    <w:pStyle w:val="26"/>
                    <w:pageBreakBefore w:val="0"/>
                    <w:kinsoku/>
                    <w:wordWrap/>
                    <w:topLinePunct w:val="0"/>
                    <w:bidi w:val="0"/>
                    <w:rPr>
                      <w:rFonts w:hint="default" w:eastAsia="宋体"/>
                      <w:lang w:val="en-US" w:eastAsia="zh-CN"/>
                    </w:rPr>
                  </w:pPr>
                  <w:r>
                    <w:rPr>
                      <w:rFonts w:hint="eastAsia"/>
                      <w:lang w:val="en-US" w:eastAsia="zh-CN"/>
                    </w:rPr>
                    <w:t>1.885</w:t>
                  </w:r>
                </w:p>
              </w:tc>
              <w:tc>
                <w:tcPr>
                  <w:tcW w:w="1959" w:type="dxa"/>
                  <w:noWrap w:val="0"/>
                  <w:vAlign w:val="center"/>
                </w:tcPr>
                <w:p w14:paraId="4F518495">
                  <w:pPr>
                    <w:pStyle w:val="26"/>
                    <w:pageBreakBefore w:val="0"/>
                    <w:kinsoku/>
                    <w:wordWrap/>
                    <w:topLinePunct w:val="0"/>
                    <w:bidi w:val="0"/>
                    <w:rPr>
                      <w:rFonts w:hint="default"/>
                    </w:rPr>
                  </w:pPr>
                  <w:r>
                    <w:rPr>
                      <w:rFonts w:hint="default"/>
                    </w:rPr>
                    <w:t>重创建筑物和设备</w:t>
                  </w:r>
                </w:p>
              </w:tc>
              <w:tc>
                <w:tcPr>
                  <w:tcW w:w="3112" w:type="dxa"/>
                  <w:noWrap w:val="0"/>
                  <w:vAlign w:val="center"/>
                </w:tcPr>
                <w:p w14:paraId="5B3D1A7E">
                  <w:pPr>
                    <w:pStyle w:val="26"/>
                    <w:pageBreakBefore w:val="0"/>
                    <w:kinsoku/>
                    <w:wordWrap/>
                    <w:topLinePunct w:val="0"/>
                    <w:bidi w:val="0"/>
                  </w:pPr>
                  <w:r>
                    <w:rPr>
                      <w:rFonts w:hint="default"/>
                    </w:rPr>
                    <w:t>1%死亡，肺部伤害＞50%</w:t>
                  </w:r>
                  <w:r>
                    <w:t>，</w:t>
                  </w:r>
                </w:p>
                <w:p w14:paraId="715DAF6C">
                  <w:pPr>
                    <w:pStyle w:val="26"/>
                    <w:pageBreakBefore w:val="0"/>
                    <w:kinsoku/>
                    <w:wordWrap/>
                    <w:topLinePunct w:val="0"/>
                    <w:bidi w:val="0"/>
                    <w:rPr>
                      <w:rFonts w:hint="default"/>
                    </w:rPr>
                  </w:pPr>
                  <w:r>
                    <w:rPr>
                      <w:rFonts w:hint="default"/>
                    </w:rPr>
                    <w:t>耳膜破裂＞50%</w:t>
                  </w:r>
                  <w:r>
                    <w:t>，</w:t>
                  </w:r>
                  <w:r>
                    <w:rPr>
                      <w:rFonts w:hint="default"/>
                    </w:rPr>
                    <w:t>被碎片击伤</w:t>
                  </w:r>
                </w:p>
              </w:tc>
            </w:tr>
            <w:tr w14:paraId="2D8641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6533EFDE">
                  <w:pPr>
                    <w:pStyle w:val="26"/>
                    <w:pageBreakBefore w:val="0"/>
                    <w:kinsoku/>
                    <w:wordWrap/>
                    <w:topLinePunct w:val="0"/>
                    <w:bidi w:val="0"/>
                    <w:rPr>
                      <w:rFonts w:hint="default"/>
                    </w:rPr>
                  </w:pPr>
                  <w:r>
                    <w:t>2</w:t>
                  </w:r>
                </w:p>
              </w:tc>
              <w:tc>
                <w:tcPr>
                  <w:tcW w:w="1482" w:type="dxa"/>
                  <w:noWrap w:val="0"/>
                  <w:vAlign w:val="center"/>
                </w:tcPr>
                <w:p w14:paraId="33CACA26">
                  <w:pPr>
                    <w:pStyle w:val="26"/>
                    <w:pageBreakBefore w:val="0"/>
                    <w:kinsoku/>
                    <w:wordWrap/>
                    <w:topLinePunct w:val="0"/>
                    <w:bidi w:val="0"/>
                    <w:rPr>
                      <w:rFonts w:hint="default"/>
                    </w:rPr>
                  </w:pPr>
                  <w:r>
                    <w:t>重伤半径</w:t>
                  </w:r>
                </w:p>
              </w:tc>
              <w:tc>
                <w:tcPr>
                  <w:tcW w:w="827" w:type="dxa"/>
                  <w:noWrap w:val="0"/>
                  <w:vAlign w:val="center"/>
                </w:tcPr>
                <w:p w14:paraId="210B4784">
                  <w:pPr>
                    <w:pStyle w:val="26"/>
                    <w:pageBreakBefore w:val="0"/>
                    <w:kinsoku/>
                    <w:wordWrap/>
                    <w:topLinePunct w:val="0"/>
                    <w:bidi w:val="0"/>
                    <w:rPr>
                      <w:rFonts w:hint="default" w:eastAsia="宋体"/>
                      <w:lang w:val="en-US" w:eastAsia="zh-CN"/>
                    </w:rPr>
                  </w:pPr>
                  <w:r>
                    <w:rPr>
                      <w:rFonts w:hint="eastAsia" w:eastAsia="宋体"/>
                      <w:lang w:val="en-US" w:eastAsia="zh-CN"/>
                    </w:rPr>
                    <w:t>3.769</w:t>
                  </w:r>
                </w:p>
              </w:tc>
              <w:tc>
                <w:tcPr>
                  <w:tcW w:w="1959" w:type="dxa"/>
                  <w:noWrap w:val="0"/>
                  <w:vAlign w:val="center"/>
                </w:tcPr>
                <w:p w14:paraId="290E2D6F">
                  <w:pPr>
                    <w:pStyle w:val="26"/>
                    <w:pageBreakBefore w:val="0"/>
                    <w:kinsoku/>
                    <w:wordWrap/>
                    <w:topLinePunct w:val="0"/>
                    <w:bidi w:val="0"/>
                    <w:rPr>
                      <w:rFonts w:hint="default"/>
                    </w:rPr>
                  </w:pPr>
                  <w:r>
                    <w:rPr>
                      <w:rFonts w:hint="default"/>
                    </w:rPr>
                    <w:t>损坏建筑物外表，</w:t>
                  </w:r>
                </w:p>
                <w:p w14:paraId="561982DF">
                  <w:pPr>
                    <w:pStyle w:val="26"/>
                    <w:pageBreakBefore w:val="0"/>
                    <w:kinsoku/>
                    <w:wordWrap/>
                    <w:topLinePunct w:val="0"/>
                    <w:bidi w:val="0"/>
                    <w:rPr>
                      <w:rFonts w:hint="default"/>
                    </w:rPr>
                  </w:pPr>
                  <w:r>
                    <w:rPr>
                      <w:rFonts w:hint="default"/>
                    </w:rPr>
                    <w:t>可修复性破坏</w:t>
                  </w:r>
                </w:p>
              </w:tc>
              <w:tc>
                <w:tcPr>
                  <w:tcW w:w="3112" w:type="dxa"/>
                  <w:noWrap w:val="0"/>
                  <w:vAlign w:val="center"/>
                </w:tcPr>
                <w:p w14:paraId="55722CE1">
                  <w:pPr>
                    <w:pStyle w:val="26"/>
                    <w:pageBreakBefore w:val="0"/>
                    <w:kinsoku/>
                    <w:wordWrap/>
                    <w:topLinePunct w:val="0"/>
                    <w:bidi w:val="0"/>
                    <w:rPr>
                      <w:rFonts w:hint="default"/>
                    </w:rPr>
                  </w:pPr>
                  <w:r>
                    <w:rPr>
                      <w:rFonts w:hint="default"/>
                    </w:rPr>
                    <w:t>1%耳膜破裂</w:t>
                  </w:r>
                  <w:r>
                    <w:t>，</w:t>
                  </w:r>
                  <w:r>
                    <w:rPr>
                      <w:rFonts w:hint="default"/>
                    </w:rPr>
                    <w:t>1%被碎片击伤</w:t>
                  </w:r>
                </w:p>
              </w:tc>
            </w:tr>
            <w:tr w14:paraId="547A2B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3FA9B8B1">
                  <w:pPr>
                    <w:pStyle w:val="26"/>
                    <w:pageBreakBefore w:val="0"/>
                    <w:kinsoku/>
                    <w:wordWrap/>
                    <w:topLinePunct w:val="0"/>
                    <w:bidi w:val="0"/>
                    <w:rPr>
                      <w:rFonts w:hint="default"/>
                    </w:rPr>
                  </w:pPr>
                  <w:r>
                    <w:t>3</w:t>
                  </w:r>
                </w:p>
              </w:tc>
              <w:tc>
                <w:tcPr>
                  <w:tcW w:w="1482" w:type="dxa"/>
                  <w:noWrap w:val="0"/>
                  <w:vAlign w:val="center"/>
                </w:tcPr>
                <w:p w14:paraId="430AE9E6">
                  <w:pPr>
                    <w:pStyle w:val="26"/>
                    <w:pageBreakBefore w:val="0"/>
                    <w:kinsoku/>
                    <w:wordWrap/>
                    <w:topLinePunct w:val="0"/>
                    <w:bidi w:val="0"/>
                    <w:rPr>
                      <w:rFonts w:hint="default"/>
                    </w:rPr>
                  </w:pPr>
                  <w:r>
                    <w:t>轻伤半径</w:t>
                  </w:r>
                </w:p>
              </w:tc>
              <w:tc>
                <w:tcPr>
                  <w:tcW w:w="827" w:type="dxa"/>
                  <w:noWrap w:val="0"/>
                  <w:vAlign w:val="center"/>
                </w:tcPr>
                <w:p w14:paraId="543220F2">
                  <w:pPr>
                    <w:pStyle w:val="26"/>
                    <w:pageBreakBefore w:val="0"/>
                    <w:kinsoku/>
                    <w:wordWrap/>
                    <w:topLinePunct w:val="0"/>
                    <w:bidi w:val="0"/>
                    <w:rPr>
                      <w:rFonts w:hint="default" w:eastAsia="宋体"/>
                      <w:lang w:val="en-US" w:eastAsia="zh-CN"/>
                    </w:rPr>
                  </w:pPr>
                  <w:r>
                    <w:rPr>
                      <w:rFonts w:hint="eastAsia" w:eastAsia="宋体"/>
                      <w:lang w:val="en-US" w:eastAsia="zh-CN"/>
                    </w:rPr>
                    <w:t>9.424</w:t>
                  </w:r>
                </w:p>
              </w:tc>
              <w:tc>
                <w:tcPr>
                  <w:tcW w:w="1959" w:type="dxa"/>
                  <w:noWrap w:val="0"/>
                  <w:vAlign w:val="center"/>
                </w:tcPr>
                <w:p w14:paraId="2C2C9A26">
                  <w:pPr>
                    <w:pStyle w:val="26"/>
                    <w:pageBreakBefore w:val="0"/>
                    <w:kinsoku/>
                    <w:wordWrap/>
                    <w:topLinePunct w:val="0"/>
                    <w:bidi w:val="0"/>
                    <w:rPr>
                      <w:rFonts w:hint="default"/>
                    </w:rPr>
                  </w:pPr>
                  <w:r>
                    <w:rPr>
                      <w:rFonts w:hint="default"/>
                    </w:rPr>
                    <w:t>玻璃破碎</w:t>
                  </w:r>
                </w:p>
              </w:tc>
              <w:tc>
                <w:tcPr>
                  <w:tcW w:w="3112" w:type="dxa"/>
                  <w:noWrap w:val="0"/>
                  <w:vAlign w:val="center"/>
                </w:tcPr>
                <w:p w14:paraId="433AD97F">
                  <w:pPr>
                    <w:pStyle w:val="26"/>
                    <w:pageBreakBefore w:val="0"/>
                    <w:kinsoku/>
                    <w:wordWrap/>
                    <w:topLinePunct w:val="0"/>
                    <w:bidi w:val="0"/>
                    <w:rPr>
                      <w:rFonts w:hint="default"/>
                    </w:rPr>
                  </w:pPr>
                  <w:r>
                    <w:rPr>
                      <w:rFonts w:hint="default"/>
                    </w:rPr>
                    <w:t>被碎玻璃击伤</w:t>
                  </w:r>
                </w:p>
              </w:tc>
            </w:tr>
            <w:tr w14:paraId="4315CE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1C8805B3">
                  <w:pPr>
                    <w:pStyle w:val="26"/>
                    <w:pageBreakBefore w:val="0"/>
                    <w:kinsoku/>
                    <w:wordWrap/>
                    <w:topLinePunct w:val="0"/>
                    <w:bidi w:val="0"/>
                    <w:rPr>
                      <w:rFonts w:hint="default"/>
                    </w:rPr>
                  </w:pPr>
                  <w:r>
                    <w:t>4</w:t>
                  </w:r>
                </w:p>
              </w:tc>
              <w:tc>
                <w:tcPr>
                  <w:tcW w:w="1482" w:type="dxa"/>
                  <w:noWrap w:val="0"/>
                  <w:vAlign w:val="center"/>
                </w:tcPr>
                <w:p w14:paraId="1C8DEACA">
                  <w:pPr>
                    <w:pStyle w:val="26"/>
                    <w:pageBreakBefore w:val="0"/>
                    <w:kinsoku/>
                    <w:wordWrap/>
                    <w:topLinePunct w:val="0"/>
                    <w:bidi w:val="0"/>
                    <w:rPr>
                      <w:rFonts w:hint="default"/>
                    </w:rPr>
                  </w:pPr>
                  <w:r>
                    <w:t>财产损失半径</w:t>
                  </w:r>
                </w:p>
              </w:tc>
              <w:tc>
                <w:tcPr>
                  <w:tcW w:w="827" w:type="dxa"/>
                  <w:noWrap w:val="0"/>
                  <w:vAlign w:val="center"/>
                </w:tcPr>
                <w:p w14:paraId="517D6C45">
                  <w:pPr>
                    <w:pStyle w:val="26"/>
                    <w:pageBreakBefore w:val="0"/>
                    <w:kinsoku/>
                    <w:wordWrap/>
                    <w:topLinePunct w:val="0"/>
                    <w:bidi w:val="0"/>
                    <w:rPr>
                      <w:rFonts w:hint="default" w:eastAsia="宋体"/>
                      <w:lang w:val="en-US" w:eastAsia="zh-CN"/>
                    </w:rPr>
                  </w:pPr>
                  <w:r>
                    <w:rPr>
                      <w:rFonts w:hint="eastAsia" w:eastAsia="宋体"/>
                      <w:lang w:val="en-US" w:eastAsia="zh-CN"/>
                    </w:rPr>
                    <w:t>25.130</w:t>
                  </w:r>
                </w:p>
              </w:tc>
              <w:tc>
                <w:tcPr>
                  <w:tcW w:w="1959" w:type="dxa"/>
                  <w:noWrap w:val="0"/>
                  <w:vAlign w:val="center"/>
                </w:tcPr>
                <w:p w14:paraId="18066146">
                  <w:pPr>
                    <w:pStyle w:val="26"/>
                    <w:pageBreakBefore w:val="0"/>
                    <w:kinsoku/>
                    <w:wordWrap/>
                    <w:topLinePunct w:val="0"/>
                    <w:bidi w:val="0"/>
                    <w:rPr>
                      <w:rFonts w:hint="default"/>
                    </w:rPr>
                  </w:pPr>
                  <w:r>
                    <w:t>10%玻璃破碎</w:t>
                  </w:r>
                </w:p>
              </w:tc>
              <w:tc>
                <w:tcPr>
                  <w:tcW w:w="3112" w:type="dxa"/>
                  <w:noWrap w:val="0"/>
                  <w:vAlign w:val="center"/>
                </w:tcPr>
                <w:p w14:paraId="0EE5FB76">
                  <w:pPr>
                    <w:pStyle w:val="26"/>
                    <w:pageBreakBefore w:val="0"/>
                    <w:kinsoku/>
                    <w:wordWrap/>
                    <w:topLinePunct w:val="0"/>
                    <w:bidi w:val="0"/>
                    <w:rPr>
                      <w:rFonts w:hint="eastAsia" w:eastAsia="宋体"/>
                      <w:lang w:val="en-US" w:eastAsia="zh-CN"/>
                    </w:rPr>
                  </w:pPr>
                  <w:r>
                    <w:rPr>
                      <w:rFonts w:hint="eastAsia"/>
                      <w:lang w:val="en-US" w:eastAsia="zh-CN"/>
                    </w:rPr>
                    <w:t>/</w:t>
                  </w:r>
                </w:p>
              </w:tc>
            </w:tr>
          </w:tbl>
          <w:p w14:paraId="0D803310">
            <w:pPr>
              <w:pStyle w:val="25"/>
              <w:pageBreakBefore w:val="0"/>
              <w:kinsoku/>
              <w:wordWrap/>
              <w:topLinePunct w:val="0"/>
              <w:bidi w:val="0"/>
              <w:rPr>
                <w:rFonts w:hint="default" w:ascii="Times New Roman" w:hAnsi="Times New Roman" w:cs="Times New Roman"/>
              </w:rPr>
            </w:pPr>
            <w:r>
              <w:t>表4-1</w:t>
            </w:r>
            <w:r>
              <w:rPr>
                <w:rFonts w:hint="eastAsia"/>
                <w:lang w:val="en-US" w:eastAsia="zh-CN"/>
              </w:rPr>
              <w:t>2</w:t>
            </w:r>
            <w:r>
              <w:t xml:space="preserve">  </w:t>
            </w:r>
            <w:r>
              <w:rPr>
                <w:rFonts w:hint="eastAsia"/>
                <w:lang w:val="en-US" w:eastAsia="zh-CN"/>
              </w:rPr>
              <w:t>甲烷</w:t>
            </w:r>
            <w:r>
              <w:t>事故影响半径计算结果</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1010"/>
              <w:gridCol w:w="1482"/>
              <w:gridCol w:w="827"/>
              <w:gridCol w:w="1959"/>
              <w:gridCol w:w="3112"/>
            </w:tblGrid>
            <w:tr w14:paraId="0F9041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35CA94EF">
                  <w:pPr>
                    <w:pStyle w:val="26"/>
                    <w:pageBreakBefore w:val="0"/>
                    <w:kinsoku/>
                    <w:wordWrap/>
                    <w:topLinePunct w:val="0"/>
                    <w:bidi w:val="0"/>
                    <w:rPr>
                      <w:rFonts w:hint="default"/>
                      <w:b/>
                      <w:bCs/>
                    </w:rPr>
                  </w:pPr>
                  <w:r>
                    <w:rPr>
                      <w:b/>
                      <w:bCs/>
                    </w:rPr>
                    <w:t>损害等级</w:t>
                  </w:r>
                </w:p>
              </w:tc>
              <w:tc>
                <w:tcPr>
                  <w:tcW w:w="2309" w:type="dxa"/>
                  <w:gridSpan w:val="2"/>
                  <w:noWrap w:val="0"/>
                  <w:vAlign w:val="center"/>
                </w:tcPr>
                <w:p w14:paraId="66DA0D2A">
                  <w:pPr>
                    <w:pStyle w:val="26"/>
                    <w:pageBreakBefore w:val="0"/>
                    <w:kinsoku/>
                    <w:wordWrap/>
                    <w:topLinePunct w:val="0"/>
                    <w:bidi w:val="0"/>
                    <w:rPr>
                      <w:rFonts w:hint="default"/>
                      <w:b/>
                      <w:bCs/>
                    </w:rPr>
                  </w:pPr>
                  <w:r>
                    <w:rPr>
                      <w:b/>
                      <w:bCs/>
                    </w:rPr>
                    <w:t>影响半径（m）</w:t>
                  </w:r>
                </w:p>
              </w:tc>
              <w:tc>
                <w:tcPr>
                  <w:tcW w:w="1959" w:type="dxa"/>
                  <w:noWrap w:val="0"/>
                  <w:vAlign w:val="center"/>
                </w:tcPr>
                <w:p w14:paraId="39795FA5">
                  <w:pPr>
                    <w:pStyle w:val="26"/>
                    <w:pageBreakBefore w:val="0"/>
                    <w:kinsoku/>
                    <w:wordWrap/>
                    <w:topLinePunct w:val="0"/>
                    <w:bidi w:val="0"/>
                    <w:rPr>
                      <w:rFonts w:hint="default"/>
                      <w:b/>
                      <w:bCs/>
                    </w:rPr>
                  </w:pPr>
                  <w:r>
                    <w:rPr>
                      <w:b/>
                      <w:bCs/>
                    </w:rPr>
                    <w:t>设备损坏</w:t>
                  </w:r>
                </w:p>
              </w:tc>
              <w:tc>
                <w:tcPr>
                  <w:tcW w:w="3112" w:type="dxa"/>
                  <w:noWrap w:val="0"/>
                  <w:vAlign w:val="center"/>
                </w:tcPr>
                <w:p w14:paraId="3D25C72B">
                  <w:pPr>
                    <w:pStyle w:val="26"/>
                    <w:pageBreakBefore w:val="0"/>
                    <w:kinsoku/>
                    <w:wordWrap/>
                    <w:topLinePunct w:val="0"/>
                    <w:bidi w:val="0"/>
                    <w:rPr>
                      <w:rFonts w:hint="default"/>
                      <w:b/>
                      <w:bCs/>
                    </w:rPr>
                  </w:pPr>
                  <w:r>
                    <w:rPr>
                      <w:b/>
                      <w:bCs/>
                    </w:rPr>
                    <w:t>人员伤害</w:t>
                  </w:r>
                </w:p>
              </w:tc>
            </w:tr>
            <w:tr w14:paraId="12984F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48A6DB7C">
                  <w:pPr>
                    <w:pStyle w:val="26"/>
                    <w:pageBreakBefore w:val="0"/>
                    <w:kinsoku/>
                    <w:wordWrap/>
                    <w:topLinePunct w:val="0"/>
                    <w:bidi w:val="0"/>
                    <w:rPr>
                      <w:rFonts w:hint="default"/>
                    </w:rPr>
                  </w:pPr>
                  <w:r>
                    <w:t>1</w:t>
                  </w:r>
                </w:p>
              </w:tc>
              <w:tc>
                <w:tcPr>
                  <w:tcW w:w="1482" w:type="dxa"/>
                  <w:noWrap w:val="0"/>
                  <w:vAlign w:val="center"/>
                </w:tcPr>
                <w:p w14:paraId="5EAFDC2A">
                  <w:pPr>
                    <w:pStyle w:val="26"/>
                    <w:pageBreakBefore w:val="0"/>
                    <w:kinsoku/>
                    <w:wordWrap/>
                    <w:topLinePunct w:val="0"/>
                    <w:bidi w:val="0"/>
                    <w:rPr>
                      <w:rFonts w:hint="default"/>
                    </w:rPr>
                  </w:pPr>
                  <w:r>
                    <w:t>死亡半径</w:t>
                  </w:r>
                </w:p>
              </w:tc>
              <w:tc>
                <w:tcPr>
                  <w:tcW w:w="827" w:type="dxa"/>
                  <w:noWrap w:val="0"/>
                  <w:vAlign w:val="center"/>
                </w:tcPr>
                <w:p w14:paraId="2551243C">
                  <w:pPr>
                    <w:pStyle w:val="26"/>
                    <w:pageBreakBefore w:val="0"/>
                    <w:kinsoku/>
                    <w:wordWrap/>
                    <w:topLinePunct w:val="0"/>
                    <w:bidi w:val="0"/>
                    <w:rPr>
                      <w:rFonts w:hint="default" w:eastAsia="宋体"/>
                      <w:lang w:val="en-US" w:eastAsia="zh-CN"/>
                    </w:rPr>
                  </w:pPr>
                  <w:r>
                    <w:rPr>
                      <w:rFonts w:hint="eastAsia" w:eastAsia="宋体"/>
                      <w:lang w:val="en-US" w:eastAsia="zh-CN"/>
                    </w:rPr>
                    <w:t>2.139</w:t>
                  </w:r>
                </w:p>
              </w:tc>
              <w:tc>
                <w:tcPr>
                  <w:tcW w:w="1959" w:type="dxa"/>
                  <w:noWrap w:val="0"/>
                  <w:vAlign w:val="center"/>
                </w:tcPr>
                <w:p w14:paraId="32E94878">
                  <w:pPr>
                    <w:pStyle w:val="26"/>
                    <w:pageBreakBefore w:val="0"/>
                    <w:kinsoku/>
                    <w:wordWrap/>
                    <w:topLinePunct w:val="0"/>
                    <w:bidi w:val="0"/>
                    <w:rPr>
                      <w:rFonts w:hint="default"/>
                    </w:rPr>
                  </w:pPr>
                  <w:r>
                    <w:rPr>
                      <w:rFonts w:hint="default"/>
                    </w:rPr>
                    <w:t>重创建筑物和设备</w:t>
                  </w:r>
                </w:p>
              </w:tc>
              <w:tc>
                <w:tcPr>
                  <w:tcW w:w="3112" w:type="dxa"/>
                  <w:noWrap w:val="0"/>
                  <w:vAlign w:val="center"/>
                </w:tcPr>
                <w:p w14:paraId="28743708">
                  <w:pPr>
                    <w:pStyle w:val="26"/>
                    <w:pageBreakBefore w:val="0"/>
                    <w:kinsoku/>
                    <w:wordWrap/>
                    <w:topLinePunct w:val="0"/>
                    <w:bidi w:val="0"/>
                  </w:pPr>
                  <w:r>
                    <w:rPr>
                      <w:rFonts w:hint="default"/>
                    </w:rPr>
                    <w:t>1%死亡，肺部伤害＞50%</w:t>
                  </w:r>
                  <w:r>
                    <w:t>，</w:t>
                  </w:r>
                </w:p>
                <w:p w14:paraId="3FAE8DB4">
                  <w:pPr>
                    <w:pStyle w:val="26"/>
                    <w:pageBreakBefore w:val="0"/>
                    <w:kinsoku/>
                    <w:wordWrap/>
                    <w:topLinePunct w:val="0"/>
                    <w:bidi w:val="0"/>
                    <w:rPr>
                      <w:rFonts w:hint="default"/>
                    </w:rPr>
                  </w:pPr>
                  <w:r>
                    <w:rPr>
                      <w:rFonts w:hint="default"/>
                    </w:rPr>
                    <w:t>耳膜破裂＞50%</w:t>
                  </w:r>
                  <w:r>
                    <w:t>，</w:t>
                  </w:r>
                  <w:r>
                    <w:rPr>
                      <w:rFonts w:hint="default"/>
                    </w:rPr>
                    <w:t>被碎片击伤</w:t>
                  </w:r>
                </w:p>
              </w:tc>
            </w:tr>
            <w:tr w14:paraId="76E9F3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2CA55B08">
                  <w:pPr>
                    <w:pStyle w:val="26"/>
                    <w:pageBreakBefore w:val="0"/>
                    <w:kinsoku/>
                    <w:wordWrap/>
                    <w:topLinePunct w:val="0"/>
                    <w:bidi w:val="0"/>
                    <w:rPr>
                      <w:rFonts w:hint="default"/>
                    </w:rPr>
                  </w:pPr>
                  <w:r>
                    <w:t>2</w:t>
                  </w:r>
                </w:p>
              </w:tc>
              <w:tc>
                <w:tcPr>
                  <w:tcW w:w="1482" w:type="dxa"/>
                  <w:noWrap w:val="0"/>
                  <w:vAlign w:val="center"/>
                </w:tcPr>
                <w:p w14:paraId="0143573A">
                  <w:pPr>
                    <w:pStyle w:val="26"/>
                    <w:pageBreakBefore w:val="0"/>
                    <w:kinsoku/>
                    <w:wordWrap/>
                    <w:topLinePunct w:val="0"/>
                    <w:bidi w:val="0"/>
                    <w:rPr>
                      <w:rFonts w:hint="default"/>
                    </w:rPr>
                  </w:pPr>
                  <w:r>
                    <w:t>重伤半径</w:t>
                  </w:r>
                </w:p>
              </w:tc>
              <w:tc>
                <w:tcPr>
                  <w:tcW w:w="827" w:type="dxa"/>
                  <w:noWrap w:val="0"/>
                  <w:vAlign w:val="center"/>
                </w:tcPr>
                <w:p w14:paraId="124AFC8B">
                  <w:pPr>
                    <w:pStyle w:val="26"/>
                    <w:pageBreakBefore w:val="0"/>
                    <w:kinsoku/>
                    <w:wordWrap/>
                    <w:topLinePunct w:val="0"/>
                    <w:bidi w:val="0"/>
                    <w:rPr>
                      <w:rFonts w:hint="default" w:eastAsia="宋体"/>
                      <w:lang w:val="en-US" w:eastAsia="zh-CN"/>
                    </w:rPr>
                  </w:pPr>
                  <w:r>
                    <w:rPr>
                      <w:rFonts w:hint="eastAsia" w:eastAsia="宋体"/>
                      <w:lang w:val="en-US" w:eastAsia="zh-CN"/>
                    </w:rPr>
                    <w:t>4.278</w:t>
                  </w:r>
                </w:p>
              </w:tc>
              <w:tc>
                <w:tcPr>
                  <w:tcW w:w="1959" w:type="dxa"/>
                  <w:noWrap w:val="0"/>
                  <w:vAlign w:val="center"/>
                </w:tcPr>
                <w:p w14:paraId="204A5345">
                  <w:pPr>
                    <w:pStyle w:val="26"/>
                    <w:pageBreakBefore w:val="0"/>
                    <w:kinsoku/>
                    <w:wordWrap/>
                    <w:topLinePunct w:val="0"/>
                    <w:bidi w:val="0"/>
                    <w:rPr>
                      <w:rFonts w:hint="default"/>
                    </w:rPr>
                  </w:pPr>
                  <w:r>
                    <w:rPr>
                      <w:rFonts w:hint="default"/>
                    </w:rPr>
                    <w:t>损坏建筑物外表，</w:t>
                  </w:r>
                </w:p>
                <w:p w14:paraId="6DB7B2CE">
                  <w:pPr>
                    <w:pStyle w:val="26"/>
                    <w:pageBreakBefore w:val="0"/>
                    <w:kinsoku/>
                    <w:wordWrap/>
                    <w:topLinePunct w:val="0"/>
                    <w:bidi w:val="0"/>
                    <w:rPr>
                      <w:rFonts w:hint="default"/>
                    </w:rPr>
                  </w:pPr>
                  <w:r>
                    <w:rPr>
                      <w:rFonts w:hint="default"/>
                    </w:rPr>
                    <w:t>可修复性破坏</w:t>
                  </w:r>
                </w:p>
              </w:tc>
              <w:tc>
                <w:tcPr>
                  <w:tcW w:w="3112" w:type="dxa"/>
                  <w:noWrap w:val="0"/>
                  <w:vAlign w:val="center"/>
                </w:tcPr>
                <w:p w14:paraId="1BC7945F">
                  <w:pPr>
                    <w:pStyle w:val="26"/>
                    <w:pageBreakBefore w:val="0"/>
                    <w:kinsoku/>
                    <w:wordWrap/>
                    <w:topLinePunct w:val="0"/>
                    <w:bidi w:val="0"/>
                    <w:rPr>
                      <w:rFonts w:hint="default"/>
                    </w:rPr>
                  </w:pPr>
                  <w:r>
                    <w:rPr>
                      <w:rFonts w:hint="default"/>
                    </w:rPr>
                    <w:t>1%耳膜破裂</w:t>
                  </w:r>
                  <w:r>
                    <w:t>，</w:t>
                  </w:r>
                  <w:r>
                    <w:rPr>
                      <w:rFonts w:hint="default"/>
                    </w:rPr>
                    <w:t>1%被碎片击伤</w:t>
                  </w:r>
                </w:p>
              </w:tc>
            </w:tr>
            <w:tr w14:paraId="4A1727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7112FDD5">
                  <w:pPr>
                    <w:pStyle w:val="26"/>
                    <w:pageBreakBefore w:val="0"/>
                    <w:kinsoku/>
                    <w:wordWrap/>
                    <w:topLinePunct w:val="0"/>
                    <w:bidi w:val="0"/>
                    <w:rPr>
                      <w:rFonts w:hint="default"/>
                    </w:rPr>
                  </w:pPr>
                  <w:r>
                    <w:t>3</w:t>
                  </w:r>
                </w:p>
              </w:tc>
              <w:tc>
                <w:tcPr>
                  <w:tcW w:w="1482" w:type="dxa"/>
                  <w:noWrap w:val="0"/>
                  <w:vAlign w:val="center"/>
                </w:tcPr>
                <w:p w14:paraId="0FDE5BCB">
                  <w:pPr>
                    <w:pStyle w:val="26"/>
                    <w:pageBreakBefore w:val="0"/>
                    <w:kinsoku/>
                    <w:wordWrap/>
                    <w:topLinePunct w:val="0"/>
                    <w:bidi w:val="0"/>
                    <w:rPr>
                      <w:rFonts w:hint="default"/>
                    </w:rPr>
                  </w:pPr>
                  <w:r>
                    <w:t>轻伤半径</w:t>
                  </w:r>
                </w:p>
              </w:tc>
              <w:tc>
                <w:tcPr>
                  <w:tcW w:w="827" w:type="dxa"/>
                  <w:noWrap w:val="0"/>
                  <w:vAlign w:val="center"/>
                </w:tcPr>
                <w:p w14:paraId="0E3440FD">
                  <w:pPr>
                    <w:pStyle w:val="26"/>
                    <w:pageBreakBefore w:val="0"/>
                    <w:kinsoku/>
                    <w:wordWrap/>
                    <w:topLinePunct w:val="0"/>
                    <w:bidi w:val="0"/>
                    <w:rPr>
                      <w:rFonts w:hint="default" w:eastAsia="宋体"/>
                      <w:lang w:val="en-US" w:eastAsia="zh-CN"/>
                    </w:rPr>
                  </w:pPr>
                  <w:r>
                    <w:rPr>
                      <w:rFonts w:hint="eastAsia" w:eastAsia="宋体"/>
                      <w:lang w:val="en-US" w:eastAsia="zh-CN"/>
                    </w:rPr>
                    <w:t>10.696</w:t>
                  </w:r>
                </w:p>
              </w:tc>
              <w:tc>
                <w:tcPr>
                  <w:tcW w:w="1959" w:type="dxa"/>
                  <w:noWrap w:val="0"/>
                  <w:vAlign w:val="center"/>
                </w:tcPr>
                <w:p w14:paraId="57006232">
                  <w:pPr>
                    <w:pStyle w:val="26"/>
                    <w:pageBreakBefore w:val="0"/>
                    <w:kinsoku/>
                    <w:wordWrap/>
                    <w:topLinePunct w:val="0"/>
                    <w:bidi w:val="0"/>
                    <w:rPr>
                      <w:rFonts w:hint="default"/>
                    </w:rPr>
                  </w:pPr>
                  <w:r>
                    <w:rPr>
                      <w:rFonts w:hint="default"/>
                    </w:rPr>
                    <w:t>玻璃破碎</w:t>
                  </w:r>
                </w:p>
              </w:tc>
              <w:tc>
                <w:tcPr>
                  <w:tcW w:w="3112" w:type="dxa"/>
                  <w:noWrap w:val="0"/>
                  <w:vAlign w:val="center"/>
                </w:tcPr>
                <w:p w14:paraId="623B745A">
                  <w:pPr>
                    <w:pStyle w:val="26"/>
                    <w:pageBreakBefore w:val="0"/>
                    <w:kinsoku/>
                    <w:wordWrap/>
                    <w:topLinePunct w:val="0"/>
                    <w:bidi w:val="0"/>
                    <w:rPr>
                      <w:rFonts w:hint="default"/>
                    </w:rPr>
                  </w:pPr>
                  <w:r>
                    <w:rPr>
                      <w:rFonts w:hint="default"/>
                    </w:rPr>
                    <w:t>被碎玻璃击伤</w:t>
                  </w:r>
                </w:p>
              </w:tc>
            </w:tr>
            <w:tr w14:paraId="0F8F49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010" w:type="dxa"/>
                  <w:noWrap w:val="0"/>
                  <w:vAlign w:val="center"/>
                </w:tcPr>
                <w:p w14:paraId="22C1B2CE">
                  <w:pPr>
                    <w:pStyle w:val="26"/>
                    <w:pageBreakBefore w:val="0"/>
                    <w:kinsoku/>
                    <w:wordWrap/>
                    <w:topLinePunct w:val="0"/>
                    <w:bidi w:val="0"/>
                    <w:rPr>
                      <w:rFonts w:hint="default"/>
                    </w:rPr>
                  </w:pPr>
                  <w:r>
                    <w:t>4</w:t>
                  </w:r>
                </w:p>
              </w:tc>
              <w:tc>
                <w:tcPr>
                  <w:tcW w:w="1482" w:type="dxa"/>
                  <w:noWrap w:val="0"/>
                  <w:vAlign w:val="center"/>
                </w:tcPr>
                <w:p w14:paraId="0B6558AE">
                  <w:pPr>
                    <w:pStyle w:val="26"/>
                    <w:pageBreakBefore w:val="0"/>
                    <w:kinsoku/>
                    <w:wordWrap/>
                    <w:topLinePunct w:val="0"/>
                    <w:bidi w:val="0"/>
                    <w:rPr>
                      <w:rFonts w:hint="default"/>
                    </w:rPr>
                  </w:pPr>
                  <w:r>
                    <w:t>财产损失半径</w:t>
                  </w:r>
                </w:p>
              </w:tc>
              <w:tc>
                <w:tcPr>
                  <w:tcW w:w="827" w:type="dxa"/>
                  <w:noWrap w:val="0"/>
                  <w:vAlign w:val="center"/>
                </w:tcPr>
                <w:p w14:paraId="3E86B52A">
                  <w:pPr>
                    <w:pStyle w:val="26"/>
                    <w:pageBreakBefore w:val="0"/>
                    <w:kinsoku/>
                    <w:wordWrap/>
                    <w:topLinePunct w:val="0"/>
                    <w:bidi w:val="0"/>
                    <w:rPr>
                      <w:rFonts w:hint="default" w:eastAsia="宋体"/>
                      <w:lang w:val="en-US" w:eastAsia="zh-CN"/>
                    </w:rPr>
                  </w:pPr>
                  <w:r>
                    <w:rPr>
                      <w:rFonts w:hint="eastAsia" w:eastAsia="宋体"/>
                      <w:lang w:val="en-US" w:eastAsia="zh-CN"/>
                    </w:rPr>
                    <w:t>28.523</w:t>
                  </w:r>
                </w:p>
              </w:tc>
              <w:tc>
                <w:tcPr>
                  <w:tcW w:w="1959" w:type="dxa"/>
                  <w:noWrap w:val="0"/>
                  <w:vAlign w:val="center"/>
                </w:tcPr>
                <w:p w14:paraId="0AD6E791">
                  <w:pPr>
                    <w:pStyle w:val="26"/>
                    <w:pageBreakBefore w:val="0"/>
                    <w:kinsoku/>
                    <w:wordWrap/>
                    <w:topLinePunct w:val="0"/>
                    <w:bidi w:val="0"/>
                    <w:rPr>
                      <w:rFonts w:hint="default"/>
                    </w:rPr>
                  </w:pPr>
                  <w:r>
                    <w:t>10%玻璃破碎</w:t>
                  </w:r>
                </w:p>
              </w:tc>
              <w:tc>
                <w:tcPr>
                  <w:tcW w:w="3112" w:type="dxa"/>
                  <w:noWrap w:val="0"/>
                  <w:vAlign w:val="center"/>
                </w:tcPr>
                <w:p w14:paraId="39BDAD83">
                  <w:pPr>
                    <w:pStyle w:val="26"/>
                    <w:pageBreakBefore w:val="0"/>
                    <w:kinsoku/>
                    <w:wordWrap/>
                    <w:topLinePunct w:val="0"/>
                    <w:bidi w:val="0"/>
                    <w:rPr>
                      <w:rFonts w:hint="default"/>
                    </w:rPr>
                  </w:pPr>
                </w:p>
              </w:tc>
            </w:tr>
          </w:tbl>
          <w:p w14:paraId="3BA91446">
            <w:pPr>
              <w:pageBreakBefore w:val="0"/>
              <w:kinsoku/>
              <w:wordWrap/>
              <w:topLinePunct w:val="0"/>
              <w:bidi w:val="0"/>
              <w:spacing w:line="360" w:lineRule="auto"/>
              <w:ind w:firstLine="480" w:firstLineChars="200"/>
              <w:rPr>
                <w:rFonts w:ascii="宋体" w:hAnsi="宋体" w:cs="宋体"/>
                <w:sz w:val="24"/>
              </w:rPr>
            </w:pPr>
            <w:r>
              <w:rPr>
                <w:rFonts w:ascii="宋体" w:hAnsi="宋体" w:cs="宋体"/>
                <w:sz w:val="24"/>
              </w:rPr>
              <w:t>上述计算是基于没有防护措施的敞开式假设事故，是为了分析危险源可能发生事故的后果进行的理论计算。由于企业将采取多重相应安全措施，正常情况下总体危险程度和有害因素控制在可接受的安全范围内。</w:t>
            </w:r>
          </w:p>
          <w:p w14:paraId="6963C437">
            <w:pPr>
              <w:pageBreakBefore w:val="0"/>
              <w:kinsoku/>
              <w:wordWrap/>
              <w:topLinePunct w:val="0"/>
              <w:bidi w:val="0"/>
              <w:spacing w:line="360" w:lineRule="auto"/>
              <w:ind w:firstLine="480" w:firstLineChars="200"/>
              <w:rPr>
                <w:rFonts w:hint="eastAsia"/>
                <w:bCs/>
                <w:sz w:val="24"/>
              </w:rPr>
            </w:pPr>
            <w:r>
              <w:rPr>
                <w:rFonts w:ascii="宋体" w:hAnsi="宋体" w:cs="宋体"/>
                <w:sz w:val="24"/>
              </w:rPr>
              <w:t>为避免人员及财产的重大损失，应做好日常的检查工作，对细小部件，特别是对仪器仪表、阀件等要认真细致地检查，责任到人，防止泄漏的发生；严禁明火，严防火花的产生，特别是生产区、罐区等严禁吸烟。夏天高温要做好降温工作，确保安全。同时建议重大事故应急预案中应包括防止蒸汽云爆炸的应急内容，以保证一旦发生事故，可把损失降至</w:t>
            </w:r>
            <w:r>
              <w:rPr>
                <w:rFonts w:hint="eastAsia" w:ascii="宋体" w:hAnsi="宋体" w:cs="宋体"/>
                <w:sz w:val="24"/>
              </w:rPr>
              <w:t>最低</w:t>
            </w:r>
            <w:r>
              <w:rPr>
                <w:rFonts w:ascii="宋体" w:hAnsi="宋体" w:cs="宋体"/>
                <w:sz w:val="24"/>
              </w:rPr>
              <w:t>。</w:t>
            </w:r>
          </w:p>
          <w:p w14:paraId="6CB5165E">
            <w:pPr>
              <w:pageBreakBefore w:val="0"/>
              <w:kinsoku/>
              <w:wordWrap/>
              <w:topLinePunct w:val="0"/>
              <w:bidi w:val="0"/>
              <w:spacing w:line="520" w:lineRule="exact"/>
              <w:ind w:firstLine="482" w:firstLineChars="200"/>
              <w:rPr>
                <w:bCs/>
                <w:sz w:val="24"/>
              </w:rPr>
            </w:pPr>
            <w:r>
              <w:rPr>
                <w:b/>
                <w:sz w:val="24"/>
              </w:rPr>
              <w:t>7.6 环境风险防范措施及应急要求</w:t>
            </w:r>
          </w:p>
          <w:p w14:paraId="2FB667DE">
            <w:pPr>
              <w:pageBreakBefore w:val="0"/>
              <w:kinsoku/>
              <w:wordWrap/>
              <w:topLinePunct w:val="0"/>
              <w:bidi w:val="0"/>
              <w:spacing w:line="520" w:lineRule="exact"/>
              <w:ind w:firstLine="480" w:firstLineChars="200"/>
              <w:rPr>
                <w:bCs/>
                <w:sz w:val="24"/>
              </w:rPr>
            </w:pPr>
            <w:r>
              <w:rPr>
                <w:bCs/>
                <w:sz w:val="24"/>
              </w:rPr>
              <w:t>（1）风险源防范措施</w:t>
            </w:r>
          </w:p>
          <w:p w14:paraId="5BD3BB6F">
            <w:pPr>
              <w:pageBreakBefore w:val="0"/>
              <w:kinsoku/>
              <w:wordWrap/>
              <w:topLinePunct w:val="0"/>
              <w:bidi w:val="0"/>
              <w:spacing w:line="520" w:lineRule="exact"/>
              <w:ind w:firstLine="480" w:firstLineChars="200"/>
              <w:rPr>
                <w:bCs/>
                <w:sz w:val="24"/>
              </w:rPr>
            </w:pPr>
            <w:r>
              <w:rPr>
                <w:bCs/>
                <w:sz w:val="24"/>
              </w:rPr>
              <w:t>① 本项目存储废润滑油的容器选用</w:t>
            </w:r>
            <w:r>
              <w:rPr>
                <w:rFonts w:hint="eastAsia"/>
                <w:bCs/>
                <w:sz w:val="24"/>
                <w:lang w:eastAsia="zh-CN"/>
              </w:rPr>
              <w:t>钢质</w:t>
            </w:r>
            <w:r>
              <w:rPr>
                <w:bCs/>
                <w:sz w:val="24"/>
              </w:rPr>
              <w:t>容器，要求相关容器无缺口、破损，无脱焊情况，可保证有效收纳废润滑液。</w:t>
            </w:r>
          </w:p>
          <w:p w14:paraId="25F4975C">
            <w:pPr>
              <w:pageBreakBefore w:val="0"/>
              <w:kinsoku/>
              <w:wordWrap/>
              <w:topLinePunct w:val="0"/>
              <w:bidi w:val="0"/>
              <w:spacing w:line="520" w:lineRule="exact"/>
              <w:ind w:firstLine="480" w:firstLineChars="200"/>
              <w:rPr>
                <w:rFonts w:hint="eastAsia"/>
                <w:sz w:val="24"/>
              </w:rPr>
            </w:pPr>
            <w:r>
              <w:rPr>
                <w:bCs/>
                <w:sz w:val="24"/>
              </w:rPr>
              <w:t>② 本项目</w:t>
            </w:r>
            <w:r>
              <w:rPr>
                <w:rFonts w:hint="eastAsia"/>
                <w:bCs/>
                <w:sz w:val="24"/>
              </w:rPr>
              <w:t>不设置单独的危废暂存间，更换下来的的废润滑油及时清运至</w:t>
            </w:r>
            <w:r>
              <w:rPr>
                <w:rFonts w:hint="eastAsia"/>
                <w:sz w:val="24"/>
              </w:rPr>
              <w:t>新疆圣雄能源股份有限公司危险废物暂存间进行存储。进行润滑油更换作业时，相关作业区域地面铺设塑料膜，最大限度减少废润滑油泄漏。更换作业完毕时，作业人员对场地进行清理，确保现场无油类物质残留。</w:t>
            </w:r>
          </w:p>
          <w:p w14:paraId="04A627E6">
            <w:pPr>
              <w:pageBreakBefore w:val="0"/>
              <w:kinsoku/>
              <w:wordWrap/>
              <w:topLinePunct w:val="0"/>
              <w:bidi w:val="0"/>
              <w:spacing w:line="520" w:lineRule="exact"/>
              <w:ind w:firstLine="480" w:firstLineChars="200"/>
              <w:rPr>
                <w:rFonts w:hint="eastAsia"/>
                <w:sz w:val="24"/>
              </w:rPr>
            </w:pPr>
            <w:r>
              <w:rPr>
                <w:rFonts w:hint="eastAsia"/>
                <w:bCs/>
                <w:sz w:val="24"/>
              </w:rPr>
              <w:t>③</w:t>
            </w:r>
            <w:r>
              <w:rPr>
                <w:bCs/>
                <w:sz w:val="24"/>
              </w:rPr>
              <w:t xml:space="preserve"> 本项目采取分区防渗，</w:t>
            </w:r>
            <w:r>
              <w:rPr>
                <w:rFonts w:hint="eastAsia"/>
                <w:bCs/>
                <w:sz w:val="24"/>
              </w:rPr>
              <w:t>地下污油罐</w:t>
            </w:r>
            <w:r>
              <w:rPr>
                <w:bCs/>
                <w:sz w:val="24"/>
              </w:rPr>
              <w:t>设置为重点污染防渗区，建设的防渗要求须达到</w:t>
            </w:r>
            <w:r>
              <w:rPr>
                <w:sz w:val="24"/>
              </w:rPr>
              <w:t>《危险废物贮存污染控制标准》</w:t>
            </w:r>
            <w:r>
              <w:rPr>
                <w:rFonts w:hint="eastAsia"/>
                <w:sz w:val="24"/>
              </w:rPr>
              <w:t>（</w:t>
            </w:r>
            <w:r>
              <w:rPr>
                <w:sz w:val="24"/>
              </w:rPr>
              <w:t>GB 18597-2001）及2013年修改单和危险废物暂存场所渗透系数达1.0×10</w:t>
            </w:r>
            <w:r>
              <w:rPr>
                <w:sz w:val="24"/>
                <w:vertAlign w:val="superscript"/>
              </w:rPr>
              <w:t>-10</w:t>
            </w:r>
            <w:r>
              <w:rPr>
                <w:sz w:val="24"/>
              </w:rPr>
              <w:t>cm/s的要求。</w:t>
            </w:r>
          </w:p>
          <w:p w14:paraId="1230A28F">
            <w:pPr>
              <w:pageBreakBefore w:val="0"/>
              <w:kinsoku/>
              <w:wordWrap/>
              <w:topLinePunct w:val="0"/>
              <w:bidi w:val="0"/>
              <w:spacing w:line="520" w:lineRule="exact"/>
              <w:ind w:firstLine="480" w:firstLineChars="200"/>
              <w:rPr>
                <w:rFonts w:hint="eastAsia"/>
                <w:sz w:val="24"/>
              </w:rPr>
            </w:pPr>
            <w:r>
              <w:rPr>
                <w:rFonts w:hint="eastAsia"/>
                <w:bCs/>
                <w:sz w:val="24"/>
              </w:rPr>
              <w:t>④</w:t>
            </w:r>
            <w:r>
              <w:rPr>
                <w:bCs/>
                <w:sz w:val="24"/>
              </w:rPr>
              <w:t xml:space="preserve"> 加强员工教育培训，建议设置专人定期对</w:t>
            </w:r>
            <w:r>
              <w:rPr>
                <w:rFonts w:hint="eastAsia"/>
                <w:bCs/>
                <w:sz w:val="24"/>
              </w:rPr>
              <w:t>地下污油罐</w:t>
            </w:r>
            <w:r>
              <w:rPr>
                <w:bCs/>
                <w:sz w:val="24"/>
              </w:rPr>
              <w:t>进行检视，确保容器完好、防渗要求达标，如发生泄漏应及时清理风险源，最大限度减少环境风险事故的发生。</w:t>
            </w:r>
          </w:p>
          <w:p w14:paraId="36390497">
            <w:pPr>
              <w:pageBreakBefore w:val="0"/>
              <w:kinsoku/>
              <w:wordWrap/>
              <w:topLinePunct w:val="0"/>
              <w:bidi w:val="0"/>
              <w:spacing w:line="520" w:lineRule="exact"/>
              <w:ind w:firstLine="480" w:firstLineChars="200"/>
              <w:rPr>
                <w:bCs/>
                <w:sz w:val="24"/>
              </w:rPr>
            </w:pPr>
            <w:r>
              <w:rPr>
                <w:rFonts w:hint="eastAsia"/>
                <w:bCs/>
                <w:sz w:val="24"/>
              </w:rPr>
              <w:t>⑤</w:t>
            </w:r>
            <w:r>
              <w:rPr>
                <w:bCs/>
                <w:sz w:val="24"/>
              </w:rPr>
              <w:t xml:space="preserve"> 一旦发生污染物泄漏，应及时切断并封堵泄漏源，并对泄漏物所在的地面进行及时截流封堵，尽可能将泄漏物控制在一个相对较小的范围内，防止泄漏物四处流淌而增加地下水及土壤污染的风险。</w:t>
            </w:r>
          </w:p>
          <w:p w14:paraId="45837D98">
            <w:pPr>
              <w:pageBreakBefore w:val="0"/>
              <w:kinsoku/>
              <w:wordWrap/>
              <w:topLinePunct w:val="0"/>
              <w:bidi w:val="0"/>
              <w:spacing w:line="520" w:lineRule="exact"/>
              <w:ind w:firstLine="480" w:firstLineChars="200"/>
              <w:rPr>
                <w:bCs/>
                <w:sz w:val="24"/>
              </w:rPr>
            </w:pPr>
            <w:r>
              <w:rPr>
                <w:rFonts w:hint="eastAsia"/>
                <w:bCs/>
                <w:sz w:val="24"/>
              </w:rPr>
              <w:t>⑥</w:t>
            </w:r>
            <w:r>
              <w:rPr>
                <w:bCs/>
                <w:sz w:val="24"/>
              </w:rPr>
              <w:t xml:space="preserve"> 当发生严重的地下水污染事故，使得项目场地不能正常工作时，则应报环保部门批准后实行非正常封场，防止污染进一步扩散；同时进行评估决定是否采取进一步的工程防护措施；继续对地下水及土壤已经受到污染的区域进行跟踪监测，并根据需要开展风险评估，根据风险评估结果决定是否进行地下水修复工作。</w:t>
            </w:r>
          </w:p>
          <w:p w14:paraId="2FA20F47">
            <w:pPr>
              <w:pageBreakBefore w:val="0"/>
              <w:kinsoku/>
              <w:wordWrap/>
              <w:topLinePunct w:val="0"/>
              <w:bidi w:val="0"/>
              <w:spacing w:line="520" w:lineRule="exact"/>
              <w:ind w:firstLine="480" w:firstLineChars="200"/>
              <w:rPr>
                <w:bCs/>
                <w:sz w:val="24"/>
              </w:rPr>
            </w:pPr>
            <w:r>
              <w:rPr>
                <w:rFonts w:hint="eastAsia"/>
                <w:bCs/>
                <w:sz w:val="24"/>
              </w:rPr>
              <w:t>⑦</w:t>
            </w:r>
            <w:r>
              <w:rPr>
                <w:bCs/>
                <w:sz w:val="24"/>
              </w:rPr>
              <w:t xml:space="preserve"> 由于受项目所在地水文地质条件限制，被污染的地下水径流迁移较缓慢，将较长时间存在于项目场地所在区域的潜水含水层中。对于已被污染的土壤需及时挖掘清理并妥善处置，防止土壤中污染物随降雨淋滤进一步下渗进入地下水中，同时可考虑通过小范围内的地下水抽排措施降低地下水水位，切断污染物在地下水中的迁移途径，防止污染</w:t>
            </w:r>
            <w:r>
              <w:rPr>
                <w:rFonts w:hint="eastAsia"/>
                <w:bCs/>
                <w:sz w:val="24"/>
              </w:rPr>
              <w:t>物</w:t>
            </w:r>
            <w:r>
              <w:rPr>
                <w:bCs/>
                <w:sz w:val="24"/>
              </w:rPr>
              <w:t>扩散，或在污染源下游建设渗透性反应墙，控制污染源向下游扩散并去除地下水中的污染物。</w:t>
            </w:r>
          </w:p>
          <w:p w14:paraId="1E66B456">
            <w:pPr>
              <w:pageBreakBefore w:val="0"/>
              <w:kinsoku/>
              <w:wordWrap/>
              <w:topLinePunct w:val="0"/>
              <w:bidi w:val="0"/>
              <w:spacing w:line="520" w:lineRule="exact"/>
              <w:ind w:firstLine="480" w:firstLineChars="200"/>
              <w:rPr>
                <w:bCs/>
                <w:sz w:val="24"/>
              </w:rPr>
            </w:pPr>
            <w:r>
              <w:rPr>
                <w:bCs/>
                <w:sz w:val="24"/>
              </w:rPr>
              <w:t>（2）土壤防范措施</w:t>
            </w:r>
          </w:p>
          <w:p w14:paraId="0F2126F2">
            <w:pPr>
              <w:pageBreakBefore w:val="0"/>
              <w:kinsoku/>
              <w:wordWrap/>
              <w:topLinePunct w:val="0"/>
              <w:bidi w:val="0"/>
              <w:spacing w:line="520" w:lineRule="exact"/>
              <w:ind w:firstLine="480" w:firstLineChars="200"/>
              <w:rPr>
                <w:sz w:val="24"/>
              </w:rPr>
            </w:pPr>
            <w:r>
              <w:rPr>
                <w:sz w:val="24"/>
              </w:rPr>
              <w:t>根据类比调查结果可知，油品泄漏事故发生后，在非渗透性的基岩及</w:t>
            </w:r>
            <w:r>
              <w:rPr>
                <w:rFonts w:hint="eastAsia"/>
                <w:sz w:val="24"/>
                <w:lang w:eastAsia="zh-CN"/>
              </w:rPr>
              <w:t>黏重</w:t>
            </w:r>
            <w:r>
              <w:rPr>
                <w:sz w:val="24"/>
              </w:rPr>
              <w:t>土壤上污染（扩展）面积较大，而疏松土质上影响的扩展范围较小，在泄漏事故发生的最初，油品在土壤中下渗至一定深度，随泄漏时间的延长，下渗深度增加不大（落地油品一般在土壤表层20cm以上深度内积聚）。</w:t>
            </w:r>
          </w:p>
          <w:p w14:paraId="30DD00A8">
            <w:pPr>
              <w:pageBreakBefore w:val="0"/>
              <w:kinsoku/>
              <w:wordWrap/>
              <w:topLinePunct w:val="0"/>
              <w:bidi w:val="0"/>
              <w:spacing w:line="520" w:lineRule="exact"/>
              <w:ind w:firstLine="480" w:firstLineChars="200"/>
              <w:rPr>
                <w:sz w:val="24"/>
              </w:rPr>
            </w:pPr>
            <w:r>
              <w:rPr>
                <w:rFonts w:hint="eastAsia"/>
                <w:sz w:val="24"/>
              </w:rPr>
              <w:t>当发现本项目出现因润滑油泄漏造成土壤污染时，应第一时间切断污染源，委托具备危废处置资质的单位将被污染的区域及周边土壤挖出一并拉运处置，必要时可开展土壤监测，确定是否对土壤造成污染。</w:t>
            </w:r>
          </w:p>
          <w:p w14:paraId="22B8719B">
            <w:pPr>
              <w:pageBreakBefore w:val="0"/>
              <w:kinsoku/>
              <w:wordWrap/>
              <w:topLinePunct w:val="0"/>
              <w:bidi w:val="0"/>
              <w:spacing w:line="520" w:lineRule="exact"/>
              <w:ind w:firstLine="480" w:firstLineChars="200"/>
              <w:rPr>
                <w:sz w:val="24"/>
              </w:rPr>
            </w:pPr>
            <w:r>
              <w:rPr>
                <w:sz w:val="24"/>
              </w:rPr>
              <w:t>（3）地下水防范措施</w:t>
            </w:r>
          </w:p>
          <w:p w14:paraId="55B43045">
            <w:pPr>
              <w:pageBreakBefore w:val="0"/>
              <w:kinsoku/>
              <w:wordWrap/>
              <w:topLinePunct w:val="0"/>
              <w:bidi w:val="0"/>
              <w:spacing w:line="520" w:lineRule="exact"/>
              <w:ind w:firstLine="480" w:firstLineChars="200"/>
              <w:rPr>
                <w:sz w:val="24"/>
              </w:rPr>
            </w:pPr>
            <w:r>
              <w:rPr>
                <w:sz w:val="24"/>
              </w:rPr>
              <w:t>在正常工况下，加大检修力度，发生泄漏事故及时找到泄漏点，及时维修，并将受污染的土壤全部回收，送至主体装置区进行处理，污染物从源头和末端均得到控制，没有污染地下水的通道，污染物不会渗入地下污染地下水体。</w:t>
            </w:r>
          </w:p>
          <w:p w14:paraId="3669FB07">
            <w:pPr>
              <w:pageBreakBefore w:val="0"/>
              <w:kinsoku/>
              <w:wordWrap/>
              <w:topLinePunct w:val="0"/>
              <w:bidi w:val="0"/>
              <w:spacing w:line="520" w:lineRule="exact"/>
              <w:ind w:firstLine="480" w:firstLineChars="200"/>
              <w:rPr>
                <w:sz w:val="24"/>
              </w:rPr>
            </w:pPr>
            <w:r>
              <w:rPr>
                <w:sz w:val="24"/>
              </w:rPr>
              <w:t>当泄漏事故不可控时，泄漏的油品经土层渗漏，通过包气带进入含水层。根据《采油废水中石油类污染物在土壤中的迁移规律研究》（岳占林文）中结论：土壤尽管颗粒较粗、结构较松散、孔隙比较大，但对石油类物质的截留作用是非常显著的，石油类很难在土壤剖面中随水下渗迁移，基本上被截留在0～10cm或0～20cm表层土壤中，其中表层0～5cm土壤截留了90%以上的泄漏油品。因此，即使发生油品泄漏事故，做到及时发现、及时处理，彻底清除泄漏油品、被污染的土壤，不会对地下水体环境质量产生大的影响。</w:t>
            </w:r>
          </w:p>
          <w:p w14:paraId="1869ECAF">
            <w:pPr>
              <w:pageBreakBefore w:val="0"/>
              <w:kinsoku/>
              <w:wordWrap/>
              <w:topLinePunct w:val="0"/>
              <w:bidi w:val="0"/>
              <w:spacing w:line="520" w:lineRule="exact"/>
              <w:ind w:firstLine="480" w:firstLineChars="200"/>
              <w:rPr>
                <w:rFonts w:hint="eastAsia"/>
                <w:sz w:val="24"/>
              </w:rPr>
            </w:pPr>
            <w:r>
              <w:rPr>
                <w:rFonts w:hint="eastAsia"/>
                <w:sz w:val="24"/>
              </w:rPr>
              <w:t>（3）火灾爆炸风险防范措施</w:t>
            </w:r>
          </w:p>
          <w:p w14:paraId="603BEE39">
            <w:pPr>
              <w:pageBreakBefore w:val="0"/>
              <w:kinsoku/>
              <w:wordWrap/>
              <w:topLinePunct w:val="0"/>
              <w:bidi w:val="0"/>
              <w:spacing w:line="520" w:lineRule="exact"/>
              <w:ind w:firstLine="480" w:firstLineChars="200"/>
              <w:rPr>
                <w:sz w:val="24"/>
              </w:rPr>
            </w:pPr>
            <w:r>
              <w:rPr>
                <w:rFonts w:hint="eastAsia"/>
                <w:sz w:val="24"/>
              </w:rPr>
              <w:t>① 当</w:t>
            </w:r>
            <w:r>
              <w:rPr>
                <w:rFonts w:hint="eastAsia"/>
                <w:sz w:val="24"/>
                <w:lang w:val="en-US" w:eastAsia="zh-CN"/>
              </w:rPr>
              <w:t>气体储罐</w:t>
            </w:r>
            <w:r>
              <w:rPr>
                <w:rFonts w:hint="eastAsia"/>
                <w:sz w:val="24"/>
              </w:rPr>
              <w:t>发生泄漏事故时，应第一时间切断气源，</w:t>
            </w:r>
            <w:r>
              <w:rPr>
                <w:sz w:val="24"/>
              </w:rPr>
              <w:t>迅速撤离泄漏污染区人员至上风处</w:t>
            </w:r>
            <w:r>
              <w:rPr>
                <w:rFonts w:hint="eastAsia"/>
                <w:sz w:val="24"/>
              </w:rPr>
              <w:t>，</w:t>
            </w:r>
            <w:r>
              <w:rPr>
                <w:sz w:val="24"/>
              </w:rPr>
              <w:t>并进行隔离</w:t>
            </w:r>
            <w:r>
              <w:rPr>
                <w:rFonts w:hint="eastAsia"/>
                <w:sz w:val="24"/>
              </w:rPr>
              <w:t>，</w:t>
            </w:r>
            <w:r>
              <w:rPr>
                <w:sz w:val="24"/>
              </w:rPr>
              <w:t>严格限制出</w:t>
            </w:r>
            <w:r>
              <w:rPr>
                <w:rFonts w:hint="eastAsia"/>
                <w:sz w:val="24"/>
              </w:rPr>
              <w:t>入</w:t>
            </w:r>
            <w:r>
              <w:rPr>
                <w:sz w:val="24"/>
              </w:rPr>
              <w:t>。</w:t>
            </w:r>
          </w:p>
          <w:p w14:paraId="07BF557E">
            <w:pPr>
              <w:pageBreakBefore w:val="0"/>
              <w:kinsoku/>
              <w:wordWrap/>
              <w:topLinePunct w:val="0"/>
              <w:bidi w:val="0"/>
              <w:spacing w:line="520" w:lineRule="exact"/>
              <w:ind w:firstLine="480" w:firstLineChars="200"/>
              <w:rPr>
                <w:sz w:val="24"/>
              </w:rPr>
            </w:pPr>
            <w:r>
              <w:rPr>
                <w:rFonts w:hint="eastAsia"/>
                <w:sz w:val="24"/>
              </w:rPr>
              <w:t xml:space="preserve">② </w:t>
            </w:r>
            <w:r>
              <w:rPr>
                <w:sz w:val="24"/>
              </w:rPr>
              <w:t>切断</w:t>
            </w:r>
            <w:r>
              <w:rPr>
                <w:rFonts w:hint="eastAsia"/>
                <w:sz w:val="24"/>
              </w:rPr>
              <w:t>可能接触到的</w:t>
            </w:r>
            <w:r>
              <w:rPr>
                <w:sz w:val="24"/>
              </w:rPr>
              <w:t>火源。</w:t>
            </w:r>
          </w:p>
          <w:p w14:paraId="75415A34">
            <w:pPr>
              <w:pageBreakBefore w:val="0"/>
              <w:kinsoku/>
              <w:wordWrap/>
              <w:topLinePunct w:val="0"/>
              <w:bidi w:val="0"/>
              <w:spacing w:line="520" w:lineRule="exact"/>
              <w:ind w:firstLine="480" w:firstLineChars="200"/>
              <w:rPr>
                <w:sz w:val="24"/>
              </w:rPr>
            </w:pPr>
            <w:r>
              <w:rPr>
                <w:rFonts w:hint="eastAsia"/>
                <w:sz w:val="24"/>
              </w:rPr>
              <w:t xml:space="preserve">③ </w:t>
            </w:r>
            <w:r>
              <w:rPr>
                <w:sz w:val="24"/>
              </w:rPr>
              <w:t>建议应急处理人员戴自给正压式呼吸器</w:t>
            </w:r>
            <w:r>
              <w:rPr>
                <w:rFonts w:hint="eastAsia"/>
                <w:sz w:val="24"/>
              </w:rPr>
              <w:t>，</w:t>
            </w:r>
            <w:r>
              <w:rPr>
                <w:sz w:val="24"/>
              </w:rPr>
              <w:t>穿</w:t>
            </w:r>
            <w:r>
              <w:rPr>
                <w:rFonts w:hint="eastAsia"/>
                <w:sz w:val="24"/>
              </w:rPr>
              <w:t>一</w:t>
            </w:r>
            <w:r>
              <w:rPr>
                <w:sz w:val="24"/>
              </w:rPr>
              <w:t>般作业工作服。避免与可燃物或易燃物接触。尽可能切断泄漏源。</w:t>
            </w:r>
          </w:p>
          <w:p w14:paraId="79578210">
            <w:pPr>
              <w:pageBreakBefore w:val="0"/>
              <w:kinsoku/>
              <w:wordWrap/>
              <w:topLinePunct w:val="0"/>
              <w:bidi w:val="0"/>
              <w:spacing w:line="520" w:lineRule="exact"/>
              <w:ind w:firstLine="480" w:firstLineChars="200"/>
              <w:rPr>
                <w:sz w:val="24"/>
              </w:rPr>
            </w:pPr>
            <w:r>
              <w:rPr>
                <w:rFonts w:hint="eastAsia"/>
                <w:sz w:val="24"/>
              </w:rPr>
              <w:t xml:space="preserve">④ </w:t>
            </w:r>
            <w:r>
              <w:rPr>
                <w:sz w:val="24"/>
              </w:rPr>
              <w:t>合理通风，加速扩散。</w:t>
            </w:r>
          </w:p>
          <w:p w14:paraId="21968B93">
            <w:pPr>
              <w:pageBreakBefore w:val="0"/>
              <w:kinsoku/>
              <w:wordWrap/>
              <w:topLinePunct w:val="0"/>
              <w:bidi w:val="0"/>
              <w:spacing w:line="520" w:lineRule="exact"/>
              <w:ind w:firstLine="480" w:firstLineChars="200"/>
              <w:rPr>
                <w:sz w:val="24"/>
              </w:rPr>
            </w:pPr>
            <w:r>
              <w:rPr>
                <w:rFonts w:hint="eastAsia"/>
                <w:sz w:val="24"/>
              </w:rPr>
              <w:t xml:space="preserve">⑤ </w:t>
            </w:r>
            <w:r>
              <w:rPr>
                <w:sz w:val="24"/>
              </w:rPr>
              <w:t>漏气容器要妥善处理</w:t>
            </w:r>
            <w:r>
              <w:rPr>
                <w:rFonts w:hint="eastAsia"/>
                <w:sz w:val="24"/>
              </w:rPr>
              <w:t>，</w:t>
            </w:r>
            <w:r>
              <w:rPr>
                <w:sz w:val="24"/>
              </w:rPr>
              <w:t>修复、检验后再用。</w:t>
            </w:r>
          </w:p>
          <w:p w14:paraId="41502547">
            <w:pPr>
              <w:pageBreakBefore w:val="0"/>
              <w:kinsoku/>
              <w:wordWrap/>
              <w:topLinePunct w:val="0"/>
              <w:bidi w:val="0"/>
              <w:spacing w:line="520" w:lineRule="exact"/>
              <w:ind w:firstLine="480" w:firstLineChars="200"/>
              <w:rPr>
                <w:sz w:val="24"/>
              </w:rPr>
            </w:pPr>
            <w:r>
              <w:rPr>
                <w:rFonts w:hint="eastAsia"/>
                <w:sz w:val="24"/>
              </w:rPr>
              <w:t xml:space="preserve">⑥ </w:t>
            </w:r>
            <w:r>
              <w:rPr>
                <w:sz w:val="24"/>
              </w:rPr>
              <w:t>呼吸系统一般不需要特别防护，高浓度接触时可</w:t>
            </w:r>
            <w:r>
              <w:rPr>
                <w:rFonts w:hint="eastAsia"/>
                <w:sz w:val="24"/>
              </w:rPr>
              <w:t>佩戴</w:t>
            </w:r>
            <w:r>
              <w:rPr>
                <w:sz w:val="24"/>
              </w:rPr>
              <w:t>空气呼吸器</w:t>
            </w:r>
            <w:r>
              <w:rPr>
                <w:rFonts w:hint="eastAsia"/>
                <w:sz w:val="24"/>
              </w:rPr>
              <w:t>；</w:t>
            </w:r>
            <w:r>
              <w:rPr>
                <w:sz w:val="24"/>
              </w:rPr>
              <w:t>眼睛一般不需要特别防护。</w:t>
            </w:r>
          </w:p>
          <w:p w14:paraId="40B8A200">
            <w:pPr>
              <w:pageBreakBefore w:val="0"/>
              <w:kinsoku/>
              <w:wordWrap/>
              <w:topLinePunct w:val="0"/>
              <w:bidi w:val="0"/>
              <w:spacing w:line="520" w:lineRule="exact"/>
              <w:ind w:firstLine="480" w:firstLineChars="200"/>
              <w:rPr>
                <w:sz w:val="24"/>
              </w:rPr>
            </w:pPr>
            <w:r>
              <w:rPr>
                <w:rFonts w:hint="eastAsia"/>
                <w:sz w:val="24"/>
              </w:rPr>
              <w:t xml:space="preserve">⑦ </w:t>
            </w:r>
            <w:r>
              <w:rPr>
                <w:sz w:val="24"/>
              </w:rPr>
              <w:t>穿防静电工作服</w:t>
            </w:r>
            <w:r>
              <w:rPr>
                <w:rFonts w:hint="eastAsia"/>
                <w:sz w:val="24"/>
              </w:rPr>
              <w:t>，</w:t>
            </w:r>
            <w:r>
              <w:rPr>
                <w:sz w:val="24"/>
              </w:rPr>
              <w:t>戴一般作业防护手套。工作现场严禁吸烟</w:t>
            </w:r>
            <w:r>
              <w:rPr>
                <w:rFonts w:hint="eastAsia"/>
                <w:sz w:val="24"/>
              </w:rPr>
              <w:t>，</w:t>
            </w:r>
            <w:r>
              <w:rPr>
                <w:sz w:val="24"/>
              </w:rPr>
              <w:t>避免高浓度吸入。进入罐、限制性空间</w:t>
            </w:r>
            <w:r>
              <w:rPr>
                <w:rFonts w:hint="eastAsia"/>
                <w:sz w:val="24"/>
              </w:rPr>
              <w:t>或其他</w:t>
            </w:r>
            <w:r>
              <w:rPr>
                <w:sz w:val="24"/>
              </w:rPr>
              <w:t>高浓度区作业，须有人监护。</w:t>
            </w:r>
          </w:p>
          <w:p w14:paraId="2767DDEB">
            <w:pPr>
              <w:pageBreakBefore w:val="0"/>
              <w:kinsoku/>
              <w:wordWrap/>
              <w:topLinePunct w:val="0"/>
              <w:bidi w:val="0"/>
              <w:spacing w:line="520" w:lineRule="exact"/>
              <w:ind w:firstLine="480" w:firstLineChars="200"/>
              <w:rPr>
                <w:sz w:val="24"/>
              </w:rPr>
            </w:pPr>
            <w:r>
              <w:rPr>
                <w:rFonts w:hint="eastAsia"/>
                <w:sz w:val="24"/>
              </w:rPr>
              <w:t>⑧ 当人员出现高浓度吸入</w:t>
            </w:r>
            <w:r>
              <w:rPr>
                <w:rFonts w:hint="eastAsia"/>
                <w:sz w:val="24"/>
                <w:lang w:val="en-US" w:eastAsia="zh-CN"/>
              </w:rPr>
              <w:t>泄漏气体</w:t>
            </w:r>
            <w:r>
              <w:rPr>
                <w:rFonts w:hint="eastAsia"/>
                <w:sz w:val="24"/>
              </w:rPr>
              <w:t>时，应将伤者</w:t>
            </w:r>
            <w:r>
              <w:rPr>
                <w:sz w:val="24"/>
              </w:rPr>
              <w:t>迅速脱离现场至空气新鲜处。保持呼吸道通畅。如呼吸困难，给输氧。如呼吸停止，立即进行人工呼吸</w:t>
            </w:r>
            <w:r>
              <w:rPr>
                <w:rFonts w:hint="eastAsia"/>
                <w:sz w:val="24"/>
              </w:rPr>
              <w:t>，</w:t>
            </w:r>
            <w:r>
              <w:rPr>
                <w:sz w:val="24"/>
              </w:rPr>
              <w:t>就医。</w:t>
            </w:r>
          </w:p>
          <w:p w14:paraId="7F5242D1">
            <w:pPr>
              <w:pageBreakBefore w:val="0"/>
              <w:kinsoku/>
              <w:wordWrap/>
              <w:topLinePunct w:val="0"/>
              <w:bidi w:val="0"/>
              <w:spacing w:line="520" w:lineRule="exact"/>
              <w:ind w:firstLine="482" w:firstLineChars="200"/>
              <w:rPr>
                <w:bCs/>
                <w:sz w:val="24"/>
              </w:rPr>
            </w:pPr>
            <w:r>
              <w:rPr>
                <w:b/>
                <w:sz w:val="24"/>
              </w:rPr>
              <w:t>7.6 分析结论</w:t>
            </w:r>
          </w:p>
          <w:p w14:paraId="517DCD18">
            <w:pPr>
              <w:pageBreakBefore w:val="0"/>
              <w:kinsoku/>
              <w:wordWrap/>
              <w:topLinePunct w:val="0"/>
              <w:bidi w:val="0"/>
              <w:spacing w:line="520" w:lineRule="exact"/>
              <w:ind w:firstLine="480" w:firstLineChars="200"/>
              <w:rPr>
                <w:bCs/>
                <w:sz w:val="24"/>
              </w:rPr>
            </w:pPr>
            <w:r>
              <w:rPr>
                <w:bCs/>
                <w:sz w:val="24"/>
              </w:rPr>
              <w:t>综合以上分析，本项目的环境风险防范措施及制定的预案切实可行、有效。在落实风险防范措施、应急预案后，其发生事故的概率较低，其环境危害也是较小的，环境风险水平是</w:t>
            </w:r>
            <w:r>
              <w:rPr>
                <w:rFonts w:hint="eastAsia"/>
                <w:bCs/>
                <w:sz w:val="24"/>
              </w:rPr>
              <w:t>可以</w:t>
            </w:r>
            <w:r>
              <w:rPr>
                <w:bCs/>
                <w:sz w:val="24"/>
              </w:rPr>
              <w:t>接受的，本项目建设可行。</w:t>
            </w:r>
          </w:p>
          <w:p w14:paraId="3AEA31F7">
            <w:pPr>
              <w:pageBreakBefore w:val="0"/>
              <w:kinsoku/>
              <w:wordWrap/>
              <w:topLinePunct w:val="0"/>
              <w:bidi w:val="0"/>
              <w:spacing w:line="520" w:lineRule="exact"/>
              <w:ind w:firstLine="480" w:firstLineChars="200"/>
              <w:rPr>
                <w:bCs/>
                <w:sz w:val="24"/>
              </w:rPr>
            </w:pPr>
            <w:r>
              <w:rPr>
                <w:sz w:val="24"/>
              </w:rPr>
              <w:t>项目环境风险简单分析</w:t>
            </w:r>
            <w:r>
              <w:rPr>
                <w:rFonts w:hint="eastAsia"/>
                <w:sz w:val="24"/>
              </w:rPr>
              <w:t>内容</w:t>
            </w:r>
            <w:r>
              <w:rPr>
                <w:sz w:val="24"/>
              </w:rPr>
              <w:t>见</w:t>
            </w:r>
            <w:r>
              <w:rPr>
                <w:rFonts w:hint="eastAsia"/>
                <w:sz w:val="24"/>
              </w:rPr>
              <w:t>下</w:t>
            </w:r>
            <w:r>
              <w:rPr>
                <w:sz w:val="24"/>
              </w:rPr>
              <w:t>表。</w:t>
            </w:r>
          </w:p>
          <w:p w14:paraId="23022D46">
            <w:pPr>
              <w:pStyle w:val="25"/>
              <w:pageBreakBefore w:val="0"/>
              <w:kinsoku/>
              <w:wordWrap/>
              <w:topLinePunct w:val="0"/>
              <w:bidi w:val="0"/>
              <w:rPr>
                <w:rFonts w:hint="default" w:ascii="Times New Roman" w:hAnsi="Times New Roman" w:cs="Times New Roman"/>
              </w:rPr>
            </w:pPr>
            <w:r>
              <w:rPr>
                <w:rFonts w:hint="default"/>
              </w:rPr>
              <w:t>表4-1</w:t>
            </w:r>
            <w:r>
              <w:rPr>
                <w:rFonts w:hint="eastAsia"/>
                <w:lang w:val="en-US" w:eastAsia="zh-CN"/>
              </w:rPr>
              <w:t>3</w:t>
            </w:r>
            <w:r>
              <w:rPr>
                <w:rFonts w:hint="default"/>
              </w:rPr>
              <w:t xml:space="preserve">  建设项目环境风险简单分析内容表</w:t>
            </w:r>
          </w:p>
          <w:tbl>
            <w:tblPr>
              <w:tblStyle w:val="13"/>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28" w:type="dxa"/>
                <w:left w:w="28" w:type="dxa"/>
                <w:bottom w:w="28" w:type="dxa"/>
                <w:right w:w="28" w:type="dxa"/>
              </w:tblCellMar>
            </w:tblPr>
            <w:tblGrid>
              <w:gridCol w:w="2025"/>
              <w:gridCol w:w="6365"/>
            </w:tblGrid>
            <w:tr w14:paraId="421101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207" w:type="pct"/>
                  <w:noWrap w:val="0"/>
                  <w:vAlign w:val="center"/>
                </w:tcPr>
                <w:p w14:paraId="656BF836">
                  <w:pPr>
                    <w:pageBreakBefore w:val="0"/>
                    <w:kinsoku/>
                    <w:wordWrap/>
                    <w:topLinePunct w:val="0"/>
                    <w:bidi w:val="0"/>
                    <w:spacing w:line="280" w:lineRule="exact"/>
                    <w:jc w:val="center"/>
                    <w:rPr>
                      <w:szCs w:val="21"/>
                    </w:rPr>
                  </w:pPr>
                  <w:r>
                    <w:rPr>
                      <w:szCs w:val="21"/>
                    </w:rPr>
                    <w:t>建设项目名称</w:t>
                  </w:r>
                </w:p>
              </w:tc>
              <w:tc>
                <w:tcPr>
                  <w:tcW w:w="3792" w:type="pct"/>
                  <w:noWrap w:val="0"/>
                  <w:vAlign w:val="center"/>
                </w:tcPr>
                <w:p w14:paraId="32377EAA">
                  <w:pPr>
                    <w:pageBreakBefore w:val="0"/>
                    <w:kinsoku/>
                    <w:wordWrap/>
                    <w:topLinePunct w:val="0"/>
                    <w:bidi w:val="0"/>
                    <w:spacing w:line="280" w:lineRule="exact"/>
                    <w:jc w:val="center"/>
                    <w:rPr>
                      <w:szCs w:val="21"/>
                    </w:rPr>
                  </w:pPr>
                  <w:r>
                    <w:rPr>
                      <w:rFonts w:hint="eastAsia"/>
                    </w:rPr>
                    <w:t>新疆圣雄能源股份有限公司5000Nm</w:t>
                  </w:r>
                  <w:r>
                    <w:rPr>
                      <w:rFonts w:hint="eastAsia"/>
                      <w:vertAlign w:val="superscript"/>
                      <w:lang w:eastAsia="zh-CN"/>
                    </w:rPr>
                    <w:t>3</w:t>
                  </w:r>
                  <w:r>
                    <w:rPr>
                      <w:rFonts w:hint="eastAsia"/>
                    </w:rPr>
                    <w:t>/h荒煤气绿色提氢综合利用项目</w:t>
                  </w:r>
                </w:p>
              </w:tc>
            </w:tr>
            <w:tr w14:paraId="505471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207" w:type="pct"/>
                  <w:noWrap w:val="0"/>
                  <w:vAlign w:val="center"/>
                </w:tcPr>
                <w:p w14:paraId="5D86B2E5">
                  <w:pPr>
                    <w:pageBreakBefore w:val="0"/>
                    <w:kinsoku/>
                    <w:wordWrap/>
                    <w:topLinePunct w:val="0"/>
                    <w:bidi w:val="0"/>
                    <w:spacing w:line="280" w:lineRule="exact"/>
                    <w:jc w:val="center"/>
                    <w:rPr>
                      <w:szCs w:val="21"/>
                    </w:rPr>
                  </w:pPr>
                  <w:r>
                    <w:rPr>
                      <w:szCs w:val="21"/>
                    </w:rPr>
                    <w:t>建设地点</w:t>
                  </w:r>
                </w:p>
              </w:tc>
              <w:tc>
                <w:tcPr>
                  <w:tcW w:w="3792" w:type="pct"/>
                  <w:noWrap w:val="0"/>
                  <w:vAlign w:val="center"/>
                </w:tcPr>
                <w:p w14:paraId="5CFB06F0">
                  <w:pPr>
                    <w:pageBreakBefore w:val="0"/>
                    <w:kinsoku/>
                    <w:wordWrap/>
                    <w:topLinePunct w:val="0"/>
                    <w:bidi w:val="0"/>
                    <w:spacing w:line="280" w:lineRule="exact"/>
                    <w:jc w:val="center"/>
                    <w:rPr>
                      <w:szCs w:val="21"/>
                    </w:rPr>
                  </w:pPr>
                </w:p>
              </w:tc>
            </w:tr>
            <w:tr w14:paraId="6A7EB7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207" w:type="pct"/>
                  <w:noWrap w:val="0"/>
                  <w:vAlign w:val="center"/>
                </w:tcPr>
                <w:p w14:paraId="671EB594">
                  <w:pPr>
                    <w:pageBreakBefore w:val="0"/>
                    <w:kinsoku/>
                    <w:wordWrap/>
                    <w:topLinePunct w:val="0"/>
                    <w:bidi w:val="0"/>
                    <w:spacing w:line="280" w:lineRule="exact"/>
                    <w:jc w:val="center"/>
                    <w:rPr>
                      <w:szCs w:val="21"/>
                    </w:rPr>
                  </w:pPr>
                  <w:r>
                    <w:rPr>
                      <w:szCs w:val="21"/>
                    </w:rPr>
                    <w:t>地理坐标</w:t>
                  </w:r>
                </w:p>
              </w:tc>
              <w:tc>
                <w:tcPr>
                  <w:tcW w:w="3792" w:type="pct"/>
                  <w:noWrap w:val="0"/>
                  <w:vAlign w:val="center"/>
                </w:tcPr>
                <w:p w14:paraId="285D6C0D">
                  <w:pPr>
                    <w:pageBreakBefore w:val="0"/>
                    <w:kinsoku/>
                    <w:wordWrap/>
                    <w:topLinePunct w:val="0"/>
                    <w:bidi w:val="0"/>
                    <w:spacing w:line="280" w:lineRule="exact"/>
                    <w:jc w:val="center"/>
                    <w:rPr>
                      <w:szCs w:val="21"/>
                    </w:rPr>
                  </w:pPr>
                </w:p>
              </w:tc>
            </w:tr>
            <w:tr w14:paraId="2B6A7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207" w:type="pct"/>
                  <w:noWrap w:val="0"/>
                  <w:vAlign w:val="center"/>
                </w:tcPr>
                <w:p w14:paraId="37D184F5">
                  <w:pPr>
                    <w:pageBreakBefore w:val="0"/>
                    <w:kinsoku/>
                    <w:wordWrap/>
                    <w:topLinePunct w:val="0"/>
                    <w:bidi w:val="0"/>
                    <w:spacing w:line="280" w:lineRule="exact"/>
                    <w:jc w:val="center"/>
                    <w:rPr>
                      <w:szCs w:val="21"/>
                    </w:rPr>
                  </w:pPr>
                  <w:r>
                    <w:rPr>
                      <w:szCs w:val="21"/>
                    </w:rPr>
                    <w:t>主要危险物质及分布</w:t>
                  </w:r>
                </w:p>
              </w:tc>
              <w:tc>
                <w:tcPr>
                  <w:tcW w:w="3792" w:type="pct"/>
                  <w:noWrap w:val="0"/>
                  <w:vAlign w:val="center"/>
                </w:tcPr>
                <w:p w14:paraId="7C675210">
                  <w:pPr>
                    <w:pageBreakBefore w:val="0"/>
                    <w:kinsoku/>
                    <w:wordWrap/>
                    <w:topLinePunct w:val="0"/>
                    <w:bidi w:val="0"/>
                    <w:spacing w:line="280" w:lineRule="exact"/>
                    <w:jc w:val="left"/>
                    <w:rPr>
                      <w:rFonts w:hint="default" w:eastAsia="宋体"/>
                      <w:szCs w:val="21"/>
                      <w:lang w:val="en-US" w:eastAsia="zh-CN"/>
                    </w:rPr>
                  </w:pPr>
                  <w:r>
                    <w:rPr>
                      <w:rFonts w:hint="eastAsia"/>
                      <w:szCs w:val="21"/>
                    </w:rPr>
                    <w:t>污油罐内的</w:t>
                  </w:r>
                  <w:r>
                    <w:rPr>
                      <w:rFonts w:hint="eastAsia"/>
                      <w:szCs w:val="21"/>
                      <w:lang w:val="en-US" w:eastAsia="zh-CN"/>
                    </w:rPr>
                    <w:t>含油废液</w:t>
                  </w:r>
                  <w:r>
                    <w:rPr>
                      <w:rFonts w:hint="eastAsia"/>
                      <w:szCs w:val="21"/>
                    </w:rPr>
                    <w:t>；压缩机现场更换的</w:t>
                  </w:r>
                  <w:r>
                    <w:rPr>
                      <w:szCs w:val="21"/>
                    </w:rPr>
                    <w:t>废润滑油</w:t>
                  </w:r>
                  <w:r>
                    <w:rPr>
                      <w:rFonts w:hint="eastAsia"/>
                      <w:szCs w:val="21"/>
                    </w:rPr>
                    <w:t>；</w:t>
                  </w:r>
                  <w:r>
                    <w:rPr>
                      <w:rFonts w:hint="eastAsia"/>
                      <w:szCs w:val="21"/>
                      <w:lang w:val="en-US" w:eastAsia="zh-CN"/>
                    </w:rPr>
                    <w:t>气体储罐</w:t>
                  </w:r>
                  <w:r>
                    <w:rPr>
                      <w:rFonts w:hint="eastAsia"/>
                      <w:szCs w:val="21"/>
                    </w:rPr>
                    <w:t>内的氢气</w:t>
                  </w:r>
                  <w:r>
                    <w:rPr>
                      <w:rFonts w:hint="eastAsia"/>
                      <w:szCs w:val="21"/>
                      <w:lang w:eastAsia="zh-CN"/>
                    </w:rPr>
                    <w:t>、</w:t>
                  </w:r>
                  <w:r>
                    <w:rPr>
                      <w:rFonts w:hint="eastAsia"/>
                      <w:szCs w:val="21"/>
                      <w:lang w:val="en-US" w:eastAsia="zh-CN"/>
                    </w:rPr>
                    <w:t>一氧化碳和甲烷</w:t>
                  </w:r>
                </w:p>
              </w:tc>
            </w:tr>
            <w:tr w14:paraId="67CBDB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207" w:type="pct"/>
                  <w:noWrap w:val="0"/>
                  <w:vAlign w:val="center"/>
                </w:tcPr>
                <w:p w14:paraId="143A0A74">
                  <w:pPr>
                    <w:pageBreakBefore w:val="0"/>
                    <w:kinsoku/>
                    <w:wordWrap/>
                    <w:topLinePunct w:val="0"/>
                    <w:bidi w:val="0"/>
                    <w:spacing w:line="280" w:lineRule="exact"/>
                    <w:jc w:val="center"/>
                    <w:rPr>
                      <w:szCs w:val="21"/>
                    </w:rPr>
                  </w:pPr>
                  <w:r>
                    <w:rPr>
                      <w:szCs w:val="21"/>
                    </w:rPr>
                    <w:t>环境影响途径</w:t>
                  </w:r>
                </w:p>
                <w:p w14:paraId="7BB97D1D">
                  <w:pPr>
                    <w:pageBreakBefore w:val="0"/>
                    <w:kinsoku/>
                    <w:wordWrap/>
                    <w:topLinePunct w:val="0"/>
                    <w:bidi w:val="0"/>
                    <w:spacing w:line="280" w:lineRule="exact"/>
                    <w:jc w:val="center"/>
                    <w:rPr>
                      <w:szCs w:val="21"/>
                    </w:rPr>
                  </w:pPr>
                  <w:r>
                    <w:rPr>
                      <w:szCs w:val="21"/>
                    </w:rPr>
                    <w:t>及危害后果</w:t>
                  </w:r>
                </w:p>
              </w:tc>
              <w:tc>
                <w:tcPr>
                  <w:tcW w:w="3792" w:type="pct"/>
                  <w:noWrap w:val="0"/>
                  <w:vAlign w:val="center"/>
                </w:tcPr>
                <w:p w14:paraId="02EE95C1">
                  <w:pPr>
                    <w:pageBreakBefore w:val="0"/>
                    <w:kinsoku/>
                    <w:wordWrap/>
                    <w:topLinePunct w:val="0"/>
                    <w:bidi w:val="0"/>
                    <w:spacing w:line="280" w:lineRule="exact"/>
                    <w:jc w:val="left"/>
                    <w:rPr>
                      <w:szCs w:val="21"/>
                    </w:rPr>
                  </w:pPr>
                  <w:r>
                    <w:rPr>
                      <w:rFonts w:hint="eastAsia"/>
                      <w:szCs w:val="21"/>
                    </w:rPr>
                    <w:t>污油罐或</w:t>
                  </w:r>
                  <w:r>
                    <w:rPr>
                      <w:szCs w:val="21"/>
                    </w:rPr>
                    <w:t>废润滑油存储容器发生油品泄漏，污染土壤和地下水</w:t>
                  </w:r>
                  <w:r>
                    <w:rPr>
                      <w:rFonts w:hint="eastAsia"/>
                      <w:szCs w:val="21"/>
                    </w:rPr>
                    <w:t>；氢气</w:t>
                  </w:r>
                  <w:r>
                    <w:rPr>
                      <w:rFonts w:hint="eastAsia"/>
                      <w:szCs w:val="21"/>
                      <w:lang w:eastAsia="zh-CN"/>
                    </w:rPr>
                    <w:t>、</w:t>
                  </w:r>
                  <w:r>
                    <w:rPr>
                      <w:rFonts w:hint="eastAsia"/>
                      <w:szCs w:val="21"/>
                      <w:lang w:val="en-US" w:eastAsia="zh-CN"/>
                    </w:rPr>
                    <w:t>一氧化碳、甲烷</w:t>
                  </w:r>
                  <w:r>
                    <w:rPr>
                      <w:rFonts w:hint="eastAsia"/>
                      <w:szCs w:val="21"/>
                    </w:rPr>
                    <w:t>泄漏形成蒸汽云，发生爆炸事故</w:t>
                  </w:r>
                </w:p>
              </w:tc>
            </w:tr>
            <w:tr w14:paraId="5B1960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207" w:type="pct"/>
                  <w:noWrap w:val="0"/>
                  <w:vAlign w:val="center"/>
                </w:tcPr>
                <w:p w14:paraId="613CA4C0">
                  <w:pPr>
                    <w:pageBreakBefore w:val="0"/>
                    <w:kinsoku/>
                    <w:wordWrap/>
                    <w:topLinePunct w:val="0"/>
                    <w:bidi w:val="0"/>
                    <w:spacing w:line="280" w:lineRule="exact"/>
                    <w:jc w:val="center"/>
                    <w:rPr>
                      <w:szCs w:val="21"/>
                    </w:rPr>
                  </w:pPr>
                  <w:r>
                    <w:rPr>
                      <w:szCs w:val="21"/>
                    </w:rPr>
                    <w:t>风险防范措施要求</w:t>
                  </w:r>
                </w:p>
              </w:tc>
              <w:tc>
                <w:tcPr>
                  <w:tcW w:w="3792" w:type="pct"/>
                  <w:noWrap w:val="0"/>
                  <w:vAlign w:val="center"/>
                </w:tcPr>
                <w:p w14:paraId="7F18190D">
                  <w:pPr>
                    <w:pageBreakBefore w:val="0"/>
                    <w:kinsoku/>
                    <w:wordWrap/>
                    <w:topLinePunct w:val="0"/>
                    <w:bidi w:val="0"/>
                    <w:spacing w:line="280" w:lineRule="exact"/>
                    <w:jc w:val="left"/>
                    <w:rPr>
                      <w:szCs w:val="21"/>
                    </w:rPr>
                  </w:pPr>
                  <w:r>
                    <w:rPr>
                      <w:szCs w:val="21"/>
                    </w:rPr>
                    <w:t>（1）风险源防范措施</w:t>
                  </w:r>
                </w:p>
                <w:p w14:paraId="62A7B122">
                  <w:pPr>
                    <w:pageBreakBefore w:val="0"/>
                    <w:kinsoku/>
                    <w:wordWrap/>
                    <w:topLinePunct w:val="0"/>
                    <w:bidi w:val="0"/>
                    <w:spacing w:line="280" w:lineRule="exact"/>
                    <w:jc w:val="left"/>
                    <w:rPr>
                      <w:szCs w:val="21"/>
                    </w:rPr>
                  </w:pPr>
                  <w:r>
                    <w:rPr>
                      <w:szCs w:val="21"/>
                    </w:rPr>
                    <w:t>① 本项目存储废润滑油的容器选用钢制容器，要求相关容器无缺口、破损，无脱焊情况，可保证有效收纳废润滑液。</w:t>
                  </w:r>
                </w:p>
                <w:p w14:paraId="352976D2">
                  <w:pPr>
                    <w:pageBreakBefore w:val="0"/>
                    <w:kinsoku/>
                    <w:wordWrap/>
                    <w:topLinePunct w:val="0"/>
                    <w:bidi w:val="0"/>
                    <w:spacing w:line="280" w:lineRule="exact"/>
                    <w:jc w:val="left"/>
                    <w:rPr>
                      <w:szCs w:val="21"/>
                    </w:rPr>
                  </w:pPr>
                  <w:r>
                    <w:rPr>
                      <w:szCs w:val="21"/>
                    </w:rPr>
                    <w:t>② 本项目不设置单独的危废暂存间，更换下来的的废润滑油及时清运至新疆圣雄能源股份有限公司危险废物暂存间进行存储。进行润滑油更换作业时，相关作业区域地面铺设塑料膜，最大限度减少废润滑油泄漏。更换作业完毕时，作业人员对场地进行清理，确保现场无油类物质残留。</w:t>
                  </w:r>
                </w:p>
                <w:p w14:paraId="1E8DAE81">
                  <w:pPr>
                    <w:pageBreakBefore w:val="0"/>
                    <w:kinsoku/>
                    <w:wordWrap/>
                    <w:topLinePunct w:val="0"/>
                    <w:bidi w:val="0"/>
                    <w:spacing w:line="280" w:lineRule="exact"/>
                    <w:jc w:val="left"/>
                    <w:rPr>
                      <w:szCs w:val="21"/>
                    </w:rPr>
                  </w:pPr>
                  <w:r>
                    <w:rPr>
                      <w:szCs w:val="21"/>
                    </w:rPr>
                    <w:t>③ 本项目采取分区防渗，地下污油罐设置为重点污染防渗区，建设的防渗要求须达到《危险废物贮存污染控制标准》</w:t>
                  </w:r>
                  <w:r>
                    <w:rPr>
                      <w:rFonts w:hint="eastAsia"/>
                      <w:szCs w:val="21"/>
                    </w:rPr>
                    <w:t>（</w:t>
                  </w:r>
                  <w:r>
                    <w:rPr>
                      <w:szCs w:val="21"/>
                    </w:rPr>
                    <w:t>GB 18597-2001）及2013年修改单和危险废物暂存场所渗透系数达1.0×10-10cm/s的要求。</w:t>
                  </w:r>
                </w:p>
                <w:p w14:paraId="1CC2EC48">
                  <w:pPr>
                    <w:pageBreakBefore w:val="0"/>
                    <w:kinsoku/>
                    <w:wordWrap/>
                    <w:topLinePunct w:val="0"/>
                    <w:bidi w:val="0"/>
                    <w:spacing w:line="280" w:lineRule="exact"/>
                    <w:jc w:val="left"/>
                    <w:rPr>
                      <w:szCs w:val="21"/>
                    </w:rPr>
                  </w:pPr>
                  <w:r>
                    <w:rPr>
                      <w:szCs w:val="21"/>
                    </w:rPr>
                    <w:t>④ 加强员工教育培训，建议设置专人定期对地下污油罐进行检视，确保容器完好、防渗要求达标，如发生泄漏应及时清理风险源，最大限度减少环境风险事故的发生。</w:t>
                  </w:r>
                </w:p>
                <w:p w14:paraId="159035FE">
                  <w:pPr>
                    <w:pageBreakBefore w:val="0"/>
                    <w:kinsoku/>
                    <w:wordWrap/>
                    <w:topLinePunct w:val="0"/>
                    <w:bidi w:val="0"/>
                    <w:spacing w:line="280" w:lineRule="exact"/>
                    <w:jc w:val="left"/>
                    <w:rPr>
                      <w:szCs w:val="21"/>
                    </w:rPr>
                  </w:pPr>
                  <w:r>
                    <w:rPr>
                      <w:szCs w:val="21"/>
                    </w:rPr>
                    <w:t>⑤ 一旦发生污染物泄漏，应及时切断并封堵泄漏源，并对泄漏物所在的地面进行及时截流封堵，尽可能将泄漏物控制在一个相对较小的范围内，防止泄漏物四处流淌而增加地下水及土壤污染的风险。</w:t>
                  </w:r>
                </w:p>
                <w:p w14:paraId="7B37AD7D">
                  <w:pPr>
                    <w:pageBreakBefore w:val="0"/>
                    <w:kinsoku/>
                    <w:wordWrap/>
                    <w:topLinePunct w:val="0"/>
                    <w:bidi w:val="0"/>
                    <w:spacing w:line="280" w:lineRule="exact"/>
                    <w:jc w:val="left"/>
                    <w:rPr>
                      <w:szCs w:val="21"/>
                    </w:rPr>
                  </w:pPr>
                  <w:r>
                    <w:rPr>
                      <w:szCs w:val="21"/>
                    </w:rPr>
                    <w:t>⑥ 当发生严重的地下水污染事故，使得项目场地不能正常工作时，则应报环保部门批准后实行非正常封场，防止污染进一步扩散；同时进行评估决定是否采取进一步的工程防护措施；继续对地下水及土壤已经受到污染的区域进行跟踪监测，并根据需要开展风险评估，根据风险评估结果决定是否进行地下水修复工作。</w:t>
                  </w:r>
                </w:p>
                <w:p w14:paraId="5D3F2E40">
                  <w:pPr>
                    <w:pageBreakBefore w:val="0"/>
                    <w:kinsoku/>
                    <w:wordWrap/>
                    <w:topLinePunct w:val="0"/>
                    <w:bidi w:val="0"/>
                    <w:spacing w:line="280" w:lineRule="exact"/>
                    <w:jc w:val="left"/>
                    <w:rPr>
                      <w:szCs w:val="21"/>
                    </w:rPr>
                  </w:pPr>
                  <w:r>
                    <w:rPr>
                      <w:szCs w:val="21"/>
                    </w:rPr>
                    <w:t>⑦ 由于受项目所在地水文地质条件限制，被污染的地下水径流迁移较缓慢，将较长时间存在于项目场地所在区域的潜水含水层中。对于已被污染的土壤需及时挖掘清理并妥善处置，防止土壤中污染物随降雨淋滤进一步下渗进入地下水中，同时可考虑通过小范围内的地下水抽排措施降低地下水水位，切断污染物在地下水中的迁移途径，防止污染</w:t>
                  </w:r>
                  <w:r>
                    <w:rPr>
                      <w:rFonts w:hint="eastAsia"/>
                      <w:szCs w:val="21"/>
                    </w:rPr>
                    <w:t>物</w:t>
                  </w:r>
                  <w:r>
                    <w:rPr>
                      <w:szCs w:val="21"/>
                    </w:rPr>
                    <w:t>扩散，或在污染源下游建设渗透性反应墙，控制污染源向下游扩散并去除地下水中的污染物。（2）土壤防范措施</w:t>
                  </w:r>
                </w:p>
                <w:p w14:paraId="278F7CDC">
                  <w:pPr>
                    <w:pageBreakBefore w:val="0"/>
                    <w:kinsoku/>
                    <w:wordWrap/>
                    <w:topLinePunct w:val="0"/>
                    <w:bidi w:val="0"/>
                    <w:spacing w:line="280" w:lineRule="exact"/>
                    <w:jc w:val="left"/>
                    <w:rPr>
                      <w:szCs w:val="21"/>
                    </w:rPr>
                  </w:pPr>
                  <w:r>
                    <w:rPr>
                      <w:szCs w:val="21"/>
                    </w:rPr>
                    <w:t>根据类比调查结果可知，油品泄漏事故发生后，在非渗透性的基岩及粘重土壤上污染（扩展）面积较大，而疏松土质上影响的扩展范围较小，在泄漏事故发生的最初，油品在土壤中下渗至一定深度，随泄漏时间的延长，下渗深度增加不大（落地油品一般在土壤表层20cm以上深度内积聚）。</w:t>
                  </w:r>
                </w:p>
                <w:p w14:paraId="4AA8D5CA">
                  <w:pPr>
                    <w:pageBreakBefore w:val="0"/>
                    <w:kinsoku/>
                    <w:wordWrap/>
                    <w:topLinePunct w:val="0"/>
                    <w:bidi w:val="0"/>
                    <w:spacing w:line="280" w:lineRule="exact"/>
                    <w:jc w:val="left"/>
                    <w:rPr>
                      <w:szCs w:val="21"/>
                    </w:rPr>
                  </w:pPr>
                  <w:r>
                    <w:rPr>
                      <w:szCs w:val="21"/>
                    </w:rPr>
                    <w:t>当发现本项目出现因润滑油泄漏造成土壤污染时，应第一时间切断污染源，委托具备危废处置资质的单位将被污染的区域及周边土壤挖出一并拉运处置，必要时可开展土壤监测，确定是否对土壤造成污染。</w:t>
                  </w:r>
                </w:p>
                <w:p w14:paraId="1AC0CE0A">
                  <w:pPr>
                    <w:pageBreakBefore w:val="0"/>
                    <w:kinsoku/>
                    <w:wordWrap/>
                    <w:topLinePunct w:val="0"/>
                    <w:bidi w:val="0"/>
                    <w:spacing w:line="280" w:lineRule="exact"/>
                    <w:jc w:val="left"/>
                    <w:rPr>
                      <w:szCs w:val="21"/>
                    </w:rPr>
                  </w:pPr>
                  <w:r>
                    <w:rPr>
                      <w:szCs w:val="21"/>
                    </w:rPr>
                    <w:t>（3）地下水防范措施</w:t>
                  </w:r>
                </w:p>
                <w:p w14:paraId="37B4B2E3">
                  <w:pPr>
                    <w:pageBreakBefore w:val="0"/>
                    <w:kinsoku/>
                    <w:wordWrap/>
                    <w:topLinePunct w:val="0"/>
                    <w:bidi w:val="0"/>
                    <w:spacing w:line="280" w:lineRule="exact"/>
                    <w:jc w:val="left"/>
                    <w:rPr>
                      <w:szCs w:val="21"/>
                    </w:rPr>
                  </w:pPr>
                  <w:r>
                    <w:rPr>
                      <w:szCs w:val="21"/>
                    </w:rPr>
                    <w:t>在正常工况下，加大检修力度，发生泄漏事故及时找到泄漏点，及时维修，并将受污染的土壤全部回收，送至主体装置区进行处理，污染物从源头和末端均得到控制，没有污染地下水的通道，污染物不会渗入地下污染地下水体。</w:t>
                  </w:r>
                </w:p>
                <w:p w14:paraId="1965E19F">
                  <w:pPr>
                    <w:pageBreakBefore w:val="0"/>
                    <w:kinsoku/>
                    <w:wordWrap/>
                    <w:topLinePunct w:val="0"/>
                    <w:bidi w:val="0"/>
                    <w:spacing w:line="280" w:lineRule="exact"/>
                    <w:jc w:val="left"/>
                    <w:rPr>
                      <w:szCs w:val="21"/>
                    </w:rPr>
                  </w:pPr>
                  <w:r>
                    <w:rPr>
                      <w:szCs w:val="21"/>
                    </w:rPr>
                    <w:t>当泄漏事故不可控时，泄漏的油品经土层渗漏，通过包气带进入含水层。根据《采油废水中石油类污染物在土壤中的迁移规律研究》（岳占林文）中结论：土壤尽管颗粒较粗、结构较松散、孔隙比较大，但对石油类物质的截留作用是非常显著的，石油类很难在土壤剖面中随水下渗迁移，基本上被截留在0～10cm或0～20cm表层土壤中，其中表层0～5cm土壤截留了90%以上的泄漏油品。因此，即使发生油品泄漏事故，做到及时发现、及时处理，彻底清除泄漏油品、被污染的土壤，不会对地下水体环境质量产生大的影响。</w:t>
                  </w:r>
                </w:p>
                <w:p w14:paraId="23C95D93">
                  <w:pPr>
                    <w:pageBreakBefore w:val="0"/>
                    <w:kinsoku/>
                    <w:wordWrap/>
                    <w:topLinePunct w:val="0"/>
                    <w:bidi w:val="0"/>
                    <w:spacing w:line="280" w:lineRule="exact"/>
                    <w:jc w:val="left"/>
                    <w:rPr>
                      <w:szCs w:val="21"/>
                    </w:rPr>
                  </w:pPr>
                  <w:r>
                    <w:rPr>
                      <w:szCs w:val="21"/>
                    </w:rPr>
                    <w:t>（3）火灾爆炸风险防范措施</w:t>
                  </w:r>
                </w:p>
                <w:p w14:paraId="00F0E0CC">
                  <w:pPr>
                    <w:pageBreakBefore w:val="0"/>
                    <w:kinsoku/>
                    <w:wordWrap/>
                    <w:topLinePunct w:val="0"/>
                    <w:bidi w:val="0"/>
                    <w:spacing w:line="280" w:lineRule="exact"/>
                    <w:jc w:val="left"/>
                    <w:rPr>
                      <w:szCs w:val="21"/>
                    </w:rPr>
                  </w:pPr>
                  <w:r>
                    <w:rPr>
                      <w:szCs w:val="21"/>
                    </w:rPr>
                    <w:t>① 当</w:t>
                  </w:r>
                  <w:r>
                    <w:rPr>
                      <w:rFonts w:hint="eastAsia"/>
                      <w:szCs w:val="21"/>
                      <w:lang w:val="en-US" w:eastAsia="zh-CN"/>
                    </w:rPr>
                    <w:t>气体储罐</w:t>
                  </w:r>
                  <w:r>
                    <w:rPr>
                      <w:szCs w:val="21"/>
                    </w:rPr>
                    <w:t>发生泄漏事故时，应第一时间切断气源，迅速撤离泄漏污染区人员至上风处，并进行隔离，严格限制出入。</w:t>
                  </w:r>
                </w:p>
                <w:p w14:paraId="332A3913">
                  <w:pPr>
                    <w:pageBreakBefore w:val="0"/>
                    <w:kinsoku/>
                    <w:wordWrap/>
                    <w:topLinePunct w:val="0"/>
                    <w:bidi w:val="0"/>
                    <w:spacing w:line="280" w:lineRule="exact"/>
                    <w:jc w:val="left"/>
                    <w:rPr>
                      <w:szCs w:val="21"/>
                    </w:rPr>
                  </w:pPr>
                  <w:r>
                    <w:rPr>
                      <w:szCs w:val="21"/>
                    </w:rPr>
                    <w:t>② 切断可能接触到的火源。</w:t>
                  </w:r>
                </w:p>
                <w:p w14:paraId="6B8B15BF">
                  <w:pPr>
                    <w:pageBreakBefore w:val="0"/>
                    <w:kinsoku/>
                    <w:wordWrap/>
                    <w:topLinePunct w:val="0"/>
                    <w:bidi w:val="0"/>
                    <w:spacing w:line="280" w:lineRule="exact"/>
                    <w:jc w:val="left"/>
                    <w:rPr>
                      <w:szCs w:val="21"/>
                    </w:rPr>
                  </w:pPr>
                  <w:r>
                    <w:rPr>
                      <w:szCs w:val="21"/>
                    </w:rPr>
                    <w:t>③ 建议应急处理人员戴自给正压式呼吸器，穿一般作业工作服。避免与可燃物或易燃物接触。尽可能切断泄漏源。</w:t>
                  </w:r>
                </w:p>
                <w:p w14:paraId="087E9E71">
                  <w:pPr>
                    <w:pageBreakBefore w:val="0"/>
                    <w:kinsoku/>
                    <w:wordWrap/>
                    <w:topLinePunct w:val="0"/>
                    <w:bidi w:val="0"/>
                    <w:spacing w:line="280" w:lineRule="exact"/>
                    <w:jc w:val="left"/>
                    <w:rPr>
                      <w:szCs w:val="21"/>
                    </w:rPr>
                  </w:pPr>
                  <w:r>
                    <w:rPr>
                      <w:szCs w:val="21"/>
                    </w:rPr>
                    <w:t>④ 合理通风，加速扩散。</w:t>
                  </w:r>
                </w:p>
                <w:p w14:paraId="37D81C0D">
                  <w:pPr>
                    <w:pageBreakBefore w:val="0"/>
                    <w:kinsoku/>
                    <w:wordWrap/>
                    <w:topLinePunct w:val="0"/>
                    <w:bidi w:val="0"/>
                    <w:spacing w:line="280" w:lineRule="exact"/>
                    <w:jc w:val="left"/>
                    <w:rPr>
                      <w:szCs w:val="21"/>
                    </w:rPr>
                  </w:pPr>
                  <w:r>
                    <w:rPr>
                      <w:szCs w:val="21"/>
                    </w:rPr>
                    <w:t>⑤ 漏气容器要妥善处理，修复、检验后再用。</w:t>
                  </w:r>
                </w:p>
                <w:p w14:paraId="19E4762C">
                  <w:pPr>
                    <w:pageBreakBefore w:val="0"/>
                    <w:kinsoku/>
                    <w:wordWrap/>
                    <w:topLinePunct w:val="0"/>
                    <w:bidi w:val="0"/>
                    <w:spacing w:line="280" w:lineRule="exact"/>
                    <w:jc w:val="left"/>
                    <w:rPr>
                      <w:szCs w:val="21"/>
                    </w:rPr>
                  </w:pPr>
                  <w:r>
                    <w:rPr>
                      <w:szCs w:val="21"/>
                    </w:rPr>
                    <w:t>⑥ 呼吸系统一般不需要特别防护，高浓度接触时可</w:t>
                  </w:r>
                  <w:r>
                    <w:rPr>
                      <w:rFonts w:hint="eastAsia"/>
                      <w:szCs w:val="21"/>
                    </w:rPr>
                    <w:t>佩戴</w:t>
                  </w:r>
                  <w:r>
                    <w:rPr>
                      <w:szCs w:val="21"/>
                    </w:rPr>
                    <w:t>空气呼吸器；眼睛一般不需要特别防护。</w:t>
                  </w:r>
                </w:p>
                <w:p w14:paraId="3270ADF7">
                  <w:pPr>
                    <w:pageBreakBefore w:val="0"/>
                    <w:kinsoku/>
                    <w:wordWrap/>
                    <w:topLinePunct w:val="0"/>
                    <w:bidi w:val="0"/>
                    <w:spacing w:line="280" w:lineRule="exact"/>
                    <w:jc w:val="left"/>
                    <w:rPr>
                      <w:szCs w:val="21"/>
                    </w:rPr>
                  </w:pPr>
                  <w:r>
                    <w:rPr>
                      <w:szCs w:val="21"/>
                    </w:rPr>
                    <w:t>⑦ 穿防静电工作服，戴一般作业防护手套。工作现场严禁吸烟，避免高浓度吸入。进入罐、限制性空间</w:t>
                  </w:r>
                  <w:r>
                    <w:rPr>
                      <w:rFonts w:hint="eastAsia"/>
                      <w:szCs w:val="21"/>
                    </w:rPr>
                    <w:t>或其他</w:t>
                  </w:r>
                  <w:r>
                    <w:rPr>
                      <w:szCs w:val="21"/>
                    </w:rPr>
                    <w:t>高浓度区作业，须有人监护。</w:t>
                  </w:r>
                </w:p>
                <w:p w14:paraId="2060F464">
                  <w:pPr>
                    <w:pageBreakBefore w:val="0"/>
                    <w:kinsoku/>
                    <w:wordWrap/>
                    <w:topLinePunct w:val="0"/>
                    <w:bidi w:val="0"/>
                    <w:spacing w:line="280" w:lineRule="exact"/>
                    <w:jc w:val="left"/>
                    <w:rPr>
                      <w:szCs w:val="21"/>
                    </w:rPr>
                  </w:pPr>
                  <w:r>
                    <w:rPr>
                      <w:szCs w:val="21"/>
                    </w:rPr>
                    <w:t>⑧ 当人员出现高浓度吸入</w:t>
                  </w:r>
                  <w:r>
                    <w:rPr>
                      <w:rFonts w:hint="eastAsia"/>
                      <w:szCs w:val="21"/>
                      <w:lang w:val="en-US" w:eastAsia="zh-CN"/>
                    </w:rPr>
                    <w:t>泄漏气体</w:t>
                  </w:r>
                  <w:r>
                    <w:rPr>
                      <w:szCs w:val="21"/>
                    </w:rPr>
                    <w:t>时，应将伤者迅速脱离现场至空气新鲜处。保持呼吸道通畅。如呼吸困难，给输氧。如呼吸停止，立即进行人工呼吸，就医。</w:t>
                  </w:r>
                </w:p>
              </w:tc>
            </w:tr>
            <w:tr w14:paraId="0B2DEF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000" w:type="pct"/>
                  <w:gridSpan w:val="2"/>
                  <w:noWrap w:val="0"/>
                  <w:vAlign w:val="center"/>
                </w:tcPr>
                <w:p w14:paraId="522DB3E1">
                  <w:pPr>
                    <w:pageBreakBefore w:val="0"/>
                    <w:kinsoku/>
                    <w:wordWrap/>
                    <w:topLinePunct w:val="0"/>
                    <w:bidi w:val="0"/>
                    <w:spacing w:line="280" w:lineRule="exact"/>
                    <w:rPr>
                      <w:szCs w:val="21"/>
                    </w:rPr>
                  </w:pPr>
                  <w:r>
                    <w:rPr>
                      <w:szCs w:val="21"/>
                    </w:rPr>
                    <w:t>结论：在采取严格安全防护和风险防范措施后，环境风险处于可接受的水平。</w:t>
                  </w:r>
                </w:p>
              </w:tc>
            </w:tr>
          </w:tbl>
          <w:p w14:paraId="08CCC34E">
            <w:pPr>
              <w:pageBreakBefore w:val="0"/>
              <w:kinsoku/>
              <w:wordWrap/>
              <w:topLinePunct w:val="0"/>
              <w:bidi w:val="0"/>
              <w:spacing w:line="360" w:lineRule="auto"/>
              <w:ind w:firstLine="482" w:firstLineChars="200"/>
              <w:rPr>
                <w:b/>
                <w:bCs/>
                <w:sz w:val="24"/>
              </w:rPr>
            </w:pPr>
            <w:r>
              <w:rPr>
                <w:rFonts w:hint="eastAsia"/>
                <w:b/>
                <w:sz w:val="24"/>
              </w:rPr>
              <w:t>8</w:t>
            </w:r>
            <w:r>
              <w:rPr>
                <w:b/>
                <w:sz w:val="24"/>
              </w:rPr>
              <w:t xml:space="preserve"> </w:t>
            </w:r>
            <w:r>
              <w:rPr>
                <w:b/>
                <w:bCs/>
                <w:sz w:val="24"/>
              </w:rPr>
              <w:t>环保投资</w:t>
            </w:r>
          </w:p>
          <w:p w14:paraId="60049761">
            <w:pPr>
              <w:pageBreakBefore w:val="0"/>
              <w:kinsoku/>
              <w:wordWrap/>
              <w:topLinePunct w:val="0"/>
              <w:bidi w:val="0"/>
              <w:spacing w:line="360" w:lineRule="auto"/>
              <w:ind w:firstLine="480" w:firstLineChars="200"/>
              <w:rPr>
                <w:bCs/>
                <w:sz w:val="24"/>
              </w:rPr>
            </w:pPr>
            <w:r>
              <w:rPr>
                <w:bCs/>
                <w:sz w:val="24"/>
              </w:rPr>
              <w:t>本项目环保措施投资见</w:t>
            </w:r>
            <w:r>
              <w:rPr>
                <w:rFonts w:hint="eastAsia"/>
                <w:bCs/>
                <w:sz w:val="24"/>
                <w:lang w:val="en-US" w:eastAsia="zh-CN"/>
              </w:rPr>
              <w:t>下</w:t>
            </w:r>
            <w:r>
              <w:rPr>
                <w:bCs/>
                <w:sz w:val="24"/>
              </w:rPr>
              <w:t>表。</w:t>
            </w:r>
          </w:p>
          <w:p w14:paraId="36BCDBCD">
            <w:pPr>
              <w:pageBreakBefore w:val="0"/>
              <w:kinsoku/>
              <w:wordWrap/>
              <w:topLinePunct w:val="0"/>
              <w:bidi w:val="0"/>
              <w:spacing w:line="360" w:lineRule="auto"/>
              <w:jc w:val="center"/>
              <w:outlineLvl w:val="8"/>
              <w:rPr>
                <w:b/>
                <w:bCs/>
              </w:rPr>
            </w:pPr>
            <w:r>
              <w:rPr>
                <w:rFonts w:eastAsia="黑体"/>
                <w:bCs/>
                <w:szCs w:val="21"/>
              </w:rPr>
              <w:t>表4-1</w:t>
            </w:r>
            <w:r>
              <w:rPr>
                <w:rFonts w:hint="eastAsia" w:eastAsia="黑体"/>
                <w:bCs/>
                <w:szCs w:val="21"/>
                <w:lang w:val="en-US" w:eastAsia="zh-CN"/>
              </w:rPr>
              <w:t>4</w:t>
            </w:r>
            <w:r>
              <w:rPr>
                <w:rFonts w:eastAsia="黑体"/>
                <w:bCs/>
                <w:szCs w:val="21"/>
              </w:rPr>
              <w:t xml:space="preserve">  环保措施投资估算表  单位：万元</w:t>
            </w:r>
          </w:p>
          <w:tbl>
            <w:tblPr>
              <w:tblStyle w:val="14"/>
              <w:tblW w:w="839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28" w:type="dxa"/>
                <w:left w:w="28" w:type="dxa"/>
                <w:bottom w:w="28" w:type="dxa"/>
                <w:right w:w="28" w:type="dxa"/>
              </w:tblCellMar>
            </w:tblPr>
            <w:tblGrid>
              <w:gridCol w:w="507"/>
              <w:gridCol w:w="980"/>
              <w:gridCol w:w="1785"/>
              <w:gridCol w:w="4230"/>
              <w:gridCol w:w="888"/>
            </w:tblGrid>
            <w:tr w14:paraId="5E1EA3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07" w:type="dxa"/>
                  <w:noWrap w:val="0"/>
                  <w:tcMar>
                    <w:top w:w="0" w:type="dxa"/>
                    <w:left w:w="28" w:type="dxa"/>
                    <w:bottom w:w="0" w:type="dxa"/>
                    <w:right w:w="28" w:type="dxa"/>
                  </w:tcMar>
                  <w:vAlign w:val="center"/>
                </w:tcPr>
                <w:p w14:paraId="70CF7BA5">
                  <w:pPr>
                    <w:pageBreakBefore w:val="0"/>
                    <w:kinsoku/>
                    <w:wordWrap/>
                    <w:topLinePunct w:val="0"/>
                    <w:bidi w:val="0"/>
                    <w:spacing w:line="280" w:lineRule="exact"/>
                    <w:jc w:val="center"/>
                    <w:rPr>
                      <w:b/>
                      <w:szCs w:val="21"/>
                    </w:rPr>
                  </w:pPr>
                  <w:r>
                    <w:rPr>
                      <w:b/>
                      <w:szCs w:val="21"/>
                    </w:rPr>
                    <w:t>序号</w:t>
                  </w:r>
                </w:p>
              </w:tc>
              <w:tc>
                <w:tcPr>
                  <w:tcW w:w="980" w:type="dxa"/>
                  <w:noWrap w:val="0"/>
                  <w:tcMar>
                    <w:top w:w="0" w:type="dxa"/>
                    <w:left w:w="28" w:type="dxa"/>
                    <w:bottom w:w="0" w:type="dxa"/>
                    <w:right w:w="28" w:type="dxa"/>
                  </w:tcMar>
                  <w:vAlign w:val="center"/>
                </w:tcPr>
                <w:p w14:paraId="43F35147">
                  <w:pPr>
                    <w:pageBreakBefore w:val="0"/>
                    <w:kinsoku/>
                    <w:wordWrap/>
                    <w:topLinePunct w:val="0"/>
                    <w:bidi w:val="0"/>
                    <w:spacing w:line="280" w:lineRule="exact"/>
                    <w:jc w:val="center"/>
                    <w:rPr>
                      <w:b/>
                      <w:szCs w:val="21"/>
                    </w:rPr>
                  </w:pPr>
                  <w:r>
                    <w:rPr>
                      <w:b/>
                      <w:szCs w:val="21"/>
                    </w:rPr>
                    <w:t>项目</w:t>
                  </w:r>
                </w:p>
              </w:tc>
              <w:tc>
                <w:tcPr>
                  <w:tcW w:w="1785" w:type="dxa"/>
                  <w:noWrap w:val="0"/>
                  <w:tcMar>
                    <w:top w:w="0" w:type="dxa"/>
                    <w:left w:w="28" w:type="dxa"/>
                    <w:bottom w:w="0" w:type="dxa"/>
                    <w:right w:w="28" w:type="dxa"/>
                  </w:tcMar>
                  <w:vAlign w:val="center"/>
                </w:tcPr>
                <w:p w14:paraId="6DFB79DF">
                  <w:pPr>
                    <w:pageBreakBefore w:val="0"/>
                    <w:kinsoku/>
                    <w:wordWrap/>
                    <w:topLinePunct w:val="0"/>
                    <w:bidi w:val="0"/>
                    <w:spacing w:line="280" w:lineRule="exact"/>
                    <w:jc w:val="center"/>
                    <w:rPr>
                      <w:b/>
                      <w:szCs w:val="21"/>
                    </w:rPr>
                  </w:pPr>
                  <w:r>
                    <w:rPr>
                      <w:b/>
                      <w:szCs w:val="21"/>
                    </w:rPr>
                    <w:t>污染物</w:t>
                  </w:r>
                </w:p>
              </w:tc>
              <w:tc>
                <w:tcPr>
                  <w:tcW w:w="4230" w:type="dxa"/>
                  <w:noWrap w:val="0"/>
                  <w:tcMar>
                    <w:top w:w="0" w:type="dxa"/>
                    <w:left w:w="28" w:type="dxa"/>
                    <w:bottom w:w="0" w:type="dxa"/>
                    <w:right w:w="28" w:type="dxa"/>
                  </w:tcMar>
                  <w:vAlign w:val="center"/>
                </w:tcPr>
                <w:p w14:paraId="59EA93F5">
                  <w:pPr>
                    <w:pageBreakBefore w:val="0"/>
                    <w:kinsoku/>
                    <w:wordWrap/>
                    <w:topLinePunct w:val="0"/>
                    <w:bidi w:val="0"/>
                    <w:spacing w:line="280" w:lineRule="exact"/>
                    <w:jc w:val="center"/>
                    <w:rPr>
                      <w:b/>
                      <w:szCs w:val="21"/>
                    </w:rPr>
                  </w:pPr>
                  <w:r>
                    <w:rPr>
                      <w:b/>
                      <w:szCs w:val="21"/>
                    </w:rPr>
                    <w:t>防治措施</w:t>
                  </w:r>
                </w:p>
              </w:tc>
              <w:tc>
                <w:tcPr>
                  <w:tcW w:w="888" w:type="dxa"/>
                  <w:noWrap w:val="0"/>
                  <w:tcMar>
                    <w:top w:w="0" w:type="dxa"/>
                    <w:left w:w="28" w:type="dxa"/>
                    <w:bottom w:w="0" w:type="dxa"/>
                    <w:right w:w="28" w:type="dxa"/>
                  </w:tcMar>
                  <w:vAlign w:val="center"/>
                </w:tcPr>
                <w:p w14:paraId="63037838">
                  <w:pPr>
                    <w:pageBreakBefore w:val="0"/>
                    <w:kinsoku/>
                    <w:wordWrap/>
                    <w:topLinePunct w:val="0"/>
                    <w:bidi w:val="0"/>
                    <w:spacing w:line="280" w:lineRule="exact"/>
                    <w:jc w:val="center"/>
                    <w:rPr>
                      <w:b/>
                      <w:szCs w:val="21"/>
                    </w:rPr>
                  </w:pPr>
                  <w:r>
                    <w:rPr>
                      <w:b/>
                      <w:szCs w:val="21"/>
                    </w:rPr>
                    <w:t>投资额</w:t>
                  </w:r>
                </w:p>
              </w:tc>
            </w:tr>
            <w:tr w14:paraId="43D5BE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07" w:type="dxa"/>
                  <w:noWrap w:val="0"/>
                  <w:tcMar>
                    <w:top w:w="0" w:type="dxa"/>
                    <w:left w:w="28" w:type="dxa"/>
                    <w:bottom w:w="0" w:type="dxa"/>
                    <w:right w:w="28" w:type="dxa"/>
                  </w:tcMar>
                  <w:vAlign w:val="center"/>
                </w:tcPr>
                <w:p w14:paraId="3887A04A">
                  <w:pPr>
                    <w:pageBreakBefore w:val="0"/>
                    <w:kinsoku/>
                    <w:wordWrap/>
                    <w:topLinePunct w:val="0"/>
                    <w:bidi w:val="0"/>
                    <w:spacing w:line="280" w:lineRule="exact"/>
                    <w:jc w:val="center"/>
                    <w:rPr>
                      <w:szCs w:val="21"/>
                    </w:rPr>
                  </w:pPr>
                  <w:r>
                    <w:rPr>
                      <w:rFonts w:hint="eastAsia"/>
                      <w:szCs w:val="21"/>
                    </w:rPr>
                    <w:t>1</w:t>
                  </w:r>
                </w:p>
              </w:tc>
              <w:tc>
                <w:tcPr>
                  <w:tcW w:w="980" w:type="dxa"/>
                  <w:noWrap w:val="0"/>
                  <w:tcMar>
                    <w:top w:w="0" w:type="dxa"/>
                    <w:left w:w="28" w:type="dxa"/>
                    <w:bottom w:w="0" w:type="dxa"/>
                    <w:right w:w="28" w:type="dxa"/>
                  </w:tcMar>
                  <w:vAlign w:val="center"/>
                </w:tcPr>
                <w:p w14:paraId="416AD662">
                  <w:pPr>
                    <w:pageBreakBefore w:val="0"/>
                    <w:kinsoku/>
                    <w:wordWrap/>
                    <w:topLinePunct w:val="0"/>
                    <w:bidi w:val="0"/>
                    <w:spacing w:line="280" w:lineRule="exact"/>
                    <w:jc w:val="center"/>
                    <w:rPr>
                      <w:szCs w:val="21"/>
                    </w:rPr>
                  </w:pPr>
                  <w:r>
                    <w:rPr>
                      <w:szCs w:val="21"/>
                    </w:rPr>
                    <w:t>噪声</w:t>
                  </w:r>
                </w:p>
              </w:tc>
              <w:tc>
                <w:tcPr>
                  <w:tcW w:w="1785" w:type="dxa"/>
                  <w:noWrap w:val="0"/>
                  <w:tcMar>
                    <w:top w:w="0" w:type="dxa"/>
                    <w:left w:w="28" w:type="dxa"/>
                    <w:bottom w:w="0" w:type="dxa"/>
                    <w:right w:w="28" w:type="dxa"/>
                  </w:tcMar>
                  <w:vAlign w:val="center"/>
                </w:tcPr>
                <w:p w14:paraId="28F528EF">
                  <w:pPr>
                    <w:pageBreakBefore w:val="0"/>
                    <w:kinsoku/>
                    <w:wordWrap/>
                    <w:topLinePunct w:val="0"/>
                    <w:bidi w:val="0"/>
                    <w:spacing w:line="280" w:lineRule="exact"/>
                    <w:jc w:val="center"/>
                    <w:rPr>
                      <w:bCs/>
                      <w:szCs w:val="21"/>
                    </w:rPr>
                  </w:pPr>
                  <w:r>
                    <w:rPr>
                      <w:bCs/>
                      <w:szCs w:val="21"/>
                    </w:rPr>
                    <w:t>噪声</w:t>
                  </w:r>
                </w:p>
              </w:tc>
              <w:tc>
                <w:tcPr>
                  <w:tcW w:w="4230" w:type="dxa"/>
                  <w:noWrap w:val="0"/>
                  <w:tcMar>
                    <w:top w:w="0" w:type="dxa"/>
                    <w:left w:w="28" w:type="dxa"/>
                    <w:bottom w:w="0" w:type="dxa"/>
                    <w:right w:w="28" w:type="dxa"/>
                  </w:tcMar>
                  <w:vAlign w:val="center"/>
                </w:tcPr>
                <w:p w14:paraId="67F5893B">
                  <w:pPr>
                    <w:pageBreakBefore w:val="0"/>
                    <w:kinsoku/>
                    <w:wordWrap/>
                    <w:topLinePunct w:val="0"/>
                    <w:bidi w:val="0"/>
                    <w:spacing w:line="280" w:lineRule="exact"/>
                    <w:jc w:val="center"/>
                    <w:rPr>
                      <w:bCs/>
                      <w:szCs w:val="21"/>
                    </w:rPr>
                  </w:pPr>
                  <w:r>
                    <w:rPr>
                      <w:bCs/>
                      <w:szCs w:val="21"/>
                    </w:rPr>
                    <w:t>选用低噪设备，采取基础减</w:t>
                  </w:r>
                  <w:r>
                    <w:rPr>
                      <w:rFonts w:hint="eastAsia"/>
                      <w:bCs/>
                      <w:szCs w:val="21"/>
                    </w:rPr>
                    <w:t>振</w:t>
                  </w:r>
                  <w:r>
                    <w:rPr>
                      <w:bCs/>
                      <w:szCs w:val="21"/>
                    </w:rPr>
                    <w:t>、安装隔声罩、建筑隔音等措施</w:t>
                  </w:r>
                </w:p>
              </w:tc>
              <w:tc>
                <w:tcPr>
                  <w:tcW w:w="888" w:type="dxa"/>
                  <w:noWrap w:val="0"/>
                  <w:tcMar>
                    <w:top w:w="0" w:type="dxa"/>
                    <w:left w:w="28" w:type="dxa"/>
                    <w:bottom w:w="0" w:type="dxa"/>
                    <w:right w:w="28" w:type="dxa"/>
                  </w:tcMar>
                  <w:vAlign w:val="center"/>
                </w:tcPr>
                <w:p w14:paraId="68848619">
                  <w:pPr>
                    <w:pageBreakBefore w:val="0"/>
                    <w:kinsoku/>
                    <w:wordWrap/>
                    <w:topLinePunct w:val="0"/>
                    <w:bidi w:val="0"/>
                    <w:spacing w:line="280" w:lineRule="exact"/>
                    <w:jc w:val="center"/>
                    <w:rPr>
                      <w:szCs w:val="21"/>
                    </w:rPr>
                  </w:pPr>
                  <w:r>
                    <w:rPr>
                      <w:rFonts w:hint="eastAsia"/>
                      <w:szCs w:val="21"/>
                    </w:rPr>
                    <w:t>3</w:t>
                  </w:r>
                  <w:r>
                    <w:rPr>
                      <w:szCs w:val="21"/>
                    </w:rPr>
                    <w:t>0</w:t>
                  </w:r>
                </w:p>
              </w:tc>
            </w:tr>
            <w:tr w14:paraId="3C7B35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07" w:type="dxa"/>
                  <w:noWrap w:val="0"/>
                  <w:tcMar>
                    <w:top w:w="0" w:type="dxa"/>
                    <w:left w:w="28" w:type="dxa"/>
                    <w:bottom w:w="0" w:type="dxa"/>
                    <w:right w:w="28" w:type="dxa"/>
                  </w:tcMar>
                  <w:vAlign w:val="center"/>
                </w:tcPr>
                <w:p w14:paraId="230C8E5D">
                  <w:pPr>
                    <w:pageBreakBefore w:val="0"/>
                    <w:kinsoku/>
                    <w:wordWrap/>
                    <w:topLinePunct w:val="0"/>
                    <w:bidi w:val="0"/>
                    <w:spacing w:line="280" w:lineRule="exact"/>
                    <w:jc w:val="center"/>
                    <w:rPr>
                      <w:szCs w:val="21"/>
                    </w:rPr>
                  </w:pPr>
                  <w:r>
                    <w:rPr>
                      <w:rFonts w:hint="eastAsia"/>
                      <w:szCs w:val="21"/>
                    </w:rPr>
                    <w:t>2</w:t>
                  </w:r>
                </w:p>
              </w:tc>
              <w:tc>
                <w:tcPr>
                  <w:tcW w:w="980" w:type="dxa"/>
                  <w:noWrap w:val="0"/>
                  <w:tcMar>
                    <w:top w:w="0" w:type="dxa"/>
                    <w:left w:w="28" w:type="dxa"/>
                    <w:bottom w:w="0" w:type="dxa"/>
                    <w:right w:w="28" w:type="dxa"/>
                  </w:tcMar>
                  <w:vAlign w:val="center"/>
                </w:tcPr>
                <w:p w14:paraId="1CDB572D">
                  <w:pPr>
                    <w:pageBreakBefore w:val="0"/>
                    <w:kinsoku/>
                    <w:wordWrap/>
                    <w:topLinePunct w:val="0"/>
                    <w:bidi w:val="0"/>
                    <w:spacing w:line="280" w:lineRule="exact"/>
                    <w:jc w:val="center"/>
                    <w:rPr>
                      <w:szCs w:val="21"/>
                    </w:rPr>
                  </w:pPr>
                  <w:r>
                    <w:rPr>
                      <w:szCs w:val="21"/>
                    </w:rPr>
                    <w:t>地下水</w:t>
                  </w:r>
                </w:p>
              </w:tc>
              <w:tc>
                <w:tcPr>
                  <w:tcW w:w="1785" w:type="dxa"/>
                  <w:noWrap w:val="0"/>
                  <w:tcMar>
                    <w:top w:w="0" w:type="dxa"/>
                    <w:left w:w="28" w:type="dxa"/>
                    <w:bottom w:w="0" w:type="dxa"/>
                    <w:right w:w="28" w:type="dxa"/>
                  </w:tcMar>
                  <w:vAlign w:val="center"/>
                </w:tcPr>
                <w:p w14:paraId="070970D2">
                  <w:pPr>
                    <w:pageBreakBefore w:val="0"/>
                    <w:kinsoku/>
                    <w:wordWrap/>
                    <w:topLinePunct w:val="0"/>
                    <w:bidi w:val="0"/>
                    <w:spacing w:line="280" w:lineRule="exact"/>
                    <w:jc w:val="center"/>
                    <w:rPr>
                      <w:szCs w:val="21"/>
                    </w:rPr>
                  </w:pPr>
                  <w:r>
                    <w:rPr>
                      <w:szCs w:val="21"/>
                    </w:rPr>
                    <w:t>-</w:t>
                  </w:r>
                </w:p>
              </w:tc>
              <w:tc>
                <w:tcPr>
                  <w:tcW w:w="4230" w:type="dxa"/>
                  <w:noWrap w:val="0"/>
                  <w:tcMar>
                    <w:top w:w="0" w:type="dxa"/>
                    <w:left w:w="28" w:type="dxa"/>
                    <w:bottom w:w="0" w:type="dxa"/>
                    <w:right w:w="28" w:type="dxa"/>
                  </w:tcMar>
                  <w:vAlign w:val="center"/>
                </w:tcPr>
                <w:p w14:paraId="5DD85CB0">
                  <w:pPr>
                    <w:pageBreakBefore w:val="0"/>
                    <w:kinsoku/>
                    <w:wordWrap/>
                    <w:topLinePunct w:val="0"/>
                    <w:bidi w:val="0"/>
                    <w:spacing w:line="280" w:lineRule="exact"/>
                    <w:jc w:val="center"/>
                    <w:rPr>
                      <w:rFonts w:hint="default" w:eastAsia="宋体"/>
                      <w:szCs w:val="21"/>
                      <w:lang w:val="en-US" w:eastAsia="zh-CN"/>
                    </w:rPr>
                  </w:pPr>
                  <w:r>
                    <w:rPr>
                      <w:rFonts w:hint="eastAsia"/>
                      <w:szCs w:val="21"/>
                    </w:rPr>
                    <w:t>厂区地面防渗处理</w:t>
                  </w:r>
                  <w:r>
                    <w:rPr>
                      <w:rFonts w:hint="eastAsia"/>
                      <w:szCs w:val="21"/>
                      <w:lang w:eastAsia="zh-CN"/>
                    </w:rPr>
                    <w:t>、</w:t>
                  </w:r>
                  <w:r>
                    <w:rPr>
                      <w:rFonts w:hint="eastAsia"/>
                      <w:szCs w:val="21"/>
                      <w:lang w:val="en-US" w:eastAsia="zh-CN"/>
                    </w:rPr>
                    <w:t>污油罐</w:t>
                  </w:r>
                </w:p>
              </w:tc>
              <w:tc>
                <w:tcPr>
                  <w:tcW w:w="888" w:type="dxa"/>
                  <w:noWrap w:val="0"/>
                  <w:tcMar>
                    <w:top w:w="0" w:type="dxa"/>
                    <w:left w:w="28" w:type="dxa"/>
                    <w:bottom w:w="0" w:type="dxa"/>
                    <w:right w:w="28" w:type="dxa"/>
                  </w:tcMar>
                  <w:vAlign w:val="center"/>
                </w:tcPr>
                <w:p w14:paraId="2674DC16">
                  <w:pPr>
                    <w:pageBreakBefore w:val="0"/>
                    <w:kinsoku/>
                    <w:wordWrap/>
                    <w:topLinePunct w:val="0"/>
                    <w:bidi w:val="0"/>
                    <w:spacing w:line="280" w:lineRule="exact"/>
                    <w:jc w:val="center"/>
                    <w:rPr>
                      <w:rFonts w:hint="eastAsia" w:eastAsia="宋体"/>
                      <w:szCs w:val="21"/>
                      <w:lang w:eastAsia="zh-CN"/>
                    </w:rPr>
                  </w:pPr>
                  <w:r>
                    <w:rPr>
                      <w:rFonts w:hint="eastAsia"/>
                      <w:szCs w:val="21"/>
                    </w:rPr>
                    <w:t>11</w:t>
                  </w:r>
                  <w:r>
                    <w:rPr>
                      <w:rFonts w:hint="eastAsia"/>
                      <w:szCs w:val="21"/>
                      <w:lang w:val="en-US" w:eastAsia="zh-CN"/>
                    </w:rPr>
                    <w:t>0</w:t>
                  </w:r>
                </w:p>
              </w:tc>
            </w:tr>
            <w:tr w14:paraId="1B97B7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07" w:type="dxa"/>
                  <w:noWrap w:val="0"/>
                  <w:tcMar>
                    <w:top w:w="0" w:type="dxa"/>
                    <w:left w:w="28" w:type="dxa"/>
                    <w:bottom w:w="0" w:type="dxa"/>
                    <w:right w:w="28" w:type="dxa"/>
                  </w:tcMar>
                  <w:vAlign w:val="center"/>
                </w:tcPr>
                <w:p w14:paraId="61984F06">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3</w:t>
                  </w:r>
                </w:p>
              </w:tc>
              <w:tc>
                <w:tcPr>
                  <w:tcW w:w="980" w:type="dxa"/>
                  <w:vMerge w:val="restart"/>
                  <w:noWrap w:val="0"/>
                  <w:tcMar>
                    <w:top w:w="0" w:type="dxa"/>
                    <w:left w:w="28" w:type="dxa"/>
                    <w:bottom w:w="0" w:type="dxa"/>
                    <w:right w:w="28" w:type="dxa"/>
                  </w:tcMar>
                  <w:vAlign w:val="center"/>
                </w:tcPr>
                <w:p w14:paraId="6B5AB48F">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固体废物</w:t>
                  </w:r>
                </w:p>
              </w:tc>
              <w:tc>
                <w:tcPr>
                  <w:tcW w:w="1785" w:type="dxa"/>
                  <w:noWrap w:val="0"/>
                  <w:tcMar>
                    <w:top w:w="0" w:type="dxa"/>
                    <w:left w:w="28" w:type="dxa"/>
                    <w:bottom w:w="0" w:type="dxa"/>
                    <w:right w:w="28" w:type="dxa"/>
                  </w:tcMar>
                  <w:vAlign w:val="center"/>
                </w:tcPr>
                <w:p w14:paraId="0EEC97DD">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生活垃圾</w:t>
                  </w:r>
                </w:p>
              </w:tc>
              <w:tc>
                <w:tcPr>
                  <w:tcW w:w="4230" w:type="dxa"/>
                  <w:noWrap w:val="0"/>
                  <w:tcMar>
                    <w:top w:w="0" w:type="dxa"/>
                    <w:left w:w="28" w:type="dxa"/>
                    <w:bottom w:w="0" w:type="dxa"/>
                    <w:right w:w="28" w:type="dxa"/>
                  </w:tcMar>
                  <w:vAlign w:val="center"/>
                </w:tcPr>
                <w:p w14:paraId="53E4224B">
                  <w:pPr>
                    <w:pageBreakBefore w:val="0"/>
                    <w:kinsoku/>
                    <w:wordWrap/>
                    <w:topLinePunct w:val="0"/>
                    <w:bidi w:val="0"/>
                    <w:spacing w:line="280" w:lineRule="exact"/>
                    <w:jc w:val="center"/>
                    <w:rPr>
                      <w:rFonts w:hint="eastAsia" w:eastAsia="宋体"/>
                      <w:szCs w:val="21"/>
                      <w:lang w:val="en-US" w:eastAsia="zh-CN"/>
                    </w:rPr>
                  </w:pPr>
                  <w:r>
                    <w:rPr>
                      <w:rFonts w:hint="eastAsia"/>
                      <w:szCs w:val="21"/>
                      <w:lang w:val="en-US" w:eastAsia="zh-CN"/>
                    </w:rPr>
                    <w:t>垃圾箱</w:t>
                  </w:r>
                </w:p>
              </w:tc>
              <w:tc>
                <w:tcPr>
                  <w:tcW w:w="888" w:type="dxa"/>
                  <w:noWrap w:val="0"/>
                  <w:tcMar>
                    <w:top w:w="0" w:type="dxa"/>
                    <w:left w:w="28" w:type="dxa"/>
                    <w:bottom w:w="0" w:type="dxa"/>
                    <w:right w:w="28" w:type="dxa"/>
                  </w:tcMar>
                  <w:vAlign w:val="center"/>
                </w:tcPr>
                <w:p w14:paraId="6C56671A">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0.5</w:t>
                  </w:r>
                </w:p>
              </w:tc>
            </w:tr>
            <w:tr w14:paraId="08B4B8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07" w:type="dxa"/>
                  <w:noWrap w:val="0"/>
                  <w:tcMar>
                    <w:top w:w="0" w:type="dxa"/>
                    <w:left w:w="28" w:type="dxa"/>
                    <w:bottom w:w="0" w:type="dxa"/>
                    <w:right w:w="28" w:type="dxa"/>
                  </w:tcMar>
                  <w:vAlign w:val="center"/>
                </w:tcPr>
                <w:p w14:paraId="35C2120E">
                  <w:pPr>
                    <w:pageBreakBefore w:val="0"/>
                    <w:kinsoku/>
                    <w:wordWrap/>
                    <w:topLinePunct w:val="0"/>
                    <w:bidi w:val="0"/>
                    <w:spacing w:line="280" w:lineRule="exact"/>
                    <w:jc w:val="center"/>
                    <w:rPr>
                      <w:rFonts w:hint="default"/>
                      <w:szCs w:val="21"/>
                      <w:lang w:val="en-US" w:eastAsia="zh-CN"/>
                    </w:rPr>
                  </w:pPr>
                  <w:r>
                    <w:rPr>
                      <w:rFonts w:hint="eastAsia"/>
                      <w:szCs w:val="21"/>
                      <w:lang w:val="en-US" w:eastAsia="zh-CN"/>
                    </w:rPr>
                    <w:t>4</w:t>
                  </w:r>
                </w:p>
              </w:tc>
              <w:tc>
                <w:tcPr>
                  <w:tcW w:w="980" w:type="dxa"/>
                  <w:vMerge w:val="continue"/>
                  <w:noWrap w:val="0"/>
                  <w:tcMar>
                    <w:top w:w="0" w:type="dxa"/>
                    <w:left w:w="28" w:type="dxa"/>
                    <w:bottom w:w="0" w:type="dxa"/>
                    <w:right w:w="28" w:type="dxa"/>
                  </w:tcMar>
                  <w:vAlign w:val="center"/>
                </w:tcPr>
                <w:p w14:paraId="05398C10">
                  <w:pPr>
                    <w:pageBreakBefore w:val="0"/>
                    <w:kinsoku/>
                    <w:wordWrap/>
                    <w:topLinePunct w:val="0"/>
                    <w:bidi w:val="0"/>
                    <w:spacing w:line="280" w:lineRule="exact"/>
                    <w:jc w:val="center"/>
                    <w:rPr>
                      <w:rFonts w:hint="eastAsia"/>
                      <w:szCs w:val="21"/>
                      <w:lang w:val="en-US" w:eastAsia="zh-CN"/>
                    </w:rPr>
                  </w:pPr>
                </w:p>
              </w:tc>
              <w:tc>
                <w:tcPr>
                  <w:tcW w:w="1785" w:type="dxa"/>
                  <w:noWrap w:val="0"/>
                  <w:tcMar>
                    <w:top w:w="0" w:type="dxa"/>
                    <w:left w:w="28" w:type="dxa"/>
                    <w:bottom w:w="0" w:type="dxa"/>
                    <w:right w:w="28" w:type="dxa"/>
                  </w:tcMar>
                  <w:vAlign w:val="center"/>
                </w:tcPr>
                <w:p w14:paraId="0583D66F">
                  <w:pPr>
                    <w:pageBreakBefore w:val="0"/>
                    <w:kinsoku/>
                    <w:wordWrap/>
                    <w:topLinePunct w:val="0"/>
                    <w:bidi w:val="0"/>
                    <w:spacing w:line="280" w:lineRule="exact"/>
                    <w:jc w:val="center"/>
                    <w:rPr>
                      <w:rFonts w:hint="default"/>
                      <w:szCs w:val="21"/>
                      <w:lang w:val="en-US" w:eastAsia="zh-CN"/>
                    </w:rPr>
                  </w:pPr>
                  <w:r>
                    <w:rPr>
                      <w:rFonts w:hint="eastAsia"/>
                      <w:szCs w:val="21"/>
                      <w:lang w:val="en-US" w:eastAsia="zh-CN"/>
                    </w:rPr>
                    <w:t>含油废液</w:t>
                  </w:r>
                </w:p>
              </w:tc>
              <w:tc>
                <w:tcPr>
                  <w:tcW w:w="4230" w:type="dxa"/>
                  <w:noWrap w:val="0"/>
                  <w:tcMar>
                    <w:top w:w="0" w:type="dxa"/>
                    <w:left w:w="28" w:type="dxa"/>
                    <w:bottom w:w="0" w:type="dxa"/>
                    <w:right w:w="28" w:type="dxa"/>
                  </w:tcMar>
                  <w:vAlign w:val="center"/>
                </w:tcPr>
                <w:p w14:paraId="2DC4A499">
                  <w:pPr>
                    <w:pageBreakBefore w:val="0"/>
                    <w:kinsoku/>
                    <w:wordWrap/>
                    <w:topLinePunct w:val="0"/>
                    <w:bidi w:val="0"/>
                    <w:spacing w:line="280" w:lineRule="exact"/>
                    <w:jc w:val="center"/>
                    <w:rPr>
                      <w:rFonts w:hint="default"/>
                      <w:szCs w:val="21"/>
                      <w:lang w:val="en-US" w:eastAsia="zh-CN"/>
                    </w:rPr>
                  </w:pPr>
                  <w:r>
                    <w:rPr>
                      <w:rFonts w:hint="eastAsia"/>
                      <w:szCs w:val="21"/>
                      <w:lang w:val="en-US" w:eastAsia="zh-CN"/>
                    </w:rPr>
                    <w:t>污油罐</w:t>
                  </w:r>
                </w:p>
              </w:tc>
              <w:tc>
                <w:tcPr>
                  <w:tcW w:w="888" w:type="dxa"/>
                  <w:noWrap w:val="0"/>
                  <w:tcMar>
                    <w:top w:w="0" w:type="dxa"/>
                    <w:left w:w="28" w:type="dxa"/>
                    <w:bottom w:w="0" w:type="dxa"/>
                    <w:right w:w="28" w:type="dxa"/>
                  </w:tcMar>
                  <w:vAlign w:val="center"/>
                </w:tcPr>
                <w:p w14:paraId="604480FE">
                  <w:pPr>
                    <w:pageBreakBefore w:val="0"/>
                    <w:kinsoku/>
                    <w:wordWrap/>
                    <w:topLinePunct w:val="0"/>
                    <w:bidi w:val="0"/>
                    <w:spacing w:line="280" w:lineRule="exact"/>
                    <w:jc w:val="center"/>
                    <w:rPr>
                      <w:rFonts w:hint="default"/>
                      <w:szCs w:val="21"/>
                      <w:lang w:val="en-US" w:eastAsia="zh-CN"/>
                    </w:rPr>
                  </w:pPr>
                  <w:r>
                    <w:rPr>
                      <w:rFonts w:hint="eastAsia"/>
                      <w:szCs w:val="21"/>
                      <w:lang w:val="en-US" w:eastAsia="zh-CN"/>
                    </w:rPr>
                    <w:t>8</w:t>
                  </w:r>
                </w:p>
              </w:tc>
            </w:tr>
            <w:tr w14:paraId="1A8637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07" w:type="dxa"/>
                  <w:noWrap w:val="0"/>
                  <w:tcMar>
                    <w:top w:w="0" w:type="dxa"/>
                    <w:left w:w="28" w:type="dxa"/>
                    <w:bottom w:w="0" w:type="dxa"/>
                    <w:right w:w="28" w:type="dxa"/>
                  </w:tcMar>
                  <w:vAlign w:val="center"/>
                </w:tcPr>
                <w:p w14:paraId="096104BE">
                  <w:pPr>
                    <w:pageBreakBefore w:val="0"/>
                    <w:kinsoku/>
                    <w:wordWrap/>
                    <w:topLinePunct w:val="0"/>
                    <w:bidi w:val="0"/>
                    <w:spacing w:line="280" w:lineRule="exact"/>
                    <w:jc w:val="center"/>
                    <w:rPr>
                      <w:rFonts w:hint="eastAsia" w:eastAsia="宋体"/>
                      <w:szCs w:val="21"/>
                      <w:lang w:eastAsia="zh-CN"/>
                    </w:rPr>
                  </w:pPr>
                  <w:r>
                    <w:rPr>
                      <w:rFonts w:hint="eastAsia"/>
                      <w:szCs w:val="21"/>
                      <w:lang w:val="en-US" w:eastAsia="zh-CN"/>
                    </w:rPr>
                    <w:t>5</w:t>
                  </w:r>
                </w:p>
              </w:tc>
              <w:tc>
                <w:tcPr>
                  <w:tcW w:w="980" w:type="dxa"/>
                  <w:noWrap w:val="0"/>
                  <w:tcMar>
                    <w:top w:w="0" w:type="dxa"/>
                    <w:left w:w="28" w:type="dxa"/>
                    <w:bottom w:w="0" w:type="dxa"/>
                    <w:right w:w="28" w:type="dxa"/>
                  </w:tcMar>
                  <w:vAlign w:val="center"/>
                </w:tcPr>
                <w:p w14:paraId="64DE0AD3">
                  <w:pPr>
                    <w:pageBreakBefore w:val="0"/>
                    <w:kinsoku/>
                    <w:wordWrap/>
                    <w:topLinePunct w:val="0"/>
                    <w:bidi w:val="0"/>
                    <w:spacing w:line="280" w:lineRule="exact"/>
                    <w:jc w:val="center"/>
                    <w:rPr>
                      <w:szCs w:val="21"/>
                    </w:rPr>
                  </w:pPr>
                  <w:r>
                    <w:rPr>
                      <w:rFonts w:hint="eastAsia"/>
                      <w:szCs w:val="21"/>
                    </w:rPr>
                    <w:t>环保监管</w:t>
                  </w:r>
                </w:p>
              </w:tc>
              <w:tc>
                <w:tcPr>
                  <w:tcW w:w="1785" w:type="dxa"/>
                  <w:noWrap w:val="0"/>
                  <w:tcMar>
                    <w:top w:w="0" w:type="dxa"/>
                    <w:left w:w="28" w:type="dxa"/>
                    <w:bottom w:w="0" w:type="dxa"/>
                    <w:right w:w="28" w:type="dxa"/>
                  </w:tcMar>
                  <w:vAlign w:val="center"/>
                </w:tcPr>
                <w:p w14:paraId="42F333FD">
                  <w:pPr>
                    <w:pageBreakBefore w:val="0"/>
                    <w:kinsoku/>
                    <w:wordWrap/>
                    <w:topLinePunct w:val="0"/>
                    <w:bidi w:val="0"/>
                    <w:spacing w:line="280" w:lineRule="exact"/>
                    <w:jc w:val="center"/>
                    <w:rPr>
                      <w:szCs w:val="21"/>
                    </w:rPr>
                  </w:pPr>
                  <w:r>
                    <w:rPr>
                      <w:rFonts w:hint="eastAsia"/>
                      <w:szCs w:val="21"/>
                    </w:rPr>
                    <w:t>-</w:t>
                  </w:r>
                </w:p>
              </w:tc>
              <w:tc>
                <w:tcPr>
                  <w:tcW w:w="4230" w:type="dxa"/>
                  <w:noWrap w:val="0"/>
                  <w:tcMar>
                    <w:top w:w="0" w:type="dxa"/>
                    <w:left w:w="28" w:type="dxa"/>
                    <w:bottom w:w="0" w:type="dxa"/>
                    <w:right w:w="28" w:type="dxa"/>
                  </w:tcMar>
                  <w:vAlign w:val="center"/>
                </w:tcPr>
                <w:p w14:paraId="48F0BEE5">
                  <w:pPr>
                    <w:pageBreakBefore w:val="0"/>
                    <w:kinsoku/>
                    <w:wordWrap/>
                    <w:topLinePunct w:val="0"/>
                    <w:bidi w:val="0"/>
                    <w:spacing w:line="280" w:lineRule="exact"/>
                    <w:jc w:val="center"/>
                    <w:rPr>
                      <w:szCs w:val="21"/>
                    </w:rPr>
                  </w:pPr>
                  <w:r>
                    <w:rPr>
                      <w:rFonts w:hint="eastAsia"/>
                      <w:szCs w:val="21"/>
                    </w:rPr>
                    <w:t>环境影响评价、环境监理、竣工环境保护验收、突发环境事件应急预案</w:t>
                  </w:r>
                </w:p>
              </w:tc>
              <w:tc>
                <w:tcPr>
                  <w:tcW w:w="888" w:type="dxa"/>
                  <w:noWrap w:val="0"/>
                  <w:tcMar>
                    <w:top w:w="0" w:type="dxa"/>
                    <w:left w:w="28" w:type="dxa"/>
                    <w:bottom w:w="0" w:type="dxa"/>
                    <w:right w:w="28" w:type="dxa"/>
                  </w:tcMar>
                  <w:vAlign w:val="center"/>
                </w:tcPr>
                <w:p w14:paraId="0E154357">
                  <w:pPr>
                    <w:pageBreakBefore w:val="0"/>
                    <w:kinsoku/>
                    <w:wordWrap/>
                    <w:topLinePunct w:val="0"/>
                    <w:bidi w:val="0"/>
                    <w:spacing w:line="280" w:lineRule="exact"/>
                    <w:jc w:val="center"/>
                    <w:rPr>
                      <w:szCs w:val="21"/>
                    </w:rPr>
                  </w:pPr>
                  <w:r>
                    <w:rPr>
                      <w:rFonts w:hint="eastAsia"/>
                      <w:szCs w:val="21"/>
                    </w:rPr>
                    <w:t>20</w:t>
                  </w:r>
                </w:p>
              </w:tc>
            </w:tr>
            <w:tr w14:paraId="039614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502" w:type="dxa"/>
                  <w:gridSpan w:val="4"/>
                  <w:noWrap w:val="0"/>
                  <w:tcMar>
                    <w:top w:w="0" w:type="dxa"/>
                    <w:left w:w="28" w:type="dxa"/>
                    <w:bottom w:w="0" w:type="dxa"/>
                    <w:right w:w="28" w:type="dxa"/>
                  </w:tcMar>
                  <w:vAlign w:val="center"/>
                </w:tcPr>
                <w:p w14:paraId="2D4DED71">
                  <w:pPr>
                    <w:pageBreakBefore w:val="0"/>
                    <w:kinsoku/>
                    <w:wordWrap/>
                    <w:topLinePunct w:val="0"/>
                    <w:bidi w:val="0"/>
                    <w:spacing w:line="280" w:lineRule="exact"/>
                    <w:jc w:val="center"/>
                    <w:rPr>
                      <w:szCs w:val="21"/>
                    </w:rPr>
                  </w:pPr>
                  <w:r>
                    <w:rPr>
                      <w:szCs w:val="21"/>
                    </w:rPr>
                    <w:t>合计</w:t>
                  </w:r>
                </w:p>
              </w:tc>
              <w:tc>
                <w:tcPr>
                  <w:tcW w:w="888" w:type="dxa"/>
                  <w:noWrap w:val="0"/>
                  <w:tcMar>
                    <w:top w:w="0" w:type="dxa"/>
                    <w:left w:w="28" w:type="dxa"/>
                    <w:bottom w:w="0" w:type="dxa"/>
                    <w:right w:w="28" w:type="dxa"/>
                  </w:tcMar>
                  <w:vAlign w:val="center"/>
                </w:tcPr>
                <w:p w14:paraId="35B96FBD">
                  <w:pPr>
                    <w:pageBreakBefore w:val="0"/>
                    <w:kinsoku/>
                    <w:wordWrap/>
                    <w:topLinePunct w:val="0"/>
                    <w:bidi w:val="0"/>
                    <w:spacing w:line="280" w:lineRule="exact"/>
                    <w:jc w:val="center"/>
                    <w:rPr>
                      <w:rFonts w:hint="default" w:eastAsia="宋体"/>
                      <w:szCs w:val="21"/>
                      <w:lang w:val="en-US" w:eastAsia="zh-CN"/>
                    </w:rPr>
                  </w:pPr>
                  <w:r>
                    <w:rPr>
                      <w:rFonts w:hint="eastAsia"/>
                      <w:szCs w:val="21"/>
                    </w:rPr>
                    <w:t>16</w:t>
                  </w:r>
                  <w:r>
                    <w:rPr>
                      <w:rFonts w:hint="eastAsia"/>
                      <w:szCs w:val="21"/>
                      <w:lang w:val="en-US" w:eastAsia="zh-CN"/>
                    </w:rPr>
                    <w:t>8.5</w:t>
                  </w:r>
                </w:p>
              </w:tc>
            </w:tr>
          </w:tbl>
          <w:p w14:paraId="0E6B4B4F">
            <w:pPr>
              <w:pageBreakBefore w:val="0"/>
              <w:kinsoku/>
              <w:wordWrap/>
              <w:topLinePunct w:val="0"/>
              <w:bidi w:val="0"/>
              <w:spacing w:line="360" w:lineRule="auto"/>
              <w:ind w:firstLine="480" w:firstLineChars="200"/>
              <w:rPr>
                <w:bCs/>
                <w:sz w:val="24"/>
              </w:rPr>
            </w:pPr>
            <w:r>
              <w:rPr>
                <w:bCs/>
                <w:sz w:val="24"/>
              </w:rPr>
              <w:t>由上表可知，本项目环保措施投资为</w:t>
            </w:r>
            <w:r>
              <w:rPr>
                <w:rFonts w:hint="eastAsia"/>
                <w:bCs/>
                <w:sz w:val="24"/>
              </w:rPr>
              <w:t>16</w:t>
            </w:r>
            <w:r>
              <w:rPr>
                <w:rFonts w:hint="eastAsia"/>
                <w:bCs/>
                <w:sz w:val="24"/>
                <w:lang w:val="en-US" w:eastAsia="zh-CN"/>
              </w:rPr>
              <w:t>8.5</w:t>
            </w:r>
            <w:r>
              <w:rPr>
                <w:bCs/>
                <w:sz w:val="24"/>
              </w:rPr>
              <w:t>万元，占总投资的</w:t>
            </w:r>
            <w:r>
              <w:rPr>
                <w:rFonts w:hint="eastAsia"/>
                <w:bCs/>
                <w:sz w:val="24"/>
              </w:rPr>
              <w:t>1.</w:t>
            </w:r>
            <w:r>
              <w:rPr>
                <w:rFonts w:hint="eastAsia"/>
                <w:bCs/>
                <w:sz w:val="24"/>
                <w:lang w:val="en-US" w:eastAsia="zh-CN"/>
              </w:rPr>
              <w:t>4</w:t>
            </w:r>
            <w:r>
              <w:rPr>
                <w:bCs/>
                <w:sz w:val="24"/>
              </w:rPr>
              <w:t>%。</w:t>
            </w:r>
          </w:p>
          <w:p w14:paraId="3FFE6BF5">
            <w:pPr>
              <w:pageBreakBefore w:val="0"/>
              <w:kinsoku/>
              <w:wordWrap/>
              <w:topLinePunct w:val="0"/>
              <w:bidi w:val="0"/>
              <w:spacing w:line="360" w:lineRule="auto"/>
              <w:ind w:firstLine="480" w:firstLineChars="200"/>
              <w:rPr>
                <w:bCs/>
                <w:sz w:val="24"/>
              </w:rPr>
            </w:pPr>
          </w:p>
          <w:p w14:paraId="7E336F06">
            <w:pPr>
              <w:pageBreakBefore w:val="0"/>
              <w:kinsoku/>
              <w:wordWrap/>
              <w:topLinePunct w:val="0"/>
              <w:bidi w:val="0"/>
              <w:spacing w:line="360" w:lineRule="auto"/>
              <w:ind w:firstLine="480" w:firstLineChars="200"/>
              <w:rPr>
                <w:bCs/>
                <w:sz w:val="24"/>
              </w:rPr>
            </w:pPr>
          </w:p>
          <w:p w14:paraId="7062773E">
            <w:pPr>
              <w:pageBreakBefore w:val="0"/>
              <w:kinsoku/>
              <w:wordWrap/>
              <w:topLinePunct w:val="0"/>
              <w:bidi w:val="0"/>
              <w:spacing w:line="360" w:lineRule="auto"/>
              <w:ind w:firstLine="480" w:firstLineChars="200"/>
              <w:rPr>
                <w:bCs/>
                <w:sz w:val="24"/>
              </w:rPr>
            </w:pPr>
          </w:p>
          <w:p w14:paraId="61F2568A">
            <w:pPr>
              <w:pageBreakBefore w:val="0"/>
              <w:kinsoku/>
              <w:wordWrap/>
              <w:topLinePunct w:val="0"/>
              <w:bidi w:val="0"/>
              <w:spacing w:line="360" w:lineRule="auto"/>
              <w:ind w:firstLine="480" w:firstLineChars="200"/>
              <w:rPr>
                <w:bCs/>
                <w:sz w:val="24"/>
              </w:rPr>
            </w:pPr>
          </w:p>
          <w:p w14:paraId="4C693590">
            <w:pPr>
              <w:pageBreakBefore w:val="0"/>
              <w:kinsoku/>
              <w:wordWrap/>
              <w:topLinePunct w:val="0"/>
              <w:bidi w:val="0"/>
              <w:spacing w:line="360" w:lineRule="auto"/>
              <w:ind w:firstLine="480" w:firstLineChars="200"/>
              <w:rPr>
                <w:bCs/>
                <w:sz w:val="24"/>
              </w:rPr>
            </w:pPr>
          </w:p>
          <w:p w14:paraId="15610BB5">
            <w:pPr>
              <w:pageBreakBefore w:val="0"/>
              <w:kinsoku/>
              <w:wordWrap/>
              <w:topLinePunct w:val="0"/>
              <w:bidi w:val="0"/>
              <w:spacing w:line="360" w:lineRule="auto"/>
              <w:ind w:firstLine="480" w:firstLineChars="200"/>
              <w:rPr>
                <w:bCs/>
                <w:sz w:val="24"/>
              </w:rPr>
            </w:pPr>
          </w:p>
          <w:p w14:paraId="284E07D8">
            <w:pPr>
              <w:pageBreakBefore w:val="0"/>
              <w:kinsoku/>
              <w:wordWrap/>
              <w:topLinePunct w:val="0"/>
              <w:bidi w:val="0"/>
              <w:spacing w:line="360" w:lineRule="auto"/>
              <w:ind w:firstLine="480" w:firstLineChars="200"/>
              <w:rPr>
                <w:bCs/>
                <w:sz w:val="24"/>
              </w:rPr>
            </w:pPr>
          </w:p>
          <w:p w14:paraId="12A57F62">
            <w:pPr>
              <w:pageBreakBefore w:val="0"/>
              <w:kinsoku/>
              <w:wordWrap/>
              <w:topLinePunct w:val="0"/>
              <w:bidi w:val="0"/>
              <w:spacing w:line="360" w:lineRule="auto"/>
              <w:ind w:firstLine="480" w:firstLineChars="200"/>
              <w:rPr>
                <w:bCs/>
                <w:sz w:val="24"/>
              </w:rPr>
            </w:pPr>
          </w:p>
          <w:p w14:paraId="06B11D18">
            <w:pPr>
              <w:pageBreakBefore w:val="0"/>
              <w:kinsoku/>
              <w:wordWrap/>
              <w:topLinePunct w:val="0"/>
              <w:bidi w:val="0"/>
              <w:spacing w:line="360" w:lineRule="auto"/>
              <w:ind w:firstLine="480" w:firstLineChars="200"/>
              <w:rPr>
                <w:bCs/>
                <w:sz w:val="24"/>
              </w:rPr>
            </w:pPr>
          </w:p>
          <w:p w14:paraId="008FDAE6">
            <w:pPr>
              <w:pageBreakBefore w:val="0"/>
              <w:kinsoku/>
              <w:wordWrap/>
              <w:topLinePunct w:val="0"/>
              <w:bidi w:val="0"/>
              <w:spacing w:line="360" w:lineRule="auto"/>
              <w:ind w:firstLine="480" w:firstLineChars="200"/>
              <w:rPr>
                <w:bCs/>
                <w:sz w:val="24"/>
              </w:rPr>
            </w:pPr>
          </w:p>
        </w:tc>
      </w:tr>
    </w:tbl>
    <w:p w14:paraId="6B74A0A8">
      <w:pPr>
        <w:pageBreakBefore w:val="0"/>
        <w:kinsoku/>
        <w:wordWrap/>
        <w:topLinePunct w:val="0"/>
        <w:bidi w:val="0"/>
        <w:rPr>
          <w:b/>
          <w:kern w:val="0"/>
          <w:szCs w:val="21"/>
        </w:rPr>
        <w:sectPr>
          <w:footerReference r:id="rId7" w:type="default"/>
          <w:pgSz w:w="11905" w:h="16838"/>
          <w:pgMar w:top="1701" w:right="1417" w:bottom="1701" w:left="1417" w:header="850" w:footer="964" w:gutter="0"/>
          <w:pgBorders>
            <w:top w:val="none" w:sz="0" w:space="0"/>
            <w:left w:val="none" w:sz="0" w:space="0"/>
            <w:bottom w:val="none" w:sz="0" w:space="0"/>
            <w:right w:val="none" w:sz="0" w:space="0"/>
          </w:pgBorders>
          <w:pgNumType w:fmt="numberInDash"/>
          <w:cols w:space="720" w:num="1"/>
          <w:docGrid w:type="lines" w:linePitch="312" w:charSpace="0"/>
        </w:sectPr>
      </w:pPr>
    </w:p>
    <w:p w14:paraId="28A0721F">
      <w:pPr>
        <w:pageBreakBefore w:val="0"/>
        <w:kinsoku/>
        <w:wordWrap/>
        <w:topLinePunct w:val="0"/>
        <w:bidi w:val="0"/>
        <w:spacing w:line="360" w:lineRule="auto"/>
        <w:jc w:val="center"/>
        <w:outlineLvl w:val="0"/>
        <w:rPr>
          <w:rFonts w:eastAsia="黑体"/>
          <w:snapToGrid w:val="0"/>
          <w:sz w:val="30"/>
          <w:szCs w:val="30"/>
        </w:rPr>
      </w:pPr>
      <w:bookmarkStart w:id="11" w:name="_Toc22818"/>
      <w:r>
        <w:rPr>
          <w:rFonts w:eastAsia="黑体"/>
          <w:snapToGrid w:val="0"/>
          <w:sz w:val="30"/>
          <w:szCs w:val="30"/>
        </w:rPr>
        <w:t>五、</w:t>
      </w:r>
      <w:bookmarkStart w:id="12" w:name="_Hlk54167917"/>
      <w:r>
        <w:rPr>
          <w:rFonts w:eastAsia="黑体"/>
          <w:snapToGrid w:val="0"/>
          <w:sz w:val="30"/>
          <w:szCs w:val="30"/>
        </w:rPr>
        <w:t>环境保护措施监督检查清单</w:t>
      </w:r>
      <w:bookmarkEnd w:id="11"/>
      <w:bookmarkEnd w:id="12"/>
    </w:p>
    <w:tbl>
      <w:tblPr>
        <w:tblStyle w:val="13"/>
        <w:tblW w:w="94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1511"/>
        <w:gridCol w:w="1498"/>
        <w:gridCol w:w="1367"/>
        <w:gridCol w:w="2294"/>
        <w:gridCol w:w="2741"/>
      </w:tblGrid>
      <w:tr w14:paraId="1AA1D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511" w:type="dxa"/>
            <w:tcBorders>
              <w:top w:val="single" w:color="auto" w:sz="8" w:space="0"/>
              <w:bottom w:val="single" w:color="auto" w:sz="8" w:space="0"/>
              <w:tl2br w:val="single" w:color="auto" w:sz="4" w:space="0"/>
            </w:tcBorders>
            <w:noWrap w:val="0"/>
            <w:tcMar>
              <w:top w:w="0" w:type="dxa"/>
              <w:left w:w="28" w:type="dxa"/>
              <w:bottom w:w="0" w:type="dxa"/>
              <w:right w:w="28" w:type="dxa"/>
            </w:tcMar>
            <w:vAlign w:val="top"/>
          </w:tcPr>
          <w:p w14:paraId="4217E549">
            <w:pPr>
              <w:pageBreakBefore w:val="0"/>
              <w:kinsoku/>
              <w:wordWrap/>
              <w:topLinePunct w:val="0"/>
              <w:autoSpaceDE w:val="0"/>
              <w:autoSpaceDN w:val="0"/>
              <w:bidi w:val="0"/>
              <w:jc w:val="right"/>
              <w:rPr>
                <w:sz w:val="24"/>
              </w:rPr>
            </w:pPr>
            <w:r>
              <w:rPr>
                <w:sz w:val="24"/>
              </w:rPr>
              <w:t>内容</w:t>
            </w:r>
          </w:p>
          <w:p w14:paraId="0ADF8085">
            <w:pPr>
              <w:pageBreakBefore w:val="0"/>
              <w:kinsoku/>
              <w:wordWrap/>
              <w:topLinePunct w:val="0"/>
              <w:autoSpaceDE w:val="0"/>
              <w:autoSpaceDN w:val="0"/>
              <w:bidi w:val="0"/>
              <w:rPr>
                <w:sz w:val="24"/>
              </w:rPr>
            </w:pPr>
            <w:r>
              <w:rPr>
                <w:sz w:val="24"/>
              </w:rPr>
              <w:t>要素</w:t>
            </w:r>
          </w:p>
        </w:tc>
        <w:tc>
          <w:tcPr>
            <w:tcW w:w="1498" w:type="dxa"/>
            <w:tcBorders>
              <w:top w:val="single" w:color="auto" w:sz="8" w:space="0"/>
            </w:tcBorders>
            <w:noWrap w:val="0"/>
            <w:tcMar>
              <w:top w:w="0" w:type="dxa"/>
              <w:left w:w="28" w:type="dxa"/>
              <w:bottom w:w="0" w:type="dxa"/>
              <w:right w:w="28" w:type="dxa"/>
            </w:tcMar>
            <w:vAlign w:val="center"/>
          </w:tcPr>
          <w:p w14:paraId="431E1687">
            <w:pPr>
              <w:pageBreakBefore w:val="0"/>
              <w:kinsoku/>
              <w:wordWrap/>
              <w:topLinePunct w:val="0"/>
              <w:autoSpaceDE w:val="0"/>
              <w:autoSpaceDN w:val="0"/>
              <w:bidi w:val="0"/>
              <w:jc w:val="center"/>
              <w:rPr>
                <w:sz w:val="24"/>
              </w:rPr>
            </w:pPr>
            <w:r>
              <w:rPr>
                <w:sz w:val="24"/>
              </w:rPr>
              <w:t>排放口</w:t>
            </w:r>
            <w:r>
              <w:rPr>
                <w:rFonts w:hint="eastAsia"/>
                <w:sz w:val="24"/>
              </w:rPr>
              <w:t>（</w:t>
            </w:r>
            <w:r>
              <w:rPr>
                <w:sz w:val="24"/>
              </w:rPr>
              <w:t>编号、</w:t>
            </w:r>
          </w:p>
          <w:p w14:paraId="200787B0">
            <w:pPr>
              <w:pageBreakBefore w:val="0"/>
              <w:kinsoku/>
              <w:wordWrap/>
              <w:topLinePunct w:val="0"/>
              <w:autoSpaceDE w:val="0"/>
              <w:autoSpaceDN w:val="0"/>
              <w:bidi w:val="0"/>
              <w:jc w:val="center"/>
              <w:rPr>
                <w:sz w:val="24"/>
              </w:rPr>
            </w:pPr>
            <w:r>
              <w:rPr>
                <w:sz w:val="24"/>
              </w:rPr>
              <w:t>名称</w:t>
            </w:r>
            <w:r>
              <w:rPr>
                <w:rFonts w:hint="eastAsia"/>
                <w:sz w:val="24"/>
              </w:rPr>
              <w:t>）</w:t>
            </w:r>
            <w:r>
              <w:rPr>
                <w:sz w:val="24"/>
              </w:rPr>
              <w:t>/污染源</w:t>
            </w:r>
          </w:p>
        </w:tc>
        <w:tc>
          <w:tcPr>
            <w:tcW w:w="1367" w:type="dxa"/>
            <w:tcBorders>
              <w:top w:val="single" w:color="auto" w:sz="8" w:space="0"/>
            </w:tcBorders>
            <w:noWrap w:val="0"/>
            <w:tcMar>
              <w:top w:w="0" w:type="dxa"/>
              <w:left w:w="28" w:type="dxa"/>
              <w:bottom w:w="0" w:type="dxa"/>
              <w:right w:w="28" w:type="dxa"/>
            </w:tcMar>
            <w:vAlign w:val="center"/>
          </w:tcPr>
          <w:p w14:paraId="1DEED9DF">
            <w:pPr>
              <w:pageBreakBefore w:val="0"/>
              <w:kinsoku/>
              <w:wordWrap/>
              <w:topLinePunct w:val="0"/>
              <w:autoSpaceDE w:val="0"/>
              <w:autoSpaceDN w:val="0"/>
              <w:bidi w:val="0"/>
              <w:jc w:val="center"/>
              <w:rPr>
                <w:sz w:val="24"/>
              </w:rPr>
            </w:pPr>
            <w:r>
              <w:rPr>
                <w:sz w:val="24"/>
              </w:rPr>
              <w:t>污染物</w:t>
            </w:r>
          </w:p>
          <w:p w14:paraId="446F78FF">
            <w:pPr>
              <w:pageBreakBefore w:val="0"/>
              <w:kinsoku/>
              <w:wordWrap/>
              <w:topLinePunct w:val="0"/>
              <w:autoSpaceDE w:val="0"/>
              <w:autoSpaceDN w:val="0"/>
              <w:bidi w:val="0"/>
              <w:jc w:val="center"/>
              <w:rPr>
                <w:sz w:val="24"/>
              </w:rPr>
            </w:pPr>
            <w:r>
              <w:rPr>
                <w:sz w:val="24"/>
              </w:rPr>
              <w:t>项目</w:t>
            </w:r>
          </w:p>
        </w:tc>
        <w:tc>
          <w:tcPr>
            <w:tcW w:w="2294" w:type="dxa"/>
            <w:tcBorders>
              <w:top w:val="single" w:color="auto" w:sz="8" w:space="0"/>
            </w:tcBorders>
            <w:noWrap w:val="0"/>
            <w:tcMar>
              <w:top w:w="0" w:type="dxa"/>
              <w:left w:w="28" w:type="dxa"/>
              <w:bottom w:w="0" w:type="dxa"/>
              <w:right w:w="28" w:type="dxa"/>
            </w:tcMar>
            <w:vAlign w:val="center"/>
          </w:tcPr>
          <w:p w14:paraId="51111DC8">
            <w:pPr>
              <w:pageBreakBefore w:val="0"/>
              <w:kinsoku/>
              <w:wordWrap/>
              <w:topLinePunct w:val="0"/>
              <w:autoSpaceDE w:val="0"/>
              <w:autoSpaceDN w:val="0"/>
              <w:bidi w:val="0"/>
              <w:jc w:val="center"/>
              <w:rPr>
                <w:sz w:val="24"/>
              </w:rPr>
            </w:pPr>
            <w:r>
              <w:rPr>
                <w:sz w:val="24"/>
              </w:rPr>
              <w:t>环境保护措施</w:t>
            </w:r>
          </w:p>
        </w:tc>
        <w:tc>
          <w:tcPr>
            <w:tcW w:w="2741" w:type="dxa"/>
            <w:tcBorders>
              <w:top w:val="single" w:color="auto" w:sz="8" w:space="0"/>
            </w:tcBorders>
            <w:noWrap w:val="0"/>
            <w:tcMar>
              <w:top w:w="0" w:type="dxa"/>
              <w:left w:w="28" w:type="dxa"/>
              <w:bottom w:w="0" w:type="dxa"/>
              <w:right w:w="28" w:type="dxa"/>
            </w:tcMar>
            <w:vAlign w:val="center"/>
          </w:tcPr>
          <w:p w14:paraId="1DBCFF38">
            <w:pPr>
              <w:pageBreakBefore w:val="0"/>
              <w:kinsoku/>
              <w:wordWrap/>
              <w:topLinePunct w:val="0"/>
              <w:autoSpaceDE w:val="0"/>
              <w:autoSpaceDN w:val="0"/>
              <w:bidi w:val="0"/>
              <w:jc w:val="center"/>
              <w:rPr>
                <w:sz w:val="24"/>
              </w:rPr>
            </w:pPr>
            <w:r>
              <w:rPr>
                <w:sz w:val="24"/>
              </w:rPr>
              <w:t>执行标准</w:t>
            </w:r>
          </w:p>
        </w:tc>
      </w:tr>
      <w:tr w14:paraId="6FC30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511" w:type="dxa"/>
            <w:tcBorders>
              <w:top w:val="single" w:color="auto" w:sz="8" w:space="0"/>
            </w:tcBorders>
            <w:noWrap w:val="0"/>
            <w:tcMar>
              <w:top w:w="0" w:type="dxa"/>
              <w:left w:w="28" w:type="dxa"/>
              <w:bottom w:w="0" w:type="dxa"/>
              <w:right w:w="28" w:type="dxa"/>
            </w:tcMar>
            <w:vAlign w:val="center"/>
          </w:tcPr>
          <w:p w14:paraId="5582DFA4">
            <w:pPr>
              <w:pageBreakBefore w:val="0"/>
              <w:kinsoku/>
              <w:wordWrap/>
              <w:topLinePunct w:val="0"/>
              <w:autoSpaceDE w:val="0"/>
              <w:autoSpaceDN w:val="0"/>
              <w:bidi w:val="0"/>
              <w:spacing w:line="360" w:lineRule="auto"/>
              <w:jc w:val="center"/>
              <w:rPr>
                <w:sz w:val="24"/>
              </w:rPr>
            </w:pPr>
            <w:r>
              <w:rPr>
                <w:sz w:val="24"/>
              </w:rPr>
              <w:t>大气环境</w:t>
            </w:r>
          </w:p>
        </w:tc>
        <w:tc>
          <w:tcPr>
            <w:tcW w:w="1498" w:type="dxa"/>
            <w:tcBorders>
              <w:top w:val="single" w:color="auto" w:sz="8" w:space="0"/>
              <w:bottom w:val="single" w:color="auto" w:sz="4" w:space="0"/>
            </w:tcBorders>
            <w:noWrap w:val="0"/>
            <w:tcMar>
              <w:top w:w="0" w:type="dxa"/>
              <w:left w:w="28" w:type="dxa"/>
              <w:bottom w:w="0" w:type="dxa"/>
              <w:right w:w="28" w:type="dxa"/>
            </w:tcMar>
            <w:vAlign w:val="center"/>
          </w:tcPr>
          <w:p w14:paraId="6C1D3EA1">
            <w:pPr>
              <w:pageBreakBefore w:val="0"/>
              <w:kinsoku/>
              <w:wordWrap/>
              <w:topLinePunct w:val="0"/>
              <w:autoSpaceDE w:val="0"/>
              <w:autoSpaceDN w:val="0"/>
              <w:bidi w:val="0"/>
              <w:spacing w:line="360" w:lineRule="auto"/>
              <w:jc w:val="center"/>
              <w:rPr>
                <w:sz w:val="24"/>
              </w:rPr>
            </w:pPr>
            <w:r>
              <w:rPr>
                <w:rFonts w:hint="eastAsia"/>
                <w:sz w:val="24"/>
              </w:rPr>
              <w:t>无</w:t>
            </w:r>
          </w:p>
        </w:tc>
        <w:tc>
          <w:tcPr>
            <w:tcW w:w="1367" w:type="dxa"/>
            <w:tcBorders>
              <w:top w:val="single" w:color="auto" w:sz="8" w:space="0"/>
              <w:bottom w:val="single" w:color="auto" w:sz="4" w:space="0"/>
            </w:tcBorders>
            <w:noWrap w:val="0"/>
            <w:tcMar>
              <w:top w:w="0" w:type="dxa"/>
              <w:left w:w="28" w:type="dxa"/>
              <w:bottom w:w="0" w:type="dxa"/>
              <w:right w:w="28" w:type="dxa"/>
            </w:tcMar>
            <w:vAlign w:val="center"/>
          </w:tcPr>
          <w:p w14:paraId="69B8D01B">
            <w:pPr>
              <w:pageBreakBefore w:val="0"/>
              <w:kinsoku/>
              <w:wordWrap/>
              <w:topLinePunct w:val="0"/>
              <w:autoSpaceDE w:val="0"/>
              <w:autoSpaceDN w:val="0"/>
              <w:bidi w:val="0"/>
              <w:spacing w:line="360" w:lineRule="auto"/>
              <w:jc w:val="center"/>
              <w:rPr>
                <w:rFonts w:hint="eastAsia"/>
                <w:sz w:val="24"/>
              </w:rPr>
            </w:pPr>
            <w:r>
              <w:rPr>
                <w:rFonts w:hint="eastAsia"/>
                <w:sz w:val="24"/>
              </w:rPr>
              <w:t>无</w:t>
            </w:r>
          </w:p>
        </w:tc>
        <w:tc>
          <w:tcPr>
            <w:tcW w:w="2294" w:type="dxa"/>
            <w:tcBorders>
              <w:top w:val="single" w:color="auto" w:sz="8" w:space="0"/>
              <w:bottom w:val="single" w:color="auto" w:sz="4" w:space="0"/>
            </w:tcBorders>
            <w:noWrap w:val="0"/>
            <w:tcMar>
              <w:top w:w="0" w:type="dxa"/>
              <w:left w:w="28" w:type="dxa"/>
              <w:bottom w:w="0" w:type="dxa"/>
              <w:right w:w="28" w:type="dxa"/>
            </w:tcMar>
            <w:vAlign w:val="center"/>
          </w:tcPr>
          <w:p w14:paraId="1E39A63C">
            <w:pPr>
              <w:pageBreakBefore w:val="0"/>
              <w:kinsoku/>
              <w:wordWrap/>
              <w:topLinePunct w:val="0"/>
              <w:autoSpaceDE w:val="0"/>
              <w:autoSpaceDN w:val="0"/>
              <w:bidi w:val="0"/>
              <w:spacing w:line="360" w:lineRule="auto"/>
              <w:jc w:val="center"/>
              <w:rPr>
                <w:sz w:val="24"/>
              </w:rPr>
            </w:pPr>
            <w:r>
              <w:rPr>
                <w:rFonts w:hint="eastAsia"/>
                <w:sz w:val="24"/>
              </w:rPr>
              <w:t>无</w:t>
            </w:r>
          </w:p>
        </w:tc>
        <w:tc>
          <w:tcPr>
            <w:tcW w:w="2741" w:type="dxa"/>
            <w:tcBorders>
              <w:top w:val="single" w:color="auto" w:sz="8" w:space="0"/>
            </w:tcBorders>
            <w:noWrap w:val="0"/>
            <w:tcMar>
              <w:top w:w="0" w:type="dxa"/>
              <w:left w:w="28" w:type="dxa"/>
              <w:bottom w:w="0" w:type="dxa"/>
              <w:right w:w="28" w:type="dxa"/>
            </w:tcMar>
            <w:vAlign w:val="center"/>
          </w:tcPr>
          <w:p w14:paraId="23FB59A8">
            <w:pPr>
              <w:pageBreakBefore w:val="0"/>
              <w:kinsoku/>
              <w:wordWrap/>
              <w:topLinePunct w:val="0"/>
              <w:autoSpaceDE w:val="0"/>
              <w:autoSpaceDN w:val="0"/>
              <w:bidi w:val="0"/>
              <w:spacing w:line="360" w:lineRule="auto"/>
              <w:jc w:val="center"/>
              <w:rPr>
                <w:sz w:val="24"/>
              </w:rPr>
            </w:pPr>
            <w:r>
              <w:rPr>
                <w:rFonts w:hint="eastAsia"/>
                <w:sz w:val="24"/>
              </w:rPr>
              <w:t>-</w:t>
            </w:r>
          </w:p>
        </w:tc>
      </w:tr>
      <w:tr w14:paraId="2E700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511" w:type="dxa"/>
            <w:noWrap w:val="0"/>
            <w:tcMar>
              <w:top w:w="0" w:type="dxa"/>
              <w:left w:w="28" w:type="dxa"/>
              <w:bottom w:w="0" w:type="dxa"/>
              <w:right w:w="28" w:type="dxa"/>
            </w:tcMar>
            <w:vAlign w:val="center"/>
          </w:tcPr>
          <w:p w14:paraId="7C273EF2">
            <w:pPr>
              <w:pageBreakBefore w:val="0"/>
              <w:kinsoku/>
              <w:wordWrap/>
              <w:topLinePunct w:val="0"/>
              <w:autoSpaceDE w:val="0"/>
              <w:autoSpaceDN w:val="0"/>
              <w:bidi w:val="0"/>
              <w:spacing w:line="360" w:lineRule="auto"/>
              <w:jc w:val="center"/>
              <w:rPr>
                <w:sz w:val="24"/>
              </w:rPr>
            </w:pPr>
            <w:r>
              <w:rPr>
                <w:sz w:val="24"/>
              </w:rPr>
              <w:t>地表水环境</w:t>
            </w:r>
          </w:p>
        </w:tc>
        <w:tc>
          <w:tcPr>
            <w:tcW w:w="1498" w:type="dxa"/>
            <w:noWrap w:val="0"/>
            <w:tcMar>
              <w:top w:w="0" w:type="dxa"/>
              <w:left w:w="28" w:type="dxa"/>
              <w:bottom w:w="0" w:type="dxa"/>
              <w:right w:w="28" w:type="dxa"/>
            </w:tcMar>
            <w:vAlign w:val="center"/>
          </w:tcPr>
          <w:p w14:paraId="0CDB70ED">
            <w:pPr>
              <w:pageBreakBefore w:val="0"/>
              <w:kinsoku/>
              <w:wordWrap/>
              <w:topLinePunct w:val="0"/>
              <w:autoSpaceDE w:val="0"/>
              <w:autoSpaceDN w:val="0"/>
              <w:bidi w:val="0"/>
              <w:spacing w:line="360" w:lineRule="auto"/>
              <w:jc w:val="center"/>
              <w:rPr>
                <w:rFonts w:hint="eastAsia"/>
                <w:sz w:val="24"/>
              </w:rPr>
            </w:pPr>
            <w:r>
              <w:rPr>
                <w:rFonts w:hint="eastAsia"/>
                <w:sz w:val="24"/>
              </w:rPr>
              <w:t>循环设施排水、生活污水</w:t>
            </w:r>
          </w:p>
        </w:tc>
        <w:tc>
          <w:tcPr>
            <w:tcW w:w="1367" w:type="dxa"/>
            <w:noWrap w:val="0"/>
            <w:tcMar>
              <w:top w:w="0" w:type="dxa"/>
              <w:left w:w="28" w:type="dxa"/>
              <w:bottom w:w="0" w:type="dxa"/>
              <w:right w:w="28" w:type="dxa"/>
            </w:tcMar>
            <w:vAlign w:val="center"/>
          </w:tcPr>
          <w:p w14:paraId="2BD135E6">
            <w:pPr>
              <w:pageBreakBefore w:val="0"/>
              <w:kinsoku/>
              <w:wordWrap/>
              <w:topLinePunct w:val="0"/>
              <w:autoSpaceDE w:val="0"/>
              <w:autoSpaceDN w:val="0"/>
              <w:bidi w:val="0"/>
              <w:spacing w:line="360" w:lineRule="auto"/>
              <w:jc w:val="center"/>
              <w:rPr>
                <w:rFonts w:hint="eastAsia"/>
                <w:sz w:val="24"/>
              </w:rPr>
            </w:pPr>
            <w:r>
              <w:rPr>
                <w:rFonts w:hint="eastAsia"/>
                <w:sz w:val="24"/>
              </w:rPr>
              <w:t>五日生化需氧量、化学需氧量、悬浮物、氨氮、</w:t>
            </w:r>
            <w:r>
              <w:rPr>
                <w:sz w:val="24"/>
              </w:rPr>
              <w:t>Ca</w:t>
            </w:r>
            <w:r>
              <w:rPr>
                <w:sz w:val="24"/>
                <w:vertAlign w:val="superscript"/>
              </w:rPr>
              <w:t>2+</w:t>
            </w:r>
            <w:r>
              <w:rPr>
                <w:sz w:val="24"/>
              </w:rPr>
              <w:t>、Mg</w:t>
            </w:r>
            <w:r>
              <w:rPr>
                <w:sz w:val="24"/>
                <w:vertAlign w:val="superscript"/>
              </w:rPr>
              <w:t>2+</w:t>
            </w:r>
            <w:r>
              <w:rPr>
                <w:sz w:val="24"/>
              </w:rPr>
              <w:t>、Fe</w:t>
            </w:r>
            <w:r>
              <w:rPr>
                <w:sz w:val="24"/>
                <w:vertAlign w:val="superscript"/>
              </w:rPr>
              <w:t>3+</w:t>
            </w:r>
          </w:p>
        </w:tc>
        <w:tc>
          <w:tcPr>
            <w:tcW w:w="2294" w:type="dxa"/>
            <w:noWrap w:val="0"/>
            <w:tcMar>
              <w:top w:w="0" w:type="dxa"/>
              <w:left w:w="28" w:type="dxa"/>
              <w:bottom w:w="0" w:type="dxa"/>
              <w:right w:w="28" w:type="dxa"/>
            </w:tcMar>
            <w:vAlign w:val="center"/>
          </w:tcPr>
          <w:p w14:paraId="5D4AB937">
            <w:pPr>
              <w:pageBreakBefore w:val="0"/>
              <w:kinsoku/>
              <w:wordWrap/>
              <w:topLinePunct w:val="0"/>
              <w:autoSpaceDE w:val="0"/>
              <w:autoSpaceDN w:val="0"/>
              <w:bidi w:val="0"/>
              <w:spacing w:line="360" w:lineRule="auto"/>
              <w:jc w:val="center"/>
              <w:rPr>
                <w:sz w:val="24"/>
              </w:rPr>
            </w:pPr>
            <w:r>
              <w:rPr>
                <w:rFonts w:hint="eastAsia"/>
                <w:sz w:val="24"/>
              </w:rPr>
              <w:t>经管线排入</w:t>
            </w:r>
            <w:r>
              <w:rPr>
                <w:rFonts w:hint="eastAsia" w:ascii="宋体" w:hAnsi="宋体" w:cs="宋体"/>
                <w:bCs/>
                <w:sz w:val="24"/>
              </w:rPr>
              <w:t>“新疆圣雄电石有限公司煤电盐化循环经济一期工程年产60万吨电石、60万吨石灰、75万吨兰炭项目”地埋式一体化污水处理设施</w:t>
            </w:r>
            <w:r>
              <w:rPr>
                <w:rFonts w:hint="eastAsia"/>
                <w:sz w:val="24"/>
              </w:rPr>
              <w:t>处理</w:t>
            </w:r>
          </w:p>
        </w:tc>
        <w:tc>
          <w:tcPr>
            <w:tcW w:w="2741" w:type="dxa"/>
            <w:noWrap w:val="0"/>
            <w:tcMar>
              <w:top w:w="0" w:type="dxa"/>
              <w:left w:w="28" w:type="dxa"/>
              <w:bottom w:w="0" w:type="dxa"/>
              <w:right w:w="28" w:type="dxa"/>
            </w:tcMar>
            <w:vAlign w:val="center"/>
          </w:tcPr>
          <w:p w14:paraId="1FA77F62">
            <w:pPr>
              <w:pageBreakBefore w:val="0"/>
              <w:kinsoku/>
              <w:wordWrap/>
              <w:topLinePunct w:val="0"/>
              <w:autoSpaceDE w:val="0"/>
              <w:autoSpaceDN w:val="0"/>
              <w:bidi w:val="0"/>
              <w:spacing w:line="360" w:lineRule="auto"/>
              <w:jc w:val="center"/>
              <w:rPr>
                <w:sz w:val="24"/>
              </w:rPr>
            </w:pPr>
            <w:r>
              <w:rPr>
                <w:rFonts w:hint="eastAsia"/>
                <w:bCs/>
                <w:sz w:val="24"/>
              </w:rPr>
              <w:t>《污水综合排放标准》</w:t>
            </w:r>
            <w:r>
              <w:rPr>
                <w:rFonts w:hint="eastAsia"/>
                <w:sz w:val="24"/>
              </w:rPr>
              <w:t>（</w:t>
            </w:r>
            <w:r>
              <w:rPr>
                <w:rFonts w:hint="eastAsia"/>
                <w:bCs/>
                <w:sz w:val="24"/>
              </w:rPr>
              <w:t>GB 8978-1996）表4三级标准限值</w:t>
            </w:r>
          </w:p>
        </w:tc>
      </w:tr>
      <w:tr w14:paraId="4412A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511" w:type="dxa"/>
            <w:noWrap w:val="0"/>
            <w:tcMar>
              <w:top w:w="0" w:type="dxa"/>
              <w:left w:w="28" w:type="dxa"/>
              <w:bottom w:w="0" w:type="dxa"/>
              <w:right w:w="28" w:type="dxa"/>
            </w:tcMar>
            <w:vAlign w:val="center"/>
          </w:tcPr>
          <w:p w14:paraId="0AAA6845">
            <w:pPr>
              <w:pageBreakBefore w:val="0"/>
              <w:kinsoku/>
              <w:wordWrap/>
              <w:topLinePunct w:val="0"/>
              <w:autoSpaceDE w:val="0"/>
              <w:autoSpaceDN w:val="0"/>
              <w:bidi w:val="0"/>
              <w:spacing w:line="360" w:lineRule="auto"/>
              <w:jc w:val="center"/>
              <w:rPr>
                <w:sz w:val="24"/>
              </w:rPr>
            </w:pPr>
            <w:r>
              <w:rPr>
                <w:sz w:val="24"/>
              </w:rPr>
              <w:t>声环境</w:t>
            </w:r>
          </w:p>
        </w:tc>
        <w:tc>
          <w:tcPr>
            <w:tcW w:w="1498" w:type="dxa"/>
            <w:noWrap w:val="0"/>
            <w:tcMar>
              <w:top w:w="0" w:type="dxa"/>
              <w:left w:w="28" w:type="dxa"/>
              <w:bottom w:w="0" w:type="dxa"/>
              <w:right w:w="28" w:type="dxa"/>
            </w:tcMar>
            <w:vAlign w:val="center"/>
          </w:tcPr>
          <w:p w14:paraId="5A94F1D2">
            <w:pPr>
              <w:pageBreakBefore w:val="0"/>
              <w:kinsoku/>
              <w:wordWrap/>
              <w:topLinePunct w:val="0"/>
              <w:autoSpaceDE w:val="0"/>
              <w:autoSpaceDN w:val="0"/>
              <w:bidi w:val="0"/>
              <w:spacing w:line="360" w:lineRule="auto"/>
              <w:jc w:val="center"/>
              <w:rPr>
                <w:sz w:val="24"/>
              </w:rPr>
            </w:pPr>
            <w:r>
              <w:rPr>
                <w:sz w:val="24"/>
              </w:rPr>
              <w:t>厂界四周</w:t>
            </w:r>
          </w:p>
        </w:tc>
        <w:tc>
          <w:tcPr>
            <w:tcW w:w="1367" w:type="dxa"/>
            <w:noWrap w:val="0"/>
            <w:tcMar>
              <w:top w:w="0" w:type="dxa"/>
              <w:left w:w="28" w:type="dxa"/>
              <w:bottom w:w="0" w:type="dxa"/>
              <w:right w:w="28" w:type="dxa"/>
            </w:tcMar>
            <w:vAlign w:val="center"/>
          </w:tcPr>
          <w:p w14:paraId="0A77793B">
            <w:pPr>
              <w:pageBreakBefore w:val="0"/>
              <w:kinsoku/>
              <w:wordWrap/>
              <w:topLinePunct w:val="0"/>
              <w:autoSpaceDE w:val="0"/>
              <w:autoSpaceDN w:val="0"/>
              <w:bidi w:val="0"/>
              <w:spacing w:line="360" w:lineRule="auto"/>
              <w:jc w:val="center"/>
              <w:rPr>
                <w:sz w:val="24"/>
              </w:rPr>
            </w:pPr>
            <w:r>
              <w:rPr>
                <w:sz w:val="24"/>
              </w:rPr>
              <w:t>等效连续A声级</w:t>
            </w:r>
          </w:p>
        </w:tc>
        <w:tc>
          <w:tcPr>
            <w:tcW w:w="2294" w:type="dxa"/>
            <w:noWrap w:val="0"/>
            <w:tcMar>
              <w:top w:w="0" w:type="dxa"/>
              <w:left w:w="28" w:type="dxa"/>
              <w:bottom w:w="0" w:type="dxa"/>
              <w:right w:w="28" w:type="dxa"/>
            </w:tcMar>
            <w:vAlign w:val="center"/>
          </w:tcPr>
          <w:p w14:paraId="2C495C8F">
            <w:pPr>
              <w:pageBreakBefore w:val="0"/>
              <w:kinsoku/>
              <w:wordWrap/>
              <w:topLinePunct w:val="0"/>
              <w:autoSpaceDE w:val="0"/>
              <w:autoSpaceDN w:val="0"/>
              <w:bidi w:val="0"/>
              <w:spacing w:line="360" w:lineRule="auto"/>
              <w:jc w:val="center"/>
              <w:rPr>
                <w:sz w:val="24"/>
              </w:rPr>
            </w:pPr>
            <w:r>
              <w:rPr>
                <w:sz w:val="24"/>
              </w:rPr>
              <w:t>合理布局，选用低噪音设备，安装减振垫，墙体隔声等</w:t>
            </w:r>
          </w:p>
        </w:tc>
        <w:tc>
          <w:tcPr>
            <w:tcW w:w="2741" w:type="dxa"/>
            <w:noWrap w:val="0"/>
            <w:tcMar>
              <w:top w:w="0" w:type="dxa"/>
              <w:left w:w="28" w:type="dxa"/>
              <w:bottom w:w="0" w:type="dxa"/>
              <w:right w:w="28" w:type="dxa"/>
            </w:tcMar>
            <w:vAlign w:val="center"/>
          </w:tcPr>
          <w:p w14:paraId="3721C277">
            <w:pPr>
              <w:pageBreakBefore w:val="0"/>
              <w:kinsoku/>
              <w:wordWrap/>
              <w:topLinePunct w:val="0"/>
              <w:autoSpaceDE w:val="0"/>
              <w:autoSpaceDN w:val="0"/>
              <w:bidi w:val="0"/>
              <w:spacing w:line="360" w:lineRule="auto"/>
              <w:jc w:val="center"/>
              <w:rPr>
                <w:sz w:val="24"/>
              </w:rPr>
            </w:pPr>
            <w:r>
              <w:rPr>
                <w:sz w:val="24"/>
              </w:rPr>
              <w:t>《工业企业厂界环境噪声排放标准》</w:t>
            </w:r>
            <w:r>
              <w:rPr>
                <w:rFonts w:hint="eastAsia"/>
                <w:sz w:val="24"/>
              </w:rPr>
              <w:t xml:space="preserve">（GB </w:t>
            </w:r>
            <w:r>
              <w:rPr>
                <w:sz w:val="24"/>
              </w:rPr>
              <w:t>12348-2008</w:t>
            </w:r>
            <w:r>
              <w:rPr>
                <w:rFonts w:hint="eastAsia"/>
                <w:sz w:val="24"/>
              </w:rPr>
              <w:t>）3</w:t>
            </w:r>
            <w:r>
              <w:rPr>
                <w:sz w:val="24"/>
              </w:rPr>
              <w:t>类排放标准</w:t>
            </w:r>
          </w:p>
        </w:tc>
      </w:tr>
      <w:tr w14:paraId="0A8E9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511" w:type="dxa"/>
            <w:noWrap w:val="0"/>
            <w:tcMar>
              <w:top w:w="0" w:type="dxa"/>
              <w:left w:w="28" w:type="dxa"/>
              <w:bottom w:w="0" w:type="dxa"/>
              <w:right w:w="28" w:type="dxa"/>
            </w:tcMar>
            <w:vAlign w:val="center"/>
          </w:tcPr>
          <w:p w14:paraId="171B7F80">
            <w:pPr>
              <w:pageBreakBefore w:val="0"/>
              <w:kinsoku/>
              <w:wordWrap/>
              <w:topLinePunct w:val="0"/>
              <w:autoSpaceDE w:val="0"/>
              <w:autoSpaceDN w:val="0"/>
              <w:bidi w:val="0"/>
              <w:spacing w:line="360" w:lineRule="auto"/>
              <w:jc w:val="center"/>
              <w:rPr>
                <w:sz w:val="24"/>
              </w:rPr>
            </w:pPr>
            <w:r>
              <w:rPr>
                <w:sz w:val="24"/>
              </w:rPr>
              <w:t>电磁辐射</w:t>
            </w:r>
          </w:p>
        </w:tc>
        <w:tc>
          <w:tcPr>
            <w:tcW w:w="1498" w:type="dxa"/>
            <w:noWrap w:val="0"/>
            <w:tcMar>
              <w:top w:w="0" w:type="dxa"/>
              <w:left w:w="28" w:type="dxa"/>
              <w:bottom w:w="0" w:type="dxa"/>
              <w:right w:w="28" w:type="dxa"/>
            </w:tcMar>
            <w:vAlign w:val="center"/>
          </w:tcPr>
          <w:p w14:paraId="4844F829">
            <w:pPr>
              <w:pageBreakBefore w:val="0"/>
              <w:kinsoku/>
              <w:wordWrap/>
              <w:topLinePunct w:val="0"/>
              <w:autoSpaceDE w:val="0"/>
              <w:autoSpaceDN w:val="0"/>
              <w:bidi w:val="0"/>
              <w:spacing w:line="360" w:lineRule="auto"/>
              <w:jc w:val="center"/>
              <w:rPr>
                <w:sz w:val="24"/>
              </w:rPr>
            </w:pPr>
            <w:r>
              <w:rPr>
                <w:sz w:val="24"/>
              </w:rPr>
              <w:t>无</w:t>
            </w:r>
          </w:p>
        </w:tc>
        <w:tc>
          <w:tcPr>
            <w:tcW w:w="1367" w:type="dxa"/>
            <w:noWrap w:val="0"/>
            <w:tcMar>
              <w:top w:w="0" w:type="dxa"/>
              <w:left w:w="28" w:type="dxa"/>
              <w:bottom w:w="0" w:type="dxa"/>
              <w:right w:w="28" w:type="dxa"/>
            </w:tcMar>
            <w:vAlign w:val="center"/>
          </w:tcPr>
          <w:p w14:paraId="35D5AA13">
            <w:pPr>
              <w:pageBreakBefore w:val="0"/>
              <w:kinsoku/>
              <w:wordWrap/>
              <w:topLinePunct w:val="0"/>
              <w:autoSpaceDE w:val="0"/>
              <w:autoSpaceDN w:val="0"/>
              <w:bidi w:val="0"/>
              <w:spacing w:line="360" w:lineRule="auto"/>
              <w:jc w:val="center"/>
              <w:rPr>
                <w:sz w:val="24"/>
              </w:rPr>
            </w:pPr>
            <w:r>
              <w:rPr>
                <w:sz w:val="24"/>
              </w:rPr>
              <w:t>无</w:t>
            </w:r>
          </w:p>
        </w:tc>
        <w:tc>
          <w:tcPr>
            <w:tcW w:w="2294" w:type="dxa"/>
            <w:noWrap w:val="0"/>
            <w:tcMar>
              <w:top w:w="0" w:type="dxa"/>
              <w:left w:w="28" w:type="dxa"/>
              <w:bottom w:w="0" w:type="dxa"/>
              <w:right w:w="28" w:type="dxa"/>
            </w:tcMar>
            <w:vAlign w:val="center"/>
          </w:tcPr>
          <w:p w14:paraId="2385B224">
            <w:pPr>
              <w:pageBreakBefore w:val="0"/>
              <w:kinsoku/>
              <w:wordWrap/>
              <w:topLinePunct w:val="0"/>
              <w:autoSpaceDE w:val="0"/>
              <w:autoSpaceDN w:val="0"/>
              <w:bidi w:val="0"/>
              <w:spacing w:line="360" w:lineRule="auto"/>
              <w:jc w:val="center"/>
              <w:rPr>
                <w:sz w:val="24"/>
              </w:rPr>
            </w:pPr>
            <w:r>
              <w:rPr>
                <w:sz w:val="24"/>
              </w:rPr>
              <w:t>无</w:t>
            </w:r>
          </w:p>
        </w:tc>
        <w:tc>
          <w:tcPr>
            <w:tcW w:w="2741" w:type="dxa"/>
            <w:noWrap w:val="0"/>
            <w:tcMar>
              <w:top w:w="0" w:type="dxa"/>
              <w:left w:w="28" w:type="dxa"/>
              <w:bottom w:w="0" w:type="dxa"/>
              <w:right w:w="28" w:type="dxa"/>
            </w:tcMar>
            <w:vAlign w:val="center"/>
          </w:tcPr>
          <w:p w14:paraId="3DA280E3">
            <w:pPr>
              <w:pageBreakBefore w:val="0"/>
              <w:kinsoku/>
              <w:wordWrap/>
              <w:topLinePunct w:val="0"/>
              <w:autoSpaceDE w:val="0"/>
              <w:autoSpaceDN w:val="0"/>
              <w:bidi w:val="0"/>
              <w:spacing w:line="360" w:lineRule="auto"/>
              <w:jc w:val="center"/>
              <w:rPr>
                <w:sz w:val="24"/>
              </w:rPr>
            </w:pPr>
            <w:r>
              <w:rPr>
                <w:sz w:val="24"/>
              </w:rPr>
              <w:t>无</w:t>
            </w:r>
          </w:p>
        </w:tc>
      </w:tr>
      <w:tr w14:paraId="3DA28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511" w:type="dxa"/>
            <w:noWrap w:val="0"/>
            <w:tcMar>
              <w:top w:w="0" w:type="dxa"/>
              <w:left w:w="28" w:type="dxa"/>
              <w:bottom w:w="0" w:type="dxa"/>
              <w:right w:w="28" w:type="dxa"/>
            </w:tcMar>
            <w:vAlign w:val="center"/>
          </w:tcPr>
          <w:p w14:paraId="6D87FAF3">
            <w:pPr>
              <w:pageBreakBefore w:val="0"/>
              <w:kinsoku/>
              <w:wordWrap/>
              <w:topLinePunct w:val="0"/>
              <w:autoSpaceDE w:val="0"/>
              <w:autoSpaceDN w:val="0"/>
              <w:bidi w:val="0"/>
              <w:jc w:val="center"/>
              <w:rPr>
                <w:sz w:val="24"/>
              </w:rPr>
            </w:pPr>
            <w:r>
              <w:rPr>
                <w:sz w:val="24"/>
              </w:rPr>
              <w:t>固体废物</w:t>
            </w:r>
          </w:p>
        </w:tc>
        <w:tc>
          <w:tcPr>
            <w:tcW w:w="7900" w:type="dxa"/>
            <w:gridSpan w:val="4"/>
            <w:noWrap w:val="0"/>
            <w:tcMar>
              <w:top w:w="0" w:type="dxa"/>
              <w:left w:w="28" w:type="dxa"/>
              <w:bottom w:w="0" w:type="dxa"/>
              <w:right w:w="28" w:type="dxa"/>
            </w:tcMar>
            <w:vAlign w:val="center"/>
          </w:tcPr>
          <w:p w14:paraId="5F00C6DF">
            <w:pPr>
              <w:pageBreakBefore w:val="0"/>
              <w:kinsoku/>
              <w:wordWrap/>
              <w:topLinePunct w:val="0"/>
              <w:autoSpaceDE w:val="0"/>
              <w:autoSpaceDN w:val="0"/>
              <w:bidi w:val="0"/>
              <w:spacing w:line="360" w:lineRule="auto"/>
              <w:ind w:firstLine="480" w:firstLineChars="200"/>
              <w:rPr>
                <w:rFonts w:hint="eastAsia"/>
                <w:sz w:val="24"/>
              </w:rPr>
            </w:pPr>
            <w:r>
              <w:rPr>
                <w:rFonts w:hint="eastAsia"/>
                <w:sz w:val="24"/>
                <w:lang w:val="en-US" w:eastAsia="zh-CN"/>
              </w:rPr>
              <w:t>（1）预处理生产工序设置污油罐临时存储含油废液，污油罐区域采取重点防渗要求</w:t>
            </w:r>
            <w:r>
              <w:rPr>
                <w:sz w:val="24"/>
              </w:rPr>
              <w:t>。</w:t>
            </w:r>
          </w:p>
          <w:p w14:paraId="210A2A8B">
            <w:pPr>
              <w:pageBreakBefore w:val="0"/>
              <w:kinsoku/>
              <w:wordWrap/>
              <w:topLinePunct w:val="0"/>
              <w:autoSpaceDE w:val="0"/>
              <w:autoSpaceDN w:val="0"/>
              <w:bidi w:val="0"/>
              <w:spacing w:line="360" w:lineRule="auto"/>
              <w:ind w:firstLine="480" w:firstLineChars="200"/>
              <w:rPr>
                <w:rFonts w:hint="eastAsia"/>
                <w:sz w:val="24"/>
              </w:rPr>
            </w:pPr>
            <w:r>
              <w:rPr>
                <w:rFonts w:hint="eastAsia"/>
                <w:sz w:val="24"/>
              </w:rPr>
              <w:t>（</w:t>
            </w:r>
            <w:r>
              <w:rPr>
                <w:rFonts w:hint="eastAsia"/>
                <w:sz w:val="24"/>
                <w:lang w:val="en-US" w:eastAsia="zh-CN"/>
              </w:rPr>
              <w:t>2</w:t>
            </w:r>
            <w:r>
              <w:rPr>
                <w:rFonts w:hint="eastAsia"/>
                <w:sz w:val="24"/>
              </w:rPr>
              <w:t>）</w:t>
            </w:r>
            <w:r>
              <w:rPr>
                <w:rFonts w:hint="eastAsia"/>
                <w:sz w:val="24"/>
                <w:lang w:val="en-US" w:eastAsia="zh-CN"/>
              </w:rPr>
              <w:t>经收集的含油废液和废润滑油</w:t>
            </w:r>
            <w:r>
              <w:rPr>
                <w:rFonts w:hint="eastAsia"/>
                <w:sz w:val="24"/>
              </w:rPr>
              <w:t>用</w:t>
            </w:r>
            <w:r>
              <w:rPr>
                <w:rFonts w:hint="eastAsia"/>
                <w:sz w:val="24"/>
                <w:lang w:val="en-US" w:eastAsia="zh-CN"/>
              </w:rPr>
              <w:t>密闭钢质</w:t>
            </w:r>
            <w:r>
              <w:rPr>
                <w:rFonts w:hint="eastAsia"/>
                <w:sz w:val="24"/>
              </w:rPr>
              <w:t>容器存装，依托新疆圣雄能源股份有限公司危险废物暂存间临时存储，委托有对应类别危废处置资质的单位负责清运并处置。</w:t>
            </w:r>
          </w:p>
          <w:p w14:paraId="517A95C7">
            <w:pPr>
              <w:pageBreakBefore w:val="0"/>
              <w:kinsoku/>
              <w:wordWrap/>
              <w:topLinePunct w:val="0"/>
              <w:autoSpaceDE w:val="0"/>
              <w:autoSpaceDN w:val="0"/>
              <w:bidi w:val="0"/>
              <w:spacing w:line="360" w:lineRule="auto"/>
              <w:ind w:firstLine="480" w:firstLineChars="200"/>
              <w:rPr>
                <w:rFonts w:hint="eastAsia"/>
                <w:sz w:val="24"/>
              </w:rPr>
            </w:pPr>
            <w:r>
              <w:rPr>
                <w:rFonts w:hint="eastAsia"/>
                <w:sz w:val="24"/>
              </w:rPr>
              <w:t>（</w:t>
            </w:r>
            <w:r>
              <w:rPr>
                <w:rFonts w:hint="eastAsia"/>
                <w:sz w:val="24"/>
                <w:lang w:val="en-US" w:eastAsia="zh-CN"/>
              </w:rPr>
              <w:t>3</w:t>
            </w:r>
            <w:r>
              <w:rPr>
                <w:rFonts w:hint="eastAsia"/>
                <w:sz w:val="24"/>
              </w:rPr>
              <w:t>）废吸附剂用密闭容器存储，依托新疆圣雄能源股份有限公司危险废物暂存间临时存储，委托有对应类别危废处置资质的单位负责清运并处置。</w:t>
            </w:r>
          </w:p>
          <w:p w14:paraId="1117EB33">
            <w:pPr>
              <w:pageBreakBefore w:val="0"/>
              <w:kinsoku/>
              <w:wordWrap/>
              <w:topLinePunct w:val="0"/>
              <w:autoSpaceDE w:val="0"/>
              <w:autoSpaceDN w:val="0"/>
              <w:bidi w:val="0"/>
              <w:spacing w:line="360" w:lineRule="auto"/>
              <w:ind w:firstLine="480" w:firstLineChars="200"/>
              <w:rPr>
                <w:sz w:val="24"/>
              </w:rPr>
            </w:pPr>
            <w:r>
              <w:rPr>
                <w:rFonts w:hint="eastAsia"/>
                <w:sz w:val="24"/>
              </w:rPr>
              <w:t>（4）设置垃圾箱收集生活垃圾，依托当地环卫部门定期清运。</w:t>
            </w:r>
          </w:p>
        </w:tc>
      </w:tr>
      <w:tr w14:paraId="30C2F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511" w:type="dxa"/>
            <w:noWrap w:val="0"/>
            <w:tcMar>
              <w:top w:w="0" w:type="dxa"/>
              <w:left w:w="28" w:type="dxa"/>
              <w:bottom w:w="0" w:type="dxa"/>
              <w:right w:w="28" w:type="dxa"/>
            </w:tcMar>
            <w:vAlign w:val="center"/>
          </w:tcPr>
          <w:p w14:paraId="697AF933">
            <w:pPr>
              <w:pageBreakBefore w:val="0"/>
              <w:kinsoku/>
              <w:wordWrap/>
              <w:topLinePunct w:val="0"/>
              <w:autoSpaceDE w:val="0"/>
              <w:autoSpaceDN w:val="0"/>
              <w:bidi w:val="0"/>
              <w:jc w:val="center"/>
              <w:rPr>
                <w:sz w:val="24"/>
              </w:rPr>
            </w:pPr>
            <w:r>
              <w:rPr>
                <w:sz w:val="24"/>
              </w:rPr>
              <w:t>土壤及地下水</w:t>
            </w:r>
          </w:p>
          <w:p w14:paraId="638C6C46">
            <w:pPr>
              <w:pageBreakBefore w:val="0"/>
              <w:kinsoku/>
              <w:wordWrap/>
              <w:topLinePunct w:val="0"/>
              <w:autoSpaceDE w:val="0"/>
              <w:autoSpaceDN w:val="0"/>
              <w:bidi w:val="0"/>
              <w:jc w:val="center"/>
              <w:rPr>
                <w:sz w:val="24"/>
              </w:rPr>
            </w:pPr>
            <w:r>
              <w:rPr>
                <w:sz w:val="24"/>
              </w:rPr>
              <w:t>污染防治措施</w:t>
            </w:r>
          </w:p>
        </w:tc>
        <w:tc>
          <w:tcPr>
            <w:tcW w:w="7900" w:type="dxa"/>
            <w:gridSpan w:val="4"/>
            <w:noWrap w:val="0"/>
            <w:tcMar>
              <w:top w:w="0" w:type="dxa"/>
              <w:left w:w="28" w:type="dxa"/>
              <w:bottom w:w="0" w:type="dxa"/>
              <w:right w:w="28" w:type="dxa"/>
            </w:tcMar>
            <w:vAlign w:val="center"/>
          </w:tcPr>
          <w:p w14:paraId="7FB41444">
            <w:pPr>
              <w:pageBreakBefore w:val="0"/>
              <w:kinsoku/>
              <w:wordWrap/>
              <w:topLinePunct w:val="0"/>
              <w:autoSpaceDE w:val="0"/>
              <w:autoSpaceDN w:val="0"/>
              <w:bidi w:val="0"/>
              <w:spacing w:line="360" w:lineRule="auto"/>
              <w:ind w:firstLine="480" w:firstLineChars="200"/>
              <w:rPr>
                <w:sz w:val="24"/>
              </w:rPr>
            </w:pPr>
            <w:r>
              <w:rPr>
                <w:rFonts w:hint="eastAsia"/>
                <w:bCs/>
                <w:sz w:val="24"/>
              </w:rPr>
              <w:t>（1）生产设备区设置为简单污染防渗区，采取水泥硬化防渗；</w:t>
            </w:r>
          </w:p>
          <w:p w14:paraId="0FB9A5A4">
            <w:pPr>
              <w:pageBreakBefore w:val="0"/>
              <w:kinsoku/>
              <w:wordWrap/>
              <w:topLinePunct w:val="0"/>
              <w:autoSpaceDE w:val="0"/>
              <w:autoSpaceDN w:val="0"/>
              <w:bidi w:val="0"/>
              <w:spacing w:line="360" w:lineRule="auto"/>
              <w:ind w:firstLine="480" w:firstLineChars="200"/>
              <w:rPr>
                <w:rFonts w:hint="eastAsia"/>
                <w:sz w:val="24"/>
              </w:rPr>
            </w:pPr>
            <w:r>
              <w:rPr>
                <w:rFonts w:hint="eastAsia"/>
                <w:sz w:val="24"/>
              </w:rPr>
              <w:t>（2）循环水池按照</w:t>
            </w:r>
            <w:r>
              <w:rPr>
                <w:sz w:val="24"/>
              </w:rPr>
              <w:t>《一般工业固体废物贮存和填埋污染控制标准》</w:t>
            </w:r>
            <w:r>
              <w:rPr>
                <w:rFonts w:hint="eastAsia"/>
                <w:sz w:val="24"/>
              </w:rPr>
              <w:t xml:space="preserve">（GB </w:t>
            </w:r>
            <w:r>
              <w:rPr>
                <w:sz w:val="24"/>
              </w:rPr>
              <w:t>18599-2020</w:t>
            </w:r>
            <w:r>
              <w:rPr>
                <w:rFonts w:hint="eastAsia"/>
                <w:sz w:val="24"/>
              </w:rPr>
              <w:t>）</w:t>
            </w:r>
            <w:r>
              <w:rPr>
                <w:sz w:val="24"/>
              </w:rPr>
              <w:t>一般工业固体废物暂存场渗透系数</w:t>
            </w:r>
            <w:r>
              <w:rPr>
                <w:rFonts w:hint="eastAsia"/>
                <w:sz w:val="24"/>
              </w:rPr>
              <w:t>不低于</w:t>
            </w:r>
            <w:r>
              <w:rPr>
                <w:sz w:val="24"/>
              </w:rPr>
              <w:t>1.0×10</w:t>
            </w:r>
            <w:r>
              <w:rPr>
                <w:sz w:val="24"/>
                <w:vertAlign w:val="superscript"/>
              </w:rPr>
              <w:t>-7</w:t>
            </w:r>
            <w:r>
              <w:rPr>
                <w:sz w:val="24"/>
              </w:rPr>
              <w:t>cm/s</w:t>
            </w:r>
            <w:r>
              <w:rPr>
                <w:rFonts w:hint="eastAsia"/>
                <w:sz w:val="24"/>
              </w:rPr>
              <w:t>。</w:t>
            </w:r>
          </w:p>
          <w:p w14:paraId="35941506">
            <w:pPr>
              <w:pageBreakBefore w:val="0"/>
              <w:kinsoku/>
              <w:wordWrap/>
              <w:topLinePunct w:val="0"/>
              <w:autoSpaceDE w:val="0"/>
              <w:autoSpaceDN w:val="0"/>
              <w:bidi w:val="0"/>
              <w:spacing w:line="360" w:lineRule="auto"/>
              <w:ind w:firstLine="480" w:firstLineChars="200"/>
              <w:rPr>
                <w:sz w:val="24"/>
              </w:rPr>
            </w:pPr>
            <w:r>
              <w:rPr>
                <w:rFonts w:hint="eastAsia"/>
                <w:sz w:val="24"/>
              </w:rPr>
              <w:t>（3）地下污油罐按照《危险废物贮存污染控制标准》（GB 18597-2023）危险废物暂存场所渗透系数达1.0×10</w:t>
            </w:r>
            <w:r>
              <w:rPr>
                <w:rFonts w:hint="eastAsia"/>
                <w:sz w:val="24"/>
                <w:vertAlign w:val="superscript"/>
              </w:rPr>
              <w:t>-10</w:t>
            </w:r>
            <w:r>
              <w:rPr>
                <w:rFonts w:hint="eastAsia"/>
                <w:sz w:val="24"/>
              </w:rPr>
              <w:t>cm/s。</w:t>
            </w:r>
          </w:p>
        </w:tc>
      </w:tr>
      <w:tr w14:paraId="59045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511" w:type="dxa"/>
            <w:noWrap w:val="0"/>
            <w:tcMar>
              <w:top w:w="0" w:type="dxa"/>
              <w:left w:w="28" w:type="dxa"/>
              <w:bottom w:w="0" w:type="dxa"/>
              <w:right w:w="28" w:type="dxa"/>
            </w:tcMar>
            <w:vAlign w:val="center"/>
          </w:tcPr>
          <w:p w14:paraId="09FC587C">
            <w:pPr>
              <w:pageBreakBefore w:val="0"/>
              <w:kinsoku/>
              <w:wordWrap/>
              <w:topLinePunct w:val="0"/>
              <w:autoSpaceDE w:val="0"/>
              <w:autoSpaceDN w:val="0"/>
              <w:bidi w:val="0"/>
              <w:jc w:val="center"/>
              <w:rPr>
                <w:sz w:val="24"/>
              </w:rPr>
            </w:pPr>
            <w:r>
              <w:rPr>
                <w:sz w:val="24"/>
              </w:rPr>
              <w:t>生态</w:t>
            </w:r>
          </w:p>
          <w:p w14:paraId="60DDDAA6">
            <w:pPr>
              <w:pageBreakBefore w:val="0"/>
              <w:kinsoku/>
              <w:wordWrap/>
              <w:topLinePunct w:val="0"/>
              <w:autoSpaceDE w:val="0"/>
              <w:autoSpaceDN w:val="0"/>
              <w:bidi w:val="0"/>
              <w:jc w:val="center"/>
              <w:rPr>
                <w:sz w:val="24"/>
              </w:rPr>
            </w:pPr>
            <w:r>
              <w:rPr>
                <w:sz w:val="24"/>
              </w:rPr>
              <w:t>保护措施</w:t>
            </w:r>
          </w:p>
        </w:tc>
        <w:tc>
          <w:tcPr>
            <w:tcW w:w="7900" w:type="dxa"/>
            <w:gridSpan w:val="4"/>
            <w:noWrap w:val="0"/>
            <w:tcMar>
              <w:top w:w="0" w:type="dxa"/>
              <w:left w:w="28" w:type="dxa"/>
              <w:bottom w:w="0" w:type="dxa"/>
              <w:right w:w="28" w:type="dxa"/>
            </w:tcMar>
            <w:vAlign w:val="center"/>
          </w:tcPr>
          <w:p w14:paraId="6BC52189">
            <w:pPr>
              <w:pageBreakBefore w:val="0"/>
              <w:kinsoku/>
              <w:wordWrap/>
              <w:topLinePunct w:val="0"/>
              <w:autoSpaceDE w:val="0"/>
              <w:autoSpaceDN w:val="0"/>
              <w:bidi w:val="0"/>
              <w:spacing w:line="360" w:lineRule="auto"/>
              <w:ind w:firstLine="480" w:firstLineChars="200"/>
              <w:rPr>
                <w:rFonts w:hint="eastAsia"/>
                <w:sz w:val="24"/>
              </w:rPr>
            </w:pPr>
            <w:r>
              <w:rPr>
                <w:rFonts w:hint="eastAsia"/>
                <w:sz w:val="24"/>
              </w:rPr>
              <w:t>地面硬化，减少水土流失。</w:t>
            </w:r>
          </w:p>
        </w:tc>
      </w:tr>
      <w:tr w14:paraId="5A976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511" w:type="dxa"/>
            <w:noWrap w:val="0"/>
            <w:tcMar>
              <w:top w:w="0" w:type="dxa"/>
              <w:left w:w="28" w:type="dxa"/>
              <w:bottom w:w="0" w:type="dxa"/>
              <w:right w:w="28" w:type="dxa"/>
            </w:tcMar>
            <w:vAlign w:val="center"/>
          </w:tcPr>
          <w:p w14:paraId="533AFB80">
            <w:pPr>
              <w:pageBreakBefore w:val="0"/>
              <w:kinsoku/>
              <w:wordWrap/>
              <w:topLinePunct w:val="0"/>
              <w:autoSpaceDE w:val="0"/>
              <w:autoSpaceDN w:val="0"/>
              <w:bidi w:val="0"/>
              <w:jc w:val="center"/>
              <w:rPr>
                <w:sz w:val="24"/>
              </w:rPr>
            </w:pPr>
            <w:r>
              <w:rPr>
                <w:sz w:val="24"/>
              </w:rPr>
              <w:t>环境风险</w:t>
            </w:r>
          </w:p>
          <w:p w14:paraId="1B6110B7">
            <w:pPr>
              <w:pageBreakBefore w:val="0"/>
              <w:kinsoku/>
              <w:wordWrap/>
              <w:topLinePunct w:val="0"/>
              <w:autoSpaceDE w:val="0"/>
              <w:autoSpaceDN w:val="0"/>
              <w:bidi w:val="0"/>
              <w:jc w:val="center"/>
              <w:rPr>
                <w:sz w:val="24"/>
              </w:rPr>
            </w:pPr>
            <w:r>
              <w:rPr>
                <w:sz w:val="24"/>
              </w:rPr>
              <w:t>防范措施</w:t>
            </w:r>
          </w:p>
        </w:tc>
        <w:tc>
          <w:tcPr>
            <w:tcW w:w="7900" w:type="dxa"/>
            <w:gridSpan w:val="4"/>
            <w:noWrap w:val="0"/>
            <w:tcMar>
              <w:top w:w="0" w:type="dxa"/>
              <w:left w:w="28" w:type="dxa"/>
              <w:bottom w:w="0" w:type="dxa"/>
              <w:right w:w="28" w:type="dxa"/>
            </w:tcMar>
            <w:vAlign w:val="center"/>
          </w:tcPr>
          <w:p w14:paraId="49970A51">
            <w:pPr>
              <w:pageBreakBefore w:val="0"/>
              <w:kinsoku/>
              <w:wordWrap/>
              <w:topLinePunct w:val="0"/>
              <w:bidi w:val="0"/>
              <w:spacing w:line="360" w:lineRule="auto"/>
              <w:ind w:firstLine="480" w:firstLineChars="200"/>
              <w:rPr>
                <w:bCs/>
                <w:sz w:val="24"/>
              </w:rPr>
            </w:pPr>
            <w:r>
              <w:rPr>
                <w:sz w:val="24"/>
              </w:rPr>
              <w:t>（</w:t>
            </w:r>
            <w:r>
              <w:rPr>
                <w:bCs/>
                <w:sz w:val="24"/>
              </w:rPr>
              <w:t>1）源头控制措施</w:t>
            </w:r>
          </w:p>
          <w:p w14:paraId="64B62C42">
            <w:pPr>
              <w:pageBreakBefore w:val="0"/>
              <w:kinsoku/>
              <w:wordWrap/>
              <w:topLinePunct w:val="0"/>
              <w:bidi w:val="0"/>
              <w:spacing w:line="360" w:lineRule="auto"/>
              <w:ind w:firstLine="480" w:firstLineChars="200"/>
              <w:rPr>
                <w:bCs/>
                <w:sz w:val="24"/>
              </w:rPr>
            </w:pPr>
            <w:r>
              <w:rPr>
                <w:bCs/>
                <w:sz w:val="24"/>
              </w:rPr>
              <w:t>定期检查</w:t>
            </w:r>
            <w:r>
              <w:rPr>
                <w:rFonts w:hint="eastAsia"/>
                <w:bCs/>
                <w:sz w:val="24"/>
              </w:rPr>
              <w:t>排水管线的密闭性和完好程度，检查</w:t>
            </w:r>
            <w:r>
              <w:rPr>
                <w:bCs/>
                <w:sz w:val="24"/>
              </w:rPr>
              <w:t>是否有</w:t>
            </w:r>
            <w:r>
              <w:rPr>
                <w:rFonts w:hint="eastAsia"/>
                <w:bCs/>
                <w:sz w:val="24"/>
              </w:rPr>
              <w:t>渗漏</w:t>
            </w:r>
            <w:r>
              <w:rPr>
                <w:bCs/>
                <w:sz w:val="24"/>
              </w:rPr>
              <w:t>、</w:t>
            </w:r>
            <w:r>
              <w:rPr>
                <w:rFonts w:hint="eastAsia"/>
                <w:bCs/>
                <w:sz w:val="24"/>
              </w:rPr>
              <w:t>破损</w:t>
            </w:r>
            <w:r>
              <w:rPr>
                <w:bCs/>
                <w:sz w:val="24"/>
              </w:rPr>
              <w:t>等迹象，及时发现隐患。</w:t>
            </w:r>
          </w:p>
          <w:p w14:paraId="0FED7CE4">
            <w:pPr>
              <w:pageBreakBefore w:val="0"/>
              <w:kinsoku/>
              <w:wordWrap/>
              <w:topLinePunct w:val="0"/>
              <w:bidi w:val="0"/>
              <w:spacing w:line="360" w:lineRule="auto"/>
              <w:ind w:firstLine="480" w:firstLineChars="200"/>
              <w:rPr>
                <w:bCs/>
                <w:sz w:val="24"/>
              </w:rPr>
            </w:pPr>
            <w:r>
              <w:rPr>
                <w:sz w:val="24"/>
              </w:rPr>
              <w:t>（</w:t>
            </w:r>
            <w:r>
              <w:rPr>
                <w:bCs/>
                <w:sz w:val="24"/>
              </w:rPr>
              <w:t>2）分区防渗</w:t>
            </w:r>
          </w:p>
          <w:p w14:paraId="3F1CC0D4">
            <w:pPr>
              <w:pageBreakBefore w:val="0"/>
              <w:kinsoku/>
              <w:wordWrap/>
              <w:topLinePunct w:val="0"/>
              <w:autoSpaceDE w:val="0"/>
              <w:autoSpaceDN w:val="0"/>
              <w:bidi w:val="0"/>
              <w:spacing w:line="360" w:lineRule="auto"/>
              <w:ind w:firstLine="480" w:firstLineChars="200"/>
              <w:rPr>
                <w:bCs/>
                <w:sz w:val="24"/>
              </w:rPr>
            </w:pPr>
            <w:r>
              <w:rPr>
                <w:bCs/>
                <w:sz w:val="24"/>
              </w:rPr>
              <w:t>本项目采取分区防渗，</w:t>
            </w:r>
            <w:r>
              <w:rPr>
                <w:rFonts w:hint="eastAsia"/>
                <w:bCs/>
                <w:sz w:val="24"/>
              </w:rPr>
              <w:t>生产设备区设置为简单污染防渗区，采取水泥硬化防渗；</w:t>
            </w:r>
            <w:r>
              <w:rPr>
                <w:rFonts w:hint="eastAsia"/>
                <w:sz w:val="24"/>
              </w:rPr>
              <w:t>循环水池按照</w:t>
            </w:r>
            <w:r>
              <w:rPr>
                <w:sz w:val="24"/>
              </w:rPr>
              <w:t>《一般工业固体废物贮存和填埋污染控制标准》</w:t>
            </w:r>
            <w:r>
              <w:rPr>
                <w:rFonts w:hint="eastAsia"/>
                <w:sz w:val="24"/>
              </w:rPr>
              <w:t xml:space="preserve">（GB </w:t>
            </w:r>
            <w:r>
              <w:rPr>
                <w:sz w:val="24"/>
              </w:rPr>
              <w:t>18599-2020</w:t>
            </w:r>
            <w:r>
              <w:rPr>
                <w:rFonts w:hint="eastAsia"/>
                <w:sz w:val="24"/>
              </w:rPr>
              <w:t>）</w:t>
            </w:r>
            <w:r>
              <w:rPr>
                <w:sz w:val="24"/>
              </w:rPr>
              <w:t>一般工业固体废物暂存场渗透系数</w:t>
            </w:r>
            <w:r>
              <w:rPr>
                <w:rFonts w:hint="eastAsia"/>
                <w:sz w:val="24"/>
              </w:rPr>
              <w:t>不低于</w:t>
            </w:r>
            <w:r>
              <w:rPr>
                <w:sz w:val="24"/>
              </w:rPr>
              <w:t>1.0×10</w:t>
            </w:r>
            <w:r>
              <w:rPr>
                <w:sz w:val="24"/>
                <w:vertAlign w:val="superscript"/>
              </w:rPr>
              <w:t>-7</w:t>
            </w:r>
            <w:r>
              <w:rPr>
                <w:sz w:val="24"/>
              </w:rPr>
              <w:t>cm/s</w:t>
            </w:r>
            <w:r>
              <w:rPr>
                <w:rFonts w:hint="eastAsia"/>
                <w:sz w:val="24"/>
              </w:rPr>
              <w:t>；地下污油罐按照《危险废物贮存污染控制标准》（GB 18597-2023）危险废物暂存场所渗透系数达1.0×10</w:t>
            </w:r>
            <w:r>
              <w:rPr>
                <w:rFonts w:hint="eastAsia"/>
                <w:sz w:val="24"/>
                <w:vertAlign w:val="superscript"/>
              </w:rPr>
              <w:t>-10</w:t>
            </w:r>
            <w:r>
              <w:rPr>
                <w:rFonts w:hint="eastAsia"/>
                <w:sz w:val="24"/>
              </w:rPr>
              <w:t>cm/s。</w:t>
            </w:r>
          </w:p>
          <w:p w14:paraId="7B865F52">
            <w:pPr>
              <w:pageBreakBefore w:val="0"/>
              <w:kinsoku/>
              <w:wordWrap/>
              <w:topLinePunct w:val="0"/>
              <w:bidi w:val="0"/>
              <w:spacing w:line="360" w:lineRule="auto"/>
              <w:ind w:firstLine="480" w:firstLineChars="200"/>
              <w:rPr>
                <w:bCs/>
                <w:sz w:val="24"/>
              </w:rPr>
            </w:pPr>
            <w:r>
              <w:rPr>
                <w:sz w:val="24"/>
              </w:rPr>
              <w:t>（</w:t>
            </w:r>
            <w:r>
              <w:rPr>
                <w:bCs/>
                <w:sz w:val="24"/>
              </w:rPr>
              <w:t>3）污染监控</w:t>
            </w:r>
          </w:p>
          <w:p w14:paraId="59CF3DF7">
            <w:pPr>
              <w:pageBreakBefore w:val="0"/>
              <w:kinsoku/>
              <w:wordWrap/>
              <w:topLinePunct w:val="0"/>
              <w:bidi w:val="0"/>
              <w:spacing w:line="360" w:lineRule="auto"/>
              <w:ind w:firstLine="480" w:firstLineChars="200"/>
              <w:rPr>
                <w:bCs/>
                <w:sz w:val="24"/>
              </w:rPr>
            </w:pPr>
            <w:r>
              <w:rPr>
                <w:bCs/>
                <w:sz w:val="24"/>
              </w:rPr>
              <w:t>本项目设置专人负责定期巡检生产设备，一旦发现风险趋势，立即</w:t>
            </w:r>
            <w:r>
              <w:rPr>
                <w:rFonts w:hint="eastAsia"/>
                <w:bCs/>
                <w:sz w:val="24"/>
              </w:rPr>
              <w:t>采取相应</w:t>
            </w:r>
            <w:r>
              <w:rPr>
                <w:bCs/>
                <w:sz w:val="24"/>
              </w:rPr>
              <w:t>的应急措施。</w:t>
            </w:r>
          </w:p>
          <w:p w14:paraId="0E8F2E8C">
            <w:pPr>
              <w:pageBreakBefore w:val="0"/>
              <w:kinsoku/>
              <w:wordWrap/>
              <w:topLinePunct w:val="0"/>
              <w:bidi w:val="0"/>
              <w:spacing w:line="360" w:lineRule="auto"/>
              <w:ind w:firstLine="480" w:firstLineChars="200"/>
              <w:rPr>
                <w:bCs/>
                <w:sz w:val="24"/>
              </w:rPr>
            </w:pPr>
            <w:r>
              <w:rPr>
                <w:sz w:val="24"/>
              </w:rPr>
              <w:t>（</w:t>
            </w:r>
            <w:r>
              <w:rPr>
                <w:bCs/>
                <w:sz w:val="24"/>
              </w:rPr>
              <w:t>4）应急响应</w:t>
            </w:r>
          </w:p>
          <w:p w14:paraId="730CC41C">
            <w:pPr>
              <w:pageBreakBefore w:val="0"/>
              <w:kinsoku/>
              <w:wordWrap/>
              <w:topLinePunct w:val="0"/>
              <w:bidi w:val="0"/>
              <w:spacing w:line="360" w:lineRule="auto"/>
              <w:ind w:firstLine="480" w:firstLineChars="200"/>
              <w:rPr>
                <w:bCs/>
                <w:sz w:val="24"/>
              </w:rPr>
            </w:pPr>
            <w:r>
              <w:rPr>
                <w:bCs/>
                <w:sz w:val="24"/>
              </w:rPr>
              <w:t>当发生泄漏事故对地下水及土壤造成污染后，为了能以最快的速度防止污染物进一步向周围扩散，根据前述分析，可以采取如下相应措施来控制：</w:t>
            </w:r>
          </w:p>
          <w:p w14:paraId="0FC32D92">
            <w:pPr>
              <w:pageBreakBefore w:val="0"/>
              <w:kinsoku/>
              <w:wordWrap/>
              <w:topLinePunct w:val="0"/>
              <w:bidi w:val="0"/>
              <w:spacing w:line="360" w:lineRule="auto"/>
              <w:ind w:firstLine="480" w:firstLineChars="200"/>
              <w:rPr>
                <w:bCs/>
                <w:sz w:val="24"/>
              </w:rPr>
            </w:pPr>
            <w:r>
              <w:rPr>
                <w:bCs/>
                <w:sz w:val="24"/>
              </w:rPr>
              <w:t>① 一旦发生污染物泄漏，应及时切断并封堵泄漏源，并对泄漏物所在的地面进行及时截流封堵，尽可能将泄漏物控制在一个相对较小的范围内，防止泄漏物四处流淌而增加地下水及土壤污染的风险。</w:t>
            </w:r>
          </w:p>
          <w:p w14:paraId="380641B5">
            <w:pPr>
              <w:pageBreakBefore w:val="0"/>
              <w:kinsoku/>
              <w:wordWrap/>
              <w:topLinePunct w:val="0"/>
              <w:bidi w:val="0"/>
              <w:spacing w:line="360" w:lineRule="auto"/>
              <w:ind w:firstLine="480" w:firstLineChars="200"/>
              <w:rPr>
                <w:bCs/>
                <w:sz w:val="24"/>
              </w:rPr>
            </w:pPr>
            <w:r>
              <w:rPr>
                <w:bCs/>
                <w:sz w:val="24"/>
              </w:rPr>
              <w:t>② 当发生严重的地下水污染事故，使得项目场地不能正常工作时，则应报环保部门批准后实行非正常封场，防止污染进一步扩散；同时进行评估决定是否采取进一步的工程防护措施；继续对地下水及土壤已经受到污染的区域进行跟踪监测，并根据需要开展风险评估，根据风险评估结果决定是否进行地下水修复工作。</w:t>
            </w:r>
          </w:p>
          <w:p w14:paraId="25197C4F">
            <w:pPr>
              <w:pageBreakBefore w:val="0"/>
              <w:kinsoku/>
              <w:wordWrap/>
              <w:topLinePunct w:val="0"/>
              <w:autoSpaceDE w:val="0"/>
              <w:autoSpaceDN w:val="0"/>
              <w:bidi w:val="0"/>
              <w:spacing w:line="360" w:lineRule="auto"/>
              <w:ind w:firstLine="480" w:firstLineChars="200"/>
              <w:rPr>
                <w:sz w:val="24"/>
              </w:rPr>
            </w:pPr>
            <w:r>
              <w:rPr>
                <w:bCs/>
                <w:sz w:val="24"/>
              </w:rPr>
              <w:t>③ 由于受项目所在地水文地质条件限制，被污染的地下水径流迁移较缓慢，将较长时间存在于项目场地所在区域的潜水含水层中。对于已被污染的土壤需及时挖掘清理并妥善处置，防止土壤中污染物随降雨淋滤进一步下渗进入地下水中，同时可考虑通过小范围内的地下水抽排措施降低地下水水位，切断污染物在地下水中的迁移途径，防止污染</w:t>
            </w:r>
            <w:r>
              <w:rPr>
                <w:rFonts w:hint="eastAsia"/>
                <w:bCs/>
                <w:sz w:val="24"/>
              </w:rPr>
              <w:t>物</w:t>
            </w:r>
            <w:r>
              <w:rPr>
                <w:bCs/>
                <w:sz w:val="24"/>
              </w:rPr>
              <w:t>扩散，或在污染源下游建设渗透性反应墙，控制污染源向下游扩散并去除地下水中的污染物。</w:t>
            </w:r>
          </w:p>
        </w:tc>
      </w:tr>
      <w:tr w14:paraId="230DB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1511" w:type="dxa"/>
            <w:tcBorders>
              <w:bottom w:val="single" w:color="auto" w:sz="8" w:space="0"/>
            </w:tcBorders>
            <w:noWrap w:val="0"/>
            <w:tcMar>
              <w:top w:w="0" w:type="dxa"/>
              <w:left w:w="28" w:type="dxa"/>
              <w:bottom w:w="0" w:type="dxa"/>
              <w:right w:w="28" w:type="dxa"/>
            </w:tcMar>
            <w:vAlign w:val="center"/>
          </w:tcPr>
          <w:p w14:paraId="2E28ED0D">
            <w:pPr>
              <w:pageBreakBefore w:val="0"/>
              <w:kinsoku/>
              <w:wordWrap/>
              <w:topLinePunct w:val="0"/>
              <w:autoSpaceDE w:val="0"/>
              <w:autoSpaceDN w:val="0"/>
              <w:bidi w:val="0"/>
              <w:jc w:val="center"/>
              <w:rPr>
                <w:sz w:val="24"/>
              </w:rPr>
            </w:pPr>
            <w:r>
              <w:rPr>
                <w:sz w:val="24"/>
              </w:rPr>
              <w:t>其他环境</w:t>
            </w:r>
          </w:p>
          <w:p w14:paraId="67EB272F">
            <w:pPr>
              <w:pageBreakBefore w:val="0"/>
              <w:kinsoku/>
              <w:wordWrap/>
              <w:topLinePunct w:val="0"/>
              <w:autoSpaceDE w:val="0"/>
              <w:autoSpaceDN w:val="0"/>
              <w:bidi w:val="0"/>
              <w:jc w:val="center"/>
              <w:rPr>
                <w:szCs w:val="21"/>
              </w:rPr>
            </w:pPr>
            <w:r>
              <w:rPr>
                <w:sz w:val="24"/>
              </w:rPr>
              <w:t>管理要求</w:t>
            </w:r>
          </w:p>
        </w:tc>
        <w:tc>
          <w:tcPr>
            <w:tcW w:w="7900" w:type="dxa"/>
            <w:gridSpan w:val="4"/>
            <w:tcBorders>
              <w:bottom w:val="single" w:color="auto" w:sz="8" w:space="0"/>
            </w:tcBorders>
            <w:noWrap w:val="0"/>
            <w:tcMar>
              <w:top w:w="0" w:type="dxa"/>
              <w:left w:w="28" w:type="dxa"/>
              <w:bottom w:w="0" w:type="dxa"/>
              <w:right w:w="28" w:type="dxa"/>
            </w:tcMar>
            <w:vAlign w:val="center"/>
          </w:tcPr>
          <w:p w14:paraId="0E796F73">
            <w:pPr>
              <w:pageBreakBefore w:val="0"/>
              <w:kinsoku/>
              <w:wordWrap/>
              <w:topLinePunct w:val="0"/>
              <w:autoSpaceDE w:val="0"/>
              <w:autoSpaceDN w:val="0"/>
              <w:bidi w:val="0"/>
              <w:spacing w:line="360" w:lineRule="auto"/>
              <w:ind w:firstLine="482" w:firstLineChars="200"/>
              <w:rPr>
                <w:sz w:val="24"/>
              </w:rPr>
            </w:pPr>
            <w:r>
              <w:rPr>
                <w:b/>
                <w:bCs/>
                <w:sz w:val="24"/>
              </w:rPr>
              <w:t>1 环境管理</w:t>
            </w:r>
          </w:p>
          <w:p w14:paraId="14C769FD">
            <w:pPr>
              <w:pageBreakBefore w:val="0"/>
              <w:kinsoku/>
              <w:wordWrap/>
              <w:topLinePunct w:val="0"/>
              <w:autoSpaceDE w:val="0"/>
              <w:autoSpaceDN w:val="0"/>
              <w:bidi w:val="0"/>
              <w:spacing w:line="360" w:lineRule="auto"/>
              <w:ind w:firstLine="480" w:firstLineChars="200"/>
              <w:rPr>
                <w:sz w:val="24"/>
              </w:rPr>
            </w:pPr>
            <w:r>
              <w:rPr>
                <w:sz w:val="24"/>
              </w:rPr>
              <w:t>根据《中华人民共和国环境保护法》，企业应设置环境保护管理机构，企业环保技术人员全面负责本企业环境保护管理工作，改善企业环境状况，减少企业对周围环境的污染，并协调企业与环保部门的工作。</w:t>
            </w:r>
          </w:p>
          <w:p w14:paraId="36FF834A">
            <w:pPr>
              <w:pageBreakBefore w:val="0"/>
              <w:kinsoku/>
              <w:wordWrap/>
              <w:topLinePunct w:val="0"/>
              <w:autoSpaceDE w:val="0"/>
              <w:autoSpaceDN w:val="0"/>
              <w:bidi w:val="0"/>
              <w:spacing w:line="360" w:lineRule="auto"/>
              <w:ind w:firstLine="480" w:firstLineChars="200"/>
              <w:rPr>
                <w:sz w:val="24"/>
              </w:rPr>
            </w:pPr>
            <w:r>
              <w:rPr>
                <w:rFonts w:hint="eastAsia"/>
                <w:sz w:val="24"/>
              </w:rPr>
              <w:t>建设单位应</w:t>
            </w:r>
            <w:r>
              <w:rPr>
                <w:sz w:val="24"/>
              </w:rPr>
              <w:t>建立企业环境保护组织机构，由企业领导和企业环保员组成，定期召开企业环保情况报告会和专题会议，负责贯彻会议决定，共同搞好本企业的环境保护工作。</w:t>
            </w:r>
          </w:p>
          <w:p w14:paraId="2E0DA899">
            <w:pPr>
              <w:pageBreakBefore w:val="0"/>
              <w:kinsoku/>
              <w:wordWrap/>
              <w:topLinePunct w:val="0"/>
              <w:autoSpaceDE w:val="0"/>
              <w:autoSpaceDN w:val="0"/>
              <w:bidi w:val="0"/>
              <w:spacing w:line="360" w:lineRule="auto"/>
              <w:ind w:firstLine="480" w:firstLineChars="200"/>
              <w:rPr>
                <w:rFonts w:hint="eastAsia"/>
                <w:sz w:val="24"/>
              </w:rPr>
            </w:pPr>
            <w:r>
              <w:rPr>
                <w:sz w:val="24"/>
              </w:rPr>
              <w:t>企业环境保护机构应配备必须的环保专业技术人员，并保持相对稳定。</w:t>
            </w:r>
            <w:r>
              <w:rPr>
                <w:rFonts w:hint="eastAsia"/>
                <w:sz w:val="24"/>
              </w:rPr>
              <w:t>环保人员要重视防治“三废”污染，保护环境。要把环境保护工作作为生产管理的一个重要组成部分，纳入日常生产中去，实行生产环保一起抓。</w:t>
            </w:r>
          </w:p>
          <w:p w14:paraId="22DD0576">
            <w:pPr>
              <w:pageBreakBefore w:val="0"/>
              <w:kinsoku/>
              <w:wordWrap/>
              <w:topLinePunct w:val="0"/>
              <w:autoSpaceDE w:val="0"/>
              <w:autoSpaceDN w:val="0"/>
              <w:bidi w:val="0"/>
              <w:spacing w:line="360" w:lineRule="auto"/>
              <w:ind w:firstLine="480" w:firstLineChars="200"/>
              <w:rPr>
                <w:rFonts w:hint="eastAsia"/>
                <w:sz w:val="24"/>
              </w:rPr>
            </w:pPr>
            <w:r>
              <w:rPr>
                <w:rFonts w:hint="eastAsia"/>
                <w:sz w:val="24"/>
              </w:rPr>
              <w:t>防止“三废”污染，实行“谁污染，谁治理”的原则，所有造成环境污染和其他公害的车间都必须提出治理规划，有计划、有步骤地加以实施，企业在财力、物力、人力方面应及时给予安排解决。</w:t>
            </w:r>
          </w:p>
          <w:p w14:paraId="2F0BF2B2">
            <w:pPr>
              <w:pageBreakBefore w:val="0"/>
              <w:kinsoku/>
              <w:wordWrap/>
              <w:topLinePunct w:val="0"/>
              <w:autoSpaceDE w:val="0"/>
              <w:autoSpaceDN w:val="0"/>
              <w:bidi w:val="0"/>
              <w:spacing w:line="360" w:lineRule="auto"/>
              <w:ind w:firstLine="480" w:firstLineChars="200"/>
              <w:rPr>
                <w:rFonts w:hint="eastAsia"/>
                <w:sz w:val="24"/>
              </w:rPr>
            </w:pPr>
            <w:r>
              <w:rPr>
                <w:rFonts w:hint="eastAsia"/>
                <w:sz w:val="24"/>
              </w:rPr>
              <w:t>对环保设施、设备等要认真管理，建立定期检查、维修和维修后验收制度，保证设备、设施完好，运转率达到考核指标要求。</w:t>
            </w:r>
          </w:p>
          <w:p w14:paraId="320B75E3">
            <w:pPr>
              <w:pageBreakBefore w:val="0"/>
              <w:kinsoku/>
              <w:wordWrap/>
              <w:topLinePunct w:val="0"/>
              <w:autoSpaceDE w:val="0"/>
              <w:autoSpaceDN w:val="0"/>
              <w:bidi w:val="0"/>
              <w:spacing w:line="360" w:lineRule="auto"/>
              <w:ind w:firstLine="480" w:firstLineChars="200"/>
              <w:rPr>
                <w:rFonts w:hint="eastAsia"/>
                <w:sz w:val="24"/>
              </w:rPr>
            </w:pPr>
            <w:r>
              <w:rPr>
                <w:rFonts w:hint="eastAsia"/>
                <w:sz w:val="24"/>
              </w:rPr>
              <w:t>根据环评报告要求定期开展本项目污染物排放的监测工作，每季度开展一次厂界噪声监测，每年对化粪池开展两次污水监测。</w:t>
            </w:r>
          </w:p>
          <w:p w14:paraId="278AD27D">
            <w:pPr>
              <w:pageBreakBefore w:val="0"/>
              <w:kinsoku/>
              <w:wordWrap/>
              <w:topLinePunct w:val="0"/>
              <w:autoSpaceDE w:val="0"/>
              <w:autoSpaceDN w:val="0"/>
              <w:bidi w:val="0"/>
              <w:spacing w:line="360" w:lineRule="auto"/>
              <w:ind w:firstLine="482" w:firstLineChars="200"/>
              <w:rPr>
                <w:sz w:val="24"/>
              </w:rPr>
            </w:pPr>
            <w:r>
              <w:rPr>
                <w:rFonts w:hint="eastAsia"/>
                <w:b/>
                <w:bCs/>
                <w:sz w:val="24"/>
              </w:rPr>
              <w:t>2 环境监理</w:t>
            </w:r>
          </w:p>
          <w:p w14:paraId="55403545">
            <w:pPr>
              <w:pageBreakBefore w:val="0"/>
              <w:kinsoku/>
              <w:wordWrap/>
              <w:topLinePunct w:val="0"/>
              <w:autoSpaceDE w:val="0"/>
              <w:autoSpaceDN w:val="0"/>
              <w:bidi w:val="0"/>
              <w:spacing w:line="360" w:lineRule="auto"/>
              <w:ind w:firstLine="480" w:firstLineChars="200"/>
              <w:rPr>
                <w:sz w:val="24"/>
              </w:rPr>
            </w:pPr>
            <w:r>
              <w:rPr>
                <w:rFonts w:hint="eastAsia"/>
                <w:sz w:val="24"/>
              </w:rPr>
              <w:t>项目在建设阶段委托专业人员开展环境监理工作，对污染防治和生态保护的情况进行检查，督促各项环保措施落到实处。对未按有关环境保护要求施工的，应责令建设单位限期改正，造成生态破坏的，应采取补救措施或予以恢复。</w:t>
            </w:r>
          </w:p>
          <w:p w14:paraId="121B411A">
            <w:pPr>
              <w:pageBreakBefore w:val="0"/>
              <w:kinsoku/>
              <w:wordWrap/>
              <w:topLinePunct w:val="0"/>
              <w:autoSpaceDE w:val="0"/>
              <w:autoSpaceDN w:val="0"/>
              <w:bidi w:val="0"/>
              <w:spacing w:line="360" w:lineRule="auto"/>
              <w:ind w:firstLine="482" w:firstLineChars="200"/>
              <w:rPr>
                <w:sz w:val="24"/>
              </w:rPr>
            </w:pPr>
            <w:r>
              <w:rPr>
                <w:rFonts w:hint="eastAsia"/>
                <w:b/>
                <w:bCs/>
                <w:sz w:val="24"/>
              </w:rPr>
              <w:t xml:space="preserve">3 </w:t>
            </w:r>
            <w:r>
              <w:rPr>
                <w:b/>
                <w:bCs/>
                <w:sz w:val="24"/>
              </w:rPr>
              <w:t>污染物治理“三同时”竣工验收</w:t>
            </w:r>
          </w:p>
          <w:p w14:paraId="7E823203">
            <w:pPr>
              <w:pageBreakBefore w:val="0"/>
              <w:kinsoku/>
              <w:wordWrap/>
              <w:topLinePunct w:val="0"/>
              <w:autoSpaceDE w:val="0"/>
              <w:autoSpaceDN w:val="0"/>
              <w:bidi w:val="0"/>
              <w:spacing w:line="360" w:lineRule="auto"/>
              <w:ind w:firstLine="480" w:firstLineChars="200"/>
              <w:rPr>
                <w:sz w:val="24"/>
              </w:rPr>
            </w:pPr>
            <w:r>
              <w:rPr>
                <w:sz w:val="24"/>
              </w:rPr>
              <w:t>本项目竣工验收主要内容见表5-1。</w:t>
            </w:r>
          </w:p>
          <w:p w14:paraId="5360C9DD">
            <w:pPr>
              <w:pageBreakBefore w:val="0"/>
              <w:kinsoku/>
              <w:wordWrap/>
              <w:topLinePunct w:val="0"/>
              <w:autoSpaceDE w:val="0"/>
              <w:autoSpaceDN w:val="0"/>
              <w:bidi w:val="0"/>
              <w:spacing w:line="520" w:lineRule="exact"/>
              <w:jc w:val="center"/>
              <w:rPr>
                <w:sz w:val="24"/>
              </w:rPr>
            </w:pPr>
            <w:r>
              <w:rPr>
                <w:rFonts w:hint="eastAsia" w:ascii="黑体" w:hAnsi="黑体" w:eastAsia="黑体" w:cs="黑体"/>
                <w:szCs w:val="21"/>
              </w:rPr>
              <w:t>表5-1  项目环境保护“三同时”验收一览表</w:t>
            </w:r>
          </w:p>
          <w:tbl>
            <w:tblPr>
              <w:tblStyle w:val="13"/>
              <w:tblW w:w="75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495"/>
              <w:gridCol w:w="1167"/>
              <w:gridCol w:w="1679"/>
              <w:gridCol w:w="1746"/>
              <w:gridCol w:w="2510"/>
            </w:tblGrid>
            <w:tr w14:paraId="759013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95" w:type="dxa"/>
                  <w:noWrap w:val="0"/>
                  <w:tcMar>
                    <w:left w:w="0" w:type="dxa"/>
                    <w:right w:w="0" w:type="dxa"/>
                  </w:tcMar>
                  <w:vAlign w:val="center"/>
                </w:tcPr>
                <w:p w14:paraId="3F695B61">
                  <w:pPr>
                    <w:pageBreakBefore w:val="0"/>
                    <w:kinsoku/>
                    <w:wordWrap/>
                    <w:topLinePunct w:val="0"/>
                    <w:autoSpaceDE w:val="0"/>
                    <w:autoSpaceDN w:val="0"/>
                    <w:bidi w:val="0"/>
                    <w:spacing w:line="280" w:lineRule="exact"/>
                    <w:jc w:val="center"/>
                    <w:rPr>
                      <w:b/>
                      <w:bCs/>
                      <w:szCs w:val="21"/>
                    </w:rPr>
                  </w:pPr>
                  <w:r>
                    <w:rPr>
                      <w:b/>
                      <w:bCs/>
                      <w:szCs w:val="21"/>
                    </w:rPr>
                    <w:t>对象</w:t>
                  </w:r>
                </w:p>
              </w:tc>
              <w:tc>
                <w:tcPr>
                  <w:tcW w:w="1167" w:type="dxa"/>
                  <w:noWrap w:val="0"/>
                  <w:tcMar>
                    <w:left w:w="0" w:type="dxa"/>
                    <w:right w:w="0" w:type="dxa"/>
                  </w:tcMar>
                  <w:vAlign w:val="center"/>
                </w:tcPr>
                <w:p w14:paraId="5C8B3319">
                  <w:pPr>
                    <w:pageBreakBefore w:val="0"/>
                    <w:kinsoku/>
                    <w:wordWrap/>
                    <w:topLinePunct w:val="0"/>
                    <w:autoSpaceDE w:val="0"/>
                    <w:autoSpaceDN w:val="0"/>
                    <w:bidi w:val="0"/>
                    <w:spacing w:line="280" w:lineRule="exact"/>
                    <w:jc w:val="center"/>
                    <w:rPr>
                      <w:b/>
                      <w:bCs/>
                      <w:szCs w:val="21"/>
                    </w:rPr>
                  </w:pPr>
                  <w:r>
                    <w:rPr>
                      <w:b/>
                      <w:bCs/>
                      <w:szCs w:val="21"/>
                    </w:rPr>
                    <w:t>污染源</w:t>
                  </w:r>
                </w:p>
              </w:tc>
              <w:tc>
                <w:tcPr>
                  <w:tcW w:w="1679" w:type="dxa"/>
                  <w:noWrap w:val="0"/>
                  <w:tcMar>
                    <w:left w:w="0" w:type="dxa"/>
                    <w:right w:w="0" w:type="dxa"/>
                  </w:tcMar>
                  <w:vAlign w:val="center"/>
                </w:tcPr>
                <w:p w14:paraId="2795B932">
                  <w:pPr>
                    <w:pageBreakBefore w:val="0"/>
                    <w:kinsoku/>
                    <w:wordWrap/>
                    <w:topLinePunct w:val="0"/>
                    <w:autoSpaceDE w:val="0"/>
                    <w:autoSpaceDN w:val="0"/>
                    <w:bidi w:val="0"/>
                    <w:spacing w:line="280" w:lineRule="exact"/>
                    <w:jc w:val="center"/>
                    <w:rPr>
                      <w:b/>
                      <w:bCs/>
                      <w:szCs w:val="21"/>
                    </w:rPr>
                  </w:pPr>
                  <w:r>
                    <w:rPr>
                      <w:b/>
                      <w:bCs/>
                      <w:szCs w:val="21"/>
                    </w:rPr>
                    <w:t>污染防治措施</w:t>
                  </w:r>
                </w:p>
              </w:tc>
              <w:tc>
                <w:tcPr>
                  <w:tcW w:w="1746" w:type="dxa"/>
                  <w:noWrap w:val="0"/>
                  <w:tcMar>
                    <w:left w:w="0" w:type="dxa"/>
                    <w:right w:w="0" w:type="dxa"/>
                  </w:tcMar>
                  <w:vAlign w:val="center"/>
                </w:tcPr>
                <w:p w14:paraId="675BDF84">
                  <w:pPr>
                    <w:pageBreakBefore w:val="0"/>
                    <w:kinsoku/>
                    <w:wordWrap/>
                    <w:topLinePunct w:val="0"/>
                    <w:autoSpaceDE w:val="0"/>
                    <w:autoSpaceDN w:val="0"/>
                    <w:bidi w:val="0"/>
                    <w:spacing w:line="280" w:lineRule="exact"/>
                    <w:jc w:val="center"/>
                    <w:rPr>
                      <w:b/>
                      <w:bCs/>
                      <w:szCs w:val="21"/>
                    </w:rPr>
                  </w:pPr>
                  <w:r>
                    <w:rPr>
                      <w:b/>
                      <w:bCs/>
                      <w:szCs w:val="21"/>
                    </w:rPr>
                    <w:t>主要污染物</w:t>
                  </w:r>
                </w:p>
              </w:tc>
              <w:tc>
                <w:tcPr>
                  <w:tcW w:w="2510" w:type="dxa"/>
                  <w:noWrap w:val="0"/>
                  <w:tcMar>
                    <w:left w:w="0" w:type="dxa"/>
                    <w:right w:w="0" w:type="dxa"/>
                  </w:tcMar>
                  <w:vAlign w:val="center"/>
                </w:tcPr>
                <w:p w14:paraId="0A255D4F">
                  <w:pPr>
                    <w:pageBreakBefore w:val="0"/>
                    <w:kinsoku/>
                    <w:wordWrap/>
                    <w:topLinePunct w:val="0"/>
                    <w:autoSpaceDE w:val="0"/>
                    <w:autoSpaceDN w:val="0"/>
                    <w:bidi w:val="0"/>
                    <w:spacing w:line="280" w:lineRule="exact"/>
                    <w:jc w:val="center"/>
                    <w:rPr>
                      <w:b/>
                      <w:bCs/>
                      <w:szCs w:val="21"/>
                    </w:rPr>
                  </w:pPr>
                  <w:r>
                    <w:rPr>
                      <w:b/>
                      <w:bCs/>
                      <w:szCs w:val="21"/>
                    </w:rPr>
                    <w:t>验收要求</w:t>
                  </w:r>
                </w:p>
              </w:tc>
            </w:tr>
            <w:tr w14:paraId="314B58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95" w:type="dxa"/>
                  <w:noWrap w:val="0"/>
                  <w:tcMar>
                    <w:left w:w="0" w:type="dxa"/>
                    <w:right w:w="0" w:type="dxa"/>
                  </w:tcMar>
                  <w:vAlign w:val="center"/>
                </w:tcPr>
                <w:p w14:paraId="66D0C1F1">
                  <w:pPr>
                    <w:pageBreakBefore w:val="0"/>
                    <w:kinsoku/>
                    <w:wordWrap/>
                    <w:topLinePunct w:val="0"/>
                    <w:autoSpaceDE w:val="0"/>
                    <w:autoSpaceDN w:val="0"/>
                    <w:bidi w:val="0"/>
                    <w:spacing w:line="280" w:lineRule="exact"/>
                    <w:jc w:val="center"/>
                    <w:rPr>
                      <w:szCs w:val="21"/>
                    </w:rPr>
                  </w:pPr>
                  <w:r>
                    <w:rPr>
                      <w:szCs w:val="21"/>
                    </w:rPr>
                    <w:t>废水</w:t>
                  </w:r>
                </w:p>
              </w:tc>
              <w:tc>
                <w:tcPr>
                  <w:tcW w:w="1167" w:type="dxa"/>
                  <w:noWrap w:val="0"/>
                  <w:tcMar>
                    <w:left w:w="0" w:type="dxa"/>
                    <w:right w:w="0" w:type="dxa"/>
                  </w:tcMar>
                  <w:vAlign w:val="center"/>
                </w:tcPr>
                <w:p w14:paraId="76C75621">
                  <w:pPr>
                    <w:pageBreakBefore w:val="0"/>
                    <w:kinsoku/>
                    <w:wordWrap/>
                    <w:topLinePunct w:val="0"/>
                    <w:autoSpaceDE w:val="0"/>
                    <w:autoSpaceDN w:val="0"/>
                    <w:bidi w:val="0"/>
                    <w:spacing w:line="280" w:lineRule="exact"/>
                    <w:jc w:val="center"/>
                    <w:rPr>
                      <w:szCs w:val="21"/>
                    </w:rPr>
                  </w:pPr>
                  <w:r>
                    <w:rPr>
                      <w:rFonts w:hint="eastAsia"/>
                      <w:szCs w:val="21"/>
                    </w:rPr>
                    <w:t>生活污水</w:t>
                  </w:r>
                </w:p>
              </w:tc>
              <w:tc>
                <w:tcPr>
                  <w:tcW w:w="1679" w:type="dxa"/>
                  <w:noWrap w:val="0"/>
                  <w:tcMar>
                    <w:left w:w="0" w:type="dxa"/>
                    <w:right w:w="0" w:type="dxa"/>
                  </w:tcMar>
                  <w:vAlign w:val="center"/>
                </w:tcPr>
                <w:p w14:paraId="554675B0">
                  <w:pPr>
                    <w:pageBreakBefore w:val="0"/>
                    <w:kinsoku/>
                    <w:wordWrap/>
                    <w:topLinePunct w:val="0"/>
                    <w:autoSpaceDE w:val="0"/>
                    <w:autoSpaceDN w:val="0"/>
                    <w:bidi w:val="0"/>
                    <w:spacing w:line="280" w:lineRule="exact"/>
                    <w:jc w:val="center"/>
                    <w:rPr>
                      <w:szCs w:val="21"/>
                    </w:rPr>
                  </w:pPr>
                  <w:r>
                    <w:rPr>
                      <w:rFonts w:hint="eastAsia"/>
                      <w:szCs w:val="21"/>
                    </w:rPr>
                    <w:t>经管线排入</w:t>
                  </w:r>
                  <w:r>
                    <w:rPr>
                      <w:rFonts w:hint="eastAsia" w:ascii="宋体" w:hAnsi="宋体" w:cs="宋体"/>
                      <w:szCs w:val="21"/>
                    </w:rPr>
                    <w:t>“新疆圣雄电石有限公司煤电盐化循环经济一期工程年产60万吨电石、60万吨石灰、75万吨兰炭项目”地埋式一体化污水处理设施</w:t>
                  </w:r>
                  <w:r>
                    <w:rPr>
                      <w:rFonts w:hint="eastAsia"/>
                      <w:szCs w:val="21"/>
                    </w:rPr>
                    <w:t>处理</w:t>
                  </w:r>
                </w:p>
              </w:tc>
              <w:tc>
                <w:tcPr>
                  <w:tcW w:w="1746" w:type="dxa"/>
                  <w:noWrap w:val="0"/>
                  <w:tcMar>
                    <w:left w:w="0" w:type="dxa"/>
                    <w:right w:w="0" w:type="dxa"/>
                  </w:tcMar>
                  <w:vAlign w:val="center"/>
                </w:tcPr>
                <w:p w14:paraId="745F3937">
                  <w:pPr>
                    <w:pageBreakBefore w:val="0"/>
                    <w:kinsoku/>
                    <w:wordWrap/>
                    <w:topLinePunct w:val="0"/>
                    <w:autoSpaceDE w:val="0"/>
                    <w:autoSpaceDN w:val="0"/>
                    <w:bidi w:val="0"/>
                    <w:spacing w:line="280" w:lineRule="exact"/>
                    <w:jc w:val="center"/>
                    <w:rPr>
                      <w:rFonts w:hint="eastAsia"/>
                      <w:szCs w:val="21"/>
                    </w:rPr>
                  </w:pPr>
                  <w:r>
                    <w:rPr>
                      <w:rFonts w:hint="eastAsia"/>
                      <w:szCs w:val="21"/>
                    </w:rPr>
                    <w:t>五日生化需氧量、化学需氧量、悬浮物、氨氮、</w:t>
                  </w:r>
                  <w:r>
                    <w:rPr>
                      <w:szCs w:val="21"/>
                    </w:rPr>
                    <w:t>Ca</w:t>
                  </w:r>
                  <w:r>
                    <w:rPr>
                      <w:szCs w:val="21"/>
                      <w:vertAlign w:val="superscript"/>
                    </w:rPr>
                    <w:t>2+</w:t>
                  </w:r>
                  <w:r>
                    <w:rPr>
                      <w:szCs w:val="21"/>
                    </w:rPr>
                    <w:t>、Mg</w:t>
                  </w:r>
                  <w:r>
                    <w:rPr>
                      <w:szCs w:val="21"/>
                      <w:vertAlign w:val="superscript"/>
                    </w:rPr>
                    <w:t>2+</w:t>
                  </w:r>
                  <w:r>
                    <w:rPr>
                      <w:szCs w:val="21"/>
                    </w:rPr>
                    <w:t>、Fe</w:t>
                  </w:r>
                  <w:r>
                    <w:rPr>
                      <w:szCs w:val="21"/>
                      <w:vertAlign w:val="superscript"/>
                    </w:rPr>
                    <w:t>3+</w:t>
                  </w:r>
                </w:p>
              </w:tc>
              <w:tc>
                <w:tcPr>
                  <w:tcW w:w="2510" w:type="dxa"/>
                  <w:noWrap w:val="0"/>
                  <w:tcMar>
                    <w:left w:w="0" w:type="dxa"/>
                    <w:right w:w="0" w:type="dxa"/>
                  </w:tcMar>
                  <w:vAlign w:val="center"/>
                </w:tcPr>
                <w:p w14:paraId="150B0D78">
                  <w:pPr>
                    <w:pageBreakBefore w:val="0"/>
                    <w:kinsoku/>
                    <w:wordWrap/>
                    <w:topLinePunct w:val="0"/>
                    <w:autoSpaceDE w:val="0"/>
                    <w:autoSpaceDN w:val="0"/>
                    <w:bidi w:val="0"/>
                    <w:spacing w:line="280" w:lineRule="exact"/>
                    <w:jc w:val="center"/>
                    <w:rPr>
                      <w:szCs w:val="21"/>
                    </w:rPr>
                  </w:pPr>
                  <w:r>
                    <w:rPr>
                      <w:rFonts w:hint="eastAsia"/>
                      <w:szCs w:val="21"/>
                    </w:rPr>
                    <w:t>不随意排放</w:t>
                  </w:r>
                </w:p>
              </w:tc>
            </w:tr>
            <w:tr w14:paraId="5A1003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95" w:type="dxa"/>
                  <w:vMerge w:val="restart"/>
                  <w:noWrap w:val="0"/>
                  <w:tcMar>
                    <w:left w:w="0" w:type="dxa"/>
                    <w:right w:w="0" w:type="dxa"/>
                  </w:tcMar>
                  <w:vAlign w:val="center"/>
                </w:tcPr>
                <w:p w14:paraId="2C1C1AFA">
                  <w:pPr>
                    <w:pageBreakBefore w:val="0"/>
                    <w:kinsoku/>
                    <w:wordWrap/>
                    <w:topLinePunct w:val="0"/>
                    <w:autoSpaceDE w:val="0"/>
                    <w:autoSpaceDN w:val="0"/>
                    <w:bidi w:val="0"/>
                    <w:spacing w:line="280" w:lineRule="exact"/>
                    <w:jc w:val="center"/>
                    <w:rPr>
                      <w:szCs w:val="21"/>
                    </w:rPr>
                  </w:pPr>
                  <w:r>
                    <w:rPr>
                      <w:szCs w:val="21"/>
                    </w:rPr>
                    <w:t>固废</w:t>
                  </w:r>
                </w:p>
              </w:tc>
              <w:tc>
                <w:tcPr>
                  <w:tcW w:w="1167" w:type="dxa"/>
                  <w:noWrap w:val="0"/>
                  <w:tcMar>
                    <w:left w:w="0" w:type="dxa"/>
                    <w:right w:w="0" w:type="dxa"/>
                  </w:tcMar>
                  <w:vAlign w:val="center"/>
                </w:tcPr>
                <w:p w14:paraId="539A683F">
                  <w:pPr>
                    <w:pageBreakBefore w:val="0"/>
                    <w:kinsoku/>
                    <w:wordWrap/>
                    <w:topLinePunct w:val="0"/>
                    <w:autoSpaceDE w:val="0"/>
                    <w:autoSpaceDN w:val="0"/>
                    <w:bidi w:val="0"/>
                    <w:spacing w:line="280" w:lineRule="exact"/>
                    <w:jc w:val="center"/>
                    <w:rPr>
                      <w:szCs w:val="21"/>
                    </w:rPr>
                  </w:pPr>
                  <w:r>
                    <w:rPr>
                      <w:rFonts w:hint="eastAsia"/>
                      <w:szCs w:val="21"/>
                    </w:rPr>
                    <w:t>一般固废及生活垃圾</w:t>
                  </w:r>
                </w:p>
              </w:tc>
              <w:tc>
                <w:tcPr>
                  <w:tcW w:w="3425" w:type="dxa"/>
                  <w:gridSpan w:val="2"/>
                  <w:noWrap w:val="0"/>
                  <w:tcMar>
                    <w:left w:w="0" w:type="dxa"/>
                    <w:right w:w="0" w:type="dxa"/>
                  </w:tcMar>
                  <w:vAlign w:val="center"/>
                </w:tcPr>
                <w:p w14:paraId="76471DAE">
                  <w:pPr>
                    <w:pageBreakBefore w:val="0"/>
                    <w:kinsoku/>
                    <w:wordWrap/>
                    <w:topLinePunct w:val="0"/>
                    <w:autoSpaceDE w:val="0"/>
                    <w:autoSpaceDN w:val="0"/>
                    <w:bidi w:val="0"/>
                    <w:spacing w:line="280" w:lineRule="exact"/>
                    <w:jc w:val="left"/>
                    <w:rPr>
                      <w:sz w:val="21"/>
                      <w:szCs w:val="21"/>
                    </w:rPr>
                  </w:pPr>
                  <w:r>
                    <w:rPr>
                      <w:rFonts w:hint="eastAsia"/>
                      <w:sz w:val="21"/>
                      <w:szCs w:val="21"/>
                    </w:rPr>
                    <w:t>设置垃圾箱收集生活垃圾，依托当地环卫部门定期清运。</w:t>
                  </w:r>
                </w:p>
              </w:tc>
              <w:tc>
                <w:tcPr>
                  <w:tcW w:w="2510" w:type="dxa"/>
                  <w:noWrap w:val="0"/>
                  <w:tcMar>
                    <w:left w:w="0" w:type="dxa"/>
                    <w:right w:w="0" w:type="dxa"/>
                  </w:tcMar>
                  <w:vAlign w:val="center"/>
                </w:tcPr>
                <w:p w14:paraId="5EA6FFB3">
                  <w:pPr>
                    <w:pageBreakBefore w:val="0"/>
                    <w:kinsoku/>
                    <w:wordWrap/>
                    <w:topLinePunct w:val="0"/>
                    <w:autoSpaceDE w:val="0"/>
                    <w:autoSpaceDN w:val="0"/>
                    <w:bidi w:val="0"/>
                    <w:spacing w:line="280" w:lineRule="exact"/>
                    <w:jc w:val="center"/>
                    <w:rPr>
                      <w:szCs w:val="21"/>
                    </w:rPr>
                  </w:pPr>
                  <w:r>
                    <w:rPr>
                      <w:rFonts w:hint="eastAsia"/>
                      <w:szCs w:val="21"/>
                    </w:rPr>
                    <w:t>满足</w:t>
                  </w:r>
                  <w:r>
                    <w:rPr>
                      <w:szCs w:val="21"/>
                    </w:rPr>
                    <w:t>《一般工业固体废物贮存和填埋污染控制标准》</w:t>
                  </w:r>
                  <w:r>
                    <w:rPr>
                      <w:rFonts w:hint="eastAsia"/>
                      <w:szCs w:val="21"/>
                    </w:rPr>
                    <w:t>（GB</w:t>
                  </w:r>
                  <w:r>
                    <w:rPr>
                      <w:szCs w:val="21"/>
                    </w:rPr>
                    <w:t>18599-2020</w:t>
                  </w:r>
                  <w:r>
                    <w:rPr>
                      <w:rFonts w:hint="eastAsia"/>
                      <w:szCs w:val="21"/>
                    </w:rPr>
                    <w:t>）入场要求，存储场所具有防渗漏、防雨淋、防扬尘等措施</w:t>
                  </w:r>
                </w:p>
              </w:tc>
            </w:tr>
            <w:tr w14:paraId="462411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95" w:type="dxa"/>
                  <w:vMerge w:val="continue"/>
                  <w:noWrap w:val="0"/>
                  <w:tcMar>
                    <w:left w:w="0" w:type="dxa"/>
                    <w:right w:w="0" w:type="dxa"/>
                  </w:tcMar>
                  <w:vAlign w:val="center"/>
                </w:tcPr>
                <w:p w14:paraId="0D90C859">
                  <w:pPr>
                    <w:pageBreakBefore w:val="0"/>
                    <w:kinsoku/>
                    <w:wordWrap/>
                    <w:topLinePunct w:val="0"/>
                    <w:autoSpaceDE w:val="0"/>
                    <w:autoSpaceDN w:val="0"/>
                    <w:bidi w:val="0"/>
                    <w:spacing w:line="280" w:lineRule="exact"/>
                    <w:jc w:val="center"/>
                    <w:rPr>
                      <w:szCs w:val="21"/>
                    </w:rPr>
                  </w:pPr>
                </w:p>
              </w:tc>
              <w:tc>
                <w:tcPr>
                  <w:tcW w:w="1167" w:type="dxa"/>
                  <w:noWrap w:val="0"/>
                  <w:tcMar>
                    <w:left w:w="0" w:type="dxa"/>
                    <w:right w:w="0" w:type="dxa"/>
                  </w:tcMar>
                  <w:vAlign w:val="center"/>
                </w:tcPr>
                <w:p w14:paraId="48D4D6E5">
                  <w:pPr>
                    <w:pageBreakBefore w:val="0"/>
                    <w:kinsoku/>
                    <w:wordWrap/>
                    <w:topLinePunct w:val="0"/>
                    <w:autoSpaceDE w:val="0"/>
                    <w:autoSpaceDN w:val="0"/>
                    <w:bidi w:val="0"/>
                    <w:spacing w:line="280" w:lineRule="exact"/>
                    <w:jc w:val="center"/>
                    <w:rPr>
                      <w:rFonts w:hint="eastAsia"/>
                      <w:szCs w:val="21"/>
                    </w:rPr>
                  </w:pPr>
                  <w:r>
                    <w:rPr>
                      <w:rFonts w:hint="eastAsia"/>
                      <w:szCs w:val="21"/>
                    </w:rPr>
                    <w:t>危险废物</w:t>
                  </w:r>
                </w:p>
              </w:tc>
              <w:tc>
                <w:tcPr>
                  <w:tcW w:w="3425" w:type="dxa"/>
                  <w:gridSpan w:val="2"/>
                  <w:noWrap w:val="0"/>
                  <w:tcMar>
                    <w:left w:w="0" w:type="dxa"/>
                    <w:right w:w="0" w:type="dxa"/>
                  </w:tcMar>
                  <w:vAlign w:val="center"/>
                </w:tcPr>
                <w:p w14:paraId="7E4BE1FC">
                  <w:pPr>
                    <w:pageBreakBefore w:val="0"/>
                    <w:kinsoku/>
                    <w:wordWrap/>
                    <w:topLinePunct w:val="0"/>
                    <w:autoSpaceDE w:val="0"/>
                    <w:autoSpaceDN w:val="0"/>
                    <w:bidi w:val="0"/>
                    <w:spacing w:line="280" w:lineRule="exact"/>
                    <w:jc w:val="left"/>
                    <w:rPr>
                      <w:rFonts w:hint="eastAsia" w:eastAsia="宋体"/>
                      <w:sz w:val="21"/>
                      <w:szCs w:val="21"/>
                      <w:lang w:eastAsia="zh-CN"/>
                    </w:rPr>
                  </w:pPr>
                  <w:r>
                    <w:rPr>
                      <w:rFonts w:hint="eastAsia"/>
                      <w:sz w:val="21"/>
                      <w:szCs w:val="21"/>
                      <w:lang w:val="en-US" w:eastAsia="zh-CN"/>
                    </w:rPr>
                    <w:t>预处理生产工序设置污油罐临时存储含油废液，污油罐区域采取重点防渗要求。经收集的含油废液和废润滑油用密闭</w:t>
                  </w:r>
                  <w:r>
                    <w:rPr>
                      <w:sz w:val="21"/>
                      <w:szCs w:val="21"/>
                    </w:rPr>
                    <w:t>钢制容器存装，</w:t>
                  </w:r>
                  <w:r>
                    <w:rPr>
                      <w:rFonts w:hint="eastAsia"/>
                      <w:sz w:val="21"/>
                      <w:szCs w:val="21"/>
                    </w:rPr>
                    <w:t>废吸附剂用密闭容器存装，</w:t>
                  </w:r>
                  <w:r>
                    <w:rPr>
                      <w:rFonts w:hint="eastAsia"/>
                      <w:sz w:val="21"/>
                      <w:szCs w:val="21"/>
                      <w:lang w:val="en-US" w:eastAsia="zh-CN"/>
                    </w:rPr>
                    <w:t>不在本项目内存储，全部</w:t>
                  </w:r>
                  <w:r>
                    <w:rPr>
                      <w:rFonts w:hint="eastAsia"/>
                      <w:sz w:val="21"/>
                      <w:szCs w:val="21"/>
                    </w:rPr>
                    <w:t>依托新疆圣雄能源股份有限公司危险废物暂存间临时存储，委托有对应类别危废处置资质的单位负责清运并处置</w:t>
                  </w:r>
                  <w:r>
                    <w:rPr>
                      <w:rFonts w:hint="eastAsia"/>
                      <w:sz w:val="21"/>
                      <w:szCs w:val="21"/>
                      <w:lang w:eastAsia="zh-CN"/>
                    </w:rPr>
                    <w:t>。</w:t>
                  </w:r>
                </w:p>
              </w:tc>
              <w:tc>
                <w:tcPr>
                  <w:tcW w:w="2510" w:type="dxa"/>
                  <w:noWrap w:val="0"/>
                  <w:tcMar>
                    <w:left w:w="0" w:type="dxa"/>
                    <w:right w:w="0" w:type="dxa"/>
                  </w:tcMar>
                  <w:vAlign w:val="center"/>
                </w:tcPr>
                <w:p w14:paraId="5F14B64F">
                  <w:pPr>
                    <w:pageBreakBefore w:val="0"/>
                    <w:kinsoku/>
                    <w:wordWrap/>
                    <w:topLinePunct w:val="0"/>
                    <w:autoSpaceDE w:val="0"/>
                    <w:autoSpaceDN w:val="0"/>
                    <w:bidi w:val="0"/>
                    <w:spacing w:line="280" w:lineRule="exact"/>
                    <w:jc w:val="center"/>
                    <w:rPr>
                      <w:rFonts w:hint="eastAsia"/>
                      <w:szCs w:val="21"/>
                    </w:rPr>
                  </w:pPr>
                  <w:r>
                    <w:rPr>
                      <w:rFonts w:hint="eastAsia"/>
                      <w:szCs w:val="21"/>
                    </w:rPr>
                    <w:t>危险废物收集、贮运环节严格按照《危险废物贮存污染控制标准》（GB 18597-2023）、《危险废物收集 贮存 运输技术规范》（HJ 2025-2012）要求执行</w:t>
                  </w:r>
                </w:p>
              </w:tc>
            </w:tr>
            <w:tr w14:paraId="39BE12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95" w:type="dxa"/>
                  <w:noWrap w:val="0"/>
                  <w:tcMar>
                    <w:left w:w="0" w:type="dxa"/>
                    <w:right w:w="0" w:type="dxa"/>
                  </w:tcMar>
                  <w:vAlign w:val="center"/>
                </w:tcPr>
                <w:p w14:paraId="0E31E84C">
                  <w:pPr>
                    <w:pageBreakBefore w:val="0"/>
                    <w:kinsoku/>
                    <w:wordWrap/>
                    <w:topLinePunct w:val="0"/>
                    <w:autoSpaceDE w:val="0"/>
                    <w:autoSpaceDN w:val="0"/>
                    <w:bidi w:val="0"/>
                    <w:spacing w:line="280" w:lineRule="exact"/>
                    <w:jc w:val="center"/>
                    <w:rPr>
                      <w:snapToGrid w:val="0"/>
                      <w:kern w:val="0"/>
                      <w:szCs w:val="21"/>
                    </w:rPr>
                  </w:pPr>
                  <w:r>
                    <w:rPr>
                      <w:snapToGrid w:val="0"/>
                      <w:szCs w:val="21"/>
                    </w:rPr>
                    <w:t>噪声</w:t>
                  </w:r>
                </w:p>
              </w:tc>
              <w:tc>
                <w:tcPr>
                  <w:tcW w:w="4592" w:type="dxa"/>
                  <w:gridSpan w:val="3"/>
                  <w:noWrap w:val="0"/>
                  <w:tcMar>
                    <w:left w:w="0" w:type="dxa"/>
                    <w:right w:w="0" w:type="dxa"/>
                  </w:tcMar>
                  <w:vAlign w:val="center"/>
                </w:tcPr>
                <w:p w14:paraId="13BEC5AB">
                  <w:pPr>
                    <w:pageBreakBefore w:val="0"/>
                    <w:kinsoku/>
                    <w:wordWrap/>
                    <w:topLinePunct w:val="0"/>
                    <w:autoSpaceDE w:val="0"/>
                    <w:autoSpaceDN w:val="0"/>
                    <w:bidi w:val="0"/>
                    <w:spacing w:line="280" w:lineRule="exact"/>
                    <w:jc w:val="center"/>
                    <w:rPr>
                      <w:snapToGrid w:val="0"/>
                      <w:szCs w:val="21"/>
                    </w:rPr>
                  </w:pPr>
                  <w:r>
                    <w:rPr>
                      <w:snapToGrid w:val="0"/>
                      <w:szCs w:val="21"/>
                    </w:rPr>
                    <w:t>选用低噪声设备，基础减震，隔声、加装隔震垫</w:t>
                  </w:r>
                </w:p>
              </w:tc>
              <w:tc>
                <w:tcPr>
                  <w:tcW w:w="2510" w:type="dxa"/>
                  <w:noWrap w:val="0"/>
                  <w:tcMar>
                    <w:left w:w="0" w:type="dxa"/>
                    <w:right w:w="0" w:type="dxa"/>
                  </w:tcMar>
                  <w:vAlign w:val="center"/>
                </w:tcPr>
                <w:p w14:paraId="48DF8EC5">
                  <w:pPr>
                    <w:pageBreakBefore w:val="0"/>
                    <w:kinsoku/>
                    <w:wordWrap/>
                    <w:topLinePunct w:val="0"/>
                    <w:autoSpaceDE w:val="0"/>
                    <w:autoSpaceDN w:val="0"/>
                    <w:bidi w:val="0"/>
                    <w:spacing w:line="280" w:lineRule="exact"/>
                    <w:jc w:val="center"/>
                    <w:rPr>
                      <w:szCs w:val="21"/>
                    </w:rPr>
                  </w:pPr>
                  <w:r>
                    <w:rPr>
                      <w:szCs w:val="21"/>
                    </w:rPr>
                    <w:t>《工业企业厂界环境噪声排放标准》</w:t>
                  </w:r>
                  <w:r>
                    <w:rPr>
                      <w:rFonts w:hint="eastAsia"/>
                      <w:sz w:val="24"/>
                    </w:rPr>
                    <w:t>（</w:t>
                  </w:r>
                  <w:r>
                    <w:rPr>
                      <w:rFonts w:hint="eastAsia"/>
                      <w:szCs w:val="21"/>
                    </w:rPr>
                    <w:t xml:space="preserve">GB </w:t>
                  </w:r>
                  <w:r>
                    <w:rPr>
                      <w:szCs w:val="21"/>
                    </w:rPr>
                    <w:t>12348-2008</w:t>
                  </w:r>
                  <w:r>
                    <w:rPr>
                      <w:rFonts w:hint="eastAsia"/>
                      <w:szCs w:val="21"/>
                    </w:rPr>
                    <w:t>）3级排放限值</w:t>
                  </w:r>
                </w:p>
              </w:tc>
            </w:tr>
            <w:tr w14:paraId="24CD04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95" w:type="dxa"/>
                  <w:noWrap w:val="0"/>
                  <w:tcMar>
                    <w:left w:w="0" w:type="dxa"/>
                    <w:right w:w="0" w:type="dxa"/>
                  </w:tcMar>
                  <w:vAlign w:val="center"/>
                </w:tcPr>
                <w:p w14:paraId="7589E9AD">
                  <w:pPr>
                    <w:pageBreakBefore w:val="0"/>
                    <w:kinsoku/>
                    <w:wordWrap/>
                    <w:topLinePunct w:val="0"/>
                    <w:autoSpaceDE w:val="0"/>
                    <w:autoSpaceDN w:val="0"/>
                    <w:bidi w:val="0"/>
                    <w:spacing w:line="280" w:lineRule="exact"/>
                    <w:jc w:val="center"/>
                    <w:rPr>
                      <w:szCs w:val="21"/>
                    </w:rPr>
                  </w:pPr>
                  <w:r>
                    <w:rPr>
                      <w:szCs w:val="21"/>
                    </w:rPr>
                    <w:t>其他</w:t>
                  </w:r>
                </w:p>
              </w:tc>
              <w:tc>
                <w:tcPr>
                  <w:tcW w:w="1167" w:type="dxa"/>
                  <w:noWrap w:val="0"/>
                  <w:tcMar>
                    <w:left w:w="0" w:type="dxa"/>
                    <w:right w:w="0" w:type="dxa"/>
                  </w:tcMar>
                  <w:vAlign w:val="center"/>
                </w:tcPr>
                <w:p w14:paraId="76A32F27">
                  <w:pPr>
                    <w:pageBreakBefore w:val="0"/>
                    <w:kinsoku/>
                    <w:wordWrap/>
                    <w:topLinePunct w:val="0"/>
                    <w:autoSpaceDE w:val="0"/>
                    <w:autoSpaceDN w:val="0"/>
                    <w:bidi w:val="0"/>
                    <w:spacing w:line="280" w:lineRule="exact"/>
                    <w:jc w:val="center"/>
                    <w:rPr>
                      <w:szCs w:val="21"/>
                    </w:rPr>
                  </w:pPr>
                  <w:r>
                    <w:rPr>
                      <w:szCs w:val="21"/>
                    </w:rPr>
                    <w:t>环境管理与监测计划</w:t>
                  </w:r>
                </w:p>
              </w:tc>
              <w:tc>
                <w:tcPr>
                  <w:tcW w:w="3425" w:type="dxa"/>
                  <w:gridSpan w:val="2"/>
                  <w:noWrap w:val="0"/>
                  <w:tcMar>
                    <w:left w:w="0" w:type="dxa"/>
                    <w:right w:w="0" w:type="dxa"/>
                  </w:tcMar>
                  <w:vAlign w:val="center"/>
                </w:tcPr>
                <w:p w14:paraId="39A72F9F">
                  <w:pPr>
                    <w:pageBreakBefore w:val="0"/>
                    <w:kinsoku/>
                    <w:wordWrap/>
                    <w:topLinePunct w:val="0"/>
                    <w:autoSpaceDE w:val="0"/>
                    <w:autoSpaceDN w:val="0"/>
                    <w:bidi w:val="0"/>
                    <w:spacing w:line="280" w:lineRule="exact"/>
                    <w:jc w:val="center"/>
                    <w:rPr>
                      <w:szCs w:val="21"/>
                    </w:rPr>
                  </w:pPr>
                  <w:r>
                    <w:rPr>
                      <w:szCs w:val="21"/>
                    </w:rPr>
                    <w:t>健全管理机构和管理制度；定期委托有资质的环境监测单位进行污染物监测；监测项目按本报告规定执行</w:t>
                  </w:r>
                </w:p>
              </w:tc>
              <w:tc>
                <w:tcPr>
                  <w:tcW w:w="2510" w:type="dxa"/>
                  <w:noWrap w:val="0"/>
                  <w:tcMar>
                    <w:left w:w="0" w:type="dxa"/>
                    <w:right w:w="0" w:type="dxa"/>
                  </w:tcMar>
                  <w:vAlign w:val="center"/>
                </w:tcPr>
                <w:p w14:paraId="3A86370C">
                  <w:pPr>
                    <w:pageBreakBefore w:val="0"/>
                    <w:kinsoku/>
                    <w:wordWrap/>
                    <w:topLinePunct w:val="0"/>
                    <w:autoSpaceDE w:val="0"/>
                    <w:autoSpaceDN w:val="0"/>
                    <w:bidi w:val="0"/>
                    <w:spacing w:line="280" w:lineRule="exact"/>
                    <w:jc w:val="center"/>
                    <w:rPr>
                      <w:szCs w:val="21"/>
                    </w:rPr>
                  </w:pPr>
                  <w:r>
                    <w:rPr>
                      <w:szCs w:val="21"/>
                    </w:rPr>
                    <w:t>按环评规定实施</w:t>
                  </w:r>
                </w:p>
              </w:tc>
            </w:tr>
          </w:tbl>
          <w:p w14:paraId="1A087A6F">
            <w:pPr>
              <w:pageBreakBefore w:val="0"/>
              <w:kinsoku/>
              <w:wordWrap/>
              <w:topLinePunct w:val="0"/>
              <w:autoSpaceDE w:val="0"/>
              <w:autoSpaceDN w:val="0"/>
              <w:bidi w:val="0"/>
              <w:spacing w:line="360" w:lineRule="auto"/>
              <w:ind w:firstLine="482" w:firstLineChars="200"/>
              <w:rPr>
                <w:sz w:val="24"/>
              </w:rPr>
            </w:pPr>
            <w:r>
              <w:rPr>
                <w:rFonts w:hint="eastAsia"/>
                <w:b/>
                <w:bCs/>
                <w:sz w:val="24"/>
              </w:rPr>
              <w:t>4</w:t>
            </w:r>
            <w:r>
              <w:rPr>
                <w:b/>
                <w:bCs/>
                <w:sz w:val="24"/>
              </w:rPr>
              <w:t xml:space="preserve"> 排污许可申请类别</w:t>
            </w:r>
          </w:p>
          <w:p w14:paraId="4B816EB0">
            <w:pPr>
              <w:pageBreakBefore w:val="0"/>
              <w:kinsoku/>
              <w:wordWrap/>
              <w:topLinePunct w:val="0"/>
              <w:autoSpaceDE w:val="0"/>
              <w:autoSpaceDN w:val="0"/>
              <w:bidi w:val="0"/>
              <w:spacing w:line="360" w:lineRule="auto"/>
              <w:ind w:firstLine="480" w:firstLineChars="200"/>
              <w:rPr>
                <w:sz w:val="24"/>
              </w:rPr>
            </w:pPr>
            <w:r>
              <w:rPr>
                <w:sz w:val="24"/>
              </w:rPr>
              <w:t>根据《固定污染源排污许可分类管理名录</w:t>
            </w:r>
            <w:r>
              <w:rPr>
                <w:rFonts w:hint="eastAsia"/>
                <w:sz w:val="24"/>
              </w:rPr>
              <w:t>（</w:t>
            </w:r>
            <w:r>
              <w:rPr>
                <w:sz w:val="24"/>
              </w:rPr>
              <w:t>2019年版</w:t>
            </w:r>
            <w:r>
              <w:rPr>
                <w:rFonts w:hint="eastAsia"/>
                <w:sz w:val="24"/>
              </w:rPr>
              <w:t>）</w:t>
            </w:r>
            <w:r>
              <w:rPr>
                <w:sz w:val="24"/>
              </w:rPr>
              <w:t>》的规定，本项目行业类别属于“</w:t>
            </w:r>
            <w:r>
              <w:rPr>
                <w:rFonts w:hint="eastAsia"/>
                <w:sz w:val="24"/>
              </w:rPr>
              <w:t>二十一、化学原料和化学制品制造业26－基础化学原料制造 261</w:t>
            </w:r>
            <w:r>
              <w:rPr>
                <w:sz w:val="24"/>
              </w:rPr>
              <w:t>，</w:t>
            </w:r>
            <w:r>
              <w:rPr>
                <w:rFonts w:hint="eastAsia"/>
                <w:sz w:val="24"/>
              </w:rPr>
              <w:t>其他基础化学原料制造 2619（除重点管理、简化管理以外的）</w:t>
            </w:r>
            <w:r>
              <w:rPr>
                <w:sz w:val="24"/>
              </w:rPr>
              <w:t>”，故</w:t>
            </w:r>
            <w:r>
              <w:rPr>
                <w:rFonts w:hint="eastAsia"/>
                <w:sz w:val="24"/>
              </w:rPr>
              <w:t>本项目</w:t>
            </w:r>
            <w:r>
              <w:rPr>
                <w:sz w:val="24"/>
              </w:rPr>
              <w:t>应实行</w:t>
            </w:r>
            <w:r>
              <w:rPr>
                <w:rFonts w:hint="eastAsia"/>
                <w:sz w:val="24"/>
              </w:rPr>
              <w:t>登记</w:t>
            </w:r>
            <w:r>
              <w:rPr>
                <w:sz w:val="24"/>
              </w:rPr>
              <w:t>管理，</w:t>
            </w:r>
            <w:r>
              <w:rPr>
                <w:rFonts w:hint="eastAsia"/>
                <w:sz w:val="24"/>
              </w:rPr>
              <w:t>不需要申请取得排污许可证，应当在全国排污许可证管理信息平台填报排污登记表，登记基本信息、污染物排放去向、执行的污染物排放标准以及采取的污染防治措施等信息。</w:t>
            </w:r>
          </w:p>
          <w:p w14:paraId="3D28C084">
            <w:pPr>
              <w:pageBreakBefore w:val="0"/>
              <w:kinsoku/>
              <w:wordWrap/>
              <w:topLinePunct w:val="0"/>
              <w:autoSpaceDE w:val="0"/>
              <w:autoSpaceDN w:val="0"/>
              <w:bidi w:val="0"/>
              <w:spacing w:line="360" w:lineRule="auto"/>
              <w:ind w:firstLine="482" w:firstLineChars="200"/>
              <w:rPr>
                <w:sz w:val="24"/>
              </w:rPr>
            </w:pPr>
            <w:r>
              <w:rPr>
                <w:rFonts w:hint="eastAsia"/>
                <w:b/>
                <w:bCs/>
                <w:sz w:val="24"/>
              </w:rPr>
              <w:t>5 环境突发事件应急预案</w:t>
            </w:r>
          </w:p>
          <w:p w14:paraId="144232A9">
            <w:pPr>
              <w:pageBreakBefore w:val="0"/>
              <w:kinsoku/>
              <w:wordWrap/>
              <w:topLinePunct w:val="0"/>
              <w:bidi w:val="0"/>
              <w:spacing w:line="360" w:lineRule="auto"/>
              <w:ind w:firstLine="480" w:firstLineChars="200"/>
              <w:rPr>
                <w:rFonts w:hint="eastAsia"/>
                <w:sz w:val="24"/>
              </w:rPr>
            </w:pPr>
            <w:r>
              <w:rPr>
                <w:rFonts w:hint="eastAsia"/>
                <w:sz w:val="24"/>
              </w:rPr>
              <w:t>本项目涉及危险化学品，建设单位应建立环境风险防控和应急措施制度，明确环境风险防控重点岗位的责任人或责任机构，落实定期巡检和维护责任制度，落实环评及批复文件的各项环境风险防控和应急措施要求，定期对职工开展环境风险和环境应急管理宣传和培训。</w:t>
            </w:r>
          </w:p>
          <w:p w14:paraId="543F3A7C">
            <w:pPr>
              <w:pageBreakBefore w:val="0"/>
              <w:kinsoku/>
              <w:wordWrap/>
              <w:topLinePunct w:val="0"/>
              <w:autoSpaceDE w:val="0"/>
              <w:autoSpaceDN w:val="0"/>
              <w:bidi w:val="0"/>
              <w:spacing w:line="360" w:lineRule="auto"/>
              <w:ind w:firstLine="480" w:firstLineChars="200"/>
              <w:rPr>
                <w:sz w:val="24"/>
              </w:rPr>
            </w:pPr>
          </w:p>
          <w:p w14:paraId="33AFEE68">
            <w:pPr>
              <w:pageBreakBefore w:val="0"/>
              <w:kinsoku/>
              <w:wordWrap/>
              <w:topLinePunct w:val="0"/>
              <w:autoSpaceDE w:val="0"/>
              <w:autoSpaceDN w:val="0"/>
              <w:bidi w:val="0"/>
              <w:spacing w:line="360" w:lineRule="auto"/>
              <w:ind w:firstLine="480" w:firstLineChars="200"/>
              <w:rPr>
                <w:sz w:val="24"/>
              </w:rPr>
            </w:pPr>
          </w:p>
          <w:p w14:paraId="0428355C">
            <w:pPr>
              <w:pageBreakBefore w:val="0"/>
              <w:kinsoku/>
              <w:wordWrap/>
              <w:topLinePunct w:val="0"/>
              <w:autoSpaceDE w:val="0"/>
              <w:autoSpaceDN w:val="0"/>
              <w:bidi w:val="0"/>
              <w:spacing w:line="360" w:lineRule="auto"/>
              <w:ind w:firstLine="480" w:firstLineChars="200"/>
              <w:rPr>
                <w:sz w:val="24"/>
              </w:rPr>
            </w:pPr>
          </w:p>
          <w:p w14:paraId="11BBCE8B">
            <w:pPr>
              <w:pageBreakBefore w:val="0"/>
              <w:kinsoku/>
              <w:wordWrap/>
              <w:topLinePunct w:val="0"/>
              <w:autoSpaceDE w:val="0"/>
              <w:autoSpaceDN w:val="0"/>
              <w:bidi w:val="0"/>
              <w:spacing w:line="360" w:lineRule="auto"/>
              <w:ind w:firstLine="480" w:firstLineChars="200"/>
              <w:rPr>
                <w:sz w:val="24"/>
              </w:rPr>
            </w:pPr>
          </w:p>
          <w:p w14:paraId="040E019A">
            <w:pPr>
              <w:pageBreakBefore w:val="0"/>
              <w:kinsoku/>
              <w:wordWrap/>
              <w:topLinePunct w:val="0"/>
              <w:autoSpaceDE w:val="0"/>
              <w:autoSpaceDN w:val="0"/>
              <w:bidi w:val="0"/>
              <w:spacing w:line="360" w:lineRule="auto"/>
              <w:ind w:firstLine="480" w:firstLineChars="200"/>
              <w:rPr>
                <w:sz w:val="24"/>
              </w:rPr>
            </w:pPr>
          </w:p>
          <w:p w14:paraId="54483069">
            <w:pPr>
              <w:pageBreakBefore w:val="0"/>
              <w:kinsoku/>
              <w:wordWrap/>
              <w:topLinePunct w:val="0"/>
              <w:autoSpaceDE w:val="0"/>
              <w:autoSpaceDN w:val="0"/>
              <w:bidi w:val="0"/>
              <w:spacing w:line="360" w:lineRule="auto"/>
              <w:ind w:firstLine="480" w:firstLineChars="200"/>
              <w:rPr>
                <w:sz w:val="24"/>
              </w:rPr>
            </w:pPr>
          </w:p>
          <w:p w14:paraId="32AC7E02">
            <w:pPr>
              <w:pageBreakBefore w:val="0"/>
              <w:kinsoku/>
              <w:wordWrap/>
              <w:topLinePunct w:val="0"/>
              <w:autoSpaceDE w:val="0"/>
              <w:autoSpaceDN w:val="0"/>
              <w:bidi w:val="0"/>
              <w:spacing w:line="360" w:lineRule="auto"/>
              <w:ind w:firstLine="480" w:firstLineChars="200"/>
              <w:rPr>
                <w:sz w:val="24"/>
              </w:rPr>
            </w:pPr>
          </w:p>
          <w:p w14:paraId="6D4B5C1F">
            <w:pPr>
              <w:pageBreakBefore w:val="0"/>
              <w:kinsoku/>
              <w:wordWrap/>
              <w:topLinePunct w:val="0"/>
              <w:autoSpaceDE w:val="0"/>
              <w:autoSpaceDN w:val="0"/>
              <w:bidi w:val="0"/>
              <w:spacing w:line="360" w:lineRule="auto"/>
              <w:ind w:firstLine="480" w:firstLineChars="200"/>
              <w:rPr>
                <w:sz w:val="24"/>
              </w:rPr>
            </w:pPr>
          </w:p>
          <w:p w14:paraId="3EC623B4">
            <w:pPr>
              <w:pageBreakBefore w:val="0"/>
              <w:kinsoku/>
              <w:wordWrap/>
              <w:topLinePunct w:val="0"/>
              <w:autoSpaceDE w:val="0"/>
              <w:autoSpaceDN w:val="0"/>
              <w:bidi w:val="0"/>
              <w:spacing w:line="360" w:lineRule="auto"/>
              <w:ind w:firstLine="480" w:firstLineChars="200"/>
              <w:rPr>
                <w:sz w:val="24"/>
              </w:rPr>
            </w:pPr>
          </w:p>
          <w:p w14:paraId="77FF3263">
            <w:pPr>
              <w:pageBreakBefore w:val="0"/>
              <w:kinsoku/>
              <w:wordWrap/>
              <w:topLinePunct w:val="0"/>
              <w:autoSpaceDE w:val="0"/>
              <w:autoSpaceDN w:val="0"/>
              <w:bidi w:val="0"/>
              <w:spacing w:line="360" w:lineRule="auto"/>
              <w:ind w:firstLine="480" w:firstLineChars="200"/>
              <w:rPr>
                <w:sz w:val="24"/>
              </w:rPr>
            </w:pPr>
          </w:p>
          <w:p w14:paraId="2ADA59AB">
            <w:pPr>
              <w:pageBreakBefore w:val="0"/>
              <w:kinsoku/>
              <w:wordWrap/>
              <w:topLinePunct w:val="0"/>
              <w:autoSpaceDE w:val="0"/>
              <w:autoSpaceDN w:val="0"/>
              <w:bidi w:val="0"/>
              <w:spacing w:line="360" w:lineRule="auto"/>
              <w:ind w:firstLine="480" w:firstLineChars="200"/>
              <w:rPr>
                <w:sz w:val="24"/>
              </w:rPr>
            </w:pPr>
          </w:p>
          <w:p w14:paraId="45C29CF3">
            <w:pPr>
              <w:pageBreakBefore w:val="0"/>
              <w:kinsoku/>
              <w:wordWrap/>
              <w:topLinePunct w:val="0"/>
              <w:autoSpaceDE w:val="0"/>
              <w:autoSpaceDN w:val="0"/>
              <w:bidi w:val="0"/>
              <w:spacing w:line="360" w:lineRule="auto"/>
              <w:ind w:firstLine="480" w:firstLineChars="200"/>
              <w:rPr>
                <w:sz w:val="24"/>
              </w:rPr>
            </w:pPr>
          </w:p>
          <w:p w14:paraId="244D8C03">
            <w:pPr>
              <w:pageBreakBefore w:val="0"/>
              <w:kinsoku/>
              <w:wordWrap/>
              <w:topLinePunct w:val="0"/>
              <w:autoSpaceDE w:val="0"/>
              <w:autoSpaceDN w:val="0"/>
              <w:bidi w:val="0"/>
              <w:spacing w:line="360" w:lineRule="auto"/>
              <w:ind w:firstLine="480" w:firstLineChars="200"/>
              <w:rPr>
                <w:sz w:val="24"/>
              </w:rPr>
            </w:pPr>
          </w:p>
          <w:p w14:paraId="1F7674B5">
            <w:pPr>
              <w:pageBreakBefore w:val="0"/>
              <w:kinsoku/>
              <w:wordWrap/>
              <w:topLinePunct w:val="0"/>
              <w:autoSpaceDE w:val="0"/>
              <w:autoSpaceDN w:val="0"/>
              <w:bidi w:val="0"/>
              <w:spacing w:line="360" w:lineRule="auto"/>
              <w:ind w:firstLine="480" w:firstLineChars="200"/>
              <w:rPr>
                <w:sz w:val="24"/>
              </w:rPr>
            </w:pPr>
          </w:p>
          <w:p w14:paraId="37EC48E3">
            <w:pPr>
              <w:pageBreakBefore w:val="0"/>
              <w:kinsoku/>
              <w:wordWrap/>
              <w:topLinePunct w:val="0"/>
              <w:autoSpaceDE w:val="0"/>
              <w:autoSpaceDN w:val="0"/>
              <w:bidi w:val="0"/>
              <w:spacing w:line="360" w:lineRule="auto"/>
              <w:ind w:firstLine="480" w:firstLineChars="200"/>
              <w:rPr>
                <w:sz w:val="24"/>
              </w:rPr>
            </w:pPr>
          </w:p>
          <w:p w14:paraId="398A0002">
            <w:pPr>
              <w:pageBreakBefore w:val="0"/>
              <w:kinsoku/>
              <w:wordWrap/>
              <w:topLinePunct w:val="0"/>
              <w:autoSpaceDE w:val="0"/>
              <w:autoSpaceDN w:val="0"/>
              <w:bidi w:val="0"/>
              <w:spacing w:line="360" w:lineRule="auto"/>
              <w:ind w:firstLine="480" w:firstLineChars="200"/>
              <w:rPr>
                <w:sz w:val="24"/>
              </w:rPr>
            </w:pPr>
          </w:p>
          <w:p w14:paraId="5A210CAD">
            <w:pPr>
              <w:pageBreakBefore w:val="0"/>
              <w:kinsoku/>
              <w:wordWrap/>
              <w:topLinePunct w:val="0"/>
              <w:autoSpaceDE w:val="0"/>
              <w:autoSpaceDN w:val="0"/>
              <w:bidi w:val="0"/>
              <w:spacing w:line="360" w:lineRule="auto"/>
              <w:ind w:firstLine="480" w:firstLineChars="200"/>
              <w:rPr>
                <w:sz w:val="24"/>
              </w:rPr>
            </w:pPr>
          </w:p>
          <w:p w14:paraId="25BB3FA7">
            <w:pPr>
              <w:pageBreakBefore w:val="0"/>
              <w:kinsoku/>
              <w:wordWrap/>
              <w:topLinePunct w:val="0"/>
              <w:autoSpaceDE w:val="0"/>
              <w:autoSpaceDN w:val="0"/>
              <w:bidi w:val="0"/>
              <w:spacing w:line="360" w:lineRule="auto"/>
              <w:ind w:firstLine="480" w:firstLineChars="200"/>
              <w:rPr>
                <w:sz w:val="24"/>
              </w:rPr>
            </w:pPr>
          </w:p>
          <w:p w14:paraId="11C81C6E">
            <w:pPr>
              <w:pageBreakBefore w:val="0"/>
              <w:kinsoku/>
              <w:wordWrap/>
              <w:topLinePunct w:val="0"/>
              <w:autoSpaceDE w:val="0"/>
              <w:autoSpaceDN w:val="0"/>
              <w:bidi w:val="0"/>
              <w:spacing w:line="360" w:lineRule="auto"/>
              <w:ind w:firstLine="480" w:firstLineChars="200"/>
              <w:rPr>
                <w:sz w:val="24"/>
              </w:rPr>
            </w:pPr>
          </w:p>
          <w:p w14:paraId="36C26AA3">
            <w:pPr>
              <w:pageBreakBefore w:val="0"/>
              <w:kinsoku/>
              <w:wordWrap/>
              <w:topLinePunct w:val="0"/>
              <w:autoSpaceDE w:val="0"/>
              <w:autoSpaceDN w:val="0"/>
              <w:bidi w:val="0"/>
              <w:spacing w:line="360" w:lineRule="auto"/>
              <w:ind w:firstLine="480" w:firstLineChars="200"/>
              <w:rPr>
                <w:sz w:val="24"/>
              </w:rPr>
            </w:pPr>
          </w:p>
          <w:p w14:paraId="35A3BE3A">
            <w:pPr>
              <w:pageBreakBefore w:val="0"/>
              <w:kinsoku/>
              <w:wordWrap/>
              <w:topLinePunct w:val="0"/>
              <w:autoSpaceDE w:val="0"/>
              <w:autoSpaceDN w:val="0"/>
              <w:bidi w:val="0"/>
              <w:spacing w:line="360" w:lineRule="auto"/>
              <w:ind w:firstLine="480" w:firstLineChars="200"/>
              <w:rPr>
                <w:sz w:val="24"/>
              </w:rPr>
            </w:pPr>
          </w:p>
          <w:p w14:paraId="002DB65C">
            <w:pPr>
              <w:pageBreakBefore w:val="0"/>
              <w:kinsoku/>
              <w:wordWrap/>
              <w:topLinePunct w:val="0"/>
              <w:autoSpaceDE w:val="0"/>
              <w:autoSpaceDN w:val="0"/>
              <w:bidi w:val="0"/>
              <w:spacing w:line="360" w:lineRule="auto"/>
              <w:ind w:firstLine="480" w:firstLineChars="200"/>
              <w:rPr>
                <w:sz w:val="24"/>
              </w:rPr>
            </w:pPr>
          </w:p>
          <w:p w14:paraId="4F3A5B39">
            <w:pPr>
              <w:pageBreakBefore w:val="0"/>
              <w:kinsoku/>
              <w:wordWrap/>
              <w:topLinePunct w:val="0"/>
              <w:autoSpaceDE w:val="0"/>
              <w:autoSpaceDN w:val="0"/>
              <w:bidi w:val="0"/>
              <w:spacing w:line="360" w:lineRule="auto"/>
              <w:ind w:firstLine="480" w:firstLineChars="200"/>
              <w:rPr>
                <w:sz w:val="24"/>
              </w:rPr>
            </w:pPr>
          </w:p>
          <w:p w14:paraId="5AAFD635">
            <w:pPr>
              <w:pageBreakBefore w:val="0"/>
              <w:kinsoku/>
              <w:wordWrap/>
              <w:topLinePunct w:val="0"/>
              <w:autoSpaceDE w:val="0"/>
              <w:autoSpaceDN w:val="0"/>
              <w:bidi w:val="0"/>
              <w:spacing w:line="360" w:lineRule="auto"/>
              <w:ind w:firstLine="480" w:firstLineChars="200"/>
              <w:rPr>
                <w:sz w:val="24"/>
              </w:rPr>
            </w:pPr>
          </w:p>
        </w:tc>
      </w:tr>
    </w:tbl>
    <w:p w14:paraId="6C774948">
      <w:pPr>
        <w:pageBreakBefore w:val="0"/>
        <w:kinsoku/>
        <w:wordWrap/>
        <w:topLinePunct w:val="0"/>
        <w:bidi w:val="0"/>
        <w:spacing w:line="360" w:lineRule="auto"/>
        <w:jc w:val="center"/>
        <w:outlineLvl w:val="0"/>
        <w:rPr>
          <w:rFonts w:eastAsia="黑体"/>
          <w:snapToGrid w:val="0"/>
          <w:sz w:val="30"/>
          <w:szCs w:val="30"/>
        </w:rPr>
      </w:pPr>
      <w:r>
        <w:rPr>
          <w:snapToGrid w:val="0"/>
        </w:rPr>
        <w:br w:type="page"/>
      </w:r>
      <w:bookmarkStart w:id="13" w:name="_Toc23061"/>
      <w:r>
        <w:rPr>
          <w:rFonts w:eastAsia="黑体"/>
          <w:snapToGrid w:val="0"/>
          <w:sz w:val="30"/>
          <w:szCs w:val="30"/>
        </w:rPr>
        <w:t>六、结论</w:t>
      </w:r>
      <w:bookmarkEnd w:id="13"/>
    </w:p>
    <w:tbl>
      <w:tblPr>
        <w:tblStyle w:val="13"/>
        <w:tblW w:w="94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11"/>
      </w:tblGrid>
      <w:tr w14:paraId="56DAC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top w:val="single" w:color="auto" w:sz="8" w:space="0"/>
              <w:bottom w:val="single" w:color="auto" w:sz="8" w:space="0"/>
            </w:tcBorders>
            <w:noWrap w:val="0"/>
            <w:vAlign w:val="top"/>
          </w:tcPr>
          <w:p w14:paraId="35B4AE65">
            <w:pPr>
              <w:pageBreakBefore w:val="0"/>
              <w:kinsoku/>
              <w:wordWrap/>
              <w:topLinePunct w:val="0"/>
              <w:bidi w:val="0"/>
              <w:spacing w:line="520" w:lineRule="exact"/>
              <w:ind w:firstLine="480" w:firstLineChars="200"/>
              <w:rPr>
                <w:bCs/>
                <w:sz w:val="24"/>
                <w:lang w:bidi="ar"/>
              </w:rPr>
            </w:pPr>
            <w:r>
              <w:rPr>
                <w:bCs/>
                <w:sz w:val="24"/>
                <w:lang w:bidi="ar"/>
              </w:rPr>
              <w:t>综上所述：本项目符合国家有关产业政策。在严格执行已有各项环保政策、规定的基础上，认真落实本报告表中提出的环保措施与建议的前提下，从环境保护角度分析，该项目的建设可行。</w:t>
            </w:r>
          </w:p>
          <w:p w14:paraId="3102A426">
            <w:pPr>
              <w:pageBreakBefore w:val="0"/>
              <w:kinsoku/>
              <w:wordWrap/>
              <w:topLinePunct w:val="0"/>
              <w:bidi w:val="0"/>
              <w:spacing w:line="520" w:lineRule="exact"/>
              <w:ind w:firstLine="480" w:firstLineChars="200"/>
              <w:rPr>
                <w:bCs/>
                <w:sz w:val="24"/>
                <w:lang w:bidi="ar"/>
              </w:rPr>
            </w:pPr>
          </w:p>
          <w:p w14:paraId="1D4C0FD0">
            <w:pPr>
              <w:pageBreakBefore w:val="0"/>
              <w:kinsoku/>
              <w:wordWrap/>
              <w:topLinePunct w:val="0"/>
              <w:bidi w:val="0"/>
              <w:spacing w:line="520" w:lineRule="exact"/>
              <w:ind w:firstLine="480" w:firstLineChars="200"/>
              <w:rPr>
                <w:bCs/>
                <w:sz w:val="24"/>
                <w:lang w:bidi="ar"/>
              </w:rPr>
            </w:pPr>
          </w:p>
          <w:p w14:paraId="5EA75692">
            <w:pPr>
              <w:pageBreakBefore w:val="0"/>
              <w:kinsoku/>
              <w:wordWrap/>
              <w:topLinePunct w:val="0"/>
              <w:bidi w:val="0"/>
              <w:spacing w:line="520" w:lineRule="exact"/>
              <w:ind w:firstLine="480" w:firstLineChars="200"/>
              <w:rPr>
                <w:bCs/>
                <w:sz w:val="24"/>
                <w:lang w:bidi="ar"/>
              </w:rPr>
            </w:pPr>
          </w:p>
          <w:p w14:paraId="11737744">
            <w:pPr>
              <w:pageBreakBefore w:val="0"/>
              <w:kinsoku/>
              <w:wordWrap/>
              <w:topLinePunct w:val="0"/>
              <w:bidi w:val="0"/>
              <w:spacing w:line="520" w:lineRule="exact"/>
              <w:ind w:firstLine="480" w:firstLineChars="200"/>
              <w:rPr>
                <w:bCs/>
                <w:sz w:val="24"/>
                <w:lang w:bidi="ar"/>
              </w:rPr>
            </w:pPr>
          </w:p>
          <w:p w14:paraId="3B54C792">
            <w:pPr>
              <w:pageBreakBefore w:val="0"/>
              <w:kinsoku/>
              <w:wordWrap/>
              <w:topLinePunct w:val="0"/>
              <w:bidi w:val="0"/>
              <w:spacing w:line="520" w:lineRule="exact"/>
              <w:ind w:firstLine="480" w:firstLineChars="200"/>
              <w:rPr>
                <w:bCs/>
                <w:sz w:val="24"/>
                <w:lang w:bidi="ar"/>
              </w:rPr>
            </w:pPr>
          </w:p>
          <w:p w14:paraId="38EA5993">
            <w:pPr>
              <w:pageBreakBefore w:val="0"/>
              <w:kinsoku/>
              <w:wordWrap/>
              <w:topLinePunct w:val="0"/>
              <w:bidi w:val="0"/>
              <w:spacing w:line="520" w:lineRule="exact"/>
              <w:ind w:firstLine="480" w:firstLineChars="200"/>
              <w:rPr>
                <w:bCs/>
                <w:sz w:val="24"/>
                <w:lang w:bidi="ar"/>
              </w:rPr>
            </w:pPr>
          </w:p>
          <w:p w14:paraId="47DB29A0">
            <w:pPr>
              <w:pageBreakBefore w:val="0"/>
              <w:kinsoku/>
              <w:wordWrap/>
              <w:topLinePunct w:val="0"/>
              <w:bidi w:val="0"/>
              <w:spacing w:line="520" w:lineRule="exact"/>
              <w:ind w:firstLine="480" w:firstLineChars="200"/>
              <w:rPr>
                <w:bCs/>
                <w:sz w:val="24"/>
                <w:lang w:bidi="ar"/>
              </w:rPr>
            </w:pPr>
          </w:p>
          <w:p w14:paraId="397A741F">
            <w:pPr>
              <w:pageBreakBefore w:val="0"/>
              <w:kinsoku/>
              <w:wordWrap/>
              <w:topLinePunct w:val="0"/>
              <w:bidi w:val="0"/>
              <w:spacing w:line="520" w:lineRule="exact"/>
              <w:ind w:firstLine="480" w:firstLineChars="200"/>
              <w:rPr>
                <w:bCs/>
                <w:sz w:val="24"/>
                <w:lang w:bidi="ar"/>
              </w:rPr>
            </w:pPr>
          </w:p>
          <w:p w14:paraId="3D3D50B1">
            <w:pPr>
              <w:pageBreakBefore w:val="0"/>
              <w:kinsoku/>
              <w:wordWrap/>
              <w:topLinePunct w:val="0"/>
              <w:bidi w:val="0"/>
              <w:spacing w:line="520" w:lineRule="exact"/>
              <w:ind w:firstLine="480" w:firstLineChars="200"/>
              <w:rPr>
                <w:bCs/>
                <w:sz w:val="24"/>
                <w:lang w:bidi="ar"/>
              </w:rPr>
            </w:pPr>
          </w:p>
          <w:p w14:paraId="459A6806">
            <w:pPr>
              <w:pageBreakBefore w:val="0"/>
              <w:kinsoku/>
              <w:wordWrap/>
              <w:topLinePunct w:val="0"/>
              <w:bidi w:val="0"/>
              <w:spacing w:line="520" w:lineRule="exact"/>
              <w:ind w:firstLine="480" w:firstLineChars="200"/>
              <w:rPr>
                <w:bCs/>
                <w:sz w:val="24"/>
                <w:lang w:bidi="ar"/>
              </w:rPr>
            </w:pPr>
          </w:p>
          <w:p w14:paraId="13CDF527">
            <w:pPr>
              <w:pageBreakBefore w:val="0"/>
              <w:kinsoku/>
              <w:wordWrap/>
              <w:topLinePunct w:val="0"/>
              <w:bidi w:val="0"/>
              <w:spacing w:line="520" w:lineRule="exact"/>
              <w:ind w:firstLine="480" w:firstLineChars="200"/>
              <w:rPr>
                <w:bCs/>
                <w:sz w:val="24"/>
                <w:lang w:bidi="ar"/>
              </w:rPr>
            </w:pPr>
          </w:p>
          <w:p w14:paraId="5492C869">
            <w:pPr>
              <w:pageBreakBefore w:val="0"/>
              <w:kinsoku/>
              <w:wordWrap/>
              <w:topLinePunct w:val="0"/>
              <w:bidi w:val="0"/>
              <w:spacing w:line="520" w:lineRule="exact"/>
              <w:ind w:firstLine="480" w:firstLineChars="200"/>
              <w:rPr>
                <w:bCs/>
                <w:sz w:val="24"/>
                <w:lang w:bidi="ar"/>
              </w:rPr>
            </w:pPr>
          </w:p>
          <w:p w14:paraId="33EC7B6C">
            <w:pPr>
              <w:pageBreakBefore w:val="0"/>
              <w:kinsoku/>
              <w:wordWrap/>
              <w:topLinePunct w:val="0"/>
              <w:bidi w:val="0"/>
              <w:spacing w:line="520" w:lineRule="exact"/>
              <w:ind w:firstLine="480" w:firstLineChars="200"/>
              <w:rPr>
                <w:bCs/>
                <w:sz w:val="24"/>
                <w:lang w:bidi="ar"/>
              </w:rPr>
            </w:pPr>
          </w:p>
          <w:p w14:paraId="7B6C5E88">
            <w:pPr>
              <w:pageBreakBefore w:val="0"/>
              <w:kinsoku/>
              <w:wordWrap/>
              <w:topLinePunct w:val="0"/>
              <w:bidi w:val="0"/>
              <w:spacing w:line="520" w:lineRule="exact"/>
              <w:ind w:firstLine="480" w:firstLineChars="200"/>
              <w:rPr>
                <w:bCs/>
                <w:sz w:val="24"/>
                <w:lang w:bidi="ar"/>
              </w:rPr>
            </w:pPr>
          </w:p>
          <w:p w14:paraId="2842106E">
            <w:pPr>
              <w:pageBreakBefore w:val="0"/>
              <w:kinsoku/>
              <w:wordWrap/>
              <w:topLinePunct w:val="0"/>
              <w:bidi w:val="0"/>
              <w:spacing w:line="520" w:lineRule="exact"/>
              <w:ind w:firstLine="480" w:firstLineChars="200"/>
              <w:rPr>
                <w:bCs/>
                <w:sz w:val="24"/>
                <w:lang w:bidi="ar"/>
              </w:rPr>
            </w:pPr>
          </w:p>
          <w:p w14:paraId="1979D7D5">
            <w:pPr>
              <w:pageBreakBefore w:val="0"/>
              <w:kinsoku/>
              <w:wordWrap/>
              <w:topLinePunct w:val="0"/>
              <w:bidi w:val="0"/>
              <w:spacing w:line="520" w:lineRule="exact"/>
              <w:ind w:firstLine="480" w:firstLineChars="200"/>
              <w:rPr>
                <w:bCs/>
                <w:sz w:val="24"/>
                <w:lang w:bidi="ar"/>
              </w:rPr>
            </w:pPr>
          </w:p>
          <w:p w14:paraId="012EA3D3">
            <w:pPr>
              <w:pageBreakBefore w:val="0"/>
              <w:kinsoku/>
              <w:wordWrap/>
              <w:topLinePunct w:val="0"/>
              <w:bidi w:val="0"/>
              <w:spacing w:line="520" w:lineRule="exact"/>
              <w:ind w:firstLine="480" w:firstLineChars="200"/>
              <w:rPr>
                <w:bCs/>
                <w:sz w:val="24"/>
                <w:lang w:bidi="ar"/>
              </w:rPr>
            </w:pPr>
          </w:p>
          <w:p w14:paraId="52E83863">
            <w:pPr>
              <w:pageBreakBefore w:val="0"/>
              <w:kinsoku/>
              <w:wordWrap/>
              <w:topLinePunct w:val="0"/>
              <w:bidi w:val="0"/>
              <w:spacing w:line="520" w:lineRule="exact"/>
              <w:ind w:firstLine="480" w:firstLineChars="200"/>
              <w:rPr>
                <w:bCs/>
                <w:sz w:val="24"/>
                <w:lang w:bidi="ar"/>
              </w:rPr>
            </w:pPr>
          </w:p>
          <w:p w14:paraId="475FECD4">
            <w:pPr>
              <w:pageBreakBefore w:val="0"/>
              <w:kinsoku/>
              <w:wordWrap/>
              <w:topLinePunct w:val="0"/>
              <w:bidi w:val="0"/>
              <w:spacing w:line="520" w:lineRule="exact"/>
              <w:ind w:firstLine="480" w:firstLineChars="200"/>
              <w:rPr>
                <w:bCs/>
                <w:sz w:val="24"/>
                <w:lang w:bidi="ar"/>
              </w:rPr>
            </w:pPr>
          </w:p>
          <w:p w14:paraId="5F9CC82C">
            <w:pPr>
              <w:pageBreakBefore w:val="0"/>
              <w:kinsoku/>
              <w:wordWrap/>
              <w:topLinePunct w:val="0"/>
              <w:bidi w:val="0"/>
              <w:spacing w:line="520" w:lineRule="exact"/>
              <w:ind w:firstLine="480" w:firstLineChars="200"/>
              <w:rPr>
                <w:bCs/>
                <w:sz w:val="24"/>
                <w:lang w:bidi="ar"/>
              </w:rPr>
            </w:pPr>
          </w:p>
          <w:p w14:paraId="0905152D">
            <w:pPr>
              <w:pageBreakBefore w:val="0"/>
              <w:kinsoku/>
              <w:wordWrap/>
              <w:topLinePunct w:val="0"/>
              <w:bidi w:val="0"/>
              <w:spacing w:line="360" w:lineRule="auto"/>
              <w:ind w:firstLine="480" w:firstLineChars="200"/>
              <w:rPr>
                <w:bCs/>
                <w:sz w:val="24"/>
                <w:lang w:bidi="ar"/>
              </w:rPr>
            </w:pPr>
          </w:p>
        </w:tc>
      </w:tr>
    </w:tbl>
    <w:p w14:paraId="7FEB705C">
      <w:pPr>
        <w:pageBreakBefore w:val="0"/>
        <w:kinsoku/>
        <w:wordWrap/>
        <w:topLinePunct w:val="0"/>
        <w:bidi w:val="0"/>
        <w:sectPr>
          <w:footerReference r:id="rId8" w:type="default"/>
          <w:pgSz w:w="11905" w:h="16838"/>
          <w:pgMar w:top="1701" w:right="1417" w:bottom="1701" w:left="1417" w:header="850" w:footer="964" w:gutter="0"/>
          <w:pgBorders>
            <w:top w:val="none" w:sz="0" w:space="0"/>
            <w:left w:val="none" w:sz="0" w:space="0"/>
            <w:bottom w:val="none" w:sz="0" w:space="0"/>
            <w:right w:val="none" w:sz="0" w:space="0"/>
          </w:pgBorders>
          <w:pgNumType w:fmt="numberInDash"/>
          <w:cols w:space="720" w:num="1"/>
          <w:docGrid w:type="lines" w:linePitch="312" w:charSpace="0"/>
        </w:sectPr>
      </w:pPr>
    </w:p>
    <w:p w14:paraId="3C7CA217">
      <w:pPr>
        <w:pageBreakBefore w:val="0"/>
        <w:kinsoku/>
        <w:wordWrap/>
        <w:topLinePunct w:val="0"/>
        <w:bidi w:val="0"/>
        <w:spacing w:before="156" w:beforeLines="50" w:after="156" w:afterLines="50"/>
        <w:outlineLvl w:val="0"/>
        <w:rPr>
          <w:rFonts w:eastAsia="黑体"/>
          <w:snapToGrid w:val="0"/>
          <w:sz w:val="32"/>
          <w:szCs w:val="32"/>
        </w:rPr>
      </w:pPr>
      <w:r>
        <w:rPr>
          <w:rFonts w:eastAsia="黑体"/>
          <w:snapToGrid w:val="0"/>
          <w:sz w:val="32"/>
          <w:szCs w:val="32"/>
        </w:rPr>
        <w:t>附表</w:t>
      </w:r>
    </w:p>
    <w:p w14:paraId="05FE682C">
      <w:pPr>
        <w:pageBreakBefore w:val="0"/>
        <w:kinsoku/>
        <w:wordWrap/>
        <w:topLinePunct w:val="0"/>
        <w:bidi w:val="0"/>
        <w:spacing w:before="156" w:beforeLines="50" w:after="156" w:afterLines="50"/>
        <w:jc w:val="center"/>
        <w:rPr>
          <w:rFonts w:eastAsia="方正小标宋_GBK"/>
          <w:snapToGrid w:val="0"/>
          <w:sz w:val="38"/>
          <w:szCs w:val="38"/>
        </w:rPr>
      </w:pPr>
      <w:r>
        <w:rPr>
          <w:rFonts w:eastAsia="方正小标宋_GBK"/>
          <w:snapToGrid w:val="0"/>
          <w:sz w:val="38"/>
          <w:szCs w:val="38"/>
        </w:rPr>
        <w:t>建设项目污染物排放量汇总表</w:t>
      </w:r>
    </w:p>
    <w:tbl>
      <w:tblPr>
        <w:tblStyle w:val="13"/>
        <w:tblW w:w="14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05"/>
        <w:gridCol w:w="1185"/>
        <w:gridCol w:w="1770"/>
        <w:gridCol w:w="1200"/>
        <w:gridCol w:w="1729"/>
        <w:gridCol w:w="1695"/>
        <w:gridCol w:w="1785"/>
        <w:gridCol w:w="2055"/>
        <w:gridCol w:w="1549"/>
      </w:tblGrid>
      <w:tr w14:paraId="15581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05" w:type="dxa"/>
            <w:tcBorders>
              <w:top w:val="single" w:color="auto" w:sz="8" w:space="0"/>
              <w:tl2br w:val="single" w:color="auto" w:sz="4" w:space="0"/>
            </w:tcBorders>
            <w:noWrap w:val="0"/>
            <w:tcMar>
              <w:top w:w="0" w:type="dxa"/>
              <w:left w:w="57" w:type="dxa"/>
              <w:bottom w:w="0" w:type="dxa"/>
              <w:right w:w="57" w:type="dxa"/>
            </w:tcMar>
            <w:vAlign w:val="center"/>
          </w:tcPr>
          <w:p w14:paraId="247D1CA2">
            <w:pPr>
              <w:pageBreakBefore w:val="0"/>
              <w:kinsoku/>
              <w:wordWrap/>
              <w:topLinePunct w:val="0"/>
              <w:bidi w:val="0"/>
              <w:spacing w:line="280" w:lineRule="exact"/>
              <w:jc w:val="right"/>
              <w:rPr>
                <w:rFonts w:eastAsia="黑体"/>
                <w:snapToGrid w:val="0"/>
                <w:kern w:val="21"/>
                <w:szCs w:val="21"/>
              </w:rPr>
            </w:pPr>
            <w:r>
              <w:rPr>
                <w:rFonts w:eastAsia="黑体"/>
                <w:snapToGrid w:val="0"/>
                <w:kern w:val="21"/>
                <w:szCs w:val="21"/>
              </w:rPr>
              <w:t>项目</w:t>
            </w:r>
          </w:p>
          <w:p w14:paraId="615EAB95">
            <w:pPr>
              <w:pageBreakBefore w:val="0"/>
              <w:kinsoku/>
              <w:wordWrap/>
              <w:topLinePunct w:val="0"/>
              <w:bidi w:val="0"/>
              <w:spacing w:line="280" w:lineRule="exact"/>
              <w:jc w:val="left"/>
              <w:rPr>
                <w:rFonts w:eastAsia="黑体"/>
                <w:snapToGrid w:val="0"/>
                <w:kern w:val="21"/>
                <w:szCs w:val="21"/>
              </w:rPr>
            </w:pPr>
            <w:r>
              <w:rPr>
                <w:rFonts w:eastAsia="黑体"/>
                <w:snapToGrid w:val="0"/>
                <w:kern w:val="21"/>
                <w:szCs w:val="21"/>
              </w:rPr>
              <w:t>分类</w:t>
            </w:r>
          </w:p>
        </w:tc>
        <w:tc>
          <w:tcPr>
            <w:tcW w:w="1185" w:type="dxa"/>
            <w:tcBorders>
              <w:top w:val="single" w:color="auto" w:sz="8" w:space="0"/>
            </w:tcBorders>
            <w:noWrap w:val="0"/>
            <w:tcMar>
              <w:top w:w="0" w:type="dxa"/>
              <w:left w:w="57" w:type="dxa"/>
              <w:bottom w:w="0" w:type="dxa"/>
              <w:right w:w="57" w:type="dxa"/>
            </w:tcMar>
            <w:vAlign w:val="center"/>
          </w:tcPr>
          <w:p w14:paraId="53FFD0EC">
            <w:pPr>
              <w:pageBreakBefore w:val="0"/>
              <w:kinsoku/>
              <w:wordWrap/>
              <w:topLinePunct w:val="0"/>
              <w:bidi w:val="0"/>
              <w:spacing w:line="280" w:lineRule="exact"/>
              <w:jc w:val="center"/>
              <w:rPr>
                <w:rFonts w:eastAsia="黑体"/>
                <w:snapToGrid w:val="0"/>
                <w:kern w:val="21"/>
                <w:szCs w:val="21"/>
              </w:rPr>
            </w:pPr>
            <w:r>
              <w:rPr>
                <w:rFonts w:eastAsia="黑体"/>
                <w:snapToGrid w:val="0"/>
                <w:kern w:val="21"/>
                <w:szCs w:val="21"/>
              </w:rPr>
              <w:t>污染物名称</w:t>
            </w:r>
          </w:p>
        </w:tc>
        <w:tc>
          <w:tcPr>
            <w:tcW w:w="1770" w:type="dxa"/>
            <w:tcBorders>
              <w:top w:val="single" w:color="auto" w:sz="8" w:space="0"/>
            </w:tcBorders>
            <w:noWrap w:val="0"/>
            <w:tcMar>
              <w:top w:w="0" w:type="dxa"/>
              <w:left w:w="57" w:type="dxa"/>
              <w:bottom w:w="0" w:type="dxa"/>
              <w:right w:w="57" w:type="dxa"/>
            </w:tcMar>
            <w:vAlign w:val="center"/>
          </w:tcPr>
          <w:p w14:paraId="44CA168F">
            <w:pPr>
              <w:pageBreakBefore w:val="0"/>
              <w:kinsoku/>
              <w:wordWrap/>
              <w:topLinePunct w:val="0"/>
              <w:bidi w:val="0"/>
              <w:spacing w:line="280" w:lineRule="exact"/>
              <w:jc w:val="center"/>
              <w:rPr>
                <w:rFonts w:eastAsia="黑体"/>
                <w:snapToGrid w:val="0"/>
                <w:spacing w:val="-17"/>
                <w:kern w:val="21"/>
                <w:szCs w:val="21"/>
              </w:rPr>
            </w:pPr>
            <w:r>
              <w:rPr>
                <w:rFonts w:eastAsia="黑体"/>
                <w:snapToGrid w:val="0"/>
                <w:spacing w:val="-17"/>
                <w:kern w:val="21"/>
                <w:szCs w:val="21"/>
              </w:rPr>
              <w:t>现有工程排放量</w:t>
            </w:r>
            <w:r>
              <w:rPr>
                <w:rFonts w:hint="eastAsia" w:eastAsia="黑体"/>
                <w:snapToGrid w:val="0"/>
                <w:spacing w:val="-17"/>
                <w:kern w:val="21"/>
                <w:szCs w:val="21"/>
              </w:rPr>
              <w:t>（</w:t>
            </w:r>
            <w:r>
              <w:rPr>
                <w:rFonts w:eastAsia="黑体"/>
                <w:snapToGrid w:val="0"/>
                <w:spacing w:val="-17"/>
                <w:kern w:val="21"/>
                <w:szCs w:val="21"/>
              </w:rPr>
              <w:t>固体废物产生量</w:t>
            </w:r>
            <w:r>
              <w:rPr>
                <w:rFonts w:hint="eastAsia" w:eastAsia="黑体"/>
                <w:snapToGrid w:val="0"/>
                <w:spacing w:val="-17"/>
                <w:kern w:val="21"/>
                <w:szCs w:val="21"/>
              </w:rPr>
              <w:t>）</w:t>
            </w:r>
            <w:r>
              <w:rPr>
                <w:rFonts w:eastAsia="黑体"/>
                <w:snapToGrid w:val="0"/>
                <w:spacing w:val="-17"/>
                <w:kern w:val="21"/>
                <w:szCs w:val="21"/>
              </w:rPr>
              <w:fldChar w:fldCharType="begin"/>
            </w:r>
            <w:r>
              <w:rPr>
                <w:rFonts w:eastAsia="黑体"/>
                <w:snapToGrid w:val="0"/>
                <w:spacing w:val="-17"/>
                <w:kern w:val="21"/>
                <w:szCs w:val="21"/>
              </w:rPr>
              <w:instrText xml:space="preserve"> = 1 \* GB3 \* MERGEFORMAT </w:instrText>
            </w:r>
            <w:r>
              <w:rPr>
                <w:rFonts w:eastAsia="黑体"/>
                <w:snapToGrid w:val="0"/>
                <w:spacing w:val="-17"/>
                <w:kern w:val="21"/>
                <w:szCs w:val="21"/>
              </w:rPr>
              <w:fldChar w:fldCharType="separate"/>
            </w:r>
            <w:r>
              <w:rPr>
                <w:rFonts w:eastAsia="黑体"/>
                <w:spacing w:val="-17"/>
                <w:szCs w:val="21"/>
              </w:rPr>
              <w:t>①</w:t>
            </w:r>
            <w:r>
              <w:rPr>
                <w:rFonts w:eastAsia="黑体"/>
                <w:snapToGrid w:val="0"/>
                <w:spacing w:val="-17"/>
                <w:kern w:val="21"/>
                <w:szCs w:val="21"/>
              </w:rPr>
              <w:fldChar w:fldCharType="end"/>
            </w:r>
          </w:p>
        </w:tc>
        <w:tc>
          <w:tcPr>
            <w:tcW w:w="1200" w:type="dxa"/>
            <w:tcBorders>
              <w:top w:val="single" w:color="auto" w:sz="8" w:space="0"/>
            </w:tcBorders>
            <w:noWrap w:val="0"/>
            <w:tcMar>
              <w:top w:w="0" w:type="dxa"/>
              <w:left w:w="57" w:type="dxa"/>
              <w:bottom w:w="0" w:type="dxa"/>
              <w:right w:w="57" w:type="dxa"/>
            </w:tcMar>
            <w:vAlign w:val="center"/>
          </w:tcPr>
          <w:p w14:paraId="0697B6CD">
            <w:pPr>
              <w:pageBreakBefore w:val="0"/>
              <w:kinsoku/>
              <w:wordWrap/>
              <w:topLinePunct w:val="0"/>
              <w:bidi w:val="0"/>
              <w:spacing w:line="280" w:lineRule="exact"/>
              <w:jc w:val="center"/>
              <w:rPr>
                <w:rFonts w:eastAsia="黑体"/>
                <w:snapToGrid w:val="0"/>
                <w:spacing w:val="-17"/>
                <w:kern w:val="21"/>
                <w:szCs w:val="21"/>
              </w:rPr>
            </w:pPr>
            <w:r>
              <w:rPr>
                <w:rFonts w:eastAsia="黑体"/>
                <w:snapToGrid w:val="0"/>
                <w:spacing w:val="-17"/>
                <w:kern w:val="21"/>
                <w:szCs w:val="21"/>
              </w:rPr>
              <w:t>现有工程许可排放量</w:t>
            </w:r>
            <w:r>
              <w:rPr>
                <w:rFonts w:eastAsia="黑体"/>
                <w:snapToGrid w:val="0"/>
                <w:spacing w:val="-17"/>
                <w:kern w:val="21"/>
                <w:szCs w:val="21"/>
              </w:rPr>
              <w:fldChar w:fldCharType="begin"/>
            </w:r>
            <w:r>
              <w:rPr>
                <w:rFonts w:eastAsia="黑体"/>
                <w:snapToGrid w:val="0"/>
                <w:spacing w:val="-17"/>
                <w:kern w:val="21"/>
                <w:szCs w:val="21"/>
              </w:rPr>
              <w:instrText xml:space="preserve"> = 2 \* GB3 \* MERGEFORMAT </w:instrText>
            </w:r>
            <w:r>
              <w:rPr>
                <w:rFonts w:eastAsia="黑体"/>
                <w:snapToGrid w:val="0"/>
                <w:spacing w:val="-17"/>
                <w:kern w:val="21"/>
                <w:szCs w:val="21"/>
              </w:rPr>
              <w:fldChar w:fldCharType="separate"/>
            </w:r>
            <w:r>
              <w:rPr>
                <w:rFonts w:eastAsia="黑体"/>
                <w:snapToGrid w:val="0"/>
                <w:spacing w:val="-17"/>
                <w:kern w:val="21"/>
                <w:szCs w:val="21"/>
              </w:rPr>
              <w:t>②</w:t>
            </w:r>
            <w:r>
              <w:rPr>
                <w:rFonts w:eastAsia="黑体"/>
                <w:snapToGrid w:val="0"/>
                <w:spacing w:val="-17"/>
                <w:kern w:val="21"/>
                <w:szCs w:val="21"/>
              </w:rPr>
              <w:fldChar w:fldCharType="end"/>
            </w:r>
          </w:p>
        </w:tc>
        <w:tc>
          <w:tcPr>
            <w:tcW w:w="1729" w:type="dxa"/>
            <w:tcBorders>
              <w:top w:val="single" w:color="auto" w:sz="8" w:space="0"/>
            </w:tcBorders>
            <w:noWrap w:val="0"/>
            <w:tcMar>
              <w:top w:w="0" w:type="dxa"/>
              <w:left w:w="57" w:type="dxa"/>
              <w:bottom w:w="0" w:type="dxa"/>
              <w:right w:w="57" w:type="dxa"/>
            </w:tcMar>
            <w:vAlign w:val="center"/>
          </w:tcPr>
          <w:p w14:paraId="3CC657F4">
            <w:pPr>
              <w:pageBreakBefore w:val="0"/>
              <w:kinsoku/>
              <w:wordWrap/>
              <w:topLinePunct w:val="0"/>
              <w:bidi w:val="0"/>
              <w:spacing w:line="280" w:lineRule="exact"/>
              <w:jc w:val="center"/>
              <w:rPr>
                <w:rFonts w:eastAsia="黑体"/>
                <w:snapToGrid w:val="0"/>
                <w:spacing w:val="-17"/>
                <w:kern w:val="21"/>
                <w:szCs w:val="21"/>
              </w:rPr>
            </w:pPr>
            <w:r>
              <w:rPr>
                <w:rFonts w:eastAsia="黑体"/>
                <w:snapToGrid w:val="0"/>
                <w:spacing w:val="-17"/>
                <w:kern w:val="21"/>
                <w:szCs w:val="21"/>
              </w:rPr>
              <w:t>在建工程排放量</w:t>
            </w:r>
            <w:r>
              <w:rPr>
                <w:rFonts w:hint="eastAsia" w:eastAsia="黑体"/>
                <w:snapToGrid w:val="0"/>
                <w:spacing w:val="-17"/>
                <w:kern w:val="21"/>
                <w:szCs w:val="21"/>
              </w:rPr>
              <w:t>（</w:t>
            </w:r>
            <w:r>
              <w:rPr>
                <w:rFonts w:eastAsia="黑体"/>
                <w:snapToGrid w:val="0"/>
                <w:spacing w:val="-17"/>
                <w:kern w:val="21"/>
                <w:szCs w:val="21"/>
              </w:rPr>
              <w:t>固体废物产生量</w:t>
            </w:r>
            <w:r>
              <w:rPr>
                <w:rFonts w:hint="eastAsia" w:eastAsia="黑体"/>
                <w:snapToGrid w:val="0"/>
                <w:spacing w:val="-17"/>
                <w:kern w:val="21"/>
                <w:szCs w:val="21"/>
              </w:rPr>
              <w:t>）</w:t>
            </w:r>
            <w:r>
              <w:rPr>
                <w:rFonts w:eastAsia="黑体"/>
                <w:snapToGrid w:val="0"/>
                <w:spacing w:val="-17"/>
                <w:kern w:val="21"/>
                <w:szCs w:val="21"/>
              </w:rPr>
              <w:fldChar w:fldCharType="begin"/>
            </w:r>
            <w:r>
              <w:rPr>
                <w:rFonts w:eastAsia="黑体"/>
                <w:snapToGrid w:val="0"/>
                <w:spacing w:val="-17"/>
                <w:kern w:val="21"/>
                <w:szCs w:val="21"/>
              </w:rPr>
              <w:instrText xml:space="preserve"> = 3 \* GB3 \* MERGEFORMAT </w:instrText>
            </w:r>
            <w:r>
              <w:rPr>
                <w:rFonts w:eastAsia="黑体"/>
                <w:snapToGrid w:val="0"/>
                <w:spacing w:val="-17"/>
                <w:kern w:val="21"/>
                <w:szCs w:val="21"/>
              </w:rPr>
              <w:fldChar w:fldCharType="separate"/>
            </w:r>
            <w:r>
              <w:rPr>
                <w:rFonts w:eastAsia="黑体"/>
                <w:spacing w:val="-17"/>
                <w:szCs w:val="21"/>
              </w:rPr>
              <w:t>③</w:t>
            </w:r>
            <w:r>
              <w:rPr>
                <w:rFonts w:eastAsia="黑体"/>
                <w:snapToGrid w:val="0"/>
                <w:spacing w:val="-17"/>
                <w:kern w:val="21"/>
                <w:szCs w:val="21"/>
              </w:rPr>
              <w:fldChar w:fldCharType="end"/>
            </w:r>
          </w:p>
        </w:tc>
        <w:tc>
          <w:tcPr>
            <w:tcW w:w="1695" w:type="dxa"/>
            <w:tcBorders>
              <w:top w:val="single" w:color="auto" w:sz="8" w:space="0"/>
            </w:tcBorders>
            <w:noWrap w:val="0"/>
            <w:tcMar>
              <w:top w:w="0" w:type="dxa"/>
              <w:left w:w="57" w:type="dxa"/>
              <w:bottom w:w="0" w:type="dxa"/>
              <w:right w:w="57" w:type="dxa"/>
            </w:tcMar>
            <w:vAlign w:val="center"/>
          </w:tcPr>
          <w:p w14:paraId="0F587B70">
            <w:pPr>
              <w:pageBreakBefore w:val="0"/>
              <w:kinsoku/>
              <w:wordWrap/>
              <w:topLinePunct w:val="0"/>
              <w:bidi w:val="0"/>
              <w:spacing w:line="280" w:lineRule="exact"/>
              <w:jc w:val="center"/>
              <w:rPr>
                <w:rFonts w:eastAsia="黑体"/>
                <w:snapToGrid w:val="0"/>
                <w:spacing w:val="-17"/>
                <w:kern w:val="21"/>
                <w:szCs w:val="21"/>
              </w:rPr>
            </w:pPr>
            <w:r>
              <w:rPr>
                <w:rFonts w:eastAsia="黑体"/>
                <w:snapToGrid w:val="0"/>
                <w:spacing w:val="-17"/>
                <w:kern w:val="21"/>
                <w:szCs w:val="21"/>
              </w:rPr>
              <w:t>本项目排放量</w:t>
            </w:r>
            <w:r>
              <w:rPr>
                <w:rFonts w:hint="eastAsia" w:eastAsia="黑体"/>
                <w:snapToGrid w:val="0"/>
                <w:spacing w:val="-17"/>
                <w:kern w:val="21"/>
                <w:szCs w:val="21"/>
              </w:rPr>
              <w:t>（</w:t>
            </w:r>
            <w:r>
              <w:rPr>
                <w:rFonts w:eastAsia="黑体"/>
                <w:snapToGrid w:val="0"/>
                <w:spacing w:val="-17"/>
                <w:kern w:val="21"/>
                <w:szCs w:val="21"/>
              </w:rPr>
              <w:t>固体废物产生量</w:t>
            </w:r>
            <w:r>
              <w:rPr>
                <w:rFonts w:hint="eastAsia" w:eastAsia="黑体"/>
                <w:snapToGrid w:val="0"/>
                <w:spacing w:val="-17"/>
                <w:kern w:val="21"/>
                <w:szCs w:val="21"/>
              </w:rPr>
              <w:t>）</w:t>
            </w:r>
            <w:r>
              <w:rPr>
                <w:rFonts w:eastAsia="黑体"/>
                <w:snapToGrid w:val="0"/>
                <w:spacing w:val="-17"/>
                <w:kern w:val="21"/>
                <w:szCs w:val="21"/>
              </w:rPr>
              <w:fldChar w:fldCharType="begin"/>
            </w:r>
            <w:r>
              <w:rPr>
                <w:rFonts w:eastAsia="黑体"/>
                <w:snapToGrid w:val="0"/>
                <w:spacing w:val="-17"/>
                <w:kern w:val="21"/>
                <w:szCs w:val="21"/>
              </w:rPr>
              <w:instrText xml:space="preserve"> = 4 \* GB3 \* MERGEFORMAT </w:instrText>
            </w:r>
            <w:r>
              <w:rPr>
                <w:rFonts w:eastAsia="黑体"/>
                <w:snapToGrid w:val="0"/>
                <w:spacing w:val="-17"/>
                <w:kern w:val="21"/>
                <w:szCs w:val="21"/>
              </w:rPr>
              <w:fldChar w:fldCharType="separate"/>
            </w:r>
            <w:r>
              <w:rPr>
                <w:rFonts w:eastAsia="黑体"/>
                <w:spacing w:val="-17"/>
                <w:szCs w:val="21"/>
              </w:rPr>
              <w:t>④</w:t>
            </w:r>
            <w:r>
              <w:rPr>
                <w:rFonts w:eastAsia="黑体"/>
                <w:snapToGrid w:val="0"/>
                <w:spacing w:val="-17"/>
                <w:kern w:val="21"/>
                <w:szCs w:val="21"/>
              </w:rPr>
              <w:fldChar w:fldCharType="end"/>
            </w:r>
          </w:p>
        </w:tc>
        <w:tc>
          <w:tcPr>
            <w:tcW w:w="1785" w:type="dxa"/>
            <w:tcBorders>
              <w:top w:val="single" w:color="auto" w:sz="8" w:space="0"/>
            </w:tcBorders>
            <w:noWrap w:val="0"/>
            <w:tcMar>
              <w:top w:w="0" w:type="dxa"/>
              <w:left w:w="57" w:type="dxa"/>
              <w:bottom w:w="0" w:type="dxa"/>
              <w:right w:w="57" w:type="dxa"/>
            </w:tcMar>
            <w:vAlign w:val="center"/>
          </w:tcPr>
          <w:p w14:paraId="3D457008">
            <w:pPr>
              <w:pageBreakBefore w:val="0"/>
              <w:kinsoku/>
              <w:wordWrap/>
              <w:topLinePunct w:val="0"/>
              <w:bidi w:val="0"/>
              <w:spacing w:line="280" w:lineRule="exact"/>
              <w:jc w:val="center"/>
              <w:rPr>
                <w:rFonts w:eastAsia="黑体"/>
                <w:snapToGrid w:val="0"/>
                <w:spacing w:val="-17"/>
                <w:kern w:val="21"/>
                <w:szCs w:val="21"/>
              </w:rPr>
            </w:pPr>
            <w:r>
              <w:rPr>
                <w:rFonts w:eastAsia="黑体"/>
                <w:snapToGrid w:val="0"/>
                <w:spacing w:val="-17"/>
                <w:kern w:val="21"/>
                <w:szCs w:val="21"/>
              </w:rPr>
              <w:t>以新带老削减量</w:t>
            </w:r>
            <w:r>
              <w:rPr>
                <w:rFonts w:hint="eastAsia" w:eastAsia="黑体"/>
                <w:snapToGrid w:val="0"/>
                <w:spacing w:val="-17"/>
                <w:kern w:val="21"/>
                <w:szCs w:val="21"/>
              </w:rPr>
              <w:t>（</w:t>
            </w:r>
            <w:r>
              <w:rPr>
                <w:rFonts w:eastAsia="黑体"/>
                <w:snapToGrid w:val="0"/>
                <w:spacing w:val="-17"/>
                <w:kern w:val="21"/>
                <w:szCs w:val="21"/>
              </w:rPr>
              <w:t>新建项目不填</w:t>
            </w:r>
            <w:r>
              <w:rPr>
                <w:rFonts w:hint="eastAsia" w:eastAsia="黑体"/>
                <w:snapToGrid w:val="0"/>
                <w:spacing w:val="-17"/>
                <w:kern w:val="21"/>
                <w:szCs w:val="21"/>
              </w:rPr>
              <w:t>）</w:t>
            </w:r>
            <w:r>
              <w:rPr>
                <w:rFonts w:eastAsia="黑体"/>
                <w:snapToGrid w:val="0"/>
                <w:spacing w:val="-17"/>
                <w:kern w:val="21"/>
                <w:szCs w:val="21"/>
              </w:rPr>
              <w:fldChar w:fldCharType="begin"/>
            </w:r>
            <w:r>
              <w:rPr>
                <w:rFonts w:eastAsia="黑体"/>
                <w:snapToGrid w:val="0"/>
                <w:spacing w:val="-17"/>
                <w:kern w:val="21"/>
                <w:szCs w:val="21"/>
              </w:rPr>
              <w:instrText xml:space="preserve"> = 5 \* GB3 \* MERGEFORMAT </w:instrText>
            </w:r>
            <w:r>
              <w:rPr>
                <w:rFonts w:eastAsia="黑体"/>
                <w:snapToGrid w:val="0"/>
                <w:spacing w:val="-17"/>
                <w:kern w:val="21"/>
                <w:szCs w:val="21"/>
              </w:rPr>
              <w:fldChar w:fldCharType="separate"/>
            </w:r>
            <w:r>
              <w:rPr>
                <w:rFonts w:eastAsia="黑体"/>
                <w:spacing w:val="-17"/>
                <w:szCs w:val="21"/>
              </w:rPr>
              <w:t>⑤</w:t>
            </w:r>
            <w:r>
              <w:rPr>
                <w:rFonts w:eastAsia="黑体"/>
                <w:snapToGrid w:val="0"/>
                <w:spacing w:val="-17"/>
                <w:kern w:val="21"/>
                <w:szCs w:val="21"/>
              </w:rPr>
              <w:fldChar w:fldCharType="end"/>
            </w:r>
          </w:p>
        </w:tc>
        <w:tc>
          <w:tcPr>
            <w:tcW w:w="2055" w:type="dxa"/>
            <w:tcBorders>
              <w:top w:val="single" w:color="auto" w:sz="8" w:space="0"/>
            </w:tcBorders>
            <w:noWrap w:val="0"/>
            <w:tcMar>
              <w:top w:w="0" w:type="dxa"/>
              <w:left w:w="57" w:type="dxa"/>
              <w:bottom w:w="0" w:type="dxa"/>
              <w:right w:w="57" w:type="dxa"/>
            </w:tcMar>
            <w:vAlign w:val="center"/>
          </w:tcPr>
          <w:p w14:paraId="351079B0">
            <w:pPr>
              <w:pageBreakBefore w:val="0"/>
              <w:kinsoku/>
              <w:wordWrap/>
              <w:topLinePunct w:val="0"/>
              <w:bidi w:val="0"/>
              <w:spacing w:line="280" w:lineRule="exact"/>
              <w:jc w:val="center"/>
              <w:rPr>
                <w:rFonts w:eastAsia="黑体"/>
                <w:snapToGrid w:val="0"/>
                <w:spacing w:val="-17"/>
                <w:kern w:val="21"/>
                <w:szCs w:val="21"/>
              </w:rPr>
            </w:pPr>
            <w:r>
              <w:rPr>
                <w:rFonts w:eastAsia="黑体"/>
                <w:snapToGrid w:val="0"/>
                <w:spacing w:val="-17"/>
                <w:kern w:val="21"/>
                <w:szCs w:val="21"/>
              </w:rPr>
              <w:t>本项目建成后全厂排放量</w:t>
            </w:r>
            <w:r>
              <w:rPr>
                <w:rFonts w:hint="eastAsia" w:eastAsia="黑体"/>
                <w:snapToGrid w:val="0"/>
                <w:spacing w:val="-17"/>
                <w:kern w:val="21"/>
                <w:szCs w:val="21"/>
              </w:rPr>
              <w:t>（</w:t>
            </w:r>
            <w:r>
              <w:rPr>
                <w:rFonts w:eastAsia="黑体"/>
                <w:snapToGrid w:val="0"/>
                <w:spacing w:val="-17"/>
                <w:kern w:val="21"/>
                <w:szCs w:val="21"/>
              </w:rPr>
              <w:t>固体废物产生量</w:t>
            </w:r>
            <w:r>
              <w:rPr>
                <w:rFonts w:hint="eastAsia" w:eastAsia="黑体"/>
                <w:snapToGrid w:val="0"/>
                <w:spacing w:val="-17"/>
                <w:kern w:val="21"/>
                <w:szCs w:val="21"/>
              </w:rPr>
              <w:t>）</w:t>
            </w:r>
            <w:r>
              <w:rPr>
                <w:rFonts w:eastAsia="黑体"/>
                <w:snapToGrid w:val="0"/>
                <w:spacing w:val="-17"/>
                <w:kern w:val="21"/>
                <w:szCs w:val="21"/>
              </w:rPr>
              <w:fldChar w:fldCharType="begin"/>
            </w:r>
            <w:r>
              <w:rPr>
                <w:rFonts w:eastAsia="黑体"/>
                <w:snapToGrid w:val="0"/>
                <w:spacing w:val="-17"/>
                <w:kern w:val="21"/>
                <w:szCs w:val="21"/>
              </w:rPr>
              <w:instrText xml:space="preserve"> = 6 \* GB3 \* MERGEFORMAT </w:instrText>
            </w:r>
            <w:r>
              <w:rPr>
                <w:rFonts w:eastAsia="黑体"/>
                <w:snapToGrid w:val="0"/>
                <w:spacing w:val="-17"/>
                <w:kern w:val="21"/>
                <w:szCs w:val="21"/>
              </w:rPr>
              <w:fldChar w:fldCharType="separate"/>
            </w:r>
            <w:r>
              <w:rPr>
                <w:rFonts w:eastAsia="黑体"/>
                <w:spacing w:val="-17"/>
                <w:szCs w:val="21"/>
              </w:rPr>
              <w:t>⑥</w:t>
            </w:r>
            <w:r>
              <w:rPr>
                <w:rFonts w:eastAsia="黑体"/>
                <w:snapToGrid w:val="0"/>
                <w:spacing w:val="-17"/>
                <w:kern w:val="21"/>
                <w:szCs w:val="21"/>
              </w:rPr>
              <w:fldChar w:fldCharType="end"/>
            </w:r>
          </w:p>
        </w:tc>
        <w:tc>
          <w:tcPr>
            <w:tcW w:w="1549" w:type="dxa"/>
            <w:tcBorders>
              <w:top w:val="single" w:color="auto" w:sz="8" w:space="0"/>
            </w:tcBorders>
            <w:noWrap w:val="0"/>
            <w:tcMar>
              <w:top w:w="0" w:type="dxa"/>
              <w:left w:w="57" w:type="dxa"/>
              <w:bottom w:w="0" w:type="dxa"/>
              <w:right w:w="57" w:type="dxa"/>
            </w:tcMar>
            <w:vAlign w:val="center"/>
          </w:tcPr>
          <w:p w14:paraId="06E95387">
            <w:pPr>
              <w:pageBreakBefore w:val="0"/>
              <w:kinsoku/>
              <w:wordWrap/>
              <w:topLinePunct w:val="0"/>
              <w:bidi w:val="0"/>
              <w:spacing w:line="280" w:lineRule="exact"/>
              <w:jc w:val="center"/>
              <w:rPr>
                <w:rFonts w:eastAsia="黑体"/>
                <w:snapToGrid w:val="0"/>
                <w:kern w:val="21"/>
                <w:szCs w:val="21"/>
              </w:rPr>
            </w:pPr>
            <w:r>
              <w:rPr>
                <w:rFonts w:eastAsia="黑体"/>
                <w:snapToGrid w:val="0"/>
                <w:kern w:val="21"/>
                <w:szCs w:val="21"/>
              </w:rPr>
              <w:t>变化量</w:t>
            </w:r>
            <w:r>
              <w:rPr>
                <w:rFonts w:eastAsia="黑体"/>
                <w:snapToGrid w:val="0"/>
                <w:kern w:val="21"/>
                <w:szCs w:val="21"/>
              </w:rPr>
              <w:fldChar w:fldCharType="begin"/>
            </w:r>
            <w:r>
              <w:rPr>
                <w:rFonts w:eastAsia="黑体"/>
                <w:snapToGrid w:val="0"/>
                <w:kern w:val="21"/>
                <w:szCs w:val="21"/>
              </w:rPr>
              <w:instrText xml:space="preserve"> = 7 \* GB3 \* MERGEFORMAT </w:instrText>
            </w:r>
            <w:r>
              <w:rPr>
                <w:rFonts w:eastAsia="黑体"/>
                <w:snapToGrid w:val="0"/>
                <w:kern w:val="21"/>
                <w:szCs w:val="21"/>
              </w:rPr>
              <w:fldChar w:fldCharType="separate"/>
            </w:r>
            <w:r>
              <w:rPr>
                <w:rFonts w:eastAsia="黑体"/>
                <w:szCs w:val="21"/>
              </w:rPr>
              <w:t>⑦</w:t>
            </w:r>
            <w:r>
              <w:rPr>
                <w:rFonts w:eastAsia="黑体"/>
                <w:snapToGrid w:val="0"/>
                <w:kern w:val="21"/>
                <w:szCs w:val="21"/>
              </w:rPr>
              <w:fldChar w:fldCharType="end"/>
            </w:r>
          </w:p>
        </w:tc>
      </w:tr>
      <w:tr w14:paraId="33227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05" w:type="dxa"/>
            <w:vMerge w:val="restart"/>
            <w:noWrap w:val="0"/>
            <w:tcMar>
              <w:top w:w="0" w:type="dxa"/>
              <w:left w:w="57" w:type="dxa"/>
              <w:bottom w:w="0" w:type="dxa"/>
              <w:right w:w="57" w:type="dxa"/>
            </w:tcMar>
            <w:vAlign w:val="center"/>
          </w:tcPr>
          <w:p w14:paraId="382915A8">
            <w:pPr>
              <w:pageBreakBefore w:val="0"/>
              <w:kinsoku/>
              <w:wordWrap/>
              <w:topLinePunct w:val="0"/>
              <w:bidi w:val="0"/>
              <w:spacing w:line="280" w:lineRule="exact"/>
              <w:jc w:val="center"/>
              <w:rPr>
                <w:snapToGrid w:val="0"/>
                <w:kern w:val="21"/>
                <w:szCs w:val="21"/>
              </w:rPr>
            </w:pPr>
            <w:r>
              <w:rPr>
                <w:snapToGrid w:val="0"/>
                <w:kern w:val="21"/>
                <w:szCs w:val="21"/>
              </w:rPr>
              <w:t>废水</w:t>
            </w:r>
          </w:p>
        </w:tc>
        <w:tc>
          <w:tcPr>
            <w:tcW w:w="1185" w:type="dxa"/>
            <w:noWrap w:val="0"/>
            <w:tcMar>
              <w:top w:w="0" w:type="dxa"/>
              <w:left w:w="57" w:type="dxa"/>
              <w:bottom w:w="0" w:type="dxa"/>
              <w:right w:w="57" w:type="dxa"/>
            </w:tcMar>
            <w:vAlign w:val="center"/>
          </w:tcPr>
          <w:p w14:paraId="6F37C403">
            <w:pPr>
              <w:pageBreakBefore w:val="0"/>
              <w:kinsoku/>
              <w:wordWrap/>
              <w:topLinePunct w:val="0"/>
              <w:bidi w:val="0"/>
              <w:spacing w:line="280" w:lineRule="exact"/>
              <w:jc w:val="center"/>
              <w:rPr>
                <w:snapToGrid w:val="0"/>
                <w:kern w:val="21"/>
                <w:szCs w:val="21"/>
              </w:rPr>
            </w:pPr>
            <w:r>
              <w:rPr>
                <w:rFonts w:hint="eastAsia"/>
                <w:snapToGrid w:val="0"/>
                <w:kern w:val="21"/>
                <w:szCs w:val="21"/>
              </w:rPr>
              <w:t>废水量</w:t>
            </w:r>
          </w:p>
        </w:tc>
        <w:tc>
          <w:tcPr>
            <w:tcW w:w="1770" w:type="dxa"/>
            <w:noWrap w:val="0"/>
            <w:tcMar>
              <w:top w:w="0" w:type="dxa"/>
              <w:left w:w="57" w:type="dxa"/>
              <w:bottom w:w="0" w:type="dxa"/>
              <w:right w:w="57" w:type="dxa"/>
            </w:tcMar>
            <w:vAlign w:val="center"/>
          </w:tcPr>
          <w:p w14:paraId="6ED20CEC">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200" w:type="dxa"/>
            <w:noWrap w:val="0"/>
            <w:tcMar>
              <w:top w:w="0" w:type="dxa"/>
              <w:left w:w="57" w:type="dxa"/>
              <w:bottom w:w="0" w:type="dxa"/>
              <w:right w:w="57" w:type="dxa"/>
            </w:tcMar>
            <w:vAlign w:val="center"/>
          </w:tcPr>
          <w:p w14:paraId="3D6603E3">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729" w:type="dxa"/>
            <w:noWrap w:val="0"/>
            <w:tcMar>
              <w:top w:w="0" w:type="dxa"/>
              <w:left w:w="57" w:type="dxa"/>
              <w:bottom w:w="0" w:type="dxa"/>
              <w:right w:w="57" w:type="dxa"/>
            </w:tcMar>
            <w:vAlign w:val="center"/>
          </w:tcPr>
          <w:p w14:paraId="5908C367">
            <w:pPr>
              <w:pageBreakBefore w:val="0"/>
              <w:kinsoku/>
              <w:wordWrap/>
              <w:topLinePunct w:val="0"/>
              <w:bidi w:val="0"/>
              <w:spacing w:line="280" w:lineRule="exact"/>
              <w:jc w:val="center"/>
              <w:rPr>
                <w:snapToGrid w:val="0"/>
                <w:kern w:val="21"/>
                <w:szCs w:val="21"/>
              </w:rPr>
            </w:pPr>
            <w:r>
              <w:rPr>
                <w:snapToGrid w:val="0"/>
                <w:kern w:val="21"/>
                <w:szCs w:val="21"/>
              </w:rPr>
              <w:t>0</w:t>
            </w:r>
          </w:p>
        </w:tc>
        <w:tc>
          <w:tcPr>
            <w:tcW w:w="1695" w:type="dxa"/>
            <w:noWrap w:val="0"/>
            <w:tcMar>
              <w:top w:w="0" w:type="dxa"/>
              <w:left w:w="57" w:type="dxa"/>
              <w:bottom w:w="0" w:type="dxa"/>
              <w:right w:w="57" w:type="dxa"/>
            </w:tcMar>
            <w:vAlign w:val="center"/>
          </w:tcPr>
          <w:p w14:paraId="072A3CA6">
            <w:pPr>
              <w:pageBreakBefore w:val="0"/>
              <w:kinsoku/>
              <w:wordWrap/>
              <w:topLinePunct w:val="0"/>
              <w:bidi w:val="0"/>
              <w:spacing w:line="280" w:lineRule="exact"/>
              <w:jc w:val="center"/>
              <w:rPr>
                <w:szCs w:val="21"/>
              </w:rPr>
            </w:pPr>
            <w:r>
              <w:rPr>
                <w:rFonts w:hint="eastAsia"/>
                <w:szCs w:val="21"/>
                <w:lang w:val="en-US" w:eastAsia="zh-CN"/>
              </w:rPr>
              <w:t>32719.28</w:t>
            </w:r>
            <w:r>
              <w:rPr>
                <w:rFonts w:hint="eastAsia"/>
                <w:szCs w:val="21"/>
              </w:rPr>
              <w:t>m</w:t>
            </w:r>
            <w:r>
              <w:rPr>
                <w:rFonts w:hint="eastAsia"/>
                <w:szCs w:val="21"/>
                <w:vertAlign w:val="superscript"/>
              </w:rPr>
              <w:t>3</w:t>
            </w:r>
            <w:r>
              <w:rPr>
                <w:rFonts w:hint="eastAsia"/>
                <w:szCs w:val="21"/>
              </w:rPr>
              <w:t>/a</w:t>
            </w:r>
          </w:p>
        </w:tc>
        <w:tc>
          <w:tcPr>
            <w:tcW w:w="1785" w:type="dxa"/>
            <w:noWrap w:val="0"/>
            <w:tcMar>
              <w:top w:w="0" w:type="dxa"/>
              <w:left w:w="57" w:type="dxa"/>
              <w:bottom w:w="0" w:type="dxa"/>
              <w:right w:w="57" w:type="dxa"/>
            </w:tcMar>
            <w:vAlign w:val="center"/>
          </w:tcPr>
          <w:p w14:paraId="770B651B">
            <w:pPr>
              <w:pageBreakBefore w:val="0"/>
              <w:kinsoku/>
              <w:wordWrap/>
              <w:topLinePunct w:val="0"/>
              <w:bidi w:val="0"/>
              <w:spacing w:line="280" w:lineRule="exact"/>
              <w:jc w:val="center"/>
              <w:rPr>
                <w:rFonts w:hint="eastAsia"/>
                <w:snapToGrid w:val="0"/>
                <w:kern w:val="21"/>
                <w:szCs w:val="21"/>
              </w:rPr>
            </w:pPr>
            <w:r>
              <w:rPr>
                <w:rFonts w:hint="eastAsia"/>
                <w:snapToGrid w:val="0"/>
                <w:kern w:val="21"/>
                <w:szCs w:val="21"/>
              </w:rPr>
              <w:t>0</w:t>
            </w:r>
          </w:p>
        </w:tc>
        <w:tc>
          <w:tcPr>
            <w:tcW w:w="2055" w:type="dxa"/>
            <w:noWrap w:val="0"/>
            <w:tcMar>
              <w:top w:w="0" w:type="dxa"/>
              <w:left w:w="57" w:type="dxa"/>
              <w:bottom w:w="0" w:type="dxa"/>
              <w:right w:w="57" w:type="dxa"/>
            </w:tcMar>
            <w:vAlign w:val="center"/>
          </w:tcPr>
          <w:p w14:paraId="2FFA7710">
            <w:pPr>
              <w:pageBreakBefore w:val="0"/>
              <w:kinsoku/>
              <w:wordWrap/>
              <w:topLinePunct w:val="0"/>
              <w:bidi w:val="0"/>
              <w:spacing w:line="280" w:lineRule="exact"/>
              <w:jc w:val="center"/>
              <w:rPr>
                <w:szCs w:val="21"/>
              </w:rPr>
            </w:pPr>
            <w:r>
              <w:rPr>
                <w:rFonts w:hint="eastAsia"/>
                <w:szCs w:val="21"/>
                <w:lang w:val="en-US" w:eastAsia="zh-CN"/>
              </w:rPr>
              <w:t>32719.28</w:t>
            </w:r>
            <w:r>
              <w:rPr>
                <w:rFonts w:hint="eastAsia"/>
                <w:szCs w:val="21"/>
              </w:rPr>
              <w:t>m</w:t>
            </w:r>
            <w:r>
              <w:rPr>
                <w:rFonts w:hint="eastAsia"/>
                <w:szCs w:val="21"/>
                <w:vertAlign w:val="superscript"/>
              </w:rPr>
              <w:t>3</w:t>
            </w:r>
            <w:r>
              <w:rPr>
                <w:rFonts w:hint="eastAsia"/>
                <w:szCs w:val="21"/>
              </w:rPr>
              <w:t>/a</w:t>
            </w:r>
          </w:p>
        </w:tc>
        <w:tc>
          <w:tcPr>
            <w:tcW w:w="1549" w:type="dxa"/>
            <w:noWrap w:val="0"/>
            <w:tcMar>
              <w:top w:w="0" w:type="dxa"/>
              <w:left w:w="57" w:type="dxa"/>
              <w:bottom w:w="0" w:type="dxa"/>
              <w:right w:w="57" w:type="dxa"/>
            </w:tcMar>
            <w:vAlign w:val="center"/>
          </w:tcPr>
          <w:p w14:paraId="53E8FA65">
            <w:pPr>
              <w:pageBreakBefore w:val="0"/>
              <w:kinsoku/>
              <w:wordWrap/>
              <w:topLinePunct w:val="0"/>
              <w:bidi w:val="0"/>
              <w:spacing w:line="280" w:lineRule="exact"/>
              <w:jc w:val="center"/>
              <w:rPr>
                <w:szCs w:val="21"/>
              </w:rPr>
            </w:pPr>
            <w:r>
              <w:rPr>
                <w:rFonts w:hint="eastAsia"/>
                <w:szCs w:val="21"/>
                <w:lang w:val="en-US" w:eastAsia="zh-CN"/>
              </w:rPr>
              <w:t>+32719.28</w:t>
            </w:r>
            <w:r>
              <w:rPr>
                <w:rFonts w:hint="eastAsia"/>
                <w:szCs w:val="21"/>
              </w:rPr>
              <w:t>m</w:t>
            </w:r>
            <w:r>
              <w:rPr>
                <w:rFonts w:hint="eastAsia"/>
                <w:szCs w:val="21"/>
                <w:vertAlign w:val="superscript"/>
              </w:rPr>
              <w:t>3</w:t>
            </w:r>
            <w:r>
              <w:rPr>
                <w:rFonts w:hint="eastAsia"/>
                <w:szCs w:val="21"/>
              </w:rPr>
              <w:t>/a</w:t>
            </w:r>
          </w:p>
        </w:tc>
      </w:tr>
      <w:tr w14:paraId="05AC9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05" w:type="dxa"/>
            <w:vMerge w:val="continue"/>
            <w:noWrap w:val="0"/>
            <w:tcMar>
              <w:top w:w="0" w:type="dxa"/>
              <w:left w:w="57" w:type="dxa"/>
              <w:bottom w:w="0" w:type="dxa"/>
              <w:right w:w="57" w:type="dxa"/>
            </w:tcMar>
            <w:vAlign w:val="center"/>
          </w:tcPr>
          <w:p w14:paraId="040ABBF8">
            <w:pPr>
              <w:pageBreakBefore w:val="0"/>
              <w:kinsoku/>
              <w:wordWrap/>
              <w:topLinePunct w:val="0"/>
              <w:bidi w:val="0"/>
              <w:spacing w:line="280" w:lineRule="exact"/>
              <w:jc w:val="center"/>
              <w:rPr>
                <w:snapToGrid w:val="0"/>
                <w:kern w:val="21"/>
                <w:szCs w:val="21"/>
              </w:rPr>
            </w:pPr>
          </w:p>
        </w:tc>
        <w:tc>
          <w:tcPr>
            <w:tcW w:w="1185" w:type="dxa"/>
            <w:noWrap w:val="0"/>
            <w:tcMar>
              <w:top w:w="0" w:type="dxa"/>
              <w:left w:w="57" w:type="dxa"/>
              <w:bottom w:w="0" w:type="dxa"/>
              <w:right w:w="57" w:type="dxa"/>
            </w:tcMar>
            <w:vAlign w:val="center"/>
          </w:tcPr>
          <w:p w14:paraId="1CD1CC1D">
            <w:pPr>
              <w:pageBreakBefore w:val="0"/>
              <w:kinsoku/>
              <w:wordWrap/>
              <w:topLinePunct w:val="0"/>
              <w:bidi w:val="0"/>
              <w:spacing w:line="280" w:lineRule="exact"/>
              <w:jc w:val="center"/>
              <w:rPr>
                <w:snapToGrid w:val="0"/>
                <w:kern w:val="21"/>
                <w:szCs w:val="21"/>
              </w:rPr>
            </w:pPr>
            <w:r>
              <w:rPr>
                <w:snapToGrid w:val="0"/>
                <w:kern w:val="21"/>
                <w:szCs w:val="21"/>
              </w:rPr>
              <w:t>BOD</w:t>
            </w:r>
            <w:r>
              <w:rPr>
                <w:snapToGrid w:val="0"/>
                <w:kern w:val="21"/>
                <w:szCs w:val="21"/>
                <w:vertAlign w:val="subscript"/>
              </w:rPr>
              <w:t>5</w:t>
            </w:r>
          </w:p>
        </w:tc>
        <w:tc>
          <w:tcPr>
            <w:tcW w:w="1770" w:type="dxa"/>
            <w:noWrap w:val="0"/>
            <w:tcMar>
              <w:top w:w="0" w:type="dxa"/>
              <w:left w:w="57" w:type="dxa"/>
              <w:bottom w:w="0" w:type="dxa"/>
              <w:right w:w="57" w:type="dxa"/>
            </w:tcMar>
            <w:vAlign w:val="center"/>
          </w:tcPr>
          <w:p w14:paraId="4937A641">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200" w:type="dxa"/>
            <w:noWrap w:val="0"/>
            <w:tcMar>
              <w:top w:w="0" w:type="dxa"/>
              <w:left w:w="57" w:type="dxa"/>
              <w:bottom w:w="0" w:type="dxa"/>
              <w:right w:w="57" w:type="dxa"/>
            </w:tcMar>
            <w:vAlign w:val="center"/>
          </w:tcPr>
          <w:p w14:paraId="65A0E94F">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729" w:type="dxa"/>
            <w:noWrap w:val="0"/>
            <w:tcMar>
              <w:top w:w="0" w:type="dxa"/>
              <w:left w:w="57" w:type="dxa"/>
              <w:bottom w:w="0" w:type="dxa"/>
              <w:right w:w="57" w:type="dxa"/>
            </w:tcMar>
            <w:vAlign w:val="center"/>
          </w:tcPr>
          <w:p w14:paraId="09823A37">
            <w:pPr>
              <w:pageBreakBefore w:val="0"/>
              <w:kinsoku/>
              <w:wordWrap/>
              <w:topLinePunct w:val="0"/>
              <w:bidi w:val="0"/>
              <w:spacing w:line="280" w:lineRule="exact"/>
              <w:jc w:val="center"/>
              <w:rPr>
                <w:snapToGrid w:val="0"/>
                <w:kern w:val="21"/>
                <w:szCs w:val="21"/>
              </w:rPr>
            </w:pPr>
            <w:r>
              <w:rPr>
                <w:snapToGrid w:val="0"/>
                <w:kern w:val="21"/>
                <w:szCs w:val="21"/>
              </w:rPr>
              <w:t>0</w:t>
            </w:r>
          </w:p>
        </w:tc>
        <w:tc>
          <w:tcPr>
            <w:tcW w:w="1695" w:type="dxa"/>
            <w:noWrap w:val="0"/>
            <w:tcMar>
              <w:top w:w="0" w:type="dxa"/>
              <w:left w:w="57" w:type="dxa"/>
              <w:bottom w:w="0" w:type="dxa"/>
              <w:right w:w="57" w:type="dxa"/>
            </w:tcMar>
            <w:vAlign w:val="center"/>
          </w:tcPr>
          <w:p w14:paraId="5C1E2915">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216</w:t>
            </w:r>
            <w:r>
              <w:rPr>
                <w:rFonts w:hint="eastAsia"/>
                <w:szCs w:val="21"/>
              </w:rPr>
              <w:t>t/a</w:t>
            </w:r>
          </w:p>
        </w:tc>
        <w:tc>
          <w:tcPr>
            <w:tcW w:w="1785" w:type="dxa"/>
            <w:noWrap w:val="0"/>
            <w:tcMar>
              <w:top w:w="0" w:type="dxa"/>
              <w:left w:w="57" w:type="dxa"/>
              <w:bottom w:w="0" w:type="dxa"/>
              <w:right w:w="57" w:type="dxa"/>
            </w:tcMar>
            <w:vAlign w:val="center"/>
          </w:tcPr>
          <w:p w14:paraId="6036C3D6">
            <w:pPr>
              <w:pageBreakBefore w:val="0"/>
              <w:kinsoku/>
              <w:wordWrap/>
              <w:topLinePunct w:val="0"/>
              <w:bidi w:val="0"/>
              <w:spacing w:line="280" w:lineRule="exact"/>
              <w:jc w:val="center"/>
              <w:rPr>
                <w:rFonts w:hint="eastAsia"/>
                <w:snapToGrid w:val="0"/>
                <w:kern w:val="21"/>
                <w:szCs w:val="21"/>
              </w:rPr>
            </w:pPr>
            <w:r>
              <w:rPr>
                <w:rFonts w:hint="eastAsia"/>
                <w:snapToGrid w:val="0"/>
                <w:kern w:val="21"/>
                <w:szCs w:val="21"/>
              </w:rPr>
              <w:t>0</w:t>
            </w:r>
          </w:p>
        </w:tc>
        <w:tc>
          <w:tcPr>
            <w:tcW w:w="2055" w:type="dxa"/>
            <w:noWrap w:val="0"/>
            <w:tcMar>
              <w:top w:w="0" w:type="dxa"/>
              <w:left w:w="57" w:type="dxa"/>
              <w:bottom w:w="0" w:type="dxa"/>
              <w:right w:w="57" w:type="dxa"/>
            </w:tcMar>
            <w:vAlign w:val="center"/>
          </w:tcPr>
          <w:p w14:paraId="44FC3455">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216</w:t>
            </w:r>
            <w:r>
              <w:rPr>
                <w:rFonts w:hint="eastAsia"/>
                <w:szCs w:val="21"/>
              </w:rPr>
              <w:t>t/a</w:t>
            </w:r>
          </w:p>
        </w:tc>
        <w:tc>
          <w:tcPr>
            <w:tcW w:w="1549" w:type="dxa"/>
            <w:noWrap w:val="0"/>
            <w:tcMar>
              <w:top w:w="0" w:type="dxa"/>
              <w:left w:w="57" w:type="dxa"/>
              <w:bottom w:w="0" w:type="dxa"/>
              <w:right w:w="57" w:type="dxa"/>
            </w:tcMar>
            <w:vAlign w:val="center"/>
          </w:tcPr>
          <w:p w14:paraId="6FFBEB36">
            <w:pPr>
              <w:pageBreakBefore w:val="0"/>
              <w:kinsoku/>
              <w:wordWrap/>
              <w:topLinePunct w:val="0"/>
              <w:bidi w:val="0"/>
              <w:spacing w:line="280" w:lineRule="exact"/>
              <w:jc w:val="center"/>
              <w:rPr>
                <w:szCs w:val="21"/>
              </w:rPr>
            </w:pPr>
            <w:r>
              <w:rPr>
                <w:rFonts w:hint="eastAsia"/>
                <w:szCs w:val="21"/>
                <w:lang w:val="en-US" w:eastAsia="zh-CN"/>
              </w:rPr>
              <w:t>+</w:t>
            </w:r>
            <w:r>
              <w:rPr>
                <w:rFonts w:hint="eastAsia"/>
                <w:szCs w:val="21"/>
              </w:rPr>
              <w:t>0.</w:t>
            </w:r>
            <w:r>
              <w:rPr>
                <w:rFonts w:hint="eastAsia"/>
                <w:szCs w:val="21"/>
                <w:lang w:val="en-US" w:eastAsia="zh-CN"/>
              </w:rPr>
              <w:t>216</w:t>
            </w:r>
            <w:r>
              <w:rPr>
                <w:rFonts w:hint="eastAsia"/>
                <w:szCs w:val="21"/>
              </w:rPr>
              <w:t>t/a</w:t>
            </w:r>
          </w:p>
        </w:tc>
      </w:tr>
      <w:tr w14:paraId="74DFF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05" w:type="dxa"/>
            <w:vMerge w:val="continue"/>
            <w:noWrap w:val="0"/>
            <w:tcMar>
              <w:top w:w="0" w:type="dxa"/>
              <w:left w:w="57" w:type="dxa"/>
              <w:bottom w:w="0" w:type="dxa"/>
              <w:right w:w="57" w:type="dxa"/>
            </w:tcMar>
            <w:vAlign w:val="center"/>
          </w:tcPr>
          <w:p w14:paraId="7649A059">
            <w:pPr>
              <w:pageBreakBefore w:val="0"/>
              <w:kinsoku/>
              <w:wordWrap/>
              <w:topLinePunct w:val="0"/>
              <w:bidi w:val="0"/>
              <w:spacing w:line="280" w:lineRule="exact"/>
              <w:jc w:val="center"/>
              <w:rPr>
                <w:snapToGrid w:val="0"/>
                <w:kern w:val="21"/>
                <w:szCs w:val="21"/>
              </w:rPr>
            </w:pPr>
          </w:p>
        </w:tc>
        <w:tc>
          <w:tcPr>
            <w:tcW w:w="1185" w:type="dxa"/>
            <w:noWrap w:val="0"/>
            <w:tcMar>
              <w:top w:w="0" w:type="dxa"/>
              <w:left w:w="57" w:type="dxa"/>
              <w:bottom w:w="0" w:type="dxa"/>
              <w:right w:w="57" w:type="dxa"/>
            </w:tcMar>
            <w:vAlign w:val="center"/>
          </w:tcPr>
          <w:p w14:paraId="1E5E9DCB">
            <w:pPr>
              <w:pageBreakBefore w:val="0"/>
              <w:kinsoku/>
              <w:wordWrap/>
              <w:topLinePunct w:val="0"/>
              <w:bidi w:val="0"/>
              <w:spacing w:line="280" w:lineRule="exact"/>
              <w:jc w:val="center"/>
              <w:rPr>
                <w:snapToGrid w:val="0"/>
                <w:kern w:val="21"/>
                <w:szCs w:val="21"/>
              </w:rPr>
            </w:pPr>
            <w:r>
              <w:rPr>
                <w:snapToGrid w:val="0"/>
                <w:kern w:val="21"/>
                <w:szCs w:val="21"/>
              </w:rPr>
              <w:t>COD</w:t>
            </w:r>
            <w:r>
              <w:rPr>
                <w:snapToGrid w:val="0"/>
                <w:kern w:val="21"/>
                <w:szCs w:val="21"/>
                <w:vertAlign w:val="subscript"/>
              </w:rPr>
              <w:t>Cr</w:t>
            </w:r>
          </w:p>
        </w:tc>
        <w:tc>
          <w:tcPr>
            <w:tcW w:w="1770" w:type="dxa"/>
            <w:noWrap w:val="0"/>
            <w:tcMar>
              <w:top w:w="0" w:type="dxa"/>
              <w:left w:w="57" w:type="dxa"/>
              <w:bottom w:w="0" w:type="dxa"/>
              <w:right w:w="57" w:type="dxa"/>
            </w:tcMar>
            <w:vAlign w:val="center"/>
          </w:tcPr>
          <w:p w14:paraId="34ADA082">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200" w:type="dxa"/>
            <w:noWrap w:val="0"/>
            <w:tcMar>
              <w:top w:w="0" w:type="dxa"/>
              <w:left w:w="57" w:type="dxa"/>
              <w:bottom w:w="0" w:type="dxa"/>
              <w:right w:w="57" w:type="dxa"/>
            </w:tcMar>
            <w:vAlign w:val="center"/>
          </w:tcPr>
          <w:p w14:paraId="03A7A761">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729" w:type="dxa"/>
            <w:noWrap w:val="0"/>
            <w:tcMar>
              <w:top w:w="0" w:type="dxa"/>
              <w:left w:w="57" w:type="dxa"/>
              <w:bottom w:w="0" w:type="dxa"/>
              <w:right w:w="57" w:type="dxa"/>
            </w:tcMar>
            <w:vAlign w:val="center"/>
          </w:tcPr>
          <w:p w14:paraId="0414572F">
            <w:pPr>
              <w:pageBreakBefore w:val="0"/>
              <w:kinsoku/>
              <w:wordWrap/>
              <w:topLinePunct w:val="0"/>
              <w:bidi w:val="0"/>
              <w:spacing w:line="280" w:lineRule="exact"/>
              <w:jc w:val="center"/>
              <w:rPr>
                <w:snapToGrid w:val="0"/>
                <w:kern w:val="21"/>
                <w:szCs w:val="21"/>
              </w:rPr>
            </w:pPr>
            <w:r>
              <w:rPr>
                <w:snapToGrid w:val="0"/>
                <w:kern w:val="21"/>
                <w:szCs w:val="21"/>
              </w:rPr>
              <w:t>0</w:t>
            </w:r>
          </w:p>
        </w:tc>
        <w:tc>
          <w:tcPr>
            <w:tcW w:w="1695" w:type="dxa"/>
            <w:noWrap w:val="0"/>
            <w:tcMar>
              <w:top w:w="0" w:type="dxa"/>
              <w:left w:w="57" w:type="dxa"/>
              <w:bottom w:w="0" w:type="dxa"/>
              <w:right w:w="57" w:type="dxa"/>
            </w:tcMar>
            <w:vAlign w:val="center"/>
          </w:tcPr>
          <w:p w14:paraId="7FAD075B">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360</w:t>
            </w:r>
            <w:r>
              <w:rPr>
                <w:rFonts w:hint="eastAsia"/>
                <w:szCs w:val="21"/>
              </w:rPr>
              <w:t>t/a</w:t>
            </w:r>
          </w:p>
        </w:tc>
        <w:tc>
          <w:tcPr>
            <w:tcW w:w="1785" w:type="dxa"/>
            <w:noWrap w:val="0"/>
            <w:tcMar>
              <w:top w:w="0" w:type="dxa"/>
              <w:left w:w="57" w:type="dxa"/>
              <w:bottom w:w="0" w:type="dxa"/>
              <w:right w:w="57" w:type="dxa"/>
            </w:tcMar>
            <w:vAlign w:val="center"/>
          </w:tcPr>
          <w:p w14:paraId="6027C831">
            <w:pPr>
              <w:pageBreakBefore w:val="0"/>
              <w:kinsoku/>
              <w:wordWrap/>
              <w:topLinePunct w:val="0"/>
              <w:bidi w:val="0"/>
              <w:spacing w:line="280" w:lineRule="exact"/>
              <w:jc w:val="center"/>
              <w:rPr>
                <w:rFonts w:hint="eastAsia"/>
                <w:snapToGrid w:val="0"/>
                <w:kern w:val="21"/>
                <w:szCs w:val="21"/>
              </w:rPr>
            </w:pPr>
            <w:r>
              <w:rPr>
                <w:rFonts w:hint="eastAsia"/>
                <w:snapToGrid w:val="0"/>
                <w:kern w:val="21"/>
                <w:szCs w:val="21"/>
              </w:rPr>
              <w:t>0</w:t>
            </w:r>
          </w:p>
        </w:tc>
        <w:tc>
          <w:tcPr>
            <w:tcW w:w="2055" w:type="dxa"/>
            <w:noWrap w:val="0"/>
            <w:tcMar>
              <w:top w:w="0" w:type="dxa"/>
              <w:left w:w="57" w:type="dxa"/>
              <w:bottom w:w="0" w:type="dxa"/>
              <w:right w:w="57" w:type="dxa"/>
            </w:tcMar>
            <w:vAlign w:val="center"/>
          </w:tcPr>
          <w:p w14:paraId="0D57EE37">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360</w:t>
            </w:r>
            <w:r>
              <w:rPr>
                <w:rFonts w:hint="eastAsia"/>
                <w:szCs w:val="21"/>
              </w:rPr>
              <w:t>t/a</w:t>
            </w:r>
          </w:p>
        </w:tc>
        <w:tc>
          <w:tcPr>
            <w:tcW w:w="1549" w:type="dxa"/>
            <w:noWrap w:val="0"/>
            <w:tcMar>
              <w:top w:w="0" w:type="dxa"/>
              <w:left w:w="57" w:type="dxa"/>
              <w:bottom w:w="0" w:type="dxa"/>
              <w:right w:w="57" w:type="dxa"/>
            </w:tcMar>
            <w:vAlign w:val="center"/>
          </w:tcPr>
          <w:p w14:paraId="74F41501">
            <w:pPr>
              <w:pageBreakBefore w:val="0"/>
              <w:kinsoku/>
              <w:wordWrap/>
              <w:topLinePunct w:val="0"/>
              <w:bidi w:val="0"/>
              <w:spacing w:line="280" w:lineRule="exact"/>
              <w:jc w:val="center"/>
              <w:rPr>
                <w:szCs w:val="21"/>
              </w:rPr>
            </w:pPr>
            <w:r>
              <w:rPr>
                <w:rFonts w:hint="eastAsia"/>
                <w:szCs w:val="21"/>
                <w:lang w:val="en-US" w:eastAsia="zh-CN"/>
              </w:rPr>
              <w:t>+</w:t>
            </w:r>
            <w:r>
              <w:rPr>
                <w:rFonts w:hint="eastAsia"/>
                <w:szCs w:val="21"/>
              </w:rPr>
              <w:t>0.</w:t>
            </w:r>
            <w:r>
              <w:rPr>
                <w:rFonts w:hint="eastAsia"/>
                <w:szCs w:val="21"/>
                <w:lang w:val="en-US" w:eastAsia="zh-CN"/>
              </w:rPr>
              <w:t>360</w:t>
            </w:r>
            <w:r>
              <w:rPr>
                <w:rFonts w:hint="eastAsia"/>
                <w:szCs w:val="21"/>
              </w:rPr>
              <w:t>t/a</w:t>
            </w:r>
          </w:p>
        </w:tc>
      </w:tr>
      <w:tr w14:paraId="0FF5F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05" w:type="dxa"/>
            <w:vMerge w:val="continue"/>
            <w:noWrap w:val="0"/>
            <w:tcMar>
              <w:top w:w="0" w:type="dxa"/>
              <w:left w:w="57" w:type="dxa"/>
              <w:bottom w:w="0" w:type="dxa"/>
              <w:right w:w="57" w:type="dxa"/>
            </w:tcMar>
            <w:vAlign w:val="center"/>
          </w:tcPr>
          <w:p w14:paraId="29BDDE4D">
            <w:pPr>
              <w:pageBreakBefore w:val="0"/>
              <w:kinsoku/>
              <w:wordWrap/>
              <w:topLinePunct w:val="0"/>
              <w:bidi w:val="0"/>
              <w:spacing w:line="280" w:lineRule="exact"/>
              <w:jc w:val="center"/>
              <w:rPr>
                <w:snapToGrid w:val="0"/>
                <w:kern w:val="21"/>
                <w:szCs w:val="21"/>
              </w:rPr>
            </w:pPr>
          </w:p>
        </w:tc>
        <w:tc>
          <w:tcPr>
            <w:tcW w:w="1185" w:type="dxa"/>
            <w:noWrap w:val="0"/>
            <w:tcMar>
              <w:top w:w="0" w:type="dxa"/>
              <w:left w:w="57" w:type="dxa"/>
              <w:bottom w:w="0" w:type="dxa"/>
              <w:right w:w="57" w:type="dxa"/>
            </w:tcMar>
            <w:vAlign w:val="center"/>
          </w:tcPr>
          <w:p w14:paraId="7D6150FA">
            <w:pPr>
              <w:pageBreakBefore w:val="0"/>
              <w:kinsoku/>
              <w:wordWrap/>
              <w:topLinePunct w:val="0"/>
              <w:bidi w:val="0"/>
              <w:spacing w:line="280" w:lineRule="exact"/>
              <w:jc w:val="center"/>
              <w:rPr>
                <w:snapToGrid w:val="0"/>
                <w:kern w:val="21"/>
                <w:szCs w:val="21"/>
              </w:rPr>
            </w:pPr>
            <w:r>
              <w:rPr>
                <w:snapToGrid w:val="0"/>
                <w:kern w:val="21"/>
                <w:szCs w:val="21"/>
              </w:rPr>
              <w:t>SS</w:t>
            </w:r>
          </w:p>
        </w:tc>
        <w:tc>
          <w:tcPr>
            <w:tcW w:w="1770" w:type="dxa"/>
            <w:noWrap w:val="0"/>
            <w:tcMar>
              <w:top w:w="0" w:type="dxa"/>
              <w:left w:w="57" w:type="dxa"/>
              <w:bottom w:w="0" w:type="dxa"/>
              <w:right w:w="57" w:type="dxa"/>
            </w:tcMar>
            <w:vAlign w:val="center"/>
          </w:tcPr>
          <w:p w14:paraId="74EE0EB4">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200" w:type="dxa"/>
            <w:noWrap w:val="0"/>
            <w:tcMar>
              <w:top w:w="0" w:type="dxa"/>
              <w:left w:w="57" w:type="dxa"/>
              <w:bottom w:w="0" w:type="dxa"/>
              <w:right w:w="57" w:type="dxa"/>
            </w:tcMar>
            <w:vAlign w:val="center"/>
          </w:tcPr>
          <w:p w14:paraId="2910E5EE">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729" w:type="dxa"/>
            <w:noWrap w:val="0"/>
            <w:tcMar>
              <w:top w:w="0" w:type="dxa"/>
              <w:left w:w="57" w:type="dxa"/>
              <w:bottom w:w="0" w:type="dxa"/>
              <w:right w:w="57" w:type="dxa"/>
            </w:tcMar>
            <w:vAlign w:val="center"/>
          </w:tcPr>
          <w:p w14:paraId="4EEDAB11">
            <w:pPr>
              <w:pageBreakBefore w:val="0"/>
              <w:kinsoku/>
              <w:wordWrap/>
              <w:topLinePunct w:val="0"/>
              <w:bidi w:val="0"/>
              <w:spacing w:line="280" w:lineRule="exact"/>
              <w:jc w:val="center"/>
              <w:rPr>
                <w:snapToGrid w:val="0"/>
                <w:kern w:val="21"/>
                <w:szCs w:val="21"/>
              </w:rPr>
            </w:pPr>
            <w:r>
              <w:rPr>
                <w:snapToGrid w:val="0"/>
                <w:kern w:val="21"/>
                <w:szCs w:val="21"/>
              </w:rPr>
              <w:t>0</w:t>
            </w:r>
          </w:p>
        </w:tc>
        <w:tc>
          <w:tcPr>
            <w:tcW w:w="1695" w:type="dxa"/>
            <w:noWrap w:val="0"/>
            <w:tcMar>
              <w:top w:w="0" w:type="dxa"/>
              <w:left w:w="57" w:type="dxa"/>
              <w:bottom w:w="0" w:type="dxa"/>
              <w:right w:w="57" w:type="dxa"/>
            </w:tcMar>
            <w:vAlign w:val="center"/>
          </w:tcPr>
          <w:p w14:paraId="1D1EB920">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216</w:t>
            </w:r>
            <w:r>
              <w:rPr>
                <w:rFonts w:hint="eastAsia"/>
                <w:szCs w:val="21"/>
              </w:rPr>
              <w:t>t/a</w:t>
            </w:r>
          </w:p>
        </w:tc>
        <w:tc>
          <w:tcPr>
            <w:tcW w:w="1785" w:type="dxa"/>
            <w:noWrap w:val="0"/>
            <w:tcMar>
              <w:top w:w="0" w:type="dxa"/>
              <w:left w:w="57" w:type="dxa"/>
              <w:bottom w:w="0" w:type="dxa"/>
              <w:right w:w="57" w:type="dxa"/>
            </w:tcMar>
            <w:vAlign w:val="center"/>
          </w:tcPr>
          <w:p w14:paraId="128756B2">
            <w:pPr>
              <w:pageBreakBefore w:val="0"/>
              <w:kinsoku/>
              <w:wordWrap/>
              <w:topLinePunct w:val="0"/>
              <w:bidi w:val="0"/>
              <w:spacing w:line="280" w:lineRule="exact"/>
              <w:jc w:val="center"/>
              <w:rPr>
                <w:rFonts w:hint="eastAsia"/>
                <w:snapToGrid w:val="0"/>
                <w:kern w:val="21"/>
                <w:szCs w:val="21"/>
              </w:rPr>
            </w:pPr>
            <w:r>
              <w:rPr>
                <w:rFonts w:hint="eastAsia"/>
                <w:snapToGrid w:val="0"/>
                <w:kern w:val="21"/>
                <w:szCs w:val="21"/>
              </w:rPr>
              <w:t>0</w:t>
            </w:r>
          </w:p>
        </w:tc>
        <w:tc>
          <w:tcPr>
            <w:tcW w:w="2055" w:type="dxa"/>
            <w:noWrap w:val="0"/>
            <w:tcMar>
              <w:top w:w="0" w:type="dxa"/>
              <w:left w:w="57" w:type="dxa"/>
              <w:bottom w:w="0" w:type="dxa"/>
              <w:right w:w="57" w:type="dxa"/>
            </w:tcMar>
            <w:vAlign w:val="center"/>
          </w:tcPr>
          <w:p w14:paraId="37770E7B">
            <w:pPr>
              <w:pageBreakBefore w:val="0"/>
              <w:kinsoku/>
              <w:wordWrap/>
              <w:topLinePunct w:val="0"/>
              <w:bidi w:val="0"/>
              <w:spacing w:line="280" w:lineRule="exact"/>
              <w:jc w:val="center"/>
              <w:rPr>
                <w:szCs w:val="21"/>
              </w:rPr>
            </w:pPr>
            <w:r>
              <w:rPr>
                <w:rFonts w:hint="eastAsia"/>
                <w:szCs w:val="21"/>
              </w:rPr>
              <w:t>0.</w:t>
            </w:r>
            <w:r>
              <w:rPr>
                <w:rFonts w:hint="eastAsia"/>
                <w:szCs w:val="21"/>
                <w:lang w:val="en-US" w:eastAsia="zh-CN"/>
              </w:rPr>
              <w:t>216</w:t>
            </w:r>
            <w:r>
              <w:rPr>
                <w:rFonts w:hint="eastAsia"/>
                <w:szCs w:val="21"/>
              </w:rPr>
              <w:t>t/a</w:t>
            </w:r>
          </w:p>
        </w:tc>
        <w:tc>
          <w:tcPr>
            <w:tcW w:w="1549" w:type="dxa"/>
            <w:noWrap w:val="0"/>
            <w:tcMar>
              <w:top w:w="0" w:type="dxa"/>
              <w:left w:w="57" w:type="dxa"/>
              <w:bottom w:w="0" w:type="dxa"/>
              <w:right w:w="57" w:type="dxa"/>
            </w:tcMar>
            <w:vAlign w:val="center"/>
          </w:tcPr>
          <w:p w14:paraId="63D5B0BB">
            <w:pPr>
              <w:pageBreakBefore w:val="0"/>
              <w:kinsoku/>
              <w:wordWrap/>
              <w:topLinePunct w:val="0"/>
              <w:bidi w:val="0"/>
              <w:spacing w:line="280" w:lineRule="exact"/>
              <w:jc w:val="center"/>
              <w:rPr>
                <w:szCs w:val="21"/>
              </w:rPr>
            </w:pPr>
            <w:r>
              <w:rPr>
                <w:rFonts w:hint="eastAsia"/>
                <w:szCs w:val="21"/>
                <w:lang w:val="en-US" w:eastAsia="zh-CN"/>
              </w:rPr>
              <w:t>+</w:t>
            </w:r>
            <w:r>
              <w:rPr>
                <w:rFonts w:hint="eastAsia"/>
                <w:szCs w:val="21"/>
              </w:rPr>
              <w:t>0.</w:t>
            </w:r>
            <w:r>
              <w:rPr>
                <w:rFonts w:hint="eastAsia"/>
                <w:szCs w:val="21"/>
                <w:lang w:val="en-US" w:eastAsia="zh-CN"/>
              </w:rPr>
              <w:t>216</w:t>
            </w:r>
            <w:r>
              <w:rPr>
                <w:rFonts w:hint="eastAsia"/>
                <w:szCs w:val="21"/>
              </w:rPr>
              <w:t>t/a</w:t>
            </w:r>
          </w:p>
        </w:tc>
      </w:tr>
      <w:tr w14:paraId="6DC39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05" w:type="dxa"/>
            <w:vMerge w:val="continue"/>
            <w:noWrap w:val="0"/>
            <w:tcMar>
              <w:top w:w="0" w:type="dxa"/>
              <w:left w:w="57" w:type="dxa"/>
              <w:bottom w:w="0" w:type="dxa"/>
              <w:right w:w="57" w:type="dxa"/>
            </w:tcMar>
            <w:vAlign w:val="center"/>
          </w:tcPr>
          <w:p w14:paraId="6CF19510">
            <w:pPr>
              <w:pageBreakBefore w:val="0"/>
              <w:kinsoku/>
              <w:wordWrap/>
              <w:topLinePunct w:val="0"/>
              <w:bidi w:val="0"/>
              <w:spacing w:line="280" w:lineRule="exact"/>
              <w:jc w:val="center"/>
              <w:rPr>
                <w:snapToGrid w:val="0"/>
                <w:kern w:val="21"/>
                <w:szCs w:val="21"/>
              </w:rPr>
            </w:pPr>
          </w:p>
        </w:tc>
        <w:tc>
          <w:tcPr>
            <w:tcW w:w="1185" w:type="dxa"/>
            <w:tcBorders>
              <w:bottom w:val="single" w:color="000000" w:sz="6" w:space="0"/>
            </w:tcBorders>
            <w:noWrap w:val="0"/>
            <w:tcMar>
              <w:top w:w="0" w:type="dxa"/>
              <w:left w:w="57" w:type="dxa"/>
              <w:bottom w:w="0" w:type="dxa"/>
              <w:right w:w="57" w:type="dxa"/>
            </w:tcMar>
            <w:vAlign w:val="center"/>
          </w:tcPr>
          <w:p w14:paraId="0E172DD1">
            <w:pPr>
              <w:pageBreakBefore w:val="0"/>
              <w:kinsoku/>
              <w:wordWrap/>
              <w:topLinePunct w:val="0"/>
              <w:bidi w:val="0"/>
              <w:spacing w:line="280" w:lineRule="exact"/>
              <w:jc w:val="center"/>
              <w:rPr>
                <w:snapToGrid w:val="0"/>
                <w:kern w:val="21"/>
                <w:szCs w:val="21"/>
              </w:rPr>
            </w:pPr>
            <w:r>
              <w:rPr>
                <w:snapToGrid w:val="0"/>
                <w:kern w:val="21"/>
                <w:szCs w:val="21"/>
              </w:rPr>
              <w:t>NH</w:t>
            </w:r>
            <w:r>
              <w:rPr>
                <w:snapToGrid w:val="0"/>
                <w:kern w:val="21"/>
                <w:szCs w:val="21"/>
                <w:vertAlign w:val="subscript"/>
              </w:rPr>
              <w:t>3</w:t>
            </w:r>
            <w:r>
              <w:rPr>
                <w:snapToGrid w:val="0"/>
                <w:kern w:val="21"/>
                <w:szCs w:val="21"/>
              </w:rPr>
              <w:t>-N</w:t>
            </w:r>
          </w:p>
        </w:tc>
        <w:tc>
          <w:tcPr>
            <w:tcW w:w="1770" w:type="dxa"/>
            <w:tcBorders>
              <w:bottom w:val="single" w:color="000000" w:sz="6" w:space="0"/>
            </w:tcBorders>
            <w:noWrap w:val="0"/>
            <w:tcMar>
              <w:top w:w="0" w:type="dxa"/>
              <w:left w:w="57" w:type="dxa"/>
              <w:bottom w:w="0" w:type="dxa"/>
              <w:right w:w="57" w:type="dxa"/>
            </w:tcMar>
            <w:vAlign w:val="center"/>
          </w:tcPr>
          <w:p w14:paraId="5A5F8DA9">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200" w:type="dxa"/>
            <w:noWrap w:val="0"/>
            <w:tcMar>
              <w:top w:w="0" w:type="dxa"/>
              <w:left w:w="57" w:type="dxa"/>
              <w:bottom w:w="0" w:type="dxa"/>
              <w:right w:w="57" w:type="dxa"/>
            </w:tcMar>
            <w:vAlign w:val="center"/>
          </w:tcPr>
          <w:p w14:paraId="39082D5F">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729" w:type="dxa"/>
            <w:noWrap w:val="0"/>
            <w:tcMar>
              <w:top w:w="0" w:type="dxa"/>
              <w:left w:w="57" w:type="dxa"/>
              <w:bottom w:w="0" w:type="dxa"/>
              <w:right w:w="57" w:type="dxa"/>
            </w:tcMar>
            <w:vAlign w:val="center"/>
          </w:tcPr>
          <w:p w14:paraId="3A32E3A9">
            <w:pPr>
              <w:pageBreakBefore w:val="0"/>
              <w:kinsoku/>
              <w:wordWrap/>
              <w:topLinePunct w:val="0"/>
              <w:bidi w:val="0"/>
              <w:spacing w:line="280" w:lineRule="exact"/>
              <w:jc w:val="center"/>
              <w:rPr>
                <w:snapToGrid w:val="0"/>
                <w:kern w:val="21"/>
                <w:szCs w:val="21"/>
              </w:rPr>
            </w:pPr>
            <w:r>
              <w:rPr>
                <w:snapToGrid w:val="0"/>
                <w:kern w:val="21"/>
                <w:szCs w:val="21"/>
              </w:rPr>
              <w:t>0</w:t>
            </w:r>
          </w:p>
        </w:tc>
        <w:tc>
          <w:tcPr>
            <w:tcW w:w="1695" w:type="dxa"/>
            <w:noWrap w:val="0"/>
            <w:tcMar>
              <w:top w:w="0" w:type="dxa"/>
              <w:left w:w="57" w:type="dxa"/>
              <w:bottom w:w="0" w:type="dxa"/>
              <w:right w:w="57" w:type="dxa"/>
            </w:tcMar>
            <w:vAlign w:val="center"/>
          </w:tcPr>
          <w:p w14:paraId="2970876F">
            <w:pPr>
              <w:pageBreakBefore w:val="0"/>
              <w:kinsoku/>
              <w:wordWrap/>
              <w:topLinePunct w:val="0"/>
              <w:bidi w:val="0"/>
              <w:spacing w:line="280" w:lineRule="exact"/>
              <w:jc w:val="center"/>
              <w:rPr>
                <w:szCs w:val="21"/>
              </w:rPr>
            </w:pPr>
            <w:r>
              <w:rPr>
                <w:rFonts w:hint="eastAsia"/>
                <w:szCs w:val="21"/>
              </w:rPr>
              <w:t>0.0</w:t>
            </w:r>
            <w:r>
              <w:rPr>
                <w:rFonts w:hint="eastAsia"/>
                <w:szCs w:val="21"/>
                <w:lang w:val="en-US" w:eastAsia="zh-CN"/>
              </w:rPr>
              <w:t>22</w:t>
            </w:r>
            <w:r>
              <w:rPr>
                <w:rFonts w:hint="eastAsia"/>
                <w:szCs w:val="21"/>
              </w:rPr>
              <w:t>t/a</w:t>
            </w:r>
          </w:p>
        </w:tc>
        <w:tc>
          <w:tcPr>
            <w:tcW w:w="1785" w:type="dxa"/>
            <w:noWrap w:val="0"/>
            <w:tcMar>
              <w:top w:w="0" w:type="dxa"/>
              <w:left w:w="57" w:type="dxa"/>
              <w:bottom w:w="0" w:type="dxa"/>
              <w:right w:w="57" w:type="dxa"/>
            </w:tcMar>
            <w:vAlign w:val="center"/>
          </w:tcPr>
          <w:p w14:paraId="15ABE4FF">
            <w:pPr>
              <w:pageBreakBefore w:val="0"/>
              <w:kinsoku/>
              <w:wordWrap/>
              <w:topLinePunct w:val="0"/>
              <w:bidi w:val="0"/>
              <w:spacing w:line="280" w:lineRule="exact"/>
              <w:jc w:val="center"/>
              <w:rPr>
                <w:rFonts w:hint="eastAsia"/>
                <w:snapToGrid w:val="0"/>
                <w:kern w:val="21"/>
                <w:szCs w:val="21"/>
              </w:rPr>
            </w:pPr>
            <w:r>
              <w:rPr>
                <w:rFonts w:hint="eastAsia"/>
                <w:snapToGrid w:val="0"/>
                <w:kern w:val="21"/>
                <w:szCs w:val="21"/>
              </w:rPr>
              <w:t>0</w:t>
            </w:r>
          </w:p>
        </w:tc>
        <w:tc>
          <w:tcPr>
            <w:tcW w:w="2055" w:type="dxa"/>
            <w:noWrap w:val="0"/>
            <w:tcMar>
              <w:top w:w="0" w:type="dxa"/>
              <w:left w:w="57" w:type="dxa"/>
              <w:bottom w:w="0" w:type="dxa"/>
              <w:right w:w="57" w:type="dxa"/>
            </w:tcMar>
            <w:vAlign w:val="center"/>
          </w:tcPr>
          <w:p w14:paraId="1A20C872">
            <w:pPr>
              <w:pageBreakBefore w:val="0"/>
              <w:kinsoku/>
              <w:wordWrap/>
              <w:topLinePunct w:val="0"/>
              <w:bidi w:val="0"/>
              <w:spacing w:line="280" w:lineRule="exact"/>
              <w:jc w:val="center"/>
              <w:rPr>
                <w:szCs w:val="21"/>
              </w:rPr>
            </w:pPr>
            <w:r>
              <w:rPr>
                <w:rFonts w:hint="eastAsia"/>
                <w:szCs w:val="21"/>
              </w:rPr>
              <w:t>0.0</w:t>
            </w:r>
            <w:r>
              <w:rPr>
                <w:rFonts w:hint="eastAsia"/>
                <w:szCs w:val="21"/>
                <w:lang w:val="en-US" w:eastAsia="zh-CN"/>
              </w:rPr>
              <w:t>22</w:t>
            </w:r>
            <w:r>
              <w:rPr>
                <w:rFonts w:hint="eastAsia"/>
                <w:szCs w:val="21"/>
              </w:rPr>
              <w:t>t/a</w:t>
            </w:r>
          </w:p>
        </w:tc>
        <w:tc>
          <w:tcPr>
            <w:tcW w:w="1549" w:type="dxa"/>
            <w:noWrap w:val="0"/>
            <w:tcMar>
              <w:top w:w="0" w:type="dxa"/>
              <w:left w:w="57" w:type="dxa"/>
              <w:bottom w:w="0" w:type="dxa"/>
              <w:right w:w="57" w:type="dxa"/>
            </w:tcMar>
            <w:vAlign w:val="center"/>
          </w:tcPr>
          <w:p w14:paraId="18D96B86">
            <w:pPr>
              <w:pageBreakBefore w:val="0"/>
              <w:kinsoku/>
              <w:wordWrap/>
              <w:topLinePunct w:val="0"/>
              <w:bidi w:val="0"/>
              <w:spacing w:line="280" w:lineRule="exact"/>
              <w:jc w:val="center"/>
              <w:rPr>
                <w:szCs w:val="21"/>
              </w:rPr>
            </w:pPr>
            <w:r>
              <w:rPr>
                <w:rFonts w:hint="eastAsia"/>
                <w:szCs w:val="21"/>
                <w:lang w:val="en-US" w:eastAsia="zh-CN"/>
              </w:rPr>
              <w:t>+</w:t>
            </w:r>
            <w:r>
              <w:rPr>
                <w:rFonts w:hint="eastAsia"/>
                <w:szCs w:val="21"/>
              </w:rPr>
              <w:t>0.0</w:t>
            </w:r>
            <w:r>
              <w:rPr>
                <w:rFonts w:hint="eastAsia"/>
                <w:szCs w:val="21"/>
                <w:lang w:val="en-US" w:eastAsia="zh-CN"/>
              </w:rPr>
              <w:t>22</w:t>
            </w:r>
            <w:r>
              <w:rPr>
                <w:rFonts w:hint="eastAsia"/>
                <w:szCs w:val="21"/>
              </w:rPr>
              <w:t>t/a</w:t>
            </w:r>
          </w:p>
        </w:tc>
      </w:tr>
      <w:tr w14:paraId="40EAF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05" w:type="dxa"/>
            <w:vMerge w:val="restart"/>
            <w:noWrap w:val="0"/>
            <w:tcMar>
              <w:top w:w="0" w:type="dxa"/>
              <w:left w:w="57" w:type="dxa"/>
              <w:bottom w:w="0" w:type="dxa"/>
              <w:right w:w="57" w:type="dxa"/>
            </w:tcMar>
            <w:vAlign w:val="center"/>
          </w:tcPr>
          <w:p w14:paraId="5F0EA7F8">
            <w:pPr>
              <w:pageBreakBefore w:val="0"/>
              <w:kinsoku/>
              <w:wordWrap/>
              <w:topLinePunct w:val="0"/>
              <w:bidi w:val="0"/>
              <w:spacing w:line="280" w:lineRule="exact"/>
              <w:jc w:val="center"/>
              <w:rPr>
                <w:rFonts w:hint="eastAsia"/>
                <w:snapToGrid w:val="0"/>
                <w:kern w:val="21"/>
                <w:szCs w:val="21"/>
              </w:rPr>
            </w:pPr>
            <w:r>
              <w:rPr>
                <w:rFonts w:hint="eastAsia"/>
                <w:snapToGrid w:val="0"/>
                <w:kern w:val="21"/>
                <w:szCs w:val="21"/>
              </w:rPr>
              <w:t>危险废弃物</w:t>
            </w:r>
          </w:p>
        </w:tc>
        <w:tc>
          <w:tcPr>
            <w:tcW w:w="1185" w:type="dxa"/>
            <w:tcBorders>
              <w:bottom w:val="single" w:color="000000" w:sz="6" w:space="0"/>
            </w:tcBorders>
            <w:noWrap w:val="0"/>
            <w:tcMar>
              <w:top w:w="0" w:type="dxa"/>
              <w:left w:w="57" w:type="dxa"/>
              <w:bottom w:w="0" w:type="dxa"/>
              <w:right w:w="57" w:type="dxa"/>
            </w:tcMar>
            <w:vAlign w:val="center"/>
          </w:tcPr>
          <w:p w14:paraId="666552BF">
            <w:pPr>
              <w:pageBreakBefore w:val="0"/>
              <w:kinsoku/>
              <w:wordWrap/>
              <w:topLinePunct w:val="0"/>
              <w:bidi w:val="0"/>
              <w:spacing w:line="280" w:lineRule="exact"/>
              <w:jc w:val="center"/>
              <w:rPr>
                <w:rFonts w:hint="eastAsia" w:eastAsia="宋体"/>
                <w:snapToGrid w:val="0"/>
                <w:kern w:val="21"/>
                <w:szCs w:val="21"/>
                <w:lang w:val="en-US" w:eastAsia="zh-CN"/>
              </w:rPr>
            </w:pPr>
            <w:r>
              <w:rPr>
                <w:rFonts w:hint="eastAsia"/>
                <w:snapToGrid w:val="0"/>
                <w:kern w:val="21"/>
                <w:szCs w:val="21"/>
                <w:lang w:val="en-US" w:eastAsia="zh-CN"/>
              </w:rPr>
              <w:t>含油废液</w:t>
            </w:r>
          </w:p>
        </w:tc>
        <w:tc>
          <w:tcPr>
            <w:tcW w:w="1770" w:type="dxa"/>
            <w:tcBorders>
              <w:bottom w:val="single" w:color="000000" w:sz="6" w:space="0"/>
            </w:tcBorders>
            <w:noWrap w:val="0"/>
            <w:tcMar>
              <w:top w:w="0" w:type="dxa"/>
              <w:left w:w="57" w:type="dxa"/>
              <w:bottom w:w="0" w:type="dxa"/>
              <w:right w:w="57" w:type="dxa"/>
            </w:tcMar>
            <w:vAlign w:val="center"/>
          </w:tcPr>
          <w:p w14:paraId="0AC1A7A3">
            <w:pPr>
              <w:pageBreakBefore w:val="0"/>
              <w:kinsoku/>
              <w:wordWrap/>
              <w:topLinePunct w:val="0"/>
              <w:bidi w:val="0"/>
              <w:spacing w:line="280" w:lineRule="exact"/>
              <w:jc w:val="center"/>
              <w:rPr>
                <w:rFonts w:hint="eastAsia" w:eastAsia="宋体"/>
                <w:snapToGrid w:val="0"/>
                <w:kern w:val="21"/>
                <w:szCs w:val="21"/>
                <w:lang w:val="en-US" w:eastAsia="zh-CN"/>
              </w:rPr>
            </w:pPr>
            <w:r>
              <w:rPr>
                <w:rFonts w:hint="eastAsia"/>
                <w:snapToGrid w:val="0"/>
                <w:kern w:val="21"/>
                <w:szCs w:val="21"/>
                <w:lang w:val="en-US" w:eastAsia="zh-CN"/>
              </w:rPr>
              <w:t>0</w:t>
            </w:r>
          </w:p>
        </w:tc>
        <w:tc>
          <w:tcPr>
            <w:tcW w:w="1200" w:type="dxa"/>
            <w:noWrap w:val="0"/>
            <w:tcMar>
              <w:top w:w="0" w:type="dxa"/>
              <w:left w:w="57" w:type="dxa"/>
              <w:bottom w:w="0" w:type="dxa"/>
              <w:right w:w="57" w:type="dxa"/>
            </w:tcMar>
            <w:vAlign w:val="center"/>
          </w:tcPr>
          <w:p w14:paraId="28704CA9">
            <w:pPr>
              <w:pageBreakBefore w:val="0"/>
              <w:kinsoku/>
              <w:wordWrap/>
              <w:topLinePunct w:val="0"/>
              <w:bidi w:val="0"/>
              <w:spacing w:line="280" w:lineRule="exact"/>
              <w:jc w:val="center"/>
              <w:rPr>
                <w:rFonts w:hint="eastAsia" w:eastAsia="宋体"/>
                <w:snapToGrid w:val="0"/>
                <w:kern w:val="21"/>
                <w:szCs w:val="21"/>
                <w:lang w:val="en-US" w:eastAsia="zh-CN"/>
              </w:rPr>
            </w:pPr>
            <w:r>
              <w:rPr>
                <w:rFonts w:hint="eastAsia"/>
                <w:snapToGrid w:val="0"/>
                <w:kern w:val="21"/>
                <w:szCs w:val="21"/>
                <w:lang w:val="en-US" w:eastAsia="zh-CN"/>
              </w:rPr>
              <w:t>0</w:t>
            </w:r>
          </w:p>
        </w:tc>
        <w:tc>
          <w:tcPr>
            <w:tcW w:w="1729" w:type="dxa"/>
            <w:noWrap w:val="0"/>
            <w:tcMar>
              <w:top w:w="0" w:type="dxa"/>
              <w:left w:w="57" w:type="dxa"/>
              <w:bottom w:w="0" w:type="dxa"/>
              <w:right w:w="57" w:type="dxa"/>
            </w:tcMar>
            <w:vAlign w:val="center"/>
          </w:tcPr>
          <w:p w14:paraId="5C3B3BAB">
            <w:pPr>
              <w:pageBreakBefore w:val="0"/>
              <w:kinsoku/>
              <w:wordWrap/>
              <w:topLinePunct w:val="0"/>
              <w:bidi w:val="0"/>
              <w:spacing w:line="280" w:lineRule="exact"/>
              <w:jc w:val="center"/>
              <w:rPr>
                <w:rFonts w:hint="eastAsia" w:eastAsia="宋体"/>
                <w:snapToGrid w:val="0"/>
                <w:kern w:val="21"/>
                <w:szCs w:val="21"/>
                <w:lang w:val="en-US" w:eastAsia="zh-CN"/>
              </w:rPr>
            </w:pPr>
            <w:r>
              <w:rPr>
                <w:rFonts w:hint="eastAsia"/>
                <w:snapToGrid w:val="0"/>
                <w:kern w:val="21"/>
                <w:szCs w:val="21"/>
                <w:lang w:val="en-US" w:eastAsia="zh-CN"/>
              </w:rPr>
              <w:t>0</w:t>
            </w:r>
          </w:p>
        </w:tc>
        <w:tc>
          <w:tcPr>
            <w:tcW w:w="1695" w:type="dxa"/>
            <w:noWrap w:val="0"/>
            <w:tcMar>
              <w:top w:w="0" w:type="dxa"/>
              <w:left w:w="57" w:type="dxa"/>
              <w:bottom w:w="0" w:type="dxa"/>
              <w:right w:w="57" w:type="dxa"/>
            </w:tcMar>
            <w:vAlign w:val="center"/>
          </w:tcPr>
          <w:p w14:paraId="17CDF181">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12t/a</w:t>
            </w:r>
          </w:p>
        </w:tc>
        <w:tc>
          <w:tcPr>
            <w:tcW w:w="1785" w:type="dxa"/>
            <w:noWrap w:val="0"/>
            <w:tcMar>
              <w:top w:w="0" w:type="dxa"/>
              <w:left w:w="57" w:type="dxa"/>
              <w:bottom w:w="0" w:type="dxa"/>
              <w:right w:w="57" w:type="dxa"/>
            </w:tcMar>
            <w:vAlign w:val="center"/>
          </w:tcPr>
          <w:p w14:paraId="4544FD42">
            <w:pPr>
              <w:pageBreakBefore w:val="0"/>
              <w:kinsoku/>
              <w:wordWrap/>
              <w:topLinePunct w:val="0"/>
              <w:bidi w:val="0"/>
              <w:spacing w:line="280" w:lineRule="exact"/>
              <w:jc w:val="center"/>
              <w:rPr>
                <w:rFonts w:hint="eastAsia" w:eastAsia="宋体"/>
                <w:snapToGrid w:val="0"/>
                <w:kern w:val="21"/>
                <w:szCs w:val="21"/>
                <w:lang w:val="en-US" w:eastAsia="zh-CN"/>
              </w:rPr>
            </w:pPr>
            <w:r>
              <w:rPr>
                <w:rFonts w:hint="eastAsia"/>
                <w:snapToGrid w:val="0"/>
                <w:kern w:val="21"/>
                <w:szCs w:val="21"/>
                <w:lang w:val="en-US" w:eastAsia="zh-CN"/>
              </w:rPr>
              <w:t>0</w:t>
            </w:r>
          </w:p>
        </w:tc>
        <w:tc>
          <w:tcPr>
            <w:tcW w:w="2055" w:type="dxa"/>
            <w:noWrap w:val="0"/>
            <w:tcMar>
              <w:top w:w="0" w:type="dxa"/>
              <w:left w:w="57" w:type="dxa"/>
              <w:bottom w:w="0" w:type="dxa"/>
              <w:right w:w="57" w:type="dxa"/>
            </w:tcMar>
            <w:vAlign w:val="center"/>
          </w:tcPr>
          <w:p w14:paraId="1688253A">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12t/a</w:t>
            </w:r>
          </w:p>
        </w:tc>
        <w:tc>
          <w:tcPr>
            <w:tcW w:w="1549" w:type="dxa"/>
            <w:noWrap w:val="0"/>
            <w:tcMar>
              <w:top w:w="0" w:type="dxa"/>
              <w:left w:w="57" w:type="dxa"/>
              <w:bottom w:w="0" w:type="dxa"/>
              <w:right w:w="57" w:type="dxa"/>
            </w:tcMar>
            <w:vAlign w:val="center"/>
          </w:tcPr>
          <w:p w14:paraId="0009F96E">
            <w:pPr>
              <w:pageBreakBefore w:val="0"/>
              <w:kinsoku/>
              <w:wordWrap/>
              <w:topLinePunct w:val="0"/>
              <w:bidi w:val="0"/>
              <w:spacing w:line="280" w:lineRule="exact"/>
              <w:jc w:val="center"/>
              <w:rPr>
                <w:rFonts w:hint="default" w:eastAsia="宋体"/>
                <w:szCs w:val="21"/>
                <w:lang w:val="en-US" w:eastAsia="zh-CN"/>
              </w:rPr>
            </w:pPr>
            <w:r>
              <w:rPr>
                <w:rFonts w:hint="eastAsia"/>
                <w:szCs w:val="21"/>
                <w:lang w:val="en-US" w:eastAsia="zh-CN"/>
              </w:rPr>
              <w:t>+12t/a</w:t>
            </w:r>
          </w:p>
        </w:tc>
      </w:tr>
      <w:tr w14:paraId="19100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05" w:type="dxa"/>
            <w:vMerge w:val="continue"/>
            <w:noWrap w:val="0"/>
            <w:tcMar>
              <w:top w:w="0" w:type="dxa"/>
              <w:left w:w="57" w:type="dxa"/>
              <w:bottom w:w="0" w:type="dxa"/>
              <w:right w:w="57" w:type="dxa"/>
            </w:tcMar>
            <w:vAlign w:val="center"/>
          </w:tcPr>
          <w:p w14:paraId="5FD3856E">
            <w:pPr>
              <w:pageBreakBefore w:val="0"/>
              <w:kinsoku/>
              <w:wordWrap/>
              <w:topLinePunct w:val="0"/>
              <w:bidi w:val="0"/>
              <w:spacing w:line="280" w:lineRule="exact"/>
              <w:jc w:val="center"/>
              <w:rPr>
                <w:rFonts w:hint="eastAsia"/>
                <w:snapToGrid w:val="0"/>
                <w:kern w:val="21"/>
                <w:szCs w:val="21"/>
              </w:rPr>
            </w:pPr>
          </w:p>
        </w:tc>
        <w:tc>
          <w:tcPr>
            <w:tcW w:w="1185" w:type="dxa"/>
            <w:noWrap w:val="0"/>
            <w:tcMar>
              <w:top w:w="0" w:type="dxa"/>
              <w:left w:w="57" w:type="dxa"/>
              <w:bottom w:w="0" w:type="dxa"/>
              <w:right w:w="57" w:type="dxa"/>
            </w:tcMar>
            <w:vAlign w:val="center"/>
          </w:tcPr>
          <w:p w14:paraId="37B1A427">
            <w:pPr>
              <w:pageBreakBefore w:val="0"/>
              <w:kinsoku/>
              <w:wordWrap/>
              <w:topLinePunct w:val="0"/>
              <w:bidi w:val="0"/>
              <w:spacing w:line="280" w:lineRule="exact"/>
              <w:jc w:val="center"/>
              <w:rPr>
                <w:bCs/>
                <w:szCs w:val="21"/>
              </w:rPr>
            </w:pPr>
            <w:r>
              <w:rPr>
                <w:rFonts w:hint="eastAsia"/>
                <w:bCs/>
                <w:szCs w:val="21"/>
              </w:rPr>
              <w:t>废润滑油</w:t>
            </w:r>
          </w:p>
        </w:tc>
        <w:tc>
          <w:tcPr>
            <w:tcW w:w="1770" w:type="dxa"/>
            <w:noWrap w:val="0"/>
            <w:tcMar>
              <w:top w:w="0" w:type="dxa"/>
              <w:left w:w="57" w:type="dxa"/>
              <w:bottom w:w="0" w:type="dxa"/>
              <w:right w:w="57" w:type="dxa"/>
            </w:tcMar>
            <w:vAlign w:val="center"/>
          </w:tcPr>
          <w:p w14:paraId="04E2E6B3">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200" w:type="dxa"/>
            <w:noWrap w:val="0"/>
            <w:tcMar>
              <w:top w:w="0" w:type="dxa"/>
              <w:left w:w="57" w:type="dxa"/>
              <w:bottom w:w="0" w:type="dxa"/>
              <w:right w:w="57" w:type="dxa"/>
            </w:tcMar>
            <w:vAlign w:val="center"/>
          </w:tcPr>
          <w:p w14:paraId="77CD4B3D">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729" w:type="dxa"/>
            <w:noWrap w:val="0"/>
            <w:tcMar>
              <w:top w:w="0" w:type="dxa"/>
              <w:left w:w="57" w:type="dxa"/>
              <w:bottom w:w="0" w:type="dxa"/>
              <w:right w:w="57" w:type="dxa"/>
            </w:tcMar>
            <w:vAlign w:val="center"/>
          </w:tcPr>
          <w:p w14:paraId="21225FD1">
            <w:pPr>
              <w:pageBreakBefore w:val="0"/>
              <w:kinsoku/>
              <w:wordWrap/>
              <w:topLinePunct w:val="0"/>
              <w:bidi w:val="0"/>
              <w:spacing w:line="280" w:lineRule="exact"/>
              <w:jc w:val="center"/>
              <w:rPr>
                <w:snapToGrid w:val="0"/>
                <w:kern w:val="21"/>
                <w:szCs w:val="21"/>
              </w:rPr>
            </w:pPr>
            <w:r>
              <w:rPr>
                <w:snapToGrid w:val="0"/>
                <w:kern w:val="21"/>
                <w:szCs w:val="21"/>
              </w:rPr>
              <w:t>0</w:t>
            </w:r>
          </w:p>
        </w:tc>
        <w:tc>
          <w:tcPr>
            <w:tcW w:w="1695" w:type="dxa"/>
            <w:noWrap w:val="0"/>
            <w:tcMar>
              <w:top w:w="0" w:type="dxa"/>
              <w:left w:w="57" w:type="dxa"/>
              <w:bottom w:w="0" w:type="dxa"/>
              <w:right w:w="57" w:type="dxa"/>
            </w:tcMar>
            <w:vAlign w:val="center"/>
          </w:tcPr>
          <w:p w14:paraId="1EC65DAE">
            <w:pPr>
              <w:pageBreakBefore w:val="0"/>
              <w:kinsoku/>
              <w:wordWrap/>
              <w:topLinePunct w:val="0"/>
              <w:bidi w:val="0"/>
              <w:spacing w:line="280" w:lineRule="exact"/>
              <w:jc w:val="center"/>
              <w:rPr>
                <w:bCs/>
                <w:szCs w:val="21"/>
              </w:rPr>
            </w:pPr>
            <w:r>
              <w:rPr>
                <w:rFonts w:hint="eastAsia"/>
                <w:bCs/>
                <w:szCs w:val="21"/>
              </w:rPr>
              <w:t>1t/a</w:t>
            </w:r>
          </w:p>
        </w:tc>
        <w:tc>
          <w:tcPr>
            <w:tcW w:w="1785" w:type="dxa"/>
            <w:noWrap w:val="0"/>
            <w:tcMar>
              <w:top w:w="0" w:type="dxa"/>
              <w:left w:w="57" w:type="dxa"/>
              <w:bottom w:w="0" w:type="dxa"/>
              <w:right w:w="57" w:type="dxa"/>
            </w:tcMar>
            <w:vAlign w:val="center"/>
          </w:tcPr>
          <w:p w14:paraId="30E56903">
            <w:pPr>
              <w:pageBreakBefore w:val="0"/>
              <w:kinsoku/>
              <w:wordWrap/>
              <w:topLinePunct w:val="0"/>
              <w:bidi w:val="0"/>
              <w:spacing w:line="280" w:lineRule="exact"/>
              <w:jc w:val="center"/>
              <w:rPr>
                <w:snapToGrid w:val="0"/>
                <w:kern w:val="21"/>
                <w:szCs w:val="21"/>
              </w:rPr>
            </w:pPr>
            <w:r>
              <w:rPr>
                <w:snapToGrid w:val="0"/>
                <w:kern w:val="21"/>
                <w:szCs w:val="21"/>
              </w:rPr>
              <w:t>0</w:t>
            </w:r>
          </w:p>
        </w:tc>
        <w:tc>
          <w:tcPr>
            <w:tcW w:w="2055" w:type="dxa"/>
            <w:noWrap w:val="0"/>
            <w:tcMar>
              <w:top w:w="0" w:type="dxa"/>
              <w:left w:w="57" w:type="dxa"/>
              <w:bottom w:w="0" w:type="dxa"/>
              <w:right w:w="57" w:type="dxa"/>
            </w:tcMar>
            <w:vAlign w:val="center"/>
          </w:tcPr>
          <w:p w14:paraId="313FDD41">
            <w:pPr>
              <w:pageBreakBefore w:val="0"/>
              <w:kinsoku/>
              <w:wordWrap/>
              <w:topLinePunct w:val="0"/>
              <w:bidi w:val="0"/>
              <w:spacing w:line="280" w:lineRule="exact"/>
              <w:jc w:val="center"/>
              <w:rPr>
                <w:bCs/>
                <w:szCs w:val="21"/>
              </w:rPr>
            </w:pPr>
            <w:r>
              <w:rPr>
                <w:rFonts w:hint="eastAsia"/>
                <w:bCs/>
                <w:szCs w:val="21"/>
              </w:rPr>
              <w:t>1t/a</w:t>
            </w:r>
          </w:p>
        </w:tc>
        <w:tc>
          <w:tcPr>
            <w:tcW w:w="1549" w:type="dxa"/>
            <w:noWrap w:val="0"/>
            <w:tcMar>
              <w:top w:w="0" w:type="dxa"/>
              <w:left w:w="57" w:type="dxa"/>
              <w:bottom w:w="0" w:type="dxa"/>
              <w:right w:w="57" w:type="dxa"/>
            </w:tcMar>
            <w:vAlign w:val="center"/>
          </w:tcPr>
          <w:p w14:paraId="156123E7">
            <w:pPr>
              <w:pageBreakBefore w:val="0"/>
              <w:kinsoku/>
              <w:wordWrap/>
              <w:topLinePunct w:val="0"/>
              <w:bidi w:val="0"/>
              <w:spacing w:line="280" w:lineRule="exact"/>
              <w:jc w:val="center"/>
              <w:rPr>
                <w:bCs/>
                <w:szCs w:val="21"/>
              </w:rPr>
            </w:pPr>
            <w:r>
              <w:rPr>
                <w:rFonts w:hint="eastAsia"/>
                <w:bCs/>
                <w:szCs w:val="21"/>
              </w:rPr>
              <w:t>+1t/a</w:t>
            </w:r>
          </w:p>
        </w:tc>
      </w:tr>
      <w:tr w14:paraId="3AE9C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05" w:type="dxa"/>
            <w:vMerge w:val="continue"/>
            <w:noWrap w:val="0"/>
            <w:tcMar>
              <w:top w:w="0" w:type="dxa"/>
              <w:left w:w="57" w:type="dxa"/>
              <w:bottom w:w="0" w:type="dxa"/>
              <w:right w:w="57" w:type="dxa"/>
            </w:tcMar>
            <w:vAlign w:val="center"/>
          </w:tcPr>
          <w:p w14:paraId="0BF8CE25">
            <w:pPr>
              <w:pageBreakBefore w:val="0"/>
              <w:kinsoku/>
              <w:wordWrap/>
              <w:topLinePunct w:val="0"/>
              <w:bidi w:val="0"/>
              <w:spacing w:line="280" w:lineRule="exact"/>
              <w:jc w:val="center"/>
              <w:rPr>
                <w:rFonts w:hint="eastAsia"/>
                <w:snapToGrid w:val="0"/>
                <w:kern w:val="21"/>
                <w:szCs w:val="21"/>
              </w:rPr>
            </w:pPr>
          </w:p>
        </w:tc>
        <w:tc>
          <w:tcPr>
            <w:tcW w:w="1185" w:type="dxa"/>
            <w:noWrap w:val="0"/>
            <w:tcMar>
              <w:top w:w="0" w:type="dxa"/>
              <w:left w:w="57" w:type="dxa"/>
              <w:bottom w:w="0" w:type="dxa"/>
              <w:right w:w="57" w:type="dxa"/>
            </w:tcMar>
            <w:vAlign w:val="center"/>
          </w:tcPr>
          <w:p w14:paraId="4D7A4FC5">
            <w:pPr>
              <w:pageBreakBefore w:val="0"/>
              <w:kinsoku/>
              <w:wordWrap/>
              <w:topLinePunct w:val="0"/>
              <w:bidi w:val="0"/>
              <w:spacing w:line="280" w:lineRule="exact"/>
              <w:jc w:val="center"/>
              <w:rPr>
                <w:bCs/>
                <w:szCs w:val="21"/>
              </w:rPr>
            </w:pPr>
            <w:r>
              <w:rPr>
                <w:rFonts w:hint="eastAsia"/>
                <w:bCs/>
                <w:szCs w:val="21"/>
              </w:rPr>
              <w:t>废吸附剂</w:t>
            </w:r>
          </w:p>
        </w:tc>
        <w:tc>
          <w:tcPr>
            <w:tcW w:w="1770" w:type="dxa"/>
            <w:noWrap w:val="0"/>
            <w:tcMar>
              <w:top w:w="0" w:type="dxa"/>
              <w:left w:w="57" w:type="dxa"/>
              <w:bottom w:w="0" w:type="dxa"/>
              <w:right w:w="57" w:type="dxa"/>
            </w:tcMar>
            <w:vAlign w:val="center"/>
          </w:tcPr>
          <w:p w14:paraId="3CB0B025">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200" w:type="dxa"/>
            <w:noWrap w:val="0"/>
            <w:tcMar>
              <w:top w:w="0" w:type="dxa"/>
              <w:left w:w="57" w:type="dxa"/>
              <w:bottom w:w="0" w:type="dxa"/>
              <w:right w:w="57" w:type="dxa"/>
            </w:tcMar>
            <w:vAlign w:val="center"/>
          </w:tcPr>
          <w:p w14:paraId="19F5A281">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729" w:type="dxa"/>
            <w:noWrap w:val="0"/>
            <w:tcMar>
              <w:top w:w="0" w:type="dxa"/>
              <w:left w:w="57" w:type="dxa"/>
              <w:bottom w:w="0" w:type="dxa"/>
              <w:right w:w="57" w:type="dxa"/>
            </w:tcMar>
            <w:vAlign w:val="center"/>
          </w:tcPr>
          <w:p w14:paraId="50F7555C">
            <w:pPr>
              <w:pageBreakBefore w:val="0"/>
              <w:kinsoku/>
              <w:wordWrap/>
              <w:topLinePunct w:val="0"/>
              <w:bidi w:val="0"/>
              <w:spacing w:line="280" w:lineRule="exact"/>
              <w:jc w:val="center"/>
              <w:rPr>
                <w:rFonts w:hint="eastAsia"/>
                <w:snapToGrid w:val="0"/>
                <w:kern w:val="21"/>
                <w:szCs w:val="21"/>
              </w:rPr>
            </w:pPr>
            <w:r>
              <w:rPr>
                <w:rFonts w:hint="eastAsia"/>
                <w:snapToGrid w:val="0"/>
                <w:kern w:val="21"/>
                <w:szCs w:val="21"/>
              </w:rPr>
              <w:t>0</w:t>
            </w:r>
          </w:p>
        </w:tc>
        <w:tc>
          <w:tcPr>
            <w:tcW w:w="1695" w:type="dxa"/>
            <w:noWrap w:val="0"/>
            <w:tcMar>
              <w:top w:w="0" w:type="dxa"/>
              <w:left w:w="57" w:type="dxa"/>
              <w:bottom w:w="0" w:type="dxa"/>
              <w:right w:w="57" w:type="dxa"/>
            </w:tcMar>
            <w:vAlign w:val="center"/>
          </w:tcPr>
          <w:p w14:paraId="58E6EA61">
            <w:pPr>
              <w:pageBreakBefore w:val="0"/>
              <w:kinsoku/>
              <w:wordWrap/>
              <w:topLinePunct w:val="0"/>
              <w:bidi w:val="0"/>
              <w:spacing w:line="280" w:lineRule="exact"/>
              <w:jc w:val="center"/>
              <w:rPr>
                <w:bCs/>
                <w:szCs w:val="21"/>
              </w:rPr>
            </w:pPr>
            <w:r>
              <w:rPr>
                <w:rFonts w:hint="eastAsia"/>
                <w:bCs/>
                <w:szCs w:val="21"/>
              </w:rPr>
              <w:t>256.571t/a</w:t>
            </w:r>
          </w:p>
        </w:tc>
        <w:tc>
          <w:tcPr>
            <w:tcW w:w="1785" w:type="dxa"/>
            <w:noWrap w:val="0"/>
            <w:tcMar>
              <w:top w:w="0" w:type="dxa"/>
              <w:left w:w="57" w:type="dxa"/>
              <w:bottom w:w="0" w:type="dxa"/>
              <w:right w:w="57" w:type="dxa"/>
            </w:tcMar>
            <w:vAlign w:val="center"/>
          </w:tcPr>
          <w:p w14:paraId="124AC076">
            <w:pPr>
              <w:pageBreakBefore w:val="0"/>
              <w:kinsoku/>
              <w:wordWrap/>
              <w:topLinePunct w:val="0"/>
              <w:bidi w:val="0"/>
              <w:spacing w:line="280" w:lineRule="exact"/>
              <w:jc w:val="center"/>
              <w:rPr>
                <w:rFonts w:hint="eastAsia"/>
                <w:snapToGrid w:val="0"/>
                <w:kern w:val="21"/>
                <w:szCs w:val="21"/>
              </w:rPr>
            </w:pPr>
            <w:r>
              <w:rPr>
                <w:rFonts w:hint="eastAsia"/>
                <w:snapToGrid w:val="0"/>
                <w:kern w:val="21"/>
                <w:szCs w:val="21"/>
              </w:rPr>
              <w:t>0</w:t>
            </w:r>
          </w:p>
        </w:tc>
        <w:tc>
          <w:tcPr>
            <w:tcW w:w="2055" w:type="dxa"/>
            <w:noWrap w:val="0"/>
            <w:tcMar>
              <w:top w:w="0" w:type="dxa"/>
              <w:left w:w="57" w:type="dxa"/>
              <w:bottom w:w="0" w:type="dxa"/>
              <w:right w:w="57" w:type="dxa"/>
            </w:tcMar>
            <w:vAlign w:val="center"/>
          </w:tcPr>
          <w:p w14:paraId="542E3865">
            <w:pPr>
              <w:pageBreakBefore w:val="0"/>
              <w:kinsoku/>
              <w:wordWrap/>
              <w:topLinePunct w:val="0"/>
              <w:bidi w:val="0"/>
              <w:spacing w:line="280" w:lineRule="exact"/>
              <w:jc w:val="center"/>
              <w:rPr>
                <w:bCs/>
                <w:szCs w:val="21"/>
              </w:rPr>
            </w:pPr>
            <w:r>
              <w:rPr>
                <w:rFonts w:hint="eastAsia"/>
                <w:bCs/>
                <w:szCs w:val="21"/>
              </w:rPr>
              <w:t>256.571t/a</w:t>
            </w:r>
          </w:p>
        </w:tc>
        <w:tc>
          <w:tcPr>
            <w:tcW w:w="1549" w:type="dxa"/>
            <w:noWrap w:val="0"/>
            <w:tcMar>
              <w:top w:w="0" w:type="dxa"/>
              <w:left w:w="57" w:type="dxa"/>
              <w:bottom w:w="0" w:type="dxa"/>
              <w:right w:w="57" w:type="dxa"/>
            </w:tcMar>
            <w:vAlign w:val="center"/>
          </w:tcPr>
          <w:p w14:paraId="734FB478">
            <w:pPr>
              <w:pageBreakBefore w:val="0"/>
              <w:kinsoku/>
              <w:wordWrap/>
              <w:topLinePunct w:val="0"/>
              <w:bidi w:val="0"/>
              <w:spacing w:line="280" w:lineRule="exact"/>
              <w:jc w:val="center"/>
              <w:rPr>
                <w:bCs/>
                <w:szCs w:val="21"/>
              </w:rPr>
            </w:pPr>
            <w:r>
              <w:rPr>
                <w:rFonts w:hint="eastAsia"/>
                <w:bCs/>
                <w:szCs w:val="21"/>
              </w:rPr>
              <w:t>+256.571t/a</w:t>
            </w:r>
          </w:p>
        </w:tc>
      </w:tr>
      <w:tr w14:paraId="29052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205" w:type="dxa"/>
            <w:noWrap w:val="0"/>
            <w:tcMar>
              <w:top w:w="0" w:type="dxa"/>
              <w:left w:w="57" w:type="dxa"/>
              <w:bottom w:w="0" w:type="dxa"/>
              <w:right w:w="57" w:type="dxa"/>
            </w:tcMar>
            <w:vAlign w:val="center"/>
          </w:tcPr>
          <w:p w14:paraId="1D091957">
            <w:pPr>
              <w:pageBreakBefore w:val="0"/>
              <w:kinsoku/>
              <w:wordWrap/>
              <w:topLinePunct w:val="0"/>
              <w:bidi w:val="0"/>
              <w:spacing w:line="280" w:lineRule="exact"/>
              <w:jc w:val="center"/>
              <w:rPr>
                <w:snapToGrid w:val="0"/>
                <w:kern w:val="21"/>
                <w:szCs w:val="21"/>
              </w:rPr>
            </w:pPr>
            <w:r>
              <w:rPr>
                <w:rFonts w:hint="eastAsia"/>
                <w:snapToGrid w:val="0"/>
                <w:kern w:val="21"/>
                <w:szCs w:val="21"/>
              </w:rPr>
              <w:t>其他固废</w:t>
            </w:r>
          </w:p>
        </w:tc>
        <w:tc>
          <w:tcPr>
            <w:tcW w:w="1185" w:type="dxa"/>
            <w:noWrap w:val="0"/>
            <w:tcMar>
              <w:top w:w="0" w:type="dxa"/>
              <w:left w:w="57" w:type="dxa"/>
              <w:bottom w:w="0" w:type="dxa"/>
              <w:right w:w="57" w:type="dxa"/>
            </w:tcMar>
            <w:vAlign w:val="center"/>
          </w:tcPr>
          <w:p w14:paraId="725FFD57">
            <w:pPr>
              <w:pageBreakBefore w:val="0"/>
              <w:kinsoku/>
              <w:wordWrap/>
              <w:topLinePunct w:val="0"/>
              <w:bidi w:val="0"/>
              <w:spacing w:line="280" w:lineRule="exact"/>
              <w:jc w:val="center"/>
              <w:rPr>
                <w:rFonts w:hint="eastAsia"/>
                <w:bCs/>
                <w:szCs w:val="21"/>
              </w:rPr>
            </w:pPr>
            <w:r>
              <w:rPr>
                <w:rFonts w:hint="eastAsia"/>
                <w:bCs/>
                <w:szCs w:val="21"/>
              </w:rPr>
              <w:t>生活垃圾</w:t>
            </w:r>
          </w:p>
        </w:tc>
        <w:tc>
          <w:tcPr>
            <w:tcW w:w="1770" w:type="dxa"/>
            <w:noWrap w:val="0"/>
            <w:tcMar>
              <w:top w:w="0" w:type="dxa"/>
              <w:left w:w="57" w:type="dxa"/>
              <w:bottom w:w="0" w:type="dxa"/>
              <w:right w:w="57" w:type="dxa"/>
            </w:tcMar>
            <w:vAlign w:val="center"/>
          </w:tcPr>
          <w:p w14:paraId="465F860D">
            <w:pPr>
              <w:pageBreakBefore w:val="0"/>
              <w:kinsoku/>
              <w:wordWrap/>
              <w:topLinePunct w:val="0"/>
              <w:bidi w:val="0"/>
              <w:spacing w:line="280" w:lineRule="exact"/>
              <w:jc w:val="center"/>
              <w:rPr>
                <w:snapToGrid w:val="0"/>
                <w:kern w:val="21"/>
                <w:szCs w:val="21"/>
              </w:rPr>
            </w:pPr>
            <w:r>
              <w:rPr>
                <w:rFonts w:hint="eastAsia"/>
                <w:snapToGrid w:val="0"/>
                <w:kern w:val="21"/>
                <w:szCs w:val="21"/>
              </w:rPr>
              <w:t>0</w:t>
            </w:r>
          </w:p>
        </w:tc>
        <w:tc>
          <w:tcPr>
            <w:tcW w:w="1200" w:type="dxa"/>
            <w:noWrap w:val="0"/>
            <w:tcMar>
              <w:top w:w="0" w:type="dxa"/>
              <w:left w:w="57" w:type="dxa"/>
              <w:bottom w:w="0" w:type="dxa"/>
              <w:right w:w="57" w:type="dxa"/>
            </w:tcMar>
            <w:vAlign w:val="center"/>
          </w:tcPr>
          <w:p w14:paraId="43A826B5">
            <w:pPr>
              <w:pageBreakBefore w:val="0"/>
              <w:kinsoku/>
              <w:wordWrap/>
              <w:topLinePunct w:val="0"/>
              <w:bidi w:val="0"/>
              <w:spacing w:line="280" w:lineRule="exact"/>
              <w:jc w:val="center"/>
              <w:rPr>
                <w:rFonts w:hint="eastAsia"/>
                <w:snapToGrid w:val="0"/>
                <w:kern w:val="21"/>
                <w:szCs w:val="21"/>
              </w:rPr>
            </w:pPr>
            <w:r>
              <w:rPr>
                <w:rFonts w:hint="eastAsia"/>
                <w:snapToGrid w:val="0"/>
                <w:kern w:val="21"/>
                <w:szCs w:val="21"/>
              </w:rPr>
              <w:t>0</w:t>
            </w:r>
          </w:p>
        </w:tc>
        <w:tc>
          <w:tcPr>
            <w:tcW w:w="1729" w:type="dxa"/>
            <w:noWrap w:val="0"/>
            <w:tcMar>
              <w:top w:w="0" w:type="dxa"/>
              <w:left w:w="57" w:type="dxa"/>
              <w:bottom w:w="0" w:type="dxa"/>
              <w:right w:w="57" w:type="dxa"/>
            </w:tcMar>
            <w:vAlign w:val="center"/>
          </w:tcPr>
          <w:p w14:paraId="3F65C58D">
            <w:pPr>
              <w:pageBreakBefore w:val="0"/>
              <w:kinsoku/>
              <w:wordWrap/>
              <w:topLinePunct w:val="0"/>
              <w:bidi w:val="0"/>
              <w:spacing w:line="280" w:lineRule="exact"/>
              <w:jc w:val="center"/>
              <w:rPr>
                <w:snapToGrid w:val="0"/>
                <w:kern w:val="21"/>
                <w:szCs w:val="21"/>
              </w:rPr>
            </w:pPr>
            <w:r>
              <w:rPr>
                <w:snapToGrid w:val="0"/>
                <w:kern w:val="21"/>
                <w:szCs w:val="21"/>
              </w:rPr>
              <w:t>0</w:t>
            </w:r>
          </w:p>
        </w:tc>
        <w:tc>
          <w:tcPr>
            <w:tcW w:w="1695" w:type="dxa"/>
            <w:noWrap w:val="0"/>
            <w:tcMar>
              <w:top w:w="0" w:type="dxa"/>
              <w:left w:w="57" w:type="dxa"/>
              <w:bottom w:w="0" w:type="dxa"/>
              <w:right w:w="57" w:type="dxa"/>
            </w:tcMar>
            <w:vAlign w:val="center"/>
          </w:tcPr>
          <w:p w14:paraId="0A78E9AA">
            <w:pPr>
              <w:pageBreakBefore w:val="0"/>
              <w:kinsoku/>
              <w:wordWrap/>
              <w:topLinePunct w:val="0"/>
              <w:bidi w:val="0"/>
              <w:spacing w:line="280" w:lineRule="exact"/>
              <w:jc w:val="center"/>
              <w:rPr>
                <w:bCs/>
                <w:szCs w:val="21"/>
              </w:rPr>
            </w:pPr>
            <w:r>
              <w:rPr>
                <w:rFonts w:hint="eastAsia"/>
                <w:bCs/>
                <w:szCs w:val="21"/>
              </w:rPr>
              <w:t>7.493t/a</w:t>
            </w:r>
          </w:p>
        </w:tc>
        <w:tc>
          <w:tcPr>
            <w:tcW w:w="1785" w:type="dxa"/>
            <w:noWrap w:val="0"/>
            <w:tcMar>
              <w:top w:w="0" w:type="dxa"/>
              <w:left w:w="57" w:type="dxa"/>
              <w:bottom w:w="0" w:type="dxa"/>
              <w:right w:w="57" w:type="dxa"/>
            </w:tcMar>
            <w:vAlign w:val="center"/>
          </w:tcPr>
          <w:p w14:paraId="60139A17">
            <w:pPr>
              <w:pageBreakBefore w:val="0"/>
              <w:kinsoku/>
              <w:wordWrap/>
              <w:topLinePunct w:val="0"/>
              <w:bidi w:val="0"/>
              <w:spacing w:line="280" w:lineRule="exact"/>
              <w:jc w:val="center"/>
              <w:rPr>
                <w:snapToGrid w:val="0"/>
                <w:kern w:val="21"/>
                <w:szCs w:val="21"/>
              </w:rPr>
            </w:pPr>
            <w:r>
              <w:rPr>
                <w:snapToGrid w:val="0"/>
                <w:kern w:val="21"/>
                <w:szCs w:val="21"/>
              </w:rPr>
              <w:t>0</w:t>
            </w:r>
          </w:p>
        </w:tc>
        <w:tc>
          <w:tcPr>
            <w:tcW w:w="2055" w:type="dxa"/>
            <w:noWrap w:val="0"/>
            <w:tcMar>
              <w:top w:w="0" w:type="dxa"/>
              <w:left w:w="57" w:type="dxa"/>
              <w:bottom w:w="0" w:type="dxa"/>
              <w:right w:w="57" w:type="dxa"/>
            </w:tcMar>
            <w:vAlign w:val="center"/>
          </w:tcPr>
          <w:p w14:paraId="21B16B53">
            <w:pPr>
              <w:pageBreakBefore w:val="0"/>
              <w:kinsoku/>
              <w:wordWrap/>
              <w:topLinePunct w:val="0"/>
              <w:bidi w:val="0"/>
              <w:spacing w:line="280" w:lineRule="exact"/>
              <w:jc w:val="center"/>
              <w:rPr>
                <w:bCs/>
                <w:szCs w:val="21"/>
              </w:rPr>
            </w:pPr>
            <w:r>
              <w:rPr>
                <w:rFonts w:hint="eastAsia"/>
                <w:bCs/>
                <w:szCs w:val="21"/>
              </w:rPr>
              <w:t>7.493t/a</w:t>
            </w:r>
          </w:p>
        </w:tc>
        <w:tc>
          <w:tcPr>
            <w:tcW w:w="1549" w:type="dxa"/>
            <w:noWrap w:val="0"/>
            <w:tcMar>
              <w:top w:w="0" w:type="dxa"/>
              <w:left w:w="57" w:type="dxa"/>
              <w:bottom w:w="0" w:type="dxa"/>
              <w:right w:w="57" w:type="dxa"/>
            </w:tcMar>
            <w:vAlign w:val="center"/>
          </w:tcPr>
          <w:p w14:paraId="1ADA7737">
            <w:pPr>
              <w:pageBreakBefore w:val="0"/>
              <w:kinsoku/>
              <w:wordWrap/>
              <w:topLinePunct w:val="0"/>
              <w:bidi w:val="0"/>
              <w:spacing w:line="280" w:lineRule="exact"/>
              <w:jc w:val="center"/>
              <w:rPr>
                <w:bCs/>
                <w:szCs w:val="21"/>
              </w:rPr>
            </w:pPr>
            <w:r>
              <w:rPr>
                <w:rFonts w:hint="eastAsia"/>
                <w:bCs/>
                <w:szCs w:val="21"/>
              </w:rPr>
              <w:t>+7.493t/a</w:t>
            </w:r>
          </w:p>
        </w:tc>
      </w:tr>
    </w:tbl>
    <w:p w14:paraId="440C293C">
      <w:pPr>
        <w:pageBreakBefore w:val="0"/>
        <w:kinsoku/>
        <w:wordWrap/>
        <w:topLinePunct w:val="0"/>
        <w:bidi w:val="0"/>
        <w:spacing w:before="249" w:beforeLines="80" w:after="24"/>
        <w:jc w:val="left"/>
        <w:rPr>
          <w:snapToGrid w:val="0"/>
          <w:kern w:val="21"/>
          <w:szCs w:val="21"/>
        </w:rPr>
      </w:pPr>
      <w:r>
        <w:rPr>
          <w:snapToGrid w:val="0"/>
          <w:kern w:val="21"/>
          <w:szCs w:val="21"/>
        </w:rPr>
        <w:t>注：</w:t>
      </w:r>
      <w:r>
        <w:rPr>
          <w:snapToGrid w:val="0"/>
          <w:kern w:val="21"/>
          <w:szCs w:val="21"/>
        </w:rPr>
        <w:fldChar w:fldCharType="begin"/>
      </w:r>
      <w:r>
        <w:rPr>
          <w:snapToGrid w:val="0"/>
          <w:kern w:val="21"/>
          <w:szCs w:val="21"/>
        </w:rPr>
        <w:instrText xml:space="preserve"> = 6 \* GB3 \* MERGEFORMAT </w:instrText>
      </w:r>
      <w:r>
        <w:rPr>
          <w:snapToGrid w:val="0"/>
          <w:kern w:val="21"/>
          <w:szCs w:val="21"/>
        </w:rPr>
        <w:fldChar w:fldCharType="separate"/>
      </w:r>
      <w:r>
        <w:rPr>
          <w:szCs w:val="21"/>
        </w:rPr>
        <w:t>⑥</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1 \* GB3 \* MERGEFORMAT </w:instrText>
      </w:r>
      <w:r>
        <w:rPr>
          <w:snapToGrid w:val="0"/>
          <w:kern w:val="21"/>
          <w:szCs w:val="21"/>
        </w:rPr>
        <w:fldChar w:fldCharType="separate"/>
      </w:r>
      <w:r>
        <w:rPr>
          <w:szCs w:val="21"/>
        </w:rPr>
        <w:t>①</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3 \* GB3 \* MERGEFORMAT </w:instrText>
      </w:r>
      <w:r>
        <w:rPr>
          <w:snapToGrid w:val="0"/>
          <w:kern w:val="21"/>
          <w:szCs w:val="21"/>
        </w:rPr>
        <w:fldChar w:fldCharType="separate"/>
      </w:r>
      <w:r>
        <w:rPr>
          <w:szCs w:val="21"/>
        </w:rPr>
        <w:t>③</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4 \* GB3 \* MERGEFORMAT </w:instrText>
      </w:r>
      <w:r>
        <w:rPr>
          <w:snapToGrid w:val="0"/>
          <w:kern w:val="21"/>
          <w:szCs w:val="21"/>
        </w:rPr>
        <w:fldChar w:fldCharType="separate"/>
      </w:r>
      <w:r>
        <w:rPr>
          <w:szCs w:val="21"/>
        </w:rPr>
        <w:t>④</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5 \* GB3 \* MERGEFORMAT </w:instrText>
      </w:r>
      <w:r>
        <w:rPr>
          <w:snapToGrid w:val="0"/>
          <w:kern w:val="21"/>
          <w:szCs w:val="21"/>
        </w:rPr>
        <w:fldChar w:fldCharType="separate"/>
      </w:r>
      <w:r>
        <w:rPr>
          <w:szCs w:val="21"/>
        </w:rPr>
        <w:t>⑤</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7 \* GB3 \* MERGEFORMAT </w:instrText>
      </w:r>
      <w:r>
        <w:rPr>
          <w:snapToGrid w:val="0"/>
          <w:kern w:val="21"/>
          <w:szCs w:val="21"/>
        </w:rPr>
        <w:fldChar w:fldCharType="separate"/>
      </w:r>
      <w:r>
        <w:rPr>
          <w:szCs w:val="21"/>
        </w:rPr>
        <w:t>⑦</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6 \* GB3 \* MERGEFORMAT </w:instrText>
      </w:r>
      <w:r>
        <w:rPr>
          <w:snapToGrid w:val="0"/>
          <w:kern w:val="21"/>
          <w:szCs w:val="21"/>
        </w:rPr>
        <w:fldChar w:fldCharType="separate"/>
      </w:r>
      <w:r>
        <w:rPr>
          <w:szCs w:val="21"/>
        </w:rPr>
        <w:t>⑥</w:t>
      </w:r>
      <w:r>
        <w:rPr>
          <w:snapToGrid w:val="0"/>
          <w:kern w:val="21"/>
          <w:szCs w:val="21"/>
        </w:rPr>
        <w:fldChar w:fldCharType="end"/>
      </w:r>
      <w:r>
        <w:rPr>
          <w:snapToGrid w:val="0"/>
          <w:kern w:val="21"/>
          <w:szCs w:val="21"/>
        </w:rPr>
        <w:t>-</w:t>
      </w:r>
      <w:r>
        <w:rPr>
          <w:snapToGrid w:val="0"/>
          <w:kern w:val="21"/>
          <w:szCs w:val="21"/>
        </w:rPr>
        <w:fldChar w:fldCharType="begin"/>
      </w:r>
      <w:r>
        <w:rPr>
          <w:snapToGrid w:val="0"/>
          <w:kern w:val="21"/>
          <w:szCs w:val="21"/>
        </w:rPr>
        <w:instrText xml:space="preserve"> = 1 \* GB3 \* MERGEFORMAT </w:instrText>
      </w:r>
      <w:r>
        <w:rPr>
          <w:snapToGrid w:val="0"/>
          <w:kern w:val="21"/>
          <w:szCs w:val="21"/>
        </w:rPr>
        <w:fldChar w:fldCharType="separate"/>
      </w:r>
      <w:r>
        <w:rPr>
          <w:szCs w:val="21"/>
        </w:rPr>
        <w:t>①</w:t>
      </w:r>
      <w:r>
        <w:rPr>
          <w:snapToGrid w:val="0"/>
          <w:kern w:val="21"/>
          <w:szCs w:val="21"/>
        </w:rPr>
        <w:fldChar w:fldCharType="end"/>
      </w:r>
    </w:p>
    <w:p w14:paraId="0CBC3D0D">
      <w:pPr>
        <w:pageBreakBefore w:val="0"/>
        <w:kinsoku/>
        <w:wordWrap/>
        <w:topLinePunct w:val="0"/>
        <w:bidi w:val="0"/>
        <w:spacing w:line="360" w:lineRule="auto"/>
        <w:jc w:val="center"/>
        <w:rPr>
          <w:rFonts w:hint="eastAsia"/>
        </w:rPr>
      </w:pPr>
    </w:p>
    <w:sectPr>
      <w:headerReference r:id="rId9" w:type="default"/>
      <w:footerReference r:id="rId10" w:type="default"/>
      <w:pgSz w:w="16838" w:h="11905" w:orient="landscape"/>
      <w:pgMar w:top="1134" w:right="1134" w:bottom="1134" w:left="1134" w:header="0" w:footer="56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E245C">
    <w:pPr>
      <w:tabs>
        <w:tab w:val="center" w:pos="4153"/>
        <w:tab w:val="right" w:pos="8306"/>
      </w:tabs>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73D142">
                          <w:pPr>
                            <w:tabs>
                              <w:tab w:val="center" w:pos="4153"/>
                              <w:tab w:val="right" w:pos="8306"/>
                            </w:tabs>
                            <w:rPr>
                              <w:rFonts w:ascii="宋体"/>
                              <w:sz w:val="28"/>
                              <w:szCs w:val="28"/>
                            </w:rPr>
                          </w:pP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- 8 -</w:t>
                          </w:r>
                          <w:r>
                            <w:rPr>
                              <w:rFonts w:ascii="宋体" w:hAnsi="宋体"/>
                              <w:sz w:val="26"/>
                              <w:szCs w:val="26"/>
                            </w:rPr>
                            <w:fldChar w:fldCharType="end"/>
                          </w:r>
                          <w:r>
                            <w:rPr>
                              <w:rFonts w:ascii="宋体" w:hAnsi="宋体"/>
                              <w:sz w:val="2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473D142">
                    <w:pPr>
                      <w:tabs>
                        <w:tab w:val="center" w:pos="4153"/>
                        <w:tab w:val="right" w:pos="8306"/>
                      </w:tabs>
                      <w:rPr>
                        <w:rFonts w:ascii="宋体"/>
                        <w:sz w:val="28"/>
                        <w:szCs w:val="28"/>
                      </w:rPr>
                    </w:pP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- 8 -</w:t>
                    </w:r>
                    <w:r>
                      <w:rPr>
                        <w:rFonts w:ascii="宋体" w:hAnsi="宋体"/>
                        <w:sz w:val="26"/>
                        <w:szCs w:val="26"/>
                      </w:rPr>
                      <w:fldChar w:fldCharType="end"/>
                    </w:r>
                    <w:r>
                      <w:rPr>
                        <w:rFonts w:ascii="宋体" w:hAnsi="宋体"/>
                        <w:sz w:val="2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4488">
    <w:pPr>
      <w:tabs>
        <w:tab w:val="center" w:pos="4153"/>
        <w:tab w:val="right" w:pos="8306"/>
      </w:tabs>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CD5020">
                          <w:pPr>
                            <w:tabs>
                              <w:tab w:val="center" w:pos="4153"/>
                              <w:tab w:val="right" w:pos="8306"/>
                            </w:tabs>
                            <w:rPr>
                              <w:rFonts w:ascii="宋体"/>
                              <w:sz w:val="28"/>
                              <w:szCs w:val="28"/>
                            </w:rPr>
                          </w:pP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- 17 -</w:t>
                          </w:r>
                          <w:r>
                            <w:rPr>
                              <w:rFonts w:ascii="宋体" w:hAnsi="宋体"/>
                              <w:sz w:val="26"/>
                              <w:szCs w:val="26"/>
                            </w:rPr>
                            <w:fldChar w:fldCharType="end"/>
                          </w:r>
                          <w:r>
                            <w:rPr>
                              <w:rFonts w:ascii="宋体" w:hAnsi="宋体"/>
                              <w:sz w:val="2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14:paraId="04CD5020">
                    <w:pPr>
                      <w:tabs>
                        <w:tab w:val="center" w:pos="4153"/>
                        <w:tab w:val="right" w:pos="8306"/>
                      </w:tabs>
                      <w:rPr>
                        <w:rFonts w:ascii="宋体"/>
                        <w:sz w:val="28"/>
                        <w:szCs w:val="28"/>
                      </w:rPr>
                    </w:pP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- 17 -</w:t>
                    </w:r>
                    <w:r>
                      <w:rPr>
                        <w:rFonts w:ascii="宋体" w:hAnsi="宋体"/>
                        <w:sz w:val="26"/>
                        <w:szCs w:val="26"/>
                      </w:rPr>
                      <w:fldChar w:fldCharType="end"/>
                    </w:r>
                    <w:r>
                      <w:rPr>
                        <w:rFonts w:ascii="宋体" w:hAnsi="宋体"/>
                        <w:sz w:val="2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8CDC">
    <w:pPr>
      <w:tabs>
        <w:tab w:val="center" w:pos="4153"/>
        <w:tab w:val="right" w:pos="8306"/>
      </w:tabs>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EB2686">
                          <w:pPr>
                            <w:tabs>
                              <w:tab w:val="center" w:pos="4153"/>
                              <w:tab w:val="right" w:pos="8306"/>
                            </w:tabs>
                            <w:rPr>
                              <w:rFonts w:ascii="宋体"/>
                              <w:sz w:val="28"/>
                              <w:szCs w:val="28"/>
                            </w:rPr>
                          </w:pP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- 60 -</w:t>
                          </w:r>
                          <w:r>
                            <w:rPr>
                              <w:rFonts w:ascii="宋体" w:hAnsi="宋体"/>
                              <w:sz w:val="26"/>
                              <w:szCs w:val="26"/>
                            </w:rPr>
                            <w:fldChar w:fldCharType="end"/>
                          </w:r>
                          <w:r>
                            <w:rPr>
                              <w:rFonts w:ascii="宋体" w:hAnsi="宋体"/>
                              <w:sz w:val="2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p w14:paraId="0FEB2686">
                    <w:pPr>
                      <w:tabs>
                        <w:tab w:val="center" w:pos="4153"/>
                        <w:tab w:val="right" w:pos="8306"/>
                      </w:tabs>
                      <w:rPr>
                        <w:rFonts w:ascii="宋体"/>
                        <w:sz w:val="28"/>
                        <w:szCs w:val="28"/>
                      </w:rPr>
                    </w:pP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- 60 -</w:t>
                    </w:r>
                    <w:r>
                      <w:rPr>
                        <w:rFonts w:ascii="宋体" w:hAnsi="宋体"/>
                        <w:sz w:val="26"/>
                        <w:szCs w:val="26"/>
                      </w:rPr>
                      <w:fldChar w:fldCharType="end"/>
                    </w:r>
                    <w:r>
                      <w:rPr>
                        <w:rFonts w:ascii="宋体" w:hAnsi="宋体"/>
                        <w:sz w:val="2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5FC7">
    <w:pPr>
      <w:tabs>
        <w:tab w:val="center" w:pos="4153"/>
        <w:tab w:val="right" w:pos="8306"/>
      </w:tabs>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06AB4F">
                          <w:pPr>
                            <w:tabs>
                              <w:tab w:val="center" w:pos="4153"/>
                              <w:tab w:val="right" w:pos="8306"/>
                            </w:tabs>
                            <w:rPr>
                              <w:rFonts w:ascii="宋体"/>
                              <w:sz w:val="28"/>
                              <w:szCs w:val="28"/>
                            </w:rPr>
                          </w:pP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- 64 -</w:t>
                          </w:r>
                          <w:r>
                            <w:rPr>
                              <w:rFonts w:ascii="宋体" w:hAnsi="宋体"/>
                              <w:sz w:val="26"/>
                              <w:szCs w:val="26"/>
                            </w:rPr>
                            <w:fldChar w:fldCharType="end"/>
                          </w:r>
                          <w:r>
                            <w:rPr>
                              <w:rFonts w:ascii="宋体" w:hAnsi="宋体"/>
                              <w:sz w:val="2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4A06AB4F">
                    <w:pPr>
                      <w:tabs>
                        <w:tab w:val="center" w:pos="4153"/>
                        <w:tab w:val="right" w:pos="8306"/>
                      </w:tabs>
                      <w:rPr>
                        <w:rFonts w:ascii="宋体"/>
                        <w:sz w:val="28"/>
                        <w:szCs w:val="28"/>
                      </w:rPr>
                    </w:pP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- 64 -</w:t>
                    </w:r>
                    <w:r>
                      <w:rPr>
                        <w:rFonts w:ascii="宋体" w:hAnsi="宋体"/>
                        <w:sz w:val="26"/>
                        <w:szCs w:val="26"/>
                      </w:rPr>
                      <w:fldChar w:fldCharType="end"/>
                    </w:r>
                    <w:r>
                      <w:rPr>
                        <w:rFonts w:ascii="宋体" w:hAnsi="宋体"/>
                        <w:sz w:val="2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134A">
    <w:pPr>
      <w:tabs>
        <w:tab w:val="center" w:pos="4153"/>
        <w:tab w:val="right" w:pos="8306"/>
      </w:tabs>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4715">
    <w:pPr>
      <w:pStyle w:val="10"/>
      <w:ind w:left="0" w:leftChars="0" w:right="0" w:rightChars="0" w:firstLine="0" w:firstLineChars="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1AB2">
    <w:pPr>
      <w:pBdr>
        <w:bottom w:val="single" w:color="auto" w:sz="4" w:space="0"/>
      </w:pBdr>
      <w:tabs>
        <w:tab w:val="center" w:pos="4153"/>
        <w:tab w:val="right" w:pos="8306"/>
      </w:tabs>
      <w:jc w:val="center"/>
      <w:rPr>
        <w:rFonts w:hint="eastAsia"/>
      </w:rPr>
    </w:pPr>
  </w:p>
  <w:p w14:paraId="3F90BA16">
    <w:pPr>
      <w:pBdr>
        <w:bottom w:val="single" w:color="auto" w:sz="4" w:space="0"/>
      </w:pBdr>
      <w:tabs>
        <w:tab w:val="center" w:pos="4153"/>
        <w:tab w:val="right" w:pos="8306"/>
      </w:tabs>
      <w:jc w:val="center"/>
      <w:rPr>
        <w:rFonts w:hint="eastAsia"/>
      </w:rPr>
    </w:pPr>
    <w:r>
      <w:rPr>
        <w:rFonts w:hint="eastAsia"/>
      </w:rPr>
      <w:t>新疆圣雄能源股份有限公司5000Nm³/h荒煤气绿色提氢综合利用项目</w:t>
    </w:r>
  </w:p>
  <w:p w14:paraId="12D6EC91">
    <w:pPr>
      <w:keepNext/>
      <w:keepLine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D069">
    <w:pPr>
      <w:tabs>
        <w:tab w:val="center" w:pos="4153"/>
        <w:tab w:val="right" w:pos="830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0"/>
  <w:hyphenationZone w:val="360"/>
  <w:doNotHyphenateCaps/>
  <w:drawingGridHorizontalSpacing w:val="2"/>
  <w:drawingGridVerticalSpacing w:val="3"/>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Njg3MTU4MWM0YTQ0ZmYyMWNmNWNlNjBhZjA1ZGYifQ=="/>
    <w:docVar w:name="KSO_WPS_MARK_KEY" w:val="cadcc8e4-6fe5-4bda-857b-c073b1c760c5"/>
  </w:docVars>
  <w:rsids>
    <w:rsidRoot w:val="00172A27"/>
    <w:rsid w:val="00002318"/>
    <w:rsid w:val="0000572F"/>
    <w:rsid w:val="000060B3"/>
    <w:rsid w:val="00011951"/>
    <w:rsid w:val="0004364B"/>
    <w:rsid w:val="0005414E"/>
    <w:rsid w:val="00061B1F"/>
    <w:rsid w:val="00067CE5"/>
    <w:rsid w:val="000733C4"/>
    <w:rsid w:val="00074783"/>
    <w:rsid w:val="0008070B"/>
    <w:rsid w:val="000810AC"/>
    <w:rsid w:val="00081A02"/>
    <w:rsid w:val="00082231"/>
    <w:rsid w:val="0008466D"/>
    <w:rsid w:val="00092D38"/>
    <w:rsid w:val="0009377B"/>
    <w:rsid w:val="000A20C9"/>
    <w:rsid w:val="000A5A76"/>
    <w:rsid w:val="000B058F"/>
    <w:rsid w:val="000B4467"/>
    <w:rsid w:val="000B4DB9"/>
    <w:rsid w:val="000C09AC"/>
    <w:rsid w:val="000C767F"/>
    <w:rsid w:val="000D5A44"/>
    <w:rsid w:val="000E3ED2"/>
    <w:rsid w:val="000F283D"/>
    <w:rsid w:val="00102D1A"/>
    <w:rsid w:val="00123A5D"/>
    <w:rsid w:val="00131F42"/>
    <w:rsid w:val="001357F1"/>
    <w:rsid w:val="00140FA8"/>
    <w:rsid w:val="00142FEB"/>
    <w:rsid w:val="00143A2D"/>
    <w:rsid w:val="001442AE"/>
    <w:rsid w:val="00145A41"/>
    <w:rsid w:val="00151675"/>
    <w:rsid w:val="00156E8E"/>
    <w:rsid w:val="00157435"/>
    <w:rsid w:val="001706EA"/>
    <w:rsid w:val="0017504D"/>
    <w:rsid w:val="0017671A"/>
    <w:rsid w:val="00177422"/>
    <w:rsid w:val="001835F8"/>
    <w:rsid w:val="00184590"/>
    <w:rsid w:val="001870D1"/>
    <w:rsid w:val="0018781E"/>
    <w:rsid w:val="0019262D"/>
    <w:rsid w:val="00194BBD"/>
    <w:rsid w:val="001A1B35"/>
    <w:rsid w:val="001A48A2"/>
    <w:rsid w:val="001A6F61"/>
    <w:rsid w:val="001B72B8"/>
    <w:rsid w:val="001C69B3"/>
    <w:rsid w:val="001D5595"/>
    <w:rsid w:val="001D7874"/>
    <w:rsid w:val="001D7F22"/>
    <w:rsid w:val="001E2191"/>
    <w:rsid w:val="001E490B"/>
    <w:rsid w:val="001F0F17"/>
    <w:rsid w:val="001F2A51"/>
    <w:rsid w:val="001F3347"/>
    <w:rsid w:val="001F69E4"/>
    <w:rsid w:val="00201747"/>
    <w:rsid w:val="002125B4"/>
    <w:rsid w:val="002155B8"/>
    <w:rsid w:val="00224839"/>
    <w:rsid w:val="002249B2"/>
    <w:rsid w:val="00226574"/>
    <w:rsid w:val="002278EC"/>
    <w:rsid w:val="0023280E"/>
    <w:rsid w:val="002377D1"/>
    <w:rsid w:val="002506BC"/>
    <w:rsid w:val="00254345"/>
    <w:rsid w:val="00263165"/>
    <w:rsid w:val="0026441F"/>
    <w:rsid w:val="00264557"/>
    <w:rsid w:val="00272951"/>
    <w:rsid w:val="002805AB"/>
    <w:rsid w:val="00284204"/>
    <w:rsid w:val="002852F5"/>
    <w:rsid w:val="00291773"/>
    <w:rsid w:val="002A168C"/>
    <w:rsid w:val="002A3DC7"/>
    <w:rsid w:val="002B49E2"/>
    <w:rsid w:val="002B7B00"/>
    <w:rsid w:val="002B7C44"/>
    <w:rsid w:val="002C2B17"/>
    <w:rsid w:val="002C5A07"/>
    <w:rsid w:val="002D3DD0"/>
    <w:rsid w:val="002E1F3A"/>
    <w:rsid w:val="002E298A"/>
    <w:rsid w:val="002F7EFE"/>
    <w:rsid w:val="0030080A"/>
    <w:rsid w:val="00301978"/>
    <w:rsid w:val="0030332C"/>
    <w:rsid w:val="003051C2"/>
    <w:rsid w:val="00312296"/>
    <w:rsid w:val="00314F0E"/>
    <w:rsid w:val="00321D8E"/>
    <w:rsid w:val="00322836"/>
    <w:rsid w:val="00322D77"/>
    <w:rsid w:val="00325928"/>
    <w:rsid w:val="00332863"/>
    <w:rsid w:val="0033684D"/>
    <w:rsid w:val="0033755D"/>
    <w:rsid w:val="00337B42"/>
    <w:rsid w:val="00341B42"/>
    <w:rsid w:val="0034348F"/>
    <w:rsid w:val="00356653"/>
    <w:rsid w:val="0035743F"/>
    <w:rsid w:val="00357BE2"/>
    <w:rsid w:val="0036170C"/>
    <w:rsid w:val="00366E0F"/>
    <w:rsid w:val="0038034F"/>
    <w:rsid w:val="00381A72"/>
    <w:rsid w:val="00384676"/>
    <w:rsid w:val="003849ED"/>
    <w:rsid w:val="00390857"/>
    <w:rsid w:val="003A07B0"/>
    <w:rsid w:val="003A4BF3"/>
    <w:rsid w:val="003B2264"/>
    <w:rsid w:val="003B420D"/>
    <w:rsid w:val="003C2567"/>
    <w:rsid w:val="003C6C16"/>
    <w:rsid w:val="003D794D"/>
    <w:rsid w:val="003E3058"/>
    <w:rsid w:val="003E5F55"/>
    <w:rsid w:val="003E76A9"/>
    <w:rsid w:val="003F0809"/>
    <w:rsid w:val="003F6A8C"/>
    <w:rsid w:val="003F755C"/>
    <w:rsid w:val="00406F01"/>
    <w:rsid w:val="004126C8"/>
    <w:rsid w:val="00416D50"/>
    <w:rsid w:val="00416FD5"/>
    <w:rsid w:val="00417772"/>
    <w:rsid w:val="00420E6A"/>
    <w:rsid w:val="00423568"/>
    <w:rsid w:val="00425A9E"/>
    <w:rsid w:val="00426D6B"/>
    <w:rsid w:val="0042753B"/>
    <w:rsid w:val="00430E8A"/>
    <w:rsid w:val="00431E6C"/>
    <w:rsid w:val="00433CE7"/>
    <w:rsid w:val="004500BC"/>
    <w:rsid w:val="00452738"/>
    <w:rsid w:val="00456091"/>
    <w:rsid w:val="00457F68"/>
    <w:rsid w:val="00464D91"/>
    <w:rsid w:val="00466321"/>
    <w:rsid w:val="00484B9B"/>
    <w:rsid w:val="004855F6"/>
    <w:rsid w:val="0048661E"/>
    <w:rsid w:val="00486A0B"/>
    <w:rsid w:val="00494670"/>
    <w:rsid w:val="004A3823"/>
    <w:rsid w:val="004B6416"/>
    <w:rsid w:val="004D58F8"/>
    <w:rsid w:val="004E6946"/>
    <w:rsid w:val="004F1AD8"/>
    <w:rsid w:val="005039CB"/>
    <w:rsid w:val="00504824"/>
    <w:rsid w:val="0050558F"/>
    <w:rsid w:val="00506286"/>
    <w:rsid w:val="00510813"/>
    <w:rsid w:val="00511990"/>
    <w:rsid w:val="00511DE0"/>
    <w:rsid w:val="00514870"/>
    <w:rsid w:val="00514B9B"/>
    <w:rsid w:val="00517F02"/>
    <w:rsid w:val="00524303"/>
    <w:rsid w:val="005258A2"/>
    <w:rsid w:val="00533B7B"/>
    <w:rsid w:val="00537BC0"/>
    <w:rsid w:val="005401AE"/>
    <w:rsid w:val="00542E07"/>
    <w:rsid w:val="00545424"/>
    <w:rsid w:val="00554A7B"/>
    <w:rsid w:val="0055572C"/>
    <w:rsid w:val="0056106A"/>
    <w:rsid w:val="00563780"/>
    <w:rsid w:val="005720AE"/>
    <w:rsid w:val="00583C97"/>
    <w:rsid w:val="00586E6E"/>
    <w:rsid w:val="00594D77"/>
    <w:rsid w:val="005969E4"/>
    <w:rsid w:val="00597BAB"/>
    <w:rsid w:val="005A06B7"/>
    <w:rsid w:val="005A1759"/>
    <w:rsid w:val="005A68A7"/>
    <w:rsid w:val="005A6D08"/>
    <w:rsid w:val="005A7978"/>
    <w:rsid w:val="005B77F5"/>
    <w:rsid w:val="005C7336"/>
    <w:rsid w:val="005D2607"/>
    <w:rsid w:val="005D36AB"/>
    <w:rsid w:val="005D51C0"/>
    <w:rsid w:val="005E24CA"/>
    <w:rsid w:val="005E4E6F"/>
    <w:rsid w:val="00617CC3"/>
    <w:rsid w:val="006377A6"/>
    <w:rsid w:val="00637A3D"/>
    <w:rsid w:val="006411EF"/>
    <w:rsid w:val="00641456"/>
    <w:rsid w:val="00655620"/>
    <w:rsid w:val="006748B8"/>
    <w:rsid w:val="006775C3"/>
    <w:rsid w:val="006811F9"/>
    <w:rsid w:val="0069290A"/>
    <w:rsid w:val="0069775A"/>
    <w:rsid w:val="00697813"/>
    <w:rsid w:val="006A3EE8"/>
    <w:rsid w:val="006A72BF"/>
    <w:rsid w:val="006B03F2"/>
    <w:rsid w:val="006B37DC"/>
    <w:rsid w:val="006B4F68"/>
    <w:rsid w:val="006C0592"/>
    <w:rsid w:val="006C272E"/>
    <w:rsid w:val="006C5479"/>
    <w:rsid w:val="006D13B5"/>
    <w:rsid w:val="006E12FF"/>
    <w:rsid w:val="006E4CDB"/>
    <w:rsid w:val="006E607E"/>
    <w:rsid w:val="006F5272"/>
    <w:rsid w:val="006F7CE0"/>
    <w:rsid w:val="00706C5D"/>
    <w:rsid w:val="00732922"/>
    <w:rsid w:val="00745425"/>
    <w:rsid w:val="007455DB"/>
    <w:rsid w:val="0075162E"/>
    <w:rsid w:val="00754034"/>
    <w:rsid w:val="00756556"/>
    <w:rsid w:val="007618C4"/>
    <w:rsid w:val="00767980"/>
    <w:rsid w:val="00770B19"/>
    <w:rsid w:val="00771B0F"/>
    <w:rsid w:val="0077463F"/>
    <w:rsid w:val="00781758"/>
    <w:rsid w:val="00781DA5"/>
    <w:rsid w:val="007836EA"/>
    <w:rsid w:val="00784CDA"/>
    <w:rsid w:val="00787F04"/>
    <w:rsid w:val="007906C4"/>
    <w:rsid w:val="007940EA"/>
    <w:rsid w:val="007967E8"/>
    <w:rsid w:val="007A1938"/>
    <w:rsid w:val="007A2170"/>
    <w:rsid w:val="007A22BF"/>
    <w:rsid w:val="007A3323"/>
    <w:rsid w:val="007A78EA"/>
    <w:rsid w:val="007B72B8"/>
    <w:rsid w:val="007B7A58"/>
    <w:rsid w:val="007C21B5"/>
    <w:rsid w:val="007C5A63"/>
    <w:rsid w:val="007D2DB1"/>
    <w:rsid w:val="007D4C75"/>
    <w:rsid w:val="007E07B7"/>
    <w:rsid w:val="007E4BD2"/>
    <w:rsid w:val="007F7E25"/>
    <w:rsid w:val="00801393"/>
    <w:rsid w:val="00801F49"/>
    <w:rsid w:val="00802827"/>
    <w:rsid w:val="00802F88"/>
    <w:rsid w:val="0081293E"/>
    <w:rsid w:val="00813768"/>
    <w:rsid w:val="00814312"/>
    <w:rsid w:val="00815465"/>
    <w:rsid w:val="00817E9A"/>
    <w:rsid w:val="008306BD"/>
    <w:rsid w:val="00831A80"/>
    <w:rsid w:val="00833008"/>
    <w:rsid w:val="00833743"/>
    <w:rsid w:val="008340A4"/>
    <w:rsid w:val="00837E62"/>
    <w:rsid w:val="00870A33"/>
    <w:rsid w:val="0087135F"/>
    <w:rsid w:val="00872D94"/>
    <w:rsid w:val="00880364"/>
    <w:rsid w:val="0088691D"/>
    <w:rsid w:val="00891592"/>
    <w:rsid w:val="00891E9E"/>
    <w:rsid w:val="008A2F68"/>
    <w:rsid w:val="008A3870"/>
    <w:rsid w:val="008A5364"/>
    <w:rsid w:val="008B4FA6"/>
    <w:rsid w:val="008B5282"/>
    <w:rsid w:val="008B7C17"/>
    <w:rsid w:val="008C2D01"/>
    <w:rsid w:val="008C40E6"/>
    <w:rsid w:val="008C5440"/>
    <w:rsid w:val="008D0F7A"/>
    <w:rsid w:val="008D68E4"/>
    <w:rsid w:val="008E0506"/>
    <w:rsid w:val="008E0CFF"/>
    <w:rsid w:val="008E5351"/>
    <w:rsid w:val="008E5D6B"/>
    <w:rsid w:val="008E76F0"/>
    <w:rsid w:val="008F15FE"/>
    <w:rsid w:val="008F2D29"/>
    <w:rsid w:val="008F5187"/>
    <w:rsid w:val="008F60D8"/>
    <w:rsid w:val="00902727"/>
    <w:rsid w:val="0090312B"/>
    <w:rsid w:val="00915130"/>
    <w:rsid w:val="0091736D"/>
    <w:rsid w:val="0093037A"/>
    <w:rsid w:val="00930F64"/>
    <w:rsid w:val="00934FBD"/>
    <w:rsid w:val="0094154D"/>
    <w:rsid w:val="0095155F"/>
    <w:rsid w:val="00954429"/>
    <w:rsid w:val="009563CE"/>
    <w:rsid w:val="009633A2"/>
    <w:rsid w:val="00976328"/>
    <w:rsid w:val="0097680D"/>
    <w:rsid w:val="00981D54"/>
    <w:rsid w:val="00982438"/>
    <w:rsid w:val="0098404C"/>
    <w:rsid w:val="00985283"/>
    <w:rsid w:val="00992403"/>
    <w:rsid w:val="0099519C"/>
    <w:rsid w:val="00995992"/>
    <w:rsid w:val="009A03E5"/>
    <w:rsid w:val="009A0F3B"/>
    <w:rsid w:val="009A1BB4"/>
    <w:rsid w:val="009A2628"/>
    <w:rsid w:val="009A3200"/>
    <w:rsid w:val="009B0897"/>
    <w:rsid w:val="009B7BD9"/>
    <w:rsid w:val="009B7D83"/>
    <w:rsid w:val="009C7DD5"/>
    <w:rsid w:val="009E18A8"/>
    <w:rsid w:val="009E227D"/>
    <w:rsid w:val="009E5019"/>
    <w:rsid w:val="00A04F1B"/>
    <w:rsid w:val="00A0501B"/>
    <w:rsid w:val="00A14947"/>
    <w:rsid w:val="00A25CEF"/>
    <w:rsid w:val="00A306F2"/>
    <w:rsid w:val="00A32A83"/>
    <w:rsid w:val="00A368DB"/>
    <w:rsid w:val="00A41B8A"/>
    <w:rsid w:val="00A423AA"/>
    <w:rsid w:val="00A44BCF"/>
    <w:rsid w:val="00A53EC6"/>
    <w:rsid w:val="00A55C0F"/>
    <w:rsid w:val="00A8590F"/>
    <w:rsid w:val="00A8713F"/>
    <w:rsid w:val="00A90BA1"/>
    <w:rsid w:val="00A97A9A"/>
    <w:rsid w:val="00A97BEE"/>
    <w:rsid w:val="00AA0671"/>
    <w:rsid w:val="00AA2531"/>
    <w:rsid w:val="00AA48BC"/>
    <w:rsid w:val="00AA4E86"/>
    <w:rsid w:val="00AA7338"/>
    <w:rsid w:val="00AB1E09"/>
    <w:rsid w:val="00AB2887"/>
    <w:rsid w:val="00AB4A39"/>
    <w:rsid w:val="00AB5330"/>
    <w:rsid w:val="00AB7747"/>
    <w:rsid w:val="00AC0B09"/>
    <w:rsid w:val="00AC14CE"/>
    <w:rsid w:val="00AC2A56"/>
    <w:rsid w:val="00AD00C1"/>
    <w:rsid w:val="00AD055E"/>
    <w:rsid w:val="00AD47A7"/>
    <w:rsid w:val="00AF0CBF"/>
    <w:rsid w:val="00AF257F"/>
    <w:rsid w:val="00AF33CF"/>
    <w:rsid w:val="00AF4D50"/>
    <w:rsid w:val="00AF6179"/>
    <w:rsid w:val="00B03F38"/>
    <w:rsid w:val="00B059E9"/>
    <w:rsid w:val="00B1295A"/>
    <w:rsid w:val="00B20A45"/>
    <w:rsid w:val="00B22C5C"/>
    <w:rsid w:val="00B24F30"/>
    <w:rsid w:val="00B31ABF"/>
    <w:rsid w:val="00B327C7"/>
    <w:rsid w:val="00B33BE3"/>
    <w:rsid w:val="00B53B5D"/>
    <w:rsid w:val="00B57E28"/>
    <w:rsid w:val="00B6055E"/>
    <w:rsid w:val="00B6215E"/>
    <w:rsid w:val="00B6317D"/>
    <w:rsid w:val="00B636FF"/>
    <w:rsid w:val="00B7723F"/>
    <w:rsid w:val="00B80534"/>
    <w:rsid w:val="00B8433C"/>
    <w:rsid w:val="00B86DF5"/>
    <w:rsid w:val="00B87491"/>
    <w:rsid w:val="00BA29E9"/>
    <w:rsid w:val="00BA46F8"/>
    <w:rsid w:val="00BA7142"/>
    <w:rsid w:val="00BB237C"/>
    <w:rsid w:val="00BB41A3"/>
    <w:rsid w:val="00BC32DC"/>
    <w:rsid w:val="00BC35B6"/>
    <w:rsid w:val="00BD1B51"/>
    <w:rsid w:val="00BD4596"/>
    <w:rsid w:val="00BE1405"/>
    <w:rsid w:val="00BE312D"/>
    <w:rsid w:val="00BF1C20"/>
    <w:rsid w:val="00BF2806"/>
    <w:rsid w:val="00BF4BD4"/>
    <w:rsid w:val="00C10578"/>
    <w:rsid w:val="00C135BC"/>
    <w:rsid w:val="00C15C95"/>
    <w:rsid w:val="00C2596A"/>
    <w:rsid w:val="00C27537"/>
    <w:rsid w:val="00C328FE"/>
    <w:rsid w:val="00C33507"/>
    <w:rsid w:val="00C4409D"/>
    <w:rsid w:val="00C44E72"/>
    <w:rsid w:val="00C45A06"/>
    <w:rsid w:val="00C47E5B"/>
    <w:rsid w:val="00C55F6A"/>
    <w:rsid w:val="00C61E4B"/>
    <w:rsid w:val="00C64BFF"/>
    <w:rsid w:val="00C704E9"/>
    <w:rsid w:val="00C73028"/>
    <w:rsid w:val="00C73BFD"/>
    <w:rsid w:val="00C763C9"/>
    <w:rsid w:val="00C80057"/>
    <w:rsid w:val="00C82232"/>
    <w:rsid w:val="00C82913"/>
    <w:rsid w:val="00C87553"/>
    <w:rsid w:val="00C972B1"/>
    <w:rsid w:val="00CA2CCE"/>
    <w:rsid w:val="00CA43FD"/>
    <w:rsid w:val="00CA6690"/>
    <w:rsid w:val="00CA7EF8"/>
    <w:rsid w:val="00CC489B"/>
    <w:rsid w:val="00CD18E9"/>
    <w:rsid w:val="00CD2BCD"/>
    <w:rsid w:val="00CD3A4C"/>
    <w:rsid w:val="00CE10E9"/>
    <w:rsid w:val="00CE2910"/>
    <w:rsid w:val="00CE291E"/>
    <w:rsid w:val="00CE5393"/>
    <w:rsid w:val="00CE6E61"/>
    <w:rsid w:val="00CF36BE"/>
    <w:rsid w:val="00CF3E1A"/>
    <w:rsid w:val="00CF4B9E"/>
    <w:rsid w:val="00CF4D24"/>
    <w:rsid w:val="00CF6000"/>
    <w:rsid w:val="00D003F3"/>
    <w:rsid w:val="00D0364F"/>
    <w:rsid w:val="00D06834"/>
    <w:rsid w:val="00D1566F"/>
    <w:rsid w:val="00D16FCC"/>
    <w:rsid w:val="00D2705A"/>
    <w:rsid w:val="00D308ED"/>
    <w:rsid w:val="00D36D86"/>
    <w:rsid w:val="00D428AA"/>
    <w:rsid w:val="00D50A34"/>
    <w:rsid w:val="00D53EFA"/>
    <w:rsid w:val="00D70B77"/>
    <w:rsid w:val="00D71FBB"/>
    <w:rsid w:val="00D7544A"/>
    <w:rsid w:val="00D83A3A"/>
    <w:rsid w:val="00D94A7C"/>
    <w:rsid w:val="00D95896"/>
    <w:rsid w:val="00D9704B"/>
    <w:rsid w:val="00DA4B71"/>
    <w:rsid w:val="00DB2983"/>
    <w:rsid w:val="00DB7D0A"/>
    <w:rsid w:val="00DC1257"/>
    <w:rsid w:val="00DC3DC0"/>
    <w:rsid w:val="00DC4587"/>
    <w:rsid w:val="00DC5B2B"/>
    <w:rsid w:val="00DD16FE"/>
    <w:rsid w:val="00DD318D"/>
    <w:rsid w:val="00DD3727"/>
    <w:rsid w:val="00DD7993"/>
    <w:rsid w:val="00DE35E0"/>
    <w:rsid w:val="00DF2E12"/>
    <w:rsid w:val="00DF514A"/>
    <w:rsid w:val="00DF6690"/>
    <w:rsid w:val="00DF6804"/>
    <w:rsid w:val="00E0358D"/>
    <w:rsid w:val="00E04323"/>
    <w:rsid w:val="00E05083"/>
    <w:rsid w:val="00E070A2"/>
    <w:rsid w:val="00E2656A"/>
    <w:rsid w:val="00E32E9E"/>
    <w:rsid w:val="00E412D0"/>
    <w:rsid w:val="00E56322"/>
    <w:rsid w:val="00E60982"/>
    <w:rsid w:val="00E62C62"/>
    <w:rsid w:val="00E654C1"/>
    <w:rsid w:val="00E65D97"/>
    <w:rsid w:val="00E72A5A"/>
    <w:rsid w:val="00E73354"/>
    <w:rsid w:val="00E76928"/>
    <w:rsid w:val="00E85A36"/>
    <w:rsid w:val="00E87839"/>
    <w:rsid w:val="00E903A2"/>
    <w:rsid w:val="00E9242D"/>
    <w:rsid w:val="00E966F8"/>
    <w:rsid w:val="00EB5255"/>
    <w:rsid w:val="00EB5C47"/>
    <w:rsid w:val="00EC0A1E"/>
    <w:rsid w:val="00ED0639"/>
    <w:rsid w:val="00ED7A2A"/>
    <w:rsid w:val="00EE052E"/>
    <w:rsid w:val="00EF43DD"/>
    <w:rsid w:val="00EF4755"/>
    <w:rsid w:val="00EF7135"/>
    <w:rsid w:val="00F027DB"/>
    <w:rsid w:val="00F06F47"/>
    <w:rsid w:val="00F14A7A"/>
    <w:rsid w:val="00F22985"/>
    <w:rsid w:val="00F3383E"/>
    <w:rsid w:val="00F36715"/>
    <w:rsid w:val="00F465A7"/>
    <w:rsid w:val="00F50B7C"/>
    <w:rsid w:val="00F53AE6"/>
    <w:rsid w:val="00F550E6"/>
    <w:rsid w:val="00F74345"/>
    <w:rsid w:val="00F779DE"/>
    <w:rsid w:val="00F80A0A"/>
    <w:rsid w:val="00F82B19"/>
    <w:rsid w:val="00F9212D"/>
    <w:rsid w:val="00F965DA"/>
    <w:rsid w:val="00FA406A"/>
    <w:rsid w:val="00FA7DF8"/>
    <w:rsid w:val="00FB503A"/>
    <w:rsid w:val="00FB516C"/>
    <w:rsid w:val="00FD0236"/>
    <w:rsid w:val="00FD18F4"/>
    <w:rsid w:val="00FD54DB"/>
    <w:rsid w:val="00FD619F"/>
    <w:rsid w:val="011473B7"/>
    <w:rsid w:val="01290F7E"/>
    <w:rsid w:val="015D1E09"/>
    <w:rsid w:val="0160034F"/>
    <w:rsid w:val="01F90D35"/>
    <w:rsid w:val="02503B22"/>
    <w:rsid w:val="02697903"/>
    <w:rsid w:val="026A52A0"/>
    <w:rsid w:val="029324DC"/>
    <w:rsid w:val="02940DF3"/>
    <w:rsid w:val="02B524D4"/>
    <w:rsid w:val="02F96569"/>
    <w:rsid w:val="0300743A"/>
    <w:rsid w:val="03251383"/>
    <w:rsid w:val="03653A4F"/>
    <w:rsid w:val="03EA7B21"/>
    <w:rsid w:val="051045B5"/>
    <w:rsid w:val="05F83EAE"/>
    <w:rsid w:val="062C1E33"/>
    <w:rsid w:val="063E7D85"/>
    <w:rsid w:val="06711A1E"/>
    <w:rsid w:val="069445FA"/>
    <w:rsid w:val="06FB3027"/>
    <w:rsid w:val="070122E2"/>
    <w:rsid w:val="07293586"/>
    <w:rsid w:val="07295285"/>
    <w:rsid w:val="07502769"/>
    <w:rsid w:val="07636392"/>
    <w:rsid w:val="07770C56"/>
    <w:rsid w:val="07CD02C0"/>
    <w:rsid w:val="08574938"/>
    <w:rsid w:val="087313BF"/>
    <w:rsid w:val="092217DD"/>
    <w:rsid w:val="093A7294"/>
    <w:rsid w:val="09570A0D"/>
    <w:rsid w:val="095E7E4B"/>
    <w:rsid w:val="0A263993"/>
    <w:rsid w:val="0A2D3AC2"/>
    <w:rsid w:val="0AA755DF"/>
    <w:rsid w:val="0AFC7CCB"/>
    <w:rsid w:val="0B120D44"/>
    <w:rsid w:val="0B226B74"/>
    <w:rsid w:val="0B373F40"/>
    <w:rsid w:val="0B823C0D"/>
    <w:rsid w:val="0BBF4F12"/>
    <w:rsid w:val="0BD27BF6"/>
    <w:rsid w:val="0C3B3C7D"/>
    <w:rsid w:val="0C632FA1"/>
    <w:rsid w:val="0C7025B2"/>
    <w:rsid w:val="0CAB2EAE"/>
    <w:rsid w:val="0CCC3ECC"/>
    <w:rsid w:val="0CE400CA"/>
    <w:rsid w:val="0D621C7D"/>
    <w:rsid w:val="0DED6FC6"/>
    <w:rsid w:val="0DFD1718"/>
    <w:rsid w:val="0E2337BB"/>
    <w:rsid w:val="0E4F1BDF"/>
    <w:rsid w:val="0E73034D"/>
    <w:rsid w:val="0EDE2AC9"/>
    <w:rsid w:val="0F13775A"/>
    <w:rsid w:val="0F476BAA"/>
    <w:rsid w:val="0F5F45FE"/>
    <w:rsid w:val="0F9A112B"/>
    <w:rsid w:val="0FA22B5E"/>
    <w:rsid w:val="0FA24ADB"/>
    <w:rsid w:val="0FA61CD1"/>
    <w:rsid w:val="0FB04FF8"/>
    <w:rsid w:val="10284C2D"/>
    <w:rsid w:val="106D2F64"/>
    <w:rsid w:val="10B63710"/>
    <w:rsid w:val="10F10820"/>
    <w:rsid w:val="111C2F7A"/>
    <w:rsid w:val="11665CA1"/>
    <w:rsid w:val="119A5D81"/>
    <w:rsid w:val="124E1FB4"/>
    <w:rsid w:val="12852836"/>
    <w:rsid w:val="135A4CDE"/>
    <w:rsid w:val="13951726"/>
    <w:rsid w:val="13FB46C9"/>
    <w:rsid w:val="142D28A2"/>
    <w:rsid w:val="14396509"/>
    <w:rsid w:val="14DD2C3C"/>
    <w:rsid w:val="15001CD4"/>
    <w:rsid w:val="159D52E1"/>
    <w:rsid w:val="15E11CE8"/>
    <w:rsid w:val="16087E1D"/>
    <w:rsid w:val="169872A1"/>
    <w:rsid w:val="17533A7D"/>
    <w:rsid w:val="17701D14"/>
    <w:rsid w:val="17735226"/>
    <w:rsid w:val="17F13B56"/>
    <w:rsid w:val="182815B4"/>
    <w:rsid w:val="18860018"/>
    <w:rsid w:val="189B654C"/>
    <w:rsid w:val="189F624C"/>
    <w:rsid w:val="18D7304A"/>
    <w:rsid w:val="19A168BE"/>
    <w:rsid w:val="19AF674C"/>
    <w:rsid w:val="19D83304"/>
    <w:rsid w:val="19FA3892"/>
    <w:rsid w:val="1A1C66C0"/>
    <w:rsid w:val="1A42393B"/>
    <w:rsid w:val="1AAD45DE"/>
    <w:rsid w:val="1AB74354"/>
    <w:rsid w:val="1B046F80"/>
    <w:rsid w:val="1B3267B5"/>
    <w:rsid w:val="1B40161D"/>
    <w:rsid w:val="1B441859"/>
    <w:rsid w:val="1B6606B1"/>
    <w:rsid w:val="1B9273FE"/>
    <w:rsid w:val="1C5E7925"/>
    <w:rsid w:val="1C666129"/>
    <w:rsid w:val="1C775DEF"/>
    <w:rsid w:val="1CDE0C80"/>
    <w:rsid w:val="1CEA1ABA"/>
    <w:rsid w:val="1CFD070F"/>
    <w:rsid w:val="1D12551E"/>
    <w:rsid w:val="1D252139"/>
    <w:rsid w:val="1D5F6196"/>
    <w:rsid w:val="1D6132A5"/>
    <w:rsid w:val="1D853500"/>
    <w:rsid w:val="1D8E56D5"/>
    <w:rsid w:val="1E4F6B12"/>
    <w:rsid w:val="1E7A43DA"/>
    <w:rsid w:val="1E9B7306"/>
    <w:rsid w:val="1F4B6963"/>
    <w:rsid w:val="1FE7539E"/>
    <w:rsid w:val="20114D5A"/>
    <w:rsid w:val="20525345"/>
    <w:rsid w:val="20671BE0"/>
    <w:rsid w:val="20963CB8"/>
    <w:rsid w:val="20A81A1B"/>
    <w:rsid w:val="20B07FB6"/>
    <w:rsid w:val="20B646FB"/>
    <w:rsid w:val="20D60335"/>
    <w:rsid w:val="20F41473"/>
    <w:rsid w:val="211803A6"/>
    <w:rsid w:val="213B74B1"/>
    <w:rsid w:val="213E33EC"/>
    <w:rsid w:val="215A2310"/>
    <w:rsid w:val="21845A3B"/>
    <w:rsid w:val="21DE318A"/>
    <w:rsid w:val="21EF5B80"/>
    <w:rsid w:val="22576990"/>
    <w:rsid w:val="22CA6542"/>
    <w:rsid w:val="22F47480"/>
    <w:rsid w:val="23C01644"/>
    <w:rsid w:val="23DE1C48"/>
    <w:rsid w:val="23FB6E52"/>
    <w:rsid w:val="240210CD"/>
    <w:rsid w:val="24337F40"/>
    <w:rsid w:val="24A70416"/>
    <w:rsid w:val="24BF09F7"/>
    <w:rsid w:val="24DC1274"/>
    <w:rsid w:val="25243BB7"/>
    <w:rsid w:val="252D53FE"/>
    <w:rsid w:val="25936E82"/>
    <w:rsid w:val="25B04F24"/>
    <w:rsid w:val="25EC2D81"/>
    <w:rsid w:val="262D54E0"/>
    <w:rsid w:val="267D676A"/>
    <w:rsid w:val="269118C2"/>
    <w:rsid w:val="26A821CC"/>
    <w:rsid w:val="26AA47CE"/>
    <w:rsid w:val="26E86A6C"/>
    <w:rsid w:val="273771C3"/>
    <w:rsid w:val="277057A2"/>
    <w:rsid w:val="27E5410E"/>
    <w:rsid w:val="2819560A"/>
    <w:rsid w:val="282E4AB7"/>
    <w:rsid w:val="284612BD"/>
    <w:rsid w:val="284B461C"/>
    <w:rsid w:val="28942A08"/>
    <w:rsid w:val="28DB5BAE"/>
    <w:rsid w:val="29206EB8"/>
    <w:rsid w:val="29454ABE"/>
    <w:rsid w:val="29595666"/>
    <w:rsid w:val="29874881"/>
    <w:rsid w:val="29E325E0"/>
    <w:rsid w:val="29FB1B32"/>
    <w:rsid w:val="2A253AC4"/>
    <w:rsid w:val="2A452503"/>
    <w:rsid w:val="2A7C7BF7"/>
    <w:rsid w:val="2A8767E4"/>
    <w:rsid w:val="2B7D083E"/>
    <w:rsid w:val="2BA936A8"/>
    <w:rsid w:val="2BB13730"/>
    <w:rsid w:val="2BFE12E0"/>
    <w:rsid w:val="2C315A5A"/>
    <w:rsid w:val="2C452C77"/>
    <w:rsid w:val="2C4B1C25"/>
    <w:rsid w:val="2C534235"/>
    <w:rsid w:val="2C6875D6"/>
    <w:rsid w:val="2D557AF3"/>
    <w:rsid w:val="2D9E56F5"/>
    <w:rsid w:val="2E483A33"/>
    <w:rsid w:val="2E667F96"/>
    <w:rsid w:val="2E8226AB"/>
    <w:rsid w:val="2EA502BA"/>
    <w:rsid w:val="2EFD09FA"/>
    <w:rsid w:val="2F7B0DCD"/>
    <w:rsid w:val="2FD065E6"/>
    <w:rsid w:val="2FD96870"/>
    <w:rsid w:val="303F4429"/>
    <w:rsid w:val="30566052"/>
    <w:rsid w:val="30580BC9"/>
    <w:rsid w:val="30DD6324"/>
    <w:rsid w:val="311E2ED7"/>
    <w:rsid w:val="31540F86"/>
    <w:rsid w:val="31556AAC"/>
    <w:rsid w:val="315619EE"/>
    <w:rsid w:val="315C449C"/>
    <w:rsid w:val="31B82709"/>
    <w:rsid w:val="31D05482"/>
    <w:rsid w:val="32400B34"/>
    <w:rsid w:val="329E6876"/>
    <w:rsid w:val="32A54624"/>
    <w:rsid w:val="32DA3BCD"/>
    <w:rsid w:val="32EC166F"/>
    <w:rsid w:val="331F6756"/>
    <w:rsid w:val="333015F2"/>
    <w:rsid w:val="333B3CF7"/>
    <w:rsid w:val="334B6320"/>
    <w:rsid w:val="334D692C"/>
    <w:rsid w:val="33672A12"/>
    <w:rsid w:val="33A5601F"/>
    <w:rsid w:val="33D934D4"/>
    <w:rsid w:val="33E23DAF"/>
    <w:rsid w:val="33FE2F6A"/>
    <w:rsid w:val="340E07E5"/>
    <w:rsid w:val="341E7629"/>
    <w:rsid w:val="34235BF7"/>
    <w:rsid w:val="345152BA"/>
    <w:rsid w:val="345179FF"/>
    <w:rsid w:val="34BD3407"/>
    <w:rsid w:val="34DF55D2"/>
    <w:rsid w:val="35013CB6"/>
    <w:rsid w:val="351A6043"/>
    <w:rsid w:val="358C5FA8"/>
    <w:rsid w:val="35C15DF1"/>
    <w:rsid w:val="35E01B6E"/>
    <w:rsid w:val="36074A7F"/>
    <w:rsid w:val="3608233F"/>
    <w:rsid w:val="366B36FB"/>
    <w:rsid w:val="36923549"/>
    <w:rsid w:val="36B75FBF"/>
    <w:rsid w:val="36BD0C45"/>
    <w:rsid w:val="36D00BFA"/>
    <w:rsid w:val="370C40B1"/>
    <w:rsid w:val="371A2DAB"/>
    <w:rsid w:val="37E00298"/>
    <w:rsid w:val="38B302F9"/>
    <w:rsid w:val="38F12CD3"/>
    <w:rsid w:val="38F94775"/>
    <w:rsid w:val="392971ED"/>
    <w:rsid w:val="39325651"/>
    <w:rsid w:val="39690939"/>
    <w:rsid w:val="39E976D1"/>
    <w:rsid w:val="3A185265"/>
    <w:rsid w:val="3A27446B"/>
    <w:rsid w:val="3A872856"/>
    <w:rsid w:val="3AE67F74"/>
    <w:rsid w:val="3B044AC4"/>
    <w:rsid w:val="3B3763D1"/>
    <w:rsid w:val="3B4549AF"/>
    <w:rsid w:val="3B670AE5"/>
    <w:rsid w:val="3B6E70E8"/>
    <w:rsid w:val="3BB50376"/>
    <w:rsid w:val="3BD8664E"/>
    <w:rsid w:val="3BDC79C8"/>
    <w:rsid w:val="3BF07A78"/>
    <w:rsid w:val="3C117E6C"/>
    <w:rsid w:val="3C2F6E1E"/>
    <w:rsid w:val="3C48097A"/>
    <w:rsid w:val="3C4F64BA"/>
    <w:rsid w:val="3C7D1430"/>
    <w:rsid w:val="3C8C0591"/>
    <w:rsid w:val="3C96594B"/>
    <w:rsid w:val="3C9E1C4F"/>
    <w:rsid w:val="3CDA245A"/>
    <w:rsid w:val="3D1E06B7"/>
    <w:rsid w:val="3D1E0910"/>
    <w:rsid w:val="3D2309F4"/>
    <w:rsid w:val="3D715166"/>
    <w:rsid w:val="3D940618"/>
    <w:rsid w:val="3E717128"/>
    <w:rsid w:val="3EA22393"/>
    <w:rsid w:val="3EDA0523"/>
    <w:rsid w:val="3F120CD8"/>
    <w:rsid w:val="3F2443CD"/>
    <w:rsid w:val="3F7C69E6"/>
    <w:rsid w:val="400D3374"/>
    <w:rsid w:val="40474DA1"/>
    <w:rsid w:val="407A6407"/>
    <w:rsid w:val="407B4971"/>
    <w:rsid w:val="40A82CC7"/>
    <w:rsid w:val="40BB6B35"/>
    <w:rsid w:val="41384852"/>
    <w:rsid w:val="4200449D"/>
    <w:rsid w:val="42124EE8"/>
    <w:rsid w:val="423A3BCC"/>
    <w:rsid w:val="424E57D2"/>
    <w:rsid w:val="42B26C49"/>
    <w:rsid w:val="42D065F6"/>
    <w:rsid w:val="43137E8F"/>
    <w:rsid w:val="433A6FE6"/>
    <w:rsid w:val="43480868"/>
    <w:rsid w:val="4350713C"/>
    <w:rsid w:val="436653E0"/>
    <w:rsid w:val="43C4431A"/>
    <w:rsid w:val="43F42155"/>
    <w:rsid w:val="44301854"/>
    <w:rsid w:val="446402C1"/>
    <w:rsid w:val="44B951CC"/>
    <w:rsid w:val="44CD14E0"/>
    <w:rsid w:val="44E72496"/>
    <w:rsid w:val="44F20B0B"/>
    <w:rsid w:val="452E5F4C"/>
    <w:rsid w:val="45612018"/>
    <w:rsid w:val="458946E9"/>
    <w:rsid w:val="45997A6C"/>
    <w:rsid w:val="459C2AA4"/>
    <w:rsid w:val="45A47C0E"/>
    <w:rsid w:val="460E12D8"/>
    <w:rsid w:val="462878EF"/>
    <w:rsid w:val="46577FD6"/>
    <w:rsid w:val="46713F31"/>
    <w:rsid w:val="46903A3A"/>
    <w:rsid w:val="46B37D1E"/>
    <w:rsid w:val="46D81600"/>
    <w:rsid w:val="46D955A7"/>
    <w:rsid w:val="47133957"/>
    <w:rsid w:val="476C19BE"/>
    <w:rsid w:val="479A0273"/>
    <w:rsid w:val="47A07E0C"/>
    <w:rsid w:val="484E4BA3"/>
    <w:rsid w:val="4870272E"/>
    <w:rsid w:val="491246DB"/>
    <w:rsid w:val="492F1A48"/>
    <w:rsid w:val="49617FA5"/>
    <w:rsid w:val="49DC7715"/>
    <w:rsid w:val="49DC7D11"/>
    <w:rsid w:val="49F56A85"/>
    <w:rsid w:val="4A023139"/>
    <w:rsid w:val="4A296BD1"/>
    <w:rsid w:val="4A7B576F"/>
    <w:rsid w:val="4A950AB4"/>
    <w:rsid w:val="4ABA7A35"/>
    <w:rsid w:val="4AF561A9"/>
    <w:rsid w:val="4B105AC6"/>
    <w:rsid w:val="4BB8528D"/>
    <w:rsid w:val="4C4A0649"/>
    <w:rsid w:val="4C7E5ECA"/>
    <w:rsid w:val="4C874088"/>
    <w:rsid w:val="4C876AA5"/>
    <w:rsid w:val="4C993D5C"/>
    <w:rsid w:val="4CD17622"/>
    <w:rsid w:val="4D0E00FB"/>
    <w:rsid w:val="4D176606"/>
    <w:rsid w:val="4DD66FCD"/>
    <w:rsid w:val="4DEC4FB0"/>
    <w:rsid w:val="4E036F41"/>
    <w:rsid w:val="4E075D8A"/>
    <w:rsid w:val="4E1D611E"/>
    <w:rsid w:val="4EC00FAD"/>
    <w:rsid w:val="4F523E88"/>
    <w:rsid w:val="4F9843DC"/>
    <w:rsid w:val="4FC57255"/>
    <w:rsid w:val="4FC62A8C"/>
    <w:rsid w:val="4FE20F0D"/>
    <w:rsid w:val="4FE51552"/>
    <w:rsid w:val="503D23A3"/>
    <w:rsid w:val="50504C4B"/>
    <w:rsid w:val="50684D10"/>
    <w:rsid w:val="507D19B4"/>
    <w:rsid w:val="508B5943"/>
    <w:rsid w:val="509C6E7C"/>
    <w:rsid w:val="514C4CB4"/>
    <w:rsid w:val="51562359"/>
    <w:rsid w:val="5162104E"/>
    <w:rsid w:val="52666F84"/>
    <w:rsid w:val="52972F71"/>
    <w:rsid w:val="52F741A8"/>
    <w:rsid w:val="53A039CC"/>
    <w:rsid w:val="53A1505A"/>
    <w:rsid w:val="53FC18CE"/>
    <w:rsid w:val="54063E08"/>
    <w:rsid w:val="540E5DF5"/>
    <w:rsid w:val="543437E8"/>
    <w:rsid w:val="546179A0"/>
    <w:rsid w:val="54717557"/>
    <w:rsid w:val="54776AA0"/>
    <w:rsid w:val="5480416E"/>
    <w:rsid w:val="54AC023E"/>
    <w:rsid w:val="54F73313"/>
    <w:rsid w:val="54F80955"/>
    <w:rsid w:val="553F75B5"/>
    <w:rsid w:val="555170A7"/>
    <w:rsid w:val="5587536D"/>
    <w:rsid w:val="559B174B"/>
    <w:rsid w:val="55CE0CF4"/>
    <w:rsid w:val="560D4A0D"/>
    <w:rsid w:val="560E0CF1"/>
    <w:rsid w:val="560E52F8"/>
    <w:rsid w:val="56846382"/>
    <w:rsid w:val="56B22A9C"/>
    <w:rsid w:val="572120D5"/>
    <w:rsid w:val="57786534"/>
    <w:rsid w:val="57B72A76"/>
    <w:rsid w:val="57C3426C"/>
    <w:rsid w:val="57CE1F93"/>
    <w:rsid w:val="580A6350"/>
    <w:rsid w:val="583C6053"/>
    <w:rsid w:val="58873140"/>
    <w:rsid w:val="588743D1"/>
    <w:rsid w:val="5887701A"/>
    <w:rsid w:val="589D6645"/>
    <w:rsid w:val="58A40FA0"/>
    <w:rsid w:val="58F0494B"/>
    <w:rsid w:val="5924450C"/>
    <w:rsid w:val="59C0439F"/>
    <w:rsid w:val="5A6E6B2B"/>
    <w:rsid w:val="5AA169E0"/>
    <w:rsid w:val="5ABE2233"/>
    <w:rsid w:val="5AE87380"/>
    <w:rsid w:val="5B6661C9"/>
    <w:rsid w:val="5B910E9E"/>
    <w:rsid w:val="5BA66C84"/>
    <w:rsid w:val="5BDF5D95"/>
    <w:rsid w:val="5BF7086E"/>
    <w:rsid w:val="5BFE7528"/>
    <w:rsid w:val="5C170CF0"/>
    <w:rsid w:val="5C772DA9"/>
    <w:rsid w:val="5D4D615E"/>
    <w:rsid w:val="5E2467F1"/>
    <w:rsid w:val="5E5C0774"/>
    <w:rsid w:val="5E8C325E"/>
    <w:rsid w:val="5EC20D74"/>
    <w:rsid w:val="5F1A2B43"/>
    <w:rsid w:val="5F294094"/>
    <w:rsid w:val="5FB837BB"/>
    <w:rsid w:val="5FC3414D"/>
    <w:rsid w:val="5FC56F90"/>
    <w:rsid w:val="6062209F"/>
    <w:rsid w:val="606F760E"/>
    <w:rsid w:val="60780639"/>
    <w:rsid w:val="60791F08"/>
    <w:rsid w:val="60997EB4"/>
    <w:rsid w:val="60B63CC2"/>
    <w:rsid w:val="60C05441"/>
    <w:rsid w:val="60CC405A"/>
    <w:rsid w:val="60EE1FAE"/>
    <w:rsid w:val="60FE4D8B"/>
    <w:rsid w:val="617429C1"/>
    <w:rsid w:val="6183519F"/>
    <w:rsid w:val="61E215D8"/>
    <w:rsid w:val="621B3775"/>
    <w:rsid w:val="622B481B"/>
    <w:rsid w:val="62364782"/>
    <w:rsid w:val="626B30EE"/>
    <w:rsid w:val="63092071"/>
    <w:rsid w:val="63932BC1"/>
    <w:rsid w:val="6394356A"/>
    <w:rsid w:val="63C61B2C"/>
    <w:rsid w:val="63D40BE9"/>
    <w:rsid w:val="64102431"/>
    <w:rsid w:val="649479EC"/>
    <w:rsid w:val="64A5243A"/>
    <w:rsid w:val="64F531DE"/>
    <w:rsid w:val="65373578"/>
    <w:rsid w:val="6541771A"/>
    <w:rsid w:val="65D57BE0"/>
    <w:rsid w:val="65F56FA8"/>
    <w:rsid w:val="6638701E"/>
    <w:rsid w:val="664F7612"/>
    <w:rsid w:val="66CB087F"/>
    <w:rsid w:val="67034D4E"/>
    <w:rsid w:val="670C364F"/>
    <w:rsid w:val="671F124A"/>
    <w:rsid w:val="677A33C6"/>
    <w:rsid w:val="6797361B"/>
    <w:rsid w:val="681F6961"/>
    <w:rsid w:val="68610A2F"/>
    <w:rsid w:val="68805514"/>
    <w:rsid w:val="69316E2F"/>
    <w:rsid w:val="694E2071"/>
    <w:rsid w:val="69590F1B"/>
    <w:rsid w:val="69766163"/>
    <w:rsid w:val="697A3B33"/>
    <w:rsid w:val="69D44760"/>
    <w:rsid w:val="6A140C86"/>
    <w:rsid w:val="6A3A3EE3"/>
    <w:rsid w:val="6A433D74"/>
    <w:rsid w:val="6A520EC7"/>
    <w:rsid w:val="6AF87E20"/>
    <w:rsid w:val="6B122AFF"/>
    <w:rsid w:val="6B233875"/>
    <w:rsid w:val="6B322639"/>
    <w:rsid w:val="6BB805D1"/>
    <w:rsid w:val="6BED7F67"/>
    <w:rsid w:val="6C1C0317"/>
    <w:rsid w:val="6C636C38"/>
    <w:rsid w:val="6C766DAB"/>
    <w:rsid w:val="6D5E2269"/>
    <w:rsid w:val="6DB34098"/>
    <w:rsid w:val="6DB545B6"/>
    <w:rsid w:val="6DE02FB4"/>
    <w:rsid w:val="6DED0C59"/>
    <w:rsid w:val="6E514CED"/>
    <w:rsid w:val="6EA16EF3"/>
    <w:rsid w:val="6EB563D5"/>
    <w:rsid w:val="6ED92677"/>
    <w:rsid w:val="6EDE5FD4"/>
    <w:rsid w:val="6F225983"/>
    <w:rsid w:val="6F3A692E"/>
    <w:rsid w:val="6F8458F0"/>
    <w:rsid w:val="6FB74BCE"/>
    <w:rsid w:val="6FFC5590"/>
    <w:rsid w:val="70161E72"/>
    <w:rsid w:val="70236467"/>
    <w:rsid w:val="706D1DD0"/>
    <w:rsid w:val="70856B87"/>
    <w:rsid w:val="70D527EE"/>
    <w:rsid w:val="70E12FD1"/>
    <w:rsid w:val="71333A0D"/>
    <w:rsid w:val="715B5300"/>
    <w:rsid w:val="71D27F8A"/>
    <w:rsid w:val="72031C1C"/>
    <w:rsid w:val="723B489C"/>
    <w:rsid w:val="72553024"/>
    <w:rsid w:val="72B102B2"/>
    <w:rsid w:val="72D4420F"/>
    <w:rsid w:val="730E4732"/>
    <w:rsid w:val="73122968"/>
    <w:rsid w:val="731F5D5E"/>
    <w:rsid w:val="735017B2"/>
    <w:rsid w:val="73675B50"/>
    <w:rsid w:val="7371682B"/>
    <w:rsid w:val="73904282"/>
    <w:rsid w:val="73C51AD5"/>
    <w:rsid w:val="73E01C2A"/>
    <w:rsid w:val="741E793C"/>
    <w:rsid w:val="742F1AB3"/>
    <w:rsid w:val="745E3944"/>
    <w:rsid w:val="74786773"/>
    <w:rsid w:val="7499243D"/>
    <w:rsid w:val="74F373EB"/>
    <w:rsid w:val="75627B84"/>
    <w:rsid w:val="761353FB"/>
    <w:rsid w:val="7635099D"/>
    <w:rsid w:val="771B17AE"/>
    <w:rsid w:val="77762421"/>
    <w:rsid w:val="777C0D06"/>
    <w:rsid w:val="77B56B1F"/>
    <w:rsid w:val="77F277A5"/>
    <w:rsid w:val="780D6D66"/>
    <w:rsid w:val="780F09F4"/>
    <w:rsid w:val="78560BC2"/>
    <w:rsid w:val="78576C99"/>
    <w:rsid w:val="78757AE0"/>
    <w:rsid w:val="78A90480"/>
    <w:rsid w:val="79755B53"/>
    <w:rsid w:val="7981320B"/>
    <w:rsid w:val="79850A5C"/>
    <w:rsid w:val="79C66A06"/>
    <w:rsid w:val="79CF32A1"/>
    <w:rsid w:val="79D77E9F"/>
    <w:rsid w:val="7A0128FA"/>
    <w:rsid w:val="7A364017"/>
    <w:rsid w:val="7A523156"/>
    <w:rsid w:val="7A8265E1"/>
    <w:rsid w:val="7A9C1BEC"/>
    <w:rsid w:val="7B102A52"/>
    <w:rsid w:val="7B686D42"/>
    <w:rsid w:val="7B841746"/>
    <w:rsid w:val="7C4C54FE"/>
    <w:rsid w:val="7C6C5AC7"/>
    <w:rsid w:val="7CC6544B"/>
    <w:rsid w:val="7CED202F"/>
    <w:rsid w:val="7D0239FF"/>
    <w:rsid w:val="7D1730F6"/>
    <w:rsid w:val="7D2012E9"/>
    <w:rsid w:val="7D5E40CD"/>
    <w:rsid w:val="7DCD56F2"/>
    <w:rsid w:val="7E5123CE"/>
    <w:rsid w:val="7EC55B14"/>
    <w:rsid w:val="7F001CE7"/>
    <w:rsid w:val="7F026F13"/>
    <w:rsid w:val="7F0D1111"/>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uiPriority w:val="0"/>
    <w:pPr>
      <w:keepNext/>
      <w:keepLines/>
      <w:spacing w:before="120" w:after="120" w:line="360" w:lineRule="auto"/>
      <w:outlineLvl w:val="1"/>
    </w:pPr>
    <w:rPr>
      <w:rFonts w:ascii="Arial" w:hAnsi="Arial" w:eastAsia="黑体"/>
      <w:b/>
      <w:bCs/>
      <w:kern w:val="0"/>
      <w:sz w:val="32"/>
      <w:szCs w:val="32"/>
    </w:rPr>
  </w:style>
  <w:style w:type="paragraph" w:styleId="5">
    <w:name w:val="heading 3"/>
    <w:basedOn w:val="6"/>
    <w:next w:val="6"/>
    <w:qFormat/>
    <w:uiPriority w:val="0"/>
    <w:pPr>
      <w:keepNext/>
      <w:keepLines/>
      <w:spacing w:beforeLines="50" w:line="415" w:lineRule="auto"/>
      <w:jc w:val="left"/>
      <w:outlineLvl w:val="2"/>
    </w:pPr>
    <w:rPr>
      <w:rFonts w:ascii="Arial" w:hAnsi="Arial"/>
      <w:b/>
      <w:bCs/>
      <w:sz w:val="28"/>
      <w:szCs w:val="32"/>
    </w:rPr>
  </w:style>
  <w:style w:type="paragraph" w:styleId="2">
    <w:name w:val="heading 4"/>
    <w:basedOn w:val="1"/>
    <w:next w:val="1"/>
    <w:qFormat/>
    <w:uiPriority w:val="0"/>
    <w:pPr>
      <w:keepNext/>
      <w:keepLines/>
      <w:adjustRightInd w:val="0"/>
      <w:snapToGrid w:val="0"/>
      <w:spacing w:beforeLines="25" w:afterLines="25" w:line="360" w:lineRule="auto"/>
      <w:outlineLvl w:val="3"/>
    </w:pPr>
    <w:rPr>
      <w:rFonts w:ascii="Arial" w:hAnsi="Arial" w:eastAsia="黑体"/>
      <w:szCs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200" w:leftChars="200"/>
    </w:pPr>
  </w:style>
  <w:style w:type="paragraph" w:styleId="7">
    <w:name w:val="Document Map"/>
    <w:basedOn w:val="1"/>
    <w:semiHidden/>
    <w:qFormat/>
    <w:uiPriority w:val="0"/>
    <w:pPr>
      <w:shd w:val="clear" w:color="auto" w:fill="000080"/>
    </w:pPr>
  </w:style>
  <w:style w:type="paragraph" w:styleId="8">
    <w:name w:val="Body Text"/>
    <w:basedOn w:val="1"/>
    <w:qFormat/>
    <w:uiPriority w:val="99"/>
    <w:pPr>
      <w:autoSpaceDE w:val="0"/>
      <w:autoSpaceDN w:val="0"/>
      <w:adjustRightInd w:val="0"/>
      <w:spacing w:line="590" w:lineRule="exact"/>
      <w:ind w:firstLine="640" w:firstLineChars="200"/>
      <w:jc w:val="center"/>
    </w:pPr>
    <w:rPr>
      <w:rFonts w:ascii="方正小标宋简体" w:hAnsi="Times New Roman" w:eastAsia="方正小标宋简体"/>
      <w:kern w:val="0"/>
      <w:sz w:val="4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annotation subject"/>
    <w:semiHidden/>
    <w:qFormat/>
    <w:uiPriority w:val="0"/>
    <w:rPr>
      <w:rFonts w:ascii="Times New Roman" w:hAnsi="Times New Roman" w:eastAsia="宋体" w:cs="Times New Roman"/>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0"/>
    <w:rPr>
      <w:i/>
    </w:rPr>
  </w:style>
  <w:style w:type="character" w:styleId="17">
    <w:name w:val="annotation reference"/>
    <w:basedOn w:val="15"/>
    <w:semiHidden/>
    <w:qFormat/>
    <w:uiPriority w:val="0"/>
    <w:rPr>
      <w:sz w:val="21"/>
      <w:szCs w:val="21"/>
    </w:rPr>
  </w:style>
  <w:style w:type="paragraph" w:customStyle="1" w:styleId="18">
    <w:name w:val="环评报告书正文"/>
    <w:basedOn w:val="1"/>
    <w:next w:val="1"/>
    <w:link w:val="24"/>
    <w:qFormat/>
    <w:uiPriority w:val="0"/>
    <w:pPr>
      <w:kinsoku w:val="0"/>
      <w:overflowPunct w:val="0"/>
      <w:spacing w:line="360" w:lineRule="auto"/>
      <w:ind w:left="0" w:leftChars="0" w:right="0" w:rightChars="0" w:firstLine="496" w:firstLineChars="200"/>
    </w:pPr>
    <w:rPr>
      <w:rFonts w:ascii="Times New Roman" w:hAnsi="Times New Roman" w:eastAsia="宋体"/>
      <w:color w:val="000000"/>
      <w:spacing w:val="4"/>
      <w:kern w:val="2"/>
      <w:sz w:val="24"/>
      <w:szCs w:val="24"/>
    </w:rPr>
  </w:style>
  <w:style w:type="paragraph" w:customStyle="1" w:styleId="19">
    <w:name w:val="环评报告书-标题2"/>
    <w:basedOn w:val="1"/>
    <w:next w:val="1"/>
    <w:qFormat/>
    <w:uiPriority w:val="0"/>
    <w:pPr>
      <w:keepNext/>
      <w:keepLines/>
      <w:spacing w:line="360" w:lineRule="auto"/>
      <w:outlineLvl w:val="1"/>
    </w:pPr>
    <w:rPr>
      <w:rFonts w:hint="eastAsia" w:ascii="楷体" w:hAnsi="楷体" w:eastAsia="楷体" w:cs="楷体"/>
      <w:b/>
      <w:color w:val="000000"/>
      <w:sz w:val="28"/>
      <w:szCs w:val="28"/>
    </w:rPr>
  </w:style>
  <w:style w:type="paragraph" w:customStyle="1" w:styleId="20">
    <w:name w:val="环评报告书-标题3"/>
    <w:basedOn w:val="1"/>
    <w:next w:val="1"/>
    <w:qFormat/>
    <w:uiPriority w:val="0"/>
    <w:pPr>
      <w:keepLines/>
      <w:spacing w:line="360" w:lineRule="auto"/>
      <w:outlineLvl w:val="2"/>
    </w:pPr>
    <w:rPr>
      <w:rFonts w:hint="eastAsia" w:ascii="宋体" w:hAnsi="宋体" w:eastAsia="宋体" w:cs="宋体"/>
      <w:b/>
      <w:color w:val="000000"/>
      <w:sz w:val="24"/>
    </w:rPr>
  </w:style>
  <w:style w:type="paragraph" w:customStyle="1" w:styleId="21">
    <w:name w:val="表格格式"/>
    <w:basedOn w:val="1"/>
    <w:next w:val="1"/>
    <w:semiHidden/>
    <w:qFormat/>
    <w:uiPriority w:val="0"/>
    <w:pPr>
      <w:adjustRightInd/>
      <w:snapToGrid/>
      <w:spacing w:line="280" w:lineRule="exact"/>
      <w:jc w:val="center"/>
    </w:pPr>
    <w:rPr>
      <w:rFonts w:ascii="宋体" w:hAnsi="宋体" w:eastAsia="宋体" w:cs="宋体"/>
      <w:snapToGrid w:val="0"/>
      <w:color w:val="000000"/>
      <w:kern w:val="0"/>
      <w:szCs w:val="18"/>
      <w:lang w:eastAsia="en-US"/>
    </w:rPr>
  </w:style>
  <w:style w:type="paragraph" w:customStyle="1" w:styleId="22">
    <w:name w:val="报告书表格"/>
    <w:basedOn w:val="1"/>
    <w:next w:val="1"/>
    <w:qFormat/>
    <w:uiPriority w:val="0"/>
    <w:pPr>
      <w:widowControl/>
      <w:spacing w:line="280" w:lineRule="exact"/>
      <w:jc w:val="center"/>
    </w:pPr>
    <w:rPr>
      <w:color w:val="000000"/>
      <w:sz w:val="21"/>
      <w:szCs w:val="21"/>
    </w:rPr>
  </w:style>
  <w:style w:type="paragraph" w:customStyle="1" w:styleId="23">
    <w:name w:val="环评报告书表头"/>
    <w:basedOn w:val="1"/>
    <w:next w:val="1"/>
    <w:qFormat/>
    <w:uiPriority w:val="0"/>
    <w:pPr>
      <w:tabs>
        <w:tab w:val="left" w:pos="360"/>
        <w:tab w:val="left" w:pos="1620"/>
      </w:tabs>
      <w:spacing w:line="360" w:lineRule="auto"/>
      <w:jc w:val="center"/>
      <w:outlineLvl w:val="8"/>
    </w:pPr>
    <w:rPr>
      <w:rFonts w:hint="eastAsia" w:ascii="黑体" w:hAnsi="黑体" w:eastAsia="黑体" w:cs="黑体"/>
      <w:b/>
      <w:color w:val="000000"/>
      <w:sz w:val="21"/>
      <w:szCs w:val="21"/>
    </w:rPr>
  </w:style>
  <w:style w:type="character" w:customStyle="1" w:styleId="24">
    <w:name w:val="环评报告书正文 Char"/>
    <w:link w:val="18"/>
    <w:qFormat/>
    <w:uiPriority w:val="0"/>
    <w:rPr>
      <w:rFonts w:ascii="Times New Roman" w:hAnsi="Times New Roman" w:eastAsia="宋体"/>
      <w:color w:val="000000"/>
      <w:spacing w:val="4"/>
      <w:kern w:val="2"/>
      <w:sz w:val="24"/>
      <w:szCs w:val="24"/>
    </w:rPr>
  </w:style>
  <w:style w:type="paragraph" w:customStyle="1" w:styleId="25">
    <w:name w:val="环评报告表-图、表头"/>
    <w:basedOn w:val="1"/>
    <w:next w:val="1"/>
    <w:qFormat/>
    <w:uiPriority w:val="0"/>
    <w:pPr>
      <w:autoSpaceDE w:val="0"/>
      <w:autoSpaceDN w:val="0"/>
      <w:spacing w:line="360" w:lineRule="auto"/>
      <w:jc w:val="center"/>
      <w:outlineLvl w:val="8"/>
    </w:pPr>
    <w:rPr>
      <w:rFonts w:hint="eastAsia" w:ascii="黑体" w:hAnsi="黑体" w:eastAsia="黑体" w:cs="黑体"/>
      <w:bCs/>
      <w:szCs w:val="21"/>
    </w:rPr>
  </w:style>
  <w:style w:type="paragraph" w:customStyle="1" w:styleId="26">
    <w:name w:val="表格内容"/>
    <w:basedOn w:val="1"/>
    <w:qFormat/>
    <w:uiPriority w:val="0"/>
    <w:pPr>
      <w:spacing w:line="280" w:lineRule="exact"/>
      <w:jc w:val="center"/>
    </w:pPr>
    <w:rPr>
      <w:rFonts w:hint="eastAsia" w:ascii="Times New Roman" w:hAnsi="Times New Roman" w:eastAsia="宋体"/>
    </w:rPr>
  </w:style>
  <w:style w:type="paragraph" w:customStyle="1" w:styleId="27">
    <w:name w:val="环评报告书-标题4"/>
    <w:basedOn w:val="1"/>
    <w:next w:val="1"/>
    <w:qFormat/>
    <w:uiPriority w:val="0"/>
    <w:pPr>
      <w:keepNext/>
      <w:keepLines/>
      <w:spacing w:line="360" w:lineRule="auto"/>
      <w:ind w:firstLine="480" w:firstLineChars="200"/>
      <w:outlineLvl w:val="3"/>
    </w:pPr>
    <w:rPr>
      <w:rFonts w:hint="eastAsia" w:ascii="宋体" w:hAnsi="宋体" w:eastAsia="宋体" w:cs="宋体"/>
      <w:b/>
      <w:bCs/>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7.wmf"/><Relationship Id="rId21" Type="http://schemas.openxmlformats.org/officeDocument/2006/relationships/oleObject" Target="embeddings/oleObject4.bin"/><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3.bin"/><Relationship Id="rId17" Type="http://schemas.openxmlformats.org/officeDocument/2006/relationships/image" Target="media/image4.emf"/><Relationship Id="rId16" Type="http://schemas.openxmlformats.org/officeDocument/2006/relationships/oleObject" Target="embeddings/oleObject2.bin"/><Relationship Id="rId15" Type="http://schemas.openxmlformats.org/officeDocument/2006/relationships/image" Target="media/image3.png"/><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68</Pages>
  <Words>14191</Words>
  <Characters>16328</Characters>
  <Lines>324</Lines>
  <Paragraphs>91</Paragraphs>
  <TotalTime>62</TotalTime>
  <ScaleCrop>false</ScaleCrop>
  <LinksUpToDate>false</LinksUpToDate>
  <CharactersWithSpaces>16429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2021-10-13T10:45:00Z</dcterms:created>
  <dc:creator>Sky123.Org</dc:creator>
  <cp:lastModifiedBy>王学珍</cp:lastModifiedBy>
  <cp:lastPrinted>2024-10-24T02:41:00Z</cp:lastPrinted>
  <dcterms:modified xsi:type="dcterms:W3CDTF">2024-12-27T03:55:57Z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14B6841B5B184C2B8B10F59CC898696C_13</vt:lpwstr>
  </property>
  <property fmtid="{D5CDD505-2E9C-101B-9397-08002B2CF9AE}" pid="4" name="KSOTemplateDocerSaveRecord">
    <vt:lpwstr>eyJoZGlkIjoiMDE5MzY4NTVmNWNkM2FiOTE3MzcxMWViN2E1MTkyMzYifQ==</vt:lpwstr>
  </property>
</Properties>
</file>