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50017">
      <w:pPr>
        <w:rPr>
          <w:rFonts w:eastAsia="仿宋_GB2312" w:cs="仿宋_GB2312"/>
          <w:color w:val="auto"/>
          <w:sz w:val="36"/>
          <w:szCs w:val="36"/>
        </w:rPr>
      </w:pPr>
    </w:p>
    <w:p w14:paraId="3C115CAE">
      <w:pPr>
        <w:rPr>
          <w:rFonts w:eastAsia="仿宋_GB2312" w:cs="仿宋_GB2312"/>
          <w:color w:val="auto"/>
          <w:sz w:val="36"/>
          <w:szCs w:val="36"/>
        </w:rPr>
      </w:pPr>
    </w:p>
    <w:p w14:paraId="011D4F77">
      <w:pPr>
        <w:rPr>
          <w:rFonts w:eastAsia="仿宋_GB2312" w:cs="仿宋_GB2312"/>
          <w:color w:val="auto"/>
          <w:sz w:val="36"/>
          <w:szCs w:val="36"/>
        </w:rPr>
      </w:pPr>
    </w:p>
    <w:p w14:paraId="5C7E29F2">
      <w:pPr>
        <w:rPr>
          <w:rFonts w:eastAsia="仿宋_GB2312" w:cs="仿宋_GB2312"/>
          <w:color w:val="auto"/>
          <w:sz w:val="36"/>
          <w:szCs w:val="36"/>
        </w:rPr>
      </w:pPr>
    </w:p>
    <w:p w14:paraId="6F1C1F13">
      <w:pPr>
        <w:rPr>
          <w:rFonts w:eastAsia="仿宋_GB2312" w:cs="仿宋_GB2312"/>
          <w:color w:val="auto"/>
          <w:sz w:val="36"/>
          <w:szCs w:val="36"/>
        </w:rPr>
      </w:pPr>
    </w:p>
    <w:p w14:paraId="24E1125E">
      <w:pPr>
        <w:snapToGrid w:val="0"/>
        <w:jc w:val="center"/>
        <w:outlineLvl w:val="2"/>
        <w:rPr>
          <w:rFonts w:eastAsia="方正小标宋_GBK"/>
          <w:bCs/>
          <w:color w:val="auto"/>
          <w:sz w:val="72"/>
          <w:szCs w:val="72"/>
        </w:rPr>
      </w:pPr>
      <w:r>
        <w:rPr>
          <w:rFonts w:hint="eastAsia" w:eastAsia="方正小标宋_GBK"/>
          <w:bCs/>
          <w:color w:val="auto"/>
          <w:sz w:val="72"/>
          <w:szCs w:val="72"/>
        </w:rPr>
        <w:t>建设项目环境影响报告表</w:t>
      </w:r>
    </w:p>
    <w:p w14:paraId="698A5A5E">
      <w:pPr>
        <w:snapToGrid w:val="0"/>
        <w:spacing w:before="192" w:beforeLines="80"/>
        <w:jc w:val="center"/>
        <w:rPr>
          <w:rFonts w:eastAsia="楷体_GB2312"/>
          <w:bCs/>
          <w:color w:val="auto"/>
          <w:sz w:val="48"/>
          <w:szCs w:val="48"/>
        </w:rPr>
      </w:pPr>
      <w:r>
        <w:rPr>
          <w:rFonts w:hint="eastAsia" w:eastAsia="楷体_GB2312"/>
          <w:bCs/>
          <w:color w:val="auto"/>
          <w:sz w:val="48"/>
          <w:szCs w:val="48"/>
        </w:rPr>
        <w:t>（污染影响类）</w:t>
      </w:r>
    </w:p>
    <w:p w14:paraId="7BB9A727">
      <w:pPr>
        <w:snapToGrid w:val="0"/>
        <w:spacing w:before="192" w:beforeLines="80"/>
        <w:jc w:val="center"/>
        <w:rPr>
          <w:rFonts w:eastAsia="楷体_GB2312"/>
          <w:bCs/>
          <w:color w:val="auto"/>
          <w:sz w:val="48"/>
          <w:szCs w:val="48"/>
        </w:rPr>
      </w:pPr>
    </w:p>
    <w:p w14:paraId="1C4E8FA9">
      <w:pPr>
        <w:snapToGrid w:val="0"/>
        <w:spacing w:before="192" w:beforeLines="80"/>
        <w:jc w:val="center"/>
        <w:rPr>
          <w:rFonts w:eastAsia="楷体_GB2312"/>
          <w:bCs/>
          <w:color w:val="auto"/>
          <w:sz w:val="48"/>
          <w:szCs w:val="48"/>
        </w:rPr>
      </w:pPr>
    </w:p>
    <w:p w14:paraId="0CEA100D">
      <w:pPr>
        <w:snapToGrid w:val="0"/>
        <w:spacing w:before="192" w:beforeLines="80"/>
        <w:jc w:val="center"/>
        <w:rPr>
          <w:rFonts w:eastAsia="楷体_GB2312"/>
          <w:bCs/>
          <w:color w:val="auto"/>
          <w:sz w:val="48"/>
          <w:szCs w:val="48"/>
        </w:rPr>
      </w:pPr>
    </w:p>
    <w:p w14:paraId="0A768B68">
      <w:pPr>
        <w:snapToGrid w:val="0"/>
        <w:spacing w:before="192" w:beforeLines="80"/>
        <w:jc w:val="center"/>
        <w:rPr>
          <w:rFonts w:eastAsia="楷体_GB2312"/>
          <w:bCs/>
          <w:color w:val="auto"/>
          <w:sz w:val="48"/>
          <w:szCs w:val="48"/>
        </w:rPr>
      </w:pPr>
    </w:p>
    <w:p w14:paraId="00CECF9B">
      <w:pPr>
        <w:snapToGrid w:val="0"/>
        <w:spacing w:before="192" w:beforeLines="80"/>
        <w:jc w:val="center"/>
        <w:rPr>
          <w:rFonts w:eastAsia="楷体_GB2312"/>
          <w:bCs/>
          <w:color w:val="auto"/>
          <w:sz w:val="48"/>
          <w:szCs w:val="48"/>
        </w:rPr>
      </w:pPr>
    </w:p>
    <w:p w14:paraId="18FF10FA">
      <w:pPr>
        <w:snapToGrid w:val="0"/>
        <w:spacing w:before="192" w:beforeLines="80"/>
        <w:jc w:val="center"/>
        <w:rPr>
          <w:rFonts w:eastAsia="楷体_GB2312"/>
          <w:bCs/>
          <w:color w:val="auto"/>
          <w:sz w:val="48"/>
          <w:szCs w:val="48"/>
        </w:rPr>
      </w:pPr>
    </w:p>
    <w:p w14:paraId="0C3B0BFC">
      <w:pPr>
        <w:snapToGrid w:val="0"/>
        <w:spacing w:before="192" w:beforeLines="80"/>
        <w:jc w:val="center"/>
        <w:rPr>
          <w:rFonts w:eastAsia="楷体_GB2312"/>
          <w:bCs/>
          <w:color w:val="auto"/>
          <w:sz w:val="48"/>
          <w:szCs w:val="48"/>
        </w:rPr>
      </w:pPr>
    </w:p>
    <w:tbl>
      <w:tblPr>
        <w:tblStyle w:val="20"/>
        <w:tblW w:w="0" w:type="auto"/>
        <w:jc w:val="center"/>
        <w:tblLayout w:type="autofit"/>
        <w:tblCellMar>
          <w:top w:w="0" w:type="dxa"/>
          <w:left w:w="0" w:type="dxa"/>
          <w:bottom w:w="0" w:type="dxa"/>
          <w:right w:w="0" w:type="dxa"/>
        </w:tblCellMar>
      </w:tblPr>
      <w:tblGrid>
        <w:gridCol w:w="2405"/>
        <w:gridCol w:w="5250"/>
      </w:tblGrid>
      <w:tr w14:paraId="3D394CE3">
        <w:tblPrEx>
          <w:tblCellMar>
            <w:top w:w="0" w:type="dxa"/>
            <w:left w:w="0" w:type="dxa"/>
            <w:bottom w:w="0" w:type="dxa"/>
            <w:right w:w="0" w:type="dxa"/>
          </w:tblCellMar>
        </w:tblPrEx>
        <w:trPr>
          <w:trHeight w:val="169" w:hRule="atLeast"/>
          <w:jc w:val="center"/>
        </w:trPr>
        <w:tc>
          <w:tcPr>
            <w:tcW w:w="2405" w:type="dxa"/>
            <w:shd w:val="clear" w:color="auto" w:fill="auto"/>
            <w:vAlign w:val="center"/>
          </w:tcPr>
          <w:p w14:paraId="50477443">
            <w:pPr>
              <w:spacing w:line="480" w:lineRule="exact"/>
              <w:jc w:val="distribute"/>
              <w:rPr>
                <w:color w:val="auto"/>
                <w:sz w:val="30"/>
                <w:szCs w:val="30"/>
              </w:rPr>
            </w:pPr>
            <w:r>
              <w:rPr>
                <w:rFonts w:eastAsia="微软雅黑"/>
                <w:color w:val="auto"/>
                <w:sz w:val="30"/>
                <w:szCs w:val="30"/>
              </w:rPr>
              <w:t>项目名称：</w:t>
            </w:r>
          </w:p>
        </w:tc>
        <w:tc>
          <w:tcPr>
            <w:tcW w:w="5250" w:type="dxa"/>
            <w:tcBorders>
              <w:bottom w:val="single" w:color="auto" w:sz="4" w:space="0"/>
            </w:tcBorders>
            <w:shd w:val="clear" w:color="auto" w:fill="auto"/>
            <w:vAlign w:val="center"/>
          </w:tcPr>
          <w:p w14:paraId="2D15ED31">
            <w:pPr>
              <w:spacing w:line="360" w:lineRule="exact"/>
              <w:jc w:val="center"/>
              <w:rPr>
                <w:color w:val="auto"/>
                <w:sz w:val="30"/>
                <w:szCs w:val="30"/>
              </w:rPr>
            </w:pPr>
            <w:r>
              <w:rPr>
                <w:rFonts w:hint="eastAsia"/>
                <w:color w:val="auto"/>
                <w:sz w:val="30"/>
                <w:szCs w:val="30"/>
              </w:rPr>
              <w:t>新疆瑞科华兴供应链管理有限公司300万吨/年铁路装车煤炭（集装箱）中转站及配套设施建设项目</w:t>
            </w:r>
          </w:p>
        </w:tc>
      </w:tr>
      <w:tr w14:paraId="62B936E2">
        <w:tblPrEx>
          <w:tblCellMar>
            <w:top w:w="0" w:type="dxa"/>
            <w:left w:w="0" w:type="dxa"/>
            <w:bottom w:w="0" w:type="dxa"/>
            <w:right w:w="0" w:type="dxa"/>
          </w:tblCellMar>
        </w:tblPrEx>
        <w:trPr>
          <w:trHeight w:val="575" w:hRule="atLeast"/>
          <w:jc w:val="center"/>
        </w:trPr>
        <w:tc>
          <w:tcPr>
            <w:tcW w:w="2405" w:type="dxa"/>
            <w:shd w:val="clear" w:color="auto" w:fill="auto"/>
            <w:vAlign w:val="center"/>
          </w:tcPr>
          <w:p w14:paraId="5A47835E">
            <w:pPr>
              <w:spacing w:line="640" w:lineRule="exact"/>
              <w:jc w:val="distribute"/>
              <w:rPr>
                <w:color w:val="auto"/>
                <w:sz w:val="30"/>
                <w:szCs w:val="30"/>
              </w:rPr>
            </w:pPr>
            <w:r>
              <w:rPr>
                <w:rFonts w:eastAsia="微软雅黑"/>
                <w:color w:val="auto"/>
                <w:sz w:val="30"/>
                <w:szCs w:val="30"/>
              </w:rPr>
              <w:t>建设单位(盖章)：</w:t>
            </w:r>
          </w:p>
        </w:tc>
        <w:tc>
          <w:tcPr>
            <w:tcW w:w="5250" w:type="dxa"/>
            <w:tcBorders>
              <w:top w:val="single" w:color="auto" w:sz="4" w:space="0"/>
              <w:bottom w:val="single" w:color="auto" w:sz="4" w:space="0"/>
            </w:tcBorders>
            <w:shd w:val="clear" w:color="auto" w:fill="auto"/>
            <w:vAlign w:val="center"/>
          </w:tcPr>
          <w:p w14:paraId="0487A45D">
            <w:pPr>
              <w:spacing w:line="360" w:lineRule="exact"/>
              <w:jc w:val="center"/>
              <w:rPr>
                <w:color w:val="auto"/>
                <w:sz w:val="30"/>
                <w:szCs w:val="30"/>
              </w:rPr>
            </w:pPr>
            <w:r>
              <w:rPr>
                <w:rFonts w:hint="eastAsia"/>
                <w:color w:val="auto"/>
                <w:sz w:val="30"/>
                <w:szCs w:val="30"/>
              </w:rPr>
              <w:t>新疆瑞科华兴供应链管理有限公司</w:t>
            </w:r>
          </w:p>
        </w:tc>
      </w:tr>
      <w:tr w14:paraId="16B316E6">
        <w:tblPrEx>
          <w:tblCellMar>
            <w:top w:w="0" w:type="dxa"/>
            <w:left w:w="0" w:type="dxa"/>
            <w:bottom w:w="0" w:type="dxa"/>
            <w:right w:w="0" w:type="dxa"/>
          </w:tblCellMar>
        </w:tblPrEx>
        <w:trPr>
          <w:jc w:val="center"/>
        </w:trPr>
        <w:tc>
          <w:tcPr>
            <w:tcW w:w="2405" w:type="dxa"/>
            <w:shd w:val="clear" w:color="auto" w:fill="auto"/>
            <w:vAlign w:val="center"/>
          </w:tcPr>
          <w:p w14:paraId="767B77A8">
            <w:pPr>
              <w:spacing w:line="640" w:lineRule="exact"/>
              <w:jc w:val="distribute"/>
              <w:rPr>
                <w:color w:val="auto"/>
                <w:sz w:val="30"/>
                <w:szCs w:val="30"/>
              </w:rPr>
            </w:pPr>
            <w:r>
              <w:rPr>
                <w:rFonts w:eastAsia="微软雅黑"/>
                <w:color w:val="auto"/>
                <w:sz w:val="30"/>
                <w:szCs w:val="30"/>
              </w:rPr>
              <w:t>编制日期：</w:t>
            </w:r>
          </w:p>
        </w:tc>
        <w:tc>
          <w:tcPr>
            <w:tcW w:w="5250" w:type="dxa"/>
            <w:tcBorders>
              <w:top w:val="single" w:color="auto" w:sz="4" w:space="0"/>
              <w:bottom w:val="single" w:color="auto" w:sz="4" w:space="0"/>
            </w:tcBorders>
            <w:shd w:val="clear" w:color="auto" w:fill="auto"/>
            <w:vAlign w:val="center"/>
          </w:tcPr>
          <w:p w14:paraId="79AA5606">
            <w:pPr>
              <w:spacing w:line="640" w:lineRule="exact"/>
              <w:jc w:val="center"/>
              <w:rPr>
                <w:color w:val="auto"/>
                <w:sz w:val="30"/>
                <w:szCs w:val="30"/>
              </w:rPr>
            </w:pPr>
            <w:r>
              <w:rPr>
                <w:rFonts w:hint="eastAsia"/>
                <w:color w:val="auto"/>
                <w:sz w:val="30"/>
                <w:szCs w:val="30"/>
              </w:rPr>
              <w:t>2024年10月</w:t>
            </w:r>
          </w:p>
        </w:tc>
      </w:tr>
    </w:tbl>
    <w:p w14:paraId="6F822CA0">
      <w:pPr>
        <w:adjustRightInd w:val="0"/>
        <w:snapToGrid w:val="0"/>
        <w:spacing w:line="288" w:lineRule="auto"/>
        <w:jc w:val="center"/>
        <w:rPr>
          <w:rFonts w:eastAsia="华文楷体" w:cs="华文楷体"/>
          <w:color w:val="auto"/>
          <w:sz w:val="36"/>
          <w:szCs w:val="36"/>
        </w:rPr>
      </w:pPr>
    </w:p>
    <w:p w14:paraId="42648A09">
      <w:pPr>
        <w:adjustRightInd w:val="0"/>
        <w:snapToGrid w:val="0"/>
        <w:spacing w:line="288" w:lineRule="auto"/>
        <w:jc w:val="center"/>
        <w:rPr>
          <w:rFonts w:hint="eastAsia" w:eastAsia="华文楷体" w:cs="华文楷体"/>
          <w:color w:val="auto"/>
          <w:sz w:val="36"/>
          <w:szCs w:val="36"/>
        </w:rPr>
      </w:pPr>
      <w:r>
        <w:rPr>
          <w:rFonts w:hint="eastAsia" w:eastAsia="华文楷体" w:cs="华文楷体"/>
          <w:color w:val="auto"/>
          <w:sz w:val="36"/>
          <w:szCs w:val="36"/>
        </w:rPr>
        <w:t>中华人民共和国生态环境部</w:t>
      </w:r>
    </w:p>
    <w:p w14:paraId="78C19772">
      <w:pPr>
        <w:adjustRightInd w:val="0"/>
        <w:snapToGrid w:val="0"/>
        <w:spacing w:line="288" w:lineRule="auto"/>
        <w:jc w:val="center"/>
        <w:rPr>
          <w:rFonts w:hint="eastAsia" w:eastAsia="华文楷体" w:cs="华文楷体"/>
          <w:color w:val="auto"/>
          <w:sz w:val="36"/>
          <w:szCs w:val="36"/>
        </w:rPr>
      </w:pPr>
    </w:p>
    <w:p w14:paraId="452C3245">
      <w:pPr>
        <w:adjustRightInd w:val="0"/>
        <w:snapToGrid w:val="0"/>
        <w:spacing w:line="288" w:lineRule="auto"/>
        <w:jc w:val="both"/>
        <w:rPr>
          <w:rFonts w:hint="eastAsia" w:eastAsia="华文楷体" w:cs="华文楷体"/>
          <w:color w:val="auto"/>
          <w:sz w:val="36"/>
          <w:szCs w:val="36"/>
        </w:rPr>
        <w:sectPr>
          <w:footerReference r:id="rId3" w:type="default"/>
          <w:pgSz w:w="11906" w:h="16838"/>
          <w:pgMar w:top="1440" w:right="1800" w:bottom="1440" w:left="1800" w:header="851" w:footer="1077" w:gutter="0"/>
          <w:pgNumType w:start="1"/>
          <w:cols w:space="720" w:num="1"/>
          <w:docGrid w:linePitch="312" w:charSpace="0"/>
        </w:sectPr>
      </w:pPr>
    </w:p>
    <w:sdt>
      <w:sdtPr>
        <w:rPr>
          <w:rFonts w:ascii="Times New Roman" w:hAnsi="Times New Roman" w:eastAsia="宋体" w:cs="Times New Roman"/>
          <w:color w:val="auto"/>
          <w:sz w:val="21"/>
          <w:szCs w:val="21"/>
          <w:lang w:val="zh-CN"/>
        </w:rPr>
        <w:id w:val="1272057384"/>
        <w:docPartObj>
          <w:docPartGallery w:val="Table of Contents"/>
          <w:docPartUnique/>
        </w:docPartObj>
      </w:sdtPr>
      <w:sdtEndPr>
        <w:rPr>
          <w:rFonts w:ascii="Times New Roman" w:hAnsi="Times New Roman" w:eastAsia="宋体" w:cs="Times New Roman"/>
          <w:b/>
          <w:bCs/>
          <w:color w:val="auto"/>
          <w:sz w:val="21"/>
          <w:szCs w:val="21"/>
          <w:lang w:val="zh-CN"/>
        </w:rPr>
      </w:sdtEndPr>
      <w:sdtContent>
        <w:p w14:paraId="066A1DE2">
          <w:pPr>
            <w:pStyle w:val="70"/>
            <w:jc w:val="center"/>
            <w:rPr>
              <w:rFonts w:hint="eastAsia"/>
              <w:color w:val="auto"/>
            </w:rPr>
          </w:pPr>
          <w:r>
            <w:rPr>
              <w:b/>
              <w:bCs/>
              <w:color w:val="auto"/>
              <w:lang w:val="zh-CN"/>
            </w:rPr>
            <w:t>目录</w:t>
          </w:r>
        </w:p>
        <w:p w14:paraId="0B50DB6F">
          <w:pPr>
            <w:pStyle w:val="17"/>
            <w:rPr>
              <w:rFonts w:hint="eastAsia" w:asciiTheme="minorHAnsi" w:hAnsiTheme="minorHAnsi" w:eastAsiaTheme="minorEastAsia" w:cstheme="minorBidi"/>
              <w:color w:val="auto"/>
              <w:kern w:val="2"/>
              <w:sz w:val="21"/>
              <w:szCs w:val="22"/>
              <w14:ligatures w14:val="standardContextual"/>
            </w:rPr>
          </w:pPr>
          <w:r>
            <w:rPr>
              <w:rFonts w:hint="eastAsia"/>
              <w:snapToGrid w:val="0"/>
              <w:color w:val="auto"/>
            </w:rPr>
            <w:t>一、 建设项目基本情况</w:t>
          </w:r>
          <w:r>
            <w:rPr>
              <w:rFonts w:hint="eastAsia"/>
              <w:color w:val="auto"/>
            </w:rPr>
            <w:tab/>
          </w:r>
          <w:r>
            <w:rPr>
              <w:color w:val="auto"/>
            </w:rPr>
            <w:t>1</w:t>
          </w:r>
        </w:p>
        <w:p w14:paraId="37FEE9AC">
          <w:pPr>
            <w:pStyle w:val="17"/>
            <w:rPr>
              <w:rFonts w:hint="eastAsia" w:asciiTheme="minorHAnsi" w:hAnsiTheme="minorHAnsi" w:eastAsiaTheme="minorEastAsia" w:cstheme="minorBidi"/>
              <w:color w:val="auto"/>
              <w:kern w:val="2"/>
              <w:sz w:val="21"/>
              <w:szCs w:val="22"/>
              <w14:ligatures w14:val="standardContextual"/>
            </w:rPr>
          </w:pPr>
          <w:r>
            <w:rPr>
              <w:rFonts w:hint="eastAsia"/>
              <w:snapToGrid w:val="0"/>
              <w:color w:val="auto"/>
            </w:rPr>
            <w:t>二、 建设项目工程分析</w:t>
          </w:r>
          <w:r>
            <w:rPr>
              <w:rFonts w:hint="eastAsia"/>
              <w:color w:val="auto"/>
            </w:rPr>
            <w:tab/>
          </w:r>
          <w:r>
            <w:rPr>
              <w:color w:val="auto"/>
            </w:rPr>
            <w:t>24</w:t>
          </w:r>
        </w:p>
        <w:p w14:paraId="495735BD">
          <w:pPr>
            <w:pStyle w:val="17"/>
            <w:rPr>
              <w:rFonts w:hint="eastAsia" w:asciiTheme="minorHAnsi" w:hAnsiTheme="minorHAnsi" w:eastAsiaTheme="minorEastAsia" w:cstheme="minorBidi"/>
              <w:color w:val="auto"/>
              <w:kern w:val="2"/>
              <w:sz w:val="21"/>
              <w:szCs w:val="22"/>
              <w14:ligatures w14:val="standardContextual"/>
            </w:rPr>
          </w:pPr>
          <w:r>
            <w:rPr>
              <w:rFonts w:hint="eastAsia"/>
              <w:snapToGrid w:val="0"/>
              <w:color w:val="auto"/>
            </w:rPr>
            <w:t>三、 区域环境质量现状、环境保护目标及评价标准</w:t>
          </w:r>
          <w:r>
            <w:rPr>
              <w:rFonts w:hint="eastAsia"/>
              <w:color w:val="auto"/>
            </w:rPr>
            <w:tab/>
          </w:r>
          <w:r>
            <w:rPr>
              <w:color w:val="auto"/>
            </w:rPr>
            <w:t>38</w:t>
          </w:r>
        </w:p>
        <w:p w14:paraId="31B56DBA">
          <w:pPr>
            <w:pStyle w:val="17"/>
            <w:rPr>
              <w:rFonts w:hint="eastAsia" w:asciiTheme="minorHAnsi" w:hAnsiTheme="minorHAnsi" w:eastAsiaTheme="minorEastAsia" w:cstheme="minorBidi"/>
              <w:color w:val="auto"/>
              <w:kern w:val="2"/>
              <w:sz w:val="21"/>
              <w:szCs w:val="22"/>
              <w14:ligatures w14:val="standardContextual"/>
            </w:rPr>
          </w:pPr>
          <w:r>
            <w:rPr>
              <w:rFonts w:hint="eastAsia"/>
              <w:snapToGrid w:val="0"/>
              <w:color w:val="auto"/>
            </w:rPr>
            <w:t>四、 主要环境影响和保护措施</w:t>
          </w:r>
          <w:r>
            <w:rPr>
              <w:rFonts w:hint="eastAsia"/>
              <w:color w:val="auto"/>
            </w:rPr>
            <w:tab/>
          </w:r>
          <w:r>
            <w:rPr>
              <w:color w:val="auto"/>
            </w:rPr>
            <w:t>38</w:t>
          </w:r>
        </w:p>
        <w:p w14:paraId="183F38C9">
          <w:pPr>
            <w:pStyle w:val="17"/>
            <w:rPr>
              <w:rFonts w:hint="eastAsia" w:asciiTheme="minorHAnsi" w:hAnsiTheme="minorHAnsi" w:eastAsiaTheme="minorEastAsia" w:cstheme="minorBidi"/>
              <w:color w:val="auto"/>
              <w:kern w:val="2"/>
              <w:sz w:val="21"/>
              <w:szCs w:val="22"/>
              <w14:ligatures w14:val="standardContextual"/>
            </w:rPr>
          </w:pPr>
          <w:r>
            <w:rPr>
              <w:rFonts w:hint="eastAsia"/>
              <w:snapToGrid w:val="0"/>
              <w:color w:val="auto"/>
            </w:rPr>
            <w:t>五、 环境保护措施监督检查清单</w:t>
          </w:r>
          <w:r>
            <w:rPr>
              <w:rFonts w:hint="eastAsia"/>
              <w:color w:val="auto"/>
            </w:rPr>
            <w:tab/>
          </w:r>
          <w:r>
            <w:rPr>
              <w:color w:val="auto"/>
            </w:rPr>
            <w:t>91</w:t>
          </w:r>
        </w:p>
        <w:p w14:paraId="4C72440C">
          <w:pPr>
            <w:pStyle w:val="17"/>
            <w:rPr>
              <w:rFonts w:hint="eastAsia" w:asciiTheme="minorHAnsi" w:hAnsiTheme="minorHAnsi" w:eastAsiaTheme="minorEastAsia" w:cstheme="minorBidi"/>
              <w:color w:val="auto"/>
              <w:kern w:val="2"/>
              <w:sz w:val="21"/>
              <w:szCs w:val="22"/>
              <w14:ligatures w14:val="standardContextual"/>
            </w:rPr>
          </w:pPr>
          <w:r>
            <w:rPr>
              <w:rFonts w:hint="eastAsia"/>
              <w:snapToGrid w:val="0"/>
              <w:color w:val="auto"/>
            </w:rPr>
            <w:t>六、 结论</w:t>
          </w:r>
          <w:r>
            <w:rPr>
              <w:rFonts w:hint="eastAsia"/>
              <w:color w:val="auto"/>
            </w:rPr>
            <w:tab/>
          </w:r>
          <w:r>
            <w:rPr>
              <w:color w:val="auto"/>
            </w:rPr>
            <w:t>93</w:t>
          </w:r>
        </w:p>
        <w:p w14:paraId="30092D50">
          <w:pPr>
            <w:rPr>
              <w:color w:val="auto"/>
            </w:rPr>
          </w:pPr>
        </w:p>
      </w:sdtContent>
    </w:sdt>
    <w:p w14:paraId="1E4881E4">
      <w:pPr>
        <w:pStyle w:val="66"/>
        <w:spacing w:after="120"/>
        <w:rPr>
          <w:color w:val="auto"/>
        </w:rPr>
      </w:pPr>
    </w:p>
    <w:p w14:paraId="7D9F9C2D">
      <w:pPr>
        <w:pStyle w:val="3"/>
        <w:ind w:firstLine="480"/>
        <w:rPr>
          <w:color w:val="auto"/>
        </w:rPr>
      </w:pPr>
    </w:p>
    <w:p w14:paraId="194FF10A">
      <w:pPr>
        <w:pStyle w:val="3"/>
        <w:ind w:firstLine="480"/>
        <w:rPr>
          <w:color w:val="auto"/>
        </w:rPr>
        <w:sectPr>
          <w:pgSz w:w="11906" w:h="16838"/>
          <w:pgMar w:top="1701" w:right="1531" w:bottom="1701" w:left="1531" w:header="851" w:footer="1077" w:gutter="0"/>
          <w:pgNumType w:start="1"/>
          <w:cols w:space="720" w:num="1"/>
          <w:docGrid w:linePitch="312" w:charSpace="0"/>
        </w:sectPr>
      </w:pPr>
    </w:p>
    <w:p w14:paraId="3DE63870">
      <w:pPr>
        <w:pStyle w:val="2"/>
        <w:rPr>
          <w:snapToGrid w:val="0"/>
          <w:color w:val="auto"/>
        </w:rPr>
      </w:pPr>
      <w:bookmarkStart w:id="0" w:name="_Toc177030774"/>
      <w:bookmarkStart w:id="1" w:name="_Toc175609267"/>
      <w:r>
        <w:rPr>
          <w:rFonts w:hint="eastAsia"/>
          <w:snapToGrid w:val="0"/>
          <w:color w:val="auto"/>
        </w:rPr>
        <w:t>建设项目基本情况</w:t>
      </w:r>
      <w:bookmarkEnd w:id="0"/>
      <w:bookmarkEnd w:id="1"/>
    </w:p>
    <w:tbl>
      <w:tblPr>
        <w:tblStyle w:val="20"/>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26"/>
        <w:gridCol w:w="794"/>
        <w:gridCol w:w="2082"/>
        <w:gridCol w:w="1651"/>
        <w:gridCol w:w="3066"/>
      </w:tblGrid>
      <w:tr w14:paraId="4B1DA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1" w:type="dxa"/>
            <w:gridSpan w:val="2"/>
            <w:tcMar>
              <w:top w:w="16" w:type="dxa"/>
              <w:left w:w="16" w:type="dxa"/>
              <w:right w:w="16" w:type="dxa"/>
            </w:tcMar>
            <w:vAlign w:val="center"/>
          </w:tcPr>
          <w:p w14:paraId="4410052B">
            <w:pPr>
              <w:snapToGrid w:val="0"/>
              <w:jc w:val="center"/>
              <w:rPr>
                <w:rFonts w:cs="宋体"/>
                <w:color w:val="auto"/>
                <w:sz w:val="24"/>
              </w:rPr>
            </w:pPr>
            <w:r>
              <w:rPr>
                <w:rFonts w:hint="eastAsia" w:cs="宋体"/>
                <w:color w:val="auto"/>
                <w:sz w:val="24"/>
              </w:rPr>
              <w:t>建设项目名称</w:t>
            </w:r>
          </w:p>
        </w:tc>
        <w:tc>
          <w:tcPr>
            <w:tcW w:w="6804" w:type="dxa"/>
            <w:gridSpan w:val="3"/>
            <w:vAlign w:val="center"/>
          </w:tcPr>
          <w:p w14:paraId="35A30C5A">
            <w:pPr>
              <w:snapToGrid w:val="0"/>
              <w:jc w:val="center"/>
              <w:rPr>
                <w:rFonts w:cs="宋体"/>
                <w:color w:val="auto"/>
                <w:sz w:val="24"/>
                <w:szCs w:val="24"/>
              </w:rPr>
            </w:pPr>
            <w:r>
              <w:rPr>
                <w:rFonts w:hint="eastAsia" w:cs="宋体"/>
                <w:color w:val="auto"/>
                <w:sz w:val="24"/>
                <w:szCs w:val="24"/>
              </w:rPr>
              <w:t>新疆瑞科华兴供应链管理有限公司300万吨</w:t>
            </w:r>
            <w:r>
              <w:rPr>
                <w:rFonts w:hint="eastAsia"/>
                <w:color w:val="auto"/>
              </w:rPr>
              <w:t>/年铁路装车煤炭（集装箱）中转站及配套设施建设项目</w:t>
            </w:r>
          </w:p>
        </w:tc>
      </w:tr>
      <w:tr w14:paraId="548F6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21" w:type="dxa"/>
            <w:gridSpan w:val="2"/>
            <w:tcMar>
              <w:top w:w="16" w:type="dxa"/>
              <w:left w:w="16" w:type="dxa"/>
              <w:right w:w="16" w:type="dxa"/>
            </w:tcMar>
            <w:vAlign w:val="center"/>
          </w:tcPr>
          <w:p w14:paraId="09B4DBA9">
            <w:pPr>
              <w:snapToGrid w:val="0"/>
              <w:jc w:val="center"/>
              <w:rPr>
                <w:rFonts w:cs="宋体"/>
                <w:color w:val="auto"/>
                <w:sz w:val="24"/>
              </w:rPr>
            </w:pPr>
            <w:r>
              <w:rPr>
                <w:rFonts w:hint="eastAsia" w:cs="宋体"/>
                <w:color w:val="auto"/>
                <w:sz w:val="24"/>
              </w:rPr>
              <w:t>国民经济</w:t>
            </w:r>
          </w:p>
          <w:p w14:paraId="7A5B97F7">
            <w:pPr>
              <w:snapToGrid w:val="0"/>
              <w:jc w:val="center"/>
              <w:rPr>
                <w:rFonts w:cs="宋体"/>
                <w:color w:val="auto"/>
                <w:sz w:val="24"/>
              </w:rPr>
            </w:pPr>
            <w:r>
              <w:rPr>
                <w:rFonts w:hint="eastAsia" w:cs="宋体"/>
                <w:color w:val="auto"/>
                <w:sz w:val="24"/>
              </w:rPr>
              <w:t>行业类别</w:t>
            </w:r>
          </w:p>
        </w:tc>
        <w:tc>
          <w:tcPr>
            <w:tcW w:w="2084" w:type="dxa"/>
            <w:vAlign w:val="center"/>
          </w:tcPr>
          <w:p w14:paraId="26E1DA10">
            <w:pPr>
              <w:snapToGrid w:val="0"/>
              <w:jc w:val="center"/>
              <w:rPr>
                <w:rFonts w:cs="宋体"/>
                <w:color w:val="auto"/>
                <w:sz w:val="24"/>
                <w:szCs w:val="24"/>
              </w:rPr>
            </w:pPr>
            <w:r>
              <w:rPr>
                <w:rFonts w:hint="eastAsia"/>
                <w:color w:val="auto"/>
                <w:sz w:val="24"/>
                <w:szCs w:val="24"/>
              </w:rPr>
              <w:t>G5320铁路货物运输</w:t>
            </w:r>
          </w:p>
        </w:tc>
        <w:tc>
          <w:tcPr>
            <w:tcW w:w="1653" w:type="dxa"/>
            <w:vAlign w:val="center"/>
          </w:tcPr>
          <w:p w14:paraId="4177710D">
            <w:pPr>
              <w:snapToGrid w:val="0"/>
              <w:jc w:val="center"/>
              <w:rPr>
                <w:rFonts w:cs="宋体"/>
                <w:color w:val="auto"/>
                <w:sz w:val="24"/>
                <w:szCs w:val="24"/>
              </w:rPr>
            </w:pPr>
            <w:bookmarkStart w:id="2" w:name="_Hlk49843745"/>
            <w:r>
              <w:rPr>
                <w:rFonts w:hint="eastAsia" w:cs="宋体"/>
                <w:color w:val="auto"/>
                <w:sz w:val="24"/>
                <w:szCs w:val="24"/>
              </w:rPr>
              <w:t>建设项目</w:t>
            </w:r>
          </w:p>
          <w:p w14:paraId="1E38E660">
            <w:pPr>
              <w:snapToGrid w:val="0"/>
              <w:jc w:val="center"/>
              <w:rPr>
                <w:rFonts w:cs="宋体"/>
                <w:color w:val="auto"/>
                <w:sz w:val="24"/>
                <w:szCs w:val="24"/>
              </w:rPr>
            </w:pPr>
            <w:r>
              <w:rPr>
                <w:rFonts w:hint="eastAsia" w:cs="宋体"/>
                <w:color w:val="auto"/>
                <w:sz w:val="24"/>
                <w:szCs w:val="24"/>
              </w:rPr>
              <w:t>行业类别</w:t>
            </w:r>
            <w:bookmarkEnd w:id="2"/>
          </w:p>
        </w:tc>
        <w:tc>
          <w:tcPr>
            <w:tcW w:w="3067" w:type="dxa"/>
            <w:vAlign w:val="center"/>
          </w:tcPr>
          <w:p w14:paraId="07EAC4E0">
            <w:pPr>
              <w:snapToGrid w:val="0"/>
              <w:rPr>
                <w:rFonts w:cs="宋体"/>
                <w:color w:val="auto"/>
                <w:sz w:val="24"/>
                <w:szCs w:val="24"/>
              </w:rPr>
            </w:pPr>
            <w:r>
              <w:rPr>
                <w:rFonts w:hint="eastAsia"/>
                <w:color w:val="auto"/>
                <w:sz w:val="24"/>
                <w:szCs w:val="24"/>
              </w:rPr>
              <w:t>四、煤炭开采和洗选业—6、煤炭储存、集运</w:t>
            </w:r>
          </w:p>
        </w:tc>
      </w:tr>
      <w:tr w14:paraId="22BB0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21" w:type="dxa"/>
            <w:gridSpan w:val="2"/>
            <w:tcMar>
              <w:top w:w="16" w:type="dxa"/>
              <w:left w:w="16" w:type="dxa"/>
              <w:right w:w="16" w:type="dxa"/>
            </w:tcMar>
            <w:vAlign w:val="center"/>
          </w:tcPr>
          <w:p w14:paraId="1CEB8E17">
            <w:pPr>
              <w:snapToGrid w:val="0"/>
              <w:jc w:val="center"/>
              <w:rPr>
                <w:rFonts w:cs="宋体"/>
                <w:color w:val="auto"/>
                <w:sz w:val="24"/>
              </w:rPr>
            </w:pPr>
            <w:r>
              <w:rPr>
                <w:rFonts w:hint="eastAsia" w:cs="宋体"/>
                <w:color w:val="auto"/>
                <w:sz w:val="24"/>
              </w:rPr>
              <w:t>建设性质</w:t>
            </w:r>
          </w:p>
        </w:tc>
        <w:tc>
          <w:tcPr>
            <w:tcW w:w="2084" w:type="dxa"/>
            <w:vAlign w:val="center"/>
          </w:tcPr>
          <w:p w14:paraId="13B6B95D">
            <w:pPr>
              <w:jc w:val="left"/>
              <w:rPr>
                <w:rFonts w:cs="宋体"/>
                <w:color w:val="auto"/>
                <w:sz w:val="24"/>
                <w:szCs w:val="24"/>
              </w:rPr>
            </w:pPr>
            <w:r>
              <w:rPr>
                <w:rFonts w:hint="eastAsia" w:cs="宋体"/>
                <w:color w:val="auto"/>
                <w:sz w:val="24"/>
                <w:szCs w:val="24"/>
              </w:rPr>
              <w:t>□</w:t>
            </w:r>
            <w:r>
              <w:rPr>
                <w:rFonts w:ascii="Segoe UI Symbol" w:hAnsi="Segoe UI Symbol" w:cs="Segoe UI Symbol"/>
                <w:color w:val="auto"/>
                <w:sz w:val="24"/>
                <w:szCs w:val="24"/>
              </w:rPr>
              <w:t>☑</w:t>
            </w:r>
            <w:r>
              <w:rPr>
                <w:rFonts w:hint="eastAsia" w:cs="宋体"/>
                <w:color w:val="auto"/>
                <w:sz w:val="24"/>
                <w:szCs w:val="24"/>
              </w:rPr>
              <w:t>新建（迁建）</w:t>
            </w:r>
          </w:p>
          <w:p w14:paraId="63F1D051">
            <w:pPr>
              <w:jc w:val="left"/>
              <w:rPr>
                <w:rFonts w:cs="宋体"/>
                <w:color w:val="auto"/>
                <w:sz w:val="24"/>
                <w:szCs w:val="24"/>
              </w:rPr>
            </w:pPr>
            <w:r>
              <w:rPr>
                <w:rFonts w:hint="eastAsia" w:cs="宋体"/>
                <w:color w:val="auto"/>
                <w:sz w:val="24"/>
                <w:szCs w:val="24"/>
              </w:rPr>
              <w:t>□改建</w:t>
            </w:r>
          </w:p>
          <w:p w14:paraId="4ED1A1B8">
            <w:pPr>
              <w:jc w:val="left"/>
              <w:rPr>
                <w:rFonts w:cs="宋体"/>
                <w:color w:val="auto"/>
                <w:sz w:val="24"/>
                <w:szCs w:val="24"/>
              </w:rPr>
            </w:pPr>
            <w:r>
              <w:rPr>
                <w:rFonts w:hint="eastAsia" w:cs="宋体"/>
                <w:color w:val="auto"/>
                <w:sz w:val="24"/>
                <w:szCs w:val="24"/>
              </w:rPr>
              <w:t>□扩建</w:t>
            </w:r>
          </w:p>
          <w:p w14:paraId="5B35F811">
            <w:pPr>
              <w:jc w:val="left"/>
              <w:rPr>
                <w:rFonts w:cs="宋体"/>
                <w:color w:val="auto"/>
                <w:sz w:val="24"/>
                <w:szCs w:val="24"/>
              </w:rPr>
            </w:pPr>
            <w:r>
              <w:rPr>
                <w:rFonts w:hint="eastAsia" w:cs="宋体"/>
                <w:color w:val="auto"/>
                <w:sz w:val="24"/>
                <w:szCs w:val="24"/>
              </w:rPr>
              <w:t>□技术改造</w:t>
            </w:r>
          </w:p>
        </w:tc>
        <w:tc>
          <w:tcPr>
            <w:tcW w:w="1653" w:type="dxa"/>
            <w:vAlign w:val="center"/>
          </w:tcPr>
          <w:p w14:paraId="407A976A">
            <w:pPr>
              <w:snapToGrid w:val="0"/>
              <w:jc w:val="center"/>
              <w:rPr>
                <w:rFonts w:cs="宋体"/>
                <w:color w:val="auto"/>
                <w:sz w:val="24"/>
                <w:szCs w:val="24"/>
              </w:rPr>
            </w:pPr>
            <w:r>
              <w:rPr>
                <w:rFonts w:hint="eastAsia" w:cs="宋体"/>
                <w:color w:val="auto"/>
                <w:sz w:val="24"/>
                <w:szCs w:val="24"/>
              </w:rPr>
              <w:t>建设项目</w:t>
            </w:r>
          </w:p>
          <w:p w14:paraId="3A0FA549">
            <w:pPr>
              <w:snapToGrid w:val="0"/>
              <w:jc w:val="center"/>
              <w:rPr>
                <w:rFonts w:cs="宋体"/>
                <w:color w:val="auto"/>
                <w:sz w:val="24"/>
                <w:szCs w:val="24"/>
              </w:rPr>
            </w:pPr>
            <w:r>
              <w:rPr>
                <w:rFonts w:hint="eastAsia" w:cs="宋体"/>
                <w:color w:val="auto"/>
                <w:sz w:val="24"/>
                <w:szCs w:val="24"/>
              </w:rPr>
              <w:t>申报情形</w:t>
            </w:r>
          </w:p>
        </w:tc>
        <w:tc>
          <w:tcPr>
            <w:tcW w:w="3067" w:type="dxa"/>
            <w:vAlign w:val="center"/>
          </w:tcPr>
          <w:p w14:paraId="0544AAF4">
            <w:pPr>
              <w:jc w:val="left"/>
              <w:rPr>
                <w:rFonts w:cs="宋体"/>
                <w:color w:val="auto"/>
                <w:sz w:val="24"/>
                <w:szCs w:val="24"/>
              </w:rPr>
            </w:pPr>
            <w:r>
              <w:rPr>
                <w:rFonts w:ascii="Segoe UI Symbol" w:hAnsi="Segoe UI Symbol" w:cs="Segoe UI Symbol"/>
                <w:color w:val="auto"/>
                <w:sz w:val="24"/>
                <w:szCs w:val="24"/>
              </w:rPr>
              <w:t>☑</w:t>
            </w:r>
            <w:r>
              <w:rPr>
                <w:rFonts w:hint="eastAsia" w:cs="宋体"/>
                <w:color w:val="auto"/>
                <w:sz w:val="24"/>
                <w:szCs w:val="24"/>
              </w:rPr>
              <w:t>首次申报项目</w:t>
            </w:r>
            <w:r>
              <w:rPr>
                <w:rFonts w:cs="宋体"/>
                <w:color w:val="auto"/>
                <w:sz w:val="24"/>
                <w:szCs w:val="24"/>
              </w:rPr>
              <w:t xml:space="preserve">             </w:t>
            </w:r>
          </w:p>
          <w:p w14:paraId="365F066B">
            <w:pPr>
              <w:jc w:val="left"/>
              <w:rPr>
                <w:rFonts w:cs="宋体"/>
                <w:color w:val="auto"/>
                <w:sz w:val="24"/>
                <w:szCs w:val="24"/>
              </w:rPr>
            </w:pPr>
            <w:r>
              <w:rPr>
                <w:rFonts w:hint="eastAsia" w:cs="宋体"/>
                <w:color w:val="auto"/>
                <w:sz w:val="24"/>
                <w:szCs w:val="24"/>
              </w:rPr>
              <w:t>□不予批准后再次申报项目</w:t>
            </w:r>
          </w:p>
          <w:p w14:paraId="7685FE0D">
            <w:pPr>
              <w:jc w:val="left"/>
              <w:rPr>
                <w:rFonts w:cs="宋体"/>
                <w:color w:val="auto"/>
                <w:sz w:val="24"/>
                <w:szCs w:val="24"/>
              </w:rPr>
            </w:pPr>
            <w:r>
              <w:rPr>
                <w:rFonts w:hint="eastAsia" w:cs="宋体"/>
                <w:color w:val="auto"/>
                <w:sz w:val="24"/>
                <w:szCs w:val="24"/>
              </w:rPr>
              <w:sym w:font="Wingdings 2" w:char="00A3"/>
            </w:r>
            <w:r>
              <w:rPr>
                <w:rFonts w:hint="eastAsia" w:cs="宋体"/>
                <w:color w:val="auto"/>
                <w:sz w:val="24"/>
                <w:szCs w:val="24"/>
              </w:rPr>
              <w:t>超五年重新审核项目</w:t>
            </w:r>
            <w:r>
              <w:rPr>
                <w:rFonts w:cs="宋体"/>
                <w:color w:val="auto"/>
                <w:sz w:val="24"/>
                <w:szCs w:val="24"/>
              </w:rPr>
              <w:t xml:space="preserve">     </w:t>
            </w:r>
          </w:p>
          <w:p w14:paraId="0D7027FF">
            <w:pPr>
              <w:jc w:val="left"/>
              <w:rPr>
                <w:rFonts w:cs="宋体"/>
                <w:color w:val="auto"/>
                <w:sz w:val="24"/>
                <w:szCs w:val="24"/>
              </w:rPr>
            </w:pPr>
            <w:r>
              <w:rPr>
                <w:rFonts w:hint="eastAsia" w:cs="宋体"/>
                <w:color w:val="auto"/>
                <w:sz w:val="24"/>
                <w:szCs w:val="24"/>
              </w:rPr>
              <w:t>□重大变动重新报批项目</w:t>
            </w:r>
          </w:p>
        </w:tc>
      </w:tr>
      <w:tr w14:paraId="5EB92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21" w:type="dxa"/>
            <w:gridSpan w:val="2"/>
            <w:tcMar>
              <w:top w:w="16" w:type="dxa"/>
              <w:left w:w="16" w:type="dxa"/>
              <w:right w:w="16" w:type="dxa"/>
            </w:tcMar>
            <w:vAlign w:val="center"/>
          </w:tcPr>
          <w:p w14:paraId="52161C4B">
            <w:pPr>
              <w:snapToGrid w:val="0"/>
              <w:jc w:val="center"/>
              <w:rPr>
                <w:rFonts w:cs="宋体"/>
                <w:color w:val="auto"/>
                <w:sz w:val="24"/>
              </w:rPr>
            </w:pPr>
            <w:r>
              <w:rPr>
                <w:rFonts w:hint="eastAsia" w:cs="宋体"/>
                <w:color w:val="auto"/>
                <w:sz w:val="24"/>
              </w:rPr>
              <w:t>项目审批（核准</w:t>
            </w:r>
            <w:r>
              <w:rPr>
                <w:rFonts w:cs="宋体"/>
                <w:color w:val="auto"/>
                <w:sz w:val="24"/>
              </w:rPr>
              <w:t>/</w:t>
            </w:r>
            <w:r>
              <w:rPr>
                <w:rFonts w:hint="eastAsia" w:cs="宋体"/>
                <w:color w:val="auto"/>
                <w:sz w:val="24"/>
              </w:rPr>
              <w:t>备案）部门（选填）</w:t>
            </w:r>
          </w:p>
        </w:tc>
        <w:tc>
          <w:tcPr>
            <w:tcW w:w="2084" w:type="dxa"/>
            <w:vAlign w:val="center"/>
          </w:tcPr>
          <w:p w14:paraId="35485212">
            <w:pPr>
              <w:snapToGrid w:val="0"/>
              <w:jc w:val="center"/>
              <w:rPr>
                <w:rFonts w:cs="宋体"/>
                <w:color w:val="auto"/>
                <w:sz w:val="24"/>
                <w:szCs w:val="24"/>
              </w:rPr>
            </w:pPr>
            <w:r>
              <w:rPr>
                <w:rFonts w:hint="eastAsia"/>
                <w:color w:val="auto"/>
                <w:sz w:val="24"/>
                <w:szCs w:val="24"/>
              </w:rPr>
              <w:t>鄯善县发展和改革委员会（鄯善县粮食和物资储备局）</w:t>
            </w:r>
          </w:p>
        </w:tc>
        <w:tc>
          <w:tcPr>
            <w:tcW w:w="1653" w:type="dxa"/>
            <w:vAlign w:val="center"/>
          </w:tcPr>
          <w:p w14:paraId="27853148">
            <w:pPr>
              <w:snapToGrid w:val="0"/>
              <w:jc w:val="center"/>
              <w:rPr>
                <w:rFonts w:cs="宋体"/>
                <w:color w:val="auto"/>
                <w:sz w:val="24"/>
                <w:szCs w:val="24"/>
              </w:rPr>
            </w:pPr>
            <w:r>
              <w:rPr>
                <w:rFonts w:hint="eastAsia" w:cs="宋体"/>
                <w:color w:val="auto"/>
                <w:sz w:val="24"/>
                <w:szCs w:val="24"/>
              </w:rPr>
              <w:t>项目审批（核准</w:t>
            </w:r>
            <w:r>
              <w:rPr>
                <w:rFonts w:cs="宋体"/>
                <w:color w:val="auto"/>
                <w:sz w:val="24"/>
                <w:szCs w:val="24"/>
              </w:rPr>
              <w:t>/</w:t>
            </w:r>
            <w:r>
              <w:rPr>
                <w:rFonts w:hint="eastAsia" w:cs="宋体"/>
                <w:color w:val="auto"/>
                <w:sz w:val="24"/>
                <w:szCs w:val="24"/>
              </w:rPr>
              <w:t>备案）文号（选填）</w:t>
            </w:r>
          </w:p>
        </w:tc>
        <w:tc>
          <w:tcPr>
            <w:tcW w:w="3067" w:type="dxa"/>
            <w:vAlign w:val="center"/>
          </w:tcPr>
          <w:p w14:paraId="3BC06395">
            <w:pPr>
              <w:snapToGrid w:val="0"/>
              <w:jc w:val="center"/>
              <w:rPr>
                <w:rFonts w:cs="宋体"/>
                <w:color w:val="auto"/>
                <w:sz w:val="24"/>
                <w:szCs w:val="24"/>
              </w:rPr>
            </w:pPr>
            <w:r>
              <w:rPr>
                <w:rFonts w:hint="eastAsia"/>
                <w:color w:val="auto"/>
                <w:sz w:val="24"/>
                <w:szCs w:val="24"/>
              </w:rPr>
              <w:t>2408281218650400000189</w:t>
            </w:r>
          </w:p>
        </w:tc>
      </w:tr>
      <w:tr w14:paraId="381F2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1" w:type="dxa"/>
            <w:gridSpan w:val="2"/>
            <w:tcMar>
              <w:top w:w="16" w:type="dxa"/>
              <w:left w:w="16" w:type="dxa"/>
              <w:right w:w="16" w:type="dxa"/>
            </w:tcMar>
            <w:vAlign w:val="center"/>
          </w:tcPr>
          <w:p w14:paraId="015E7DAA">
            <w:pPr>
              <w:snapToGrid w:val="0"/>
              <w:jc w:val="center"/>
              <w:rPr>
                <w:rFonts w:cs="宋体"/>
                <w:color w:val="auto"/>
                <w:sz w:val="24"/>
              </w:rPr>
            </w:pPr>
            <w:r>
              <w:rPr>
                <w:rFonts w:hint="eastAsia" w:cs="宋体"/>
                <w:color w:val="auto"/>
                <w:sz w:val="24"/>
              </w:rPr>
              <w:t>总投资（万元）</w:t>
            </w:r>
          </w:p>
        </w:tc>
        <w:tc>
          <w:tcPr>
            <w:tcW w:w="2084" w:type="dxa"/>
            <w:vAlign w:val="center"/>
          </w:tcPr>
          <w:p w14:paraId="2107944A">
            <w:pPr>
              <w:snapToGrid w:val="0"/>
              <w:jc w:val="center"/>
              <w:rPr>
                <w:rFonts w:cs="宋体"/>
                <w:color w:val="auto"/>
                <w:sz w:val="24"/>
                <w:szCs w:val="24"/>
              </w:rPr>
            </w:pPr>
            <w:r>
              <w:rPr>
                <w:rFonts w:hint="eastAsia"/>
                <w:color w:val="auto"/>
                <w:sz w:val="24"/>
                <w:szCs w:val="24"/>
              </w:rPr>
              <w:t>3500</w:t>
            </w:r>
          </w:p>
        </w:tc>
        <w:tc>
          <w:tcPr>
            <w:tcW w:w="1653" w:type="dxa"/>
            <w:tcMar>
              <w:top w:w="16" w:type="dxa"/>
              <w:left w:w="16" w:type="dxa"/>
              <w:right w:w="16" w:type="dxa"/>
            </w:tcMar>
            <w:vAlign w:val="center"/>
          </w:tcPr>
          <w:p w14:paraId="3AD090D5">
            <w:pPr>
              <w:snapToGrid w:val="0"/>
              <w:jc w:val="center"/>
              <w:rPr>
                <w:rFonts w:cs="宋体"/>
                <w:color w:val="auto"/>
                <w:sz w:val="24"/>
                <w:szCs w:val="24"/>
              </w:rPr>
            </w:pPr>
            <w:r>
              <w:rPr>
                <w:rFonts w:hint="eastAsia" w:cs="宋体"/>
                <w:color w:val="auto"/>
                <w:sz w:val="24"/>
                <w:szCs w:val="24"/>
              </w:rPr>
              <w:t>环保投资（万元）</w:t>
            </w:r>
          </w:p>
        </w:tc>
        <w:tc>
          <w:tcPr>
            <w:tcW w:w="3067" w:type="dxa"/>
            <w:vAlign w:val="center"/>
          </w:tcPr>
          <w:p w14:paraId="6E511853">
            <w:pPr>
              <w:snapToGrid w:val="0"/>
              <w:jc w:val="center"/>
              <w:rPr>
                <w:color w:val="auto"/>
                <w:sz w:val="24"/>
                <w:szCs w:val="24"/>
              </w:rPr>
            </w:pPr>
            <w:r>
              <w:rPr>
                <w:rFonts w:hint="eastAsia"/>
                <w:color w:val="auto"/>
                <w:sz w:val="24"/>
                <w:szCs w:val="24"/>
              </w:rPr>
              <w:t>20</w:t>
            </w:r>
          </w:p>
        </w:tc>
      </w:tr>
      <w:tr w14:paraId="1E687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1" w:type="dxa"/>
            <w:gridSpan w:val="2"/>
            <w:tcMar>
              <w:top w:w="16" w:type="dxa"/>
              <w:left w:w="16" w:type="dxa"/>
              <w:right w:w="16" w:type="dxa"/>
            </w:tcMar>
            <w:vAlign w:val="center"/>
          </w:tcPr>
          <w:p w14:paraId="1D5C2865">
            <w:pPr>
              <w:snapToGrid w:val="0"/>
              <w:jc w:val="center"/>
              <w:rPr>
                <w:rFonts w:cs="宋体"/>
                <w:color w:val="auto"/>
                <w:sz w:val="24"/>
              </w:rPr>
            </w:pPr>
            <w:r>
              <w:rPr>
                <w:rFonts w:hint="eastAsia" w:cs="宋体"/>
                <w:color w:val="auto"/>
                <w:sz w:val="24"/>
              </w:rPr>
              <w:t>环保投资占比（</w:t>
            </w:r>
            <w:r>
              <w:rPr>
                <w:rFonts w:cs="宋体"/>
                <w:color w:val="auto"/>
                <w:sz w:val="24"/>
              </w:rPr>
              <w:t>%</w:t>
            </w:r>
            <w:r>
              <w:rPr>
                <w:rFonts w:hint="eastAsia" w:cs="宋体"/>
                <w:color w:val="auto"/>
                <w:sz w:val="24"/>
              </w:rPr>
              <w:t>）</w:t>
            </w:r>
          </w:p>
        </w:tc>
        <w:tc>
          <w:tcPr>
            <w:tcW w:w="2084" w:type="dxa"/>
            <w:vAlign w:val="center"/>
          </w:tcPr>
          <w:p w14:paraId="73865ACB">
            <w:pPr>
              <w:snapToGrid w:val="0"/>
              <w:jc w:val="center"/>
              <w:rPr>
                <w:rFonts w:cs="宋体"/>
                <w:color w:val="auto"/>
                <w:sz w:val="24"/>
                <w:szCs w:val="24"/>
              </w:rPr>
            </w:pPr>
            <w:r>
              <w:rPr>
                <w:rFonts w:hint="eastAsia"/>
                <w:color w:val="auto"/>
                <w:sz w:val="24"/>
                <w:szCs w:val="24"/>
              </w:rPr>
              <w:t>0.57</w:t>
            </w:r>
          </w:p>
        </w:tc>
        <w:tc>
          <w:tcPr>
            <w:tcW w:w="1653" w:type="dxa"/>
            <w:tcMar>
              <w:top w:w="16" w:type="dxa"/>
              <w:left w:w="16" w:type="dxa"/>
              <w:right w:w="16" w:type="dxa"/>
            </w:tcMar>
            <w:vAlign w:val="center"/>
          </w:tcPr>
          <w:p w14:paraId="04560F1E">
            <w:pPr>
              <w:snapToGrid w:val="0"/>
              <w:jc w:val="center"/>
              <w:rPr>
                <w:rFonts w:cs="宋体"/>
                <w:color w:val="auto"/>
                <w:sz w:val="24"/>
                <w:szCs w:val="24"/>
              </w:rPr>
            </w:pPr>
            <w:r>
              <w:rPr>
                <w:rFonts w:hint="eastAsia" w:cs="宋体"/>
                <w:color w:val="auto"/>
                <w:sz w:val="24"/>
                <w:szCs w:val="24"/>
              </w:rPr>
              <w:t>施工工期</w:t>
            </w:r>
          </w:p>
        </w:tc>
        <w:tc>
          <w:tcPr>
            <w:tcW w:w="3067" w:type="dxa"/>
            <w:vAlign w:val="center"/>
          </w:tcPr>
          <w:p w14:paraId="748E9EA1">
            <w:pPr>
              <w:snapToGrid w:val="0"/>
              <w:jc w:val="center"/>
              <w:rPr>
                <w:rFonts w:cs="宋体"/>
                <w:color w:val="auto"/>
                <w:sz w:val="24"/>
                <w:szCs w:val="24"/>
              </w:rPr>
            </w:pPr>
            <w:r>
              <w:rPr>
                <w:rFonts w:hint="eastAsia"/>
                <w:color w:val="auto"/>
                <w:sz w:val="24"/>
                <w:szCs w:val="24"/>
              </w:rPr>
              <w:t>9</w:t>
            </w:r>
          </w:p>
        </w:tc>
      </w:tr>
      <w:tr w14:paraId="2500F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21" w:type="dxa"/>
            <w:gridSpan w:val="2"/>
            <w:tcMar>
              <w:top w:w="16" w:type="dxa"/>
              <w:left w:w="16" w:type="dxa"/>
              <w:right w:w="16" w:type="dxa"/>
            </w:tcMar>
            <w:vAlign w:val="center"/>
          </w:tcPr>
          <w:p w14:paraId="27CB0B17">
            <w:pPr>
              <w:snapToGrid w:val="0"/>
              <w:jc w:val="center"/>
              <w:rPr>
                <w:rFonts w:cs="宋体"/>
                <w:color w:val="auto"/>
                <w:sz w:val="24"/>
              </w:rPr>
            </w:pPr>
            <w:r>
              <w:rPr>
                <w:rFonts w:hint="eastAsia" w:cs="宋体"/>
                <w:color w:val="auto"/>
                <w:sz w:val="24"/>
              </w:rPr>
              <w:t>是否开工建设</w:t>
            </w:r>
          </w:p>
        </w:tc>
        <w:tc>
          <w:tcPr>
            <w:tcW w:w="2084" w:type="dxa"/>
            <w:vAlign w:val="center"/>
          </w:tcPr>
          <w:p w14:paraId="3375443A">
            <w:pPr>
              <w:snapToGrid w:val="0"/>
              <w:rPr>
                <w:rFonts w:cs="宋体"/>
                <w:color w:val="auto"/>
                <w:sz w:val="24"/>
                <w:szCs w:val="24"/>
              </w:rPr>
            </w:pPr>
            <w:r>
              <w:rPr>
                <w:rFonts w:ascii="Segoe UI Symbol" w:hAnsi="Segoe UI Symbol" w:cs="Segoe UI Symbol"/>
                <w:color w:val="auto"/>
                <w:sz w:val="24"/>
                <w:szCs w:val="24"/>
              </w:rPr>
              <w:t>☑</w:t>
            </w:r>
            <w:r>
              <w:rPr>
                <w:rFonts w:hint="eastAsia" w:cs="宋体"/>
                <w:color w:val="auto"/>
                <w:sz w:val="24"/>
                <w:szCs w:val="24"/>
              </w:rPr>
              <w:t>否</w:t>
            </w:r>
          </w:p>
          <w:p w14:paraId="34C73ADD">
            <w:pPr>
              <w:snapToGrid w:val="0"/>
              <w:rPr>
                <w:rFonts w:cs="宋体"/>
                <w:color w:val="auto"/>
                <w:sz w:val="24"/>
                <w:szCs w:val="24"/>
              </w:rPr>
            </w:pPr>
            <w:r>
              <w:rPr>
                <w:rFonts w:hint="eastAsia" w:cs="宋体"/>
                <w:color w:val="auto"/>
                <w:sz w:val="24"/>
                <w:szCs w:val="24"/>
              </w:rPr>
              <w:sym w:font="Wingdings 2" w:char="00A3"/>
            </w:r>
            <w:r>
              <w:rPr>
                <w:rFonts w:hint="eastAsia" w:cs="宋体"/>
                <w:color w:val="auto"/>
                <w:sz w:val="24"/>
                <w:szCs w:val="24"/>
              </w:rPr>
              <w:t>是：</w:t>
            </w:r>
            <w:r>
              <w:rPr>
                <w:rFonts w:hint="eastAsia" w:cs="宋体"/>
                <w:color w:val="auto"/>
                <w:sz w:val="24"/>
                <w:szCs w:val="24"/>
                <w:u w:val="single"/>
              </w:rPr>
              <w:t xml:space="preserve">             </w:t>
            </w:r>
          </w:p>
        </w:tc>
        <w:tc>
          <w:tcPr>
            <w:tcW w:w="1653" w:type="dxa"/>
            <w:tcMar>
              <w:top w:w="16" w:type="dxa"/>
              <w:left w:w="16" w:type="dxa"/>
              <w:right w:w="16" w:type="dxa"/>
            </w:tcMar>
            <w:vAlign w:val="center"/>
          </w:tcPr>
          <w:p w14:paraId="5A2A094C">
            <w:pPr>
              <w:snapToGrid w:val="0"/>
              <w:jc w:val="center"/>
              <w:rPr>
                <w:rFonts w:cs="宋体"/>
                <w:color w:val="auto"/>
                <w:spacing w:val="-6"/>
                <w:sz w:val="24"/>
                <w:szCs w:val="24"/>
              </w:rPr>
            </w:pPr>
            <w:r>
              <w:rPr>
                <w:rFonts w:hint="eastAsia" w:cs="宋体"/>
                <w:color w:val="auto"/>
                <w:spacing w:val="-6"/>
                <w:sz w:val="24"/>
                <w:szCs w:val="24"/>
              </w:rPr>
              <w:t>用地（用海）</w:t>
            </w:r>
          </w:p>
          <w:p w14:paraId="19B3A0B9">
            <w:pPr>
              <w:snapToGrid w:val="0"/>
              <w:jc w:val="center"/>
              <w:rPr>
                <w:rFonts w:cs="宋体"/>
                <w:color w:val="auto"/>
                <w:sz w:val="24"/>
                <w:szCs w:val="24"/>
              </w:rPr>
            </w:pPr>
            <w:r>
              <w:rPr>
                <w:rFonts w:hint="eastAsia" w:cs="宋体"/>
                <w:color w:val="auto"/>
                <w:spacing w:val="-6"/>
                <w:sz w:val="24"/>
                <w:szCs w:val="24"/>
              </w:rPr>
              <w:t>面积（</w:t>
            </w:r>
            <w:r>
              <w:rPr>
                <w:rStyle w:val="48"/>
                <w:color w:val="auto"/>
                <w:szCs w:val="24"/>
              </w:rPr>
              <w:t>m</w:t>
            </w:r>
            <w:r>
              <w:rPr>
                <w:rStyle w:val="48"/>
                <w:color w:val="auto"/>
                <w:szCs w:val="24"/>
                <w:vertAlign w:val="superscript"/>
              </w:rPr>
              <w:t>2</w:t>
            </w:r>
            <w:r>
              <w:rPr>
                <w:rFonts w:hint="eastAsia" w:cs="宋体"/>
                <w:color w:val="auto"/>
                <w:spacing w:val="-6"/>
                <w:sz w:val="24"/>
                <w:szCs w:val="24"/>
              </w:rPr>
              <w:t>）</w:t>
            </w:r>
          </w:p>
        </w:tc>
        <w:tc>
          <w:tcPr>
            <w:tcW w:w="3067" w:type="dxa"/>
            <w:vAlign w:val="center"/>
          </w:tcPr>
          <w:p w14:paraId="1B299334">
            <w:pPr>
              <w:snapToGrid w:val="0"/>
              <w:jc w:val="center"/>
              <w:rPr>
                <w:rFonts w:cs="宋体"/>
                <w:color w:val="auto"/>
                <w:sz w:val="24"/>
                <w:szCs w:val="24"/>
              </w:rPr>
            </w:pPr>
            <w:r>
              <w:rPr>
                <w:rFonts w:hint="eastAsia"/>
                <w:color w:val="auto"/>
                <w:sz w:val="24"/>
                <w:szCs w:val="24"/>
              </w:rPr>
              <w:t>61498</w:t>
            </w:r>
          </w:p>
        </w:tc>
      </w:tr>
      <w:tr w14:paraId="1AE3C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6" w:type="dxa"/>
            <w:vAlign w:val="center"/>
          </w:tcPr>
          <w:p w14:paraId="31D031C4">
            <w:pPr>
              <w:autoSpaceDE w:val="0"/>
              <w:autoSpaceDN w:val="0"/>
              <w:snapToGrid w:val="0"/>
              <w:jc w:val="center"/>
              <w:rPr>
                <w:rFonts w:cs="宋体"/>
                <w:color w:val="auto"/>
                <w:sz w:val="24"/>
              </w:rPr>
            </w:pPr>
            <w:r>
              <w:rPr>
                <w:rFonts w:hint="eastAsia" w:cs="宋体"/>
                <w:color w:val="auto"/>
                <w:sz w:val="24"/>
              </w:rPr>
              <w:t>专项评价设置情况</w:t>
            </w:r>
          </w:p>
        </w:tc>
        <w:tc>
          <w:tcPr>
            <w:tcW w:w="7599" w:type="dxa"/>
            <w:gridSpan w:val="4"/>
            <w:vAlign w:val="center"/>
          </w:tcPr>
          <w:p w14:paraId="39E09844">
            <w:pPr>
              <w:pStyle w:val="3"/>
              <w:ind w:firstLine="480"/>
              <w:rPr>
                <w:color w:val="auto"/>
              </w:rPr>
            </w:pPr>
            <w:r>
              <w:rPr>
                <w:rFonts w:hint="eastAsia"/>
                <w:color w:val="auto"/>
              </w:rPr>
              <w:t>根据《建设项目环境影响报告表编制技术指南（污染影响类）》（试行），大气、地表水、环境风险、生态专项评价设置原则见下表：</w:t>
            </w:r>
          </w:p>
          <w:p w14:paraId="03B76C46">
            <w:pPr>
              <w:pStyle w:val="49"/>
              <w:rPr>
                <w:color w:val="auto"/>
              </w:rPr>
            </w:pPr>
            <w:r>
              <w:rPr>
                <w:rFonts w:hint="eastAsia"/>
                <w:color w:val="auto"/>
              </w:rPr>
              <w:t xml:space="preserve">表1- </w:t>
            </w:r>
            <w:r>
              <w:rPr>
                <w:color w:val="auto"/>
              </w:rPr>
              <w:t>1</w:t>
            </w:r>
            <w:r>
              <w:rPr>
                <w:rFonts w:hint="eastAsia"/>
                <w:color w:val="auto"/>
              </w:rPr>
              <w:t>：专项评价设置原则表</w:t>
            </w:r>
          </w:p>
          <w:tbl>
            <w:tblPr>
              <w:tblStyle w:val="5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770"/>
              <w:gridCol w:w="2819"/>
              <w:gridCol w:w="3788"/>
            </w:tblGrid>
            <w:tr w14:paraId="334BE7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75"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765851C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专项评</w:t>
                  </w:r>
                  <w:r>
                    <w:rPr>
                      <w:rFonts w:hint="eastAsia" w:ascii="宋体" w:hAnsi="宋体" w:eastAsia="宋体" w:cs="宋体"/>
                      <w:b/>
                      <w:i w:val="0"/>
                      <w:color w:val="auto"/>
                      <w:sz w:val="21"/>
                      <w:szCs w:val="21"/>
                      <w14:ligatures w14:val="standardContextual"/>
                    </w:rPr>
                    <w:t>价类别</w:t>
                  </w:r>
                </w:p>
              </w:tc>
              <w:tc>
                <w:tcPr>
                  <w:tcW w:w="2841"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545CB5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color w:val="auto"/>
                      <w:sz w:val="21"/>
                      <w:szCs w:val="21"/>
                      <w14:ligatures w14:val="standardContextual"/>
                    </w:rPr>
                  </w:pPr>
                  <w:r>
                    <w:rPr>
                      <w:rFonts w:hint="eastAsia" w:ascii="宋体" w:hAnsi="宋体" w:eastAsia="宋体" w:cs="宋体"/>
                      <w:b/>
                      <w:i w:val="0"/>
                      <w:color w:val="auto"/>
                      <w:sz w:val="21"/>
                      <w:szCs w:val="21"/>
                      <w14:ligatures w14:val="standardContextual"/>
                    </w:rPr>
                    <w:t>设置原则</w:t>
                  </w:r>
                </w:p>
              </w:tc>
              <w:tc>
                <w:tcPr>
                  <w:tcW w:w="3822" w:type="dxa"/>
                  <w:tcBorders>
                    <w:top w:val="single" w:color="auto" w:sz="12" w:space="0"/>
                    <w:bottom w:val="single" w:color="auto" w:sz="12" w:space="0"/>
                    <w:right w:val="nil"/>
                    <w:insideH w:val="single" w:sz="12" w:space="0"/>
                    <w:insideV w:val="single" w:sz="4" w:space="0"/>
                    <w:tl2br w:val="nil"/>
                    <w:tr2bl w:val="nil"/>
                  </w:tcBorders>
                  <w:vAlign w:val="center"/>
                </w:tcPr>
                <w:p w14:paraId="5197455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color w:val="auto"/>
                      <w:sz w:val="21"/>
                      <w:szCs w:val="21"/>
                      <w14:ligatures w14:val="standardContextual"/>
                    </w:rPr>
                  </w:pPr>
                  <w:r>
                    <w:rPr>
                      <w:rFonts w:hint="eastAsia" w:ascii="宋体" w:hAnsi="宋体" w:eastAsia="宋体" w:cs="宋体"/>
                      <w:b/>
                      <w:i w:val="0"/>
                      <w:color w:val="auto"/>
                      <w:sz w:val="21"/>
                      <w:szCs w:val="21"/>
                      <w14:ligatures w14:val="standardContextual"/>
                    </w:rPr>
                    <w:t>本项目是否设置专项</w:t>
                  </w:r>
                </w:p>
              </w:tc>
            </w:tr>
            <w:tr w14:paraId="350456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75" w:type="dxa"/>
                  <w:vAlign w:val="center"/>
                </w:tcPr>
                <w:p w14:paraId="020D80B0">
                  <w:pPr>
                    <w:widowControl w:val="0"/>
                    <w:overflowPunct w:val="0"/>
                    <w:autoSpaceDE w:val="0"/>
                    <w:autoSpaceDN w:val="0"/>
                    <w:snapToGrid w:val="0"/>
                    <w:jc w:val="center"/>
                    <w:rPr>
                      <w:color w:val="auto"/>
                      <w14:ligatures w14:val="standardContextual"/>
                    </w:rPr>
                  </w:pPr>
                  <w:r>
                    <w:rPr>
                      <w:rFonts w:hint="eastAsia"/>
                      <w:color w:val="auto"/>
                      <w14:ligatures w14:val="standardContextual"/>
                    </w:rPr>
                    <w:t>大气</w:t>
                  </w:r>
                </w:p>
              </w:tc>
              <w:tc>
                <w:tcPr>
                  <w:tcW w:w="2841" w:type="dxa"/>
                  <w:vAlign w:val="center"/>
                </w:tcPr>
                <w:p w14:paraId="5B0E90A4">
                  <w:pPr>
                    <w:widowControl w:val="0"/>
                    <w:overflowPunct w:val="0"/>
                    <w:autoSpaceDE w:val="0"/>
                    <w:autoSpaceDN w:val="0"/>
                    <w:snapToGrid w:val="0"/>
                    <w:jc w:val="center"/>
                    <w:rPr>
                      <w:color w:val="auto"/>
                      <w14:ligatures w14:val="standardContextual"/>
                    </w:rPr>
                  </w:pPr>
                  <w:r>
                    <w:rPr>
                      <w:rFonts w:hint="eastAsia"/>
                      <w:color w:val="auto"/>
                      <w14:ligatures w14:val="standardContextual"/>
                    </w:rPr>
                    <w:t>排放废气含有毒有害污染物</w:t>
                  </w:r>
                  <w:r>
                    <w:rPr>
                      <w:rFonts w:hint="eastAsia"/>
                      <w:color w:val="auto"/>
                      <w:vertAlign w:val="superscript"/>
                      <w14:ligatures w14:val="standardContextual"/>
                    </w:rPr>
                    <w:t>1</w:t>
                  </w:r>
                  <w:r>
                    <w:rPr>
                      <w:rFonts w:hint="eastAsia"/>
                      <w:color w:val="auto"/>
                      <w14:ligatures w14:val="standardContextual"/>
                    </w:rPr>
                    <w:t>、二噁英、苯并[a]芘、氰化物、氯气且厂界外500米范围内有环境空气保护目标</w:t>
                  </w:r>
                  <w:r>
                    <w:rPr>
                      <w:rFonts w:hint="eastAsia"/>
                      <w:color w:val="auto"/>
                      <w:vertAlign w:val="superscript"/>
                      <w14:ligatures w14:val="standardContextual"/>
                    </w:rPr>
                    <w:t>2</w:t>
                  </w:r>
                  <w:r>
                    <w:rPr>
                      <w:rFonts w:hint="eastAsia"/>
                      <w:color w:val="auto"/>
                      <w14:ligatures w14:val="standardContextual"/>
                    </w:rPr>
                    <w:t>的建设项目</w:t>
                  </w:r>
                </w:p>
              </w:tc>
              <w:tc>
                <w:tcPr>
                  <w:tcW w:w="3822" w:type="dxa"/>
                  <w:vAlign w:val="center"/>
                </w:tcPr>
                <w:p w14:paraId="58CFBFF7">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本项目排放的大气污染物主要为颗粒物，厂界500m范围内不存在环境空气保护目标，不涉及设置原则中相关内容，无需设置该专项评价。</w:t>
                  </w:r>
                </w:p>
              </w:tc>
            </w:tr>
            <w:tr w14:paraId="1EFA25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75" w:type="dxa"/>
                  <w:vAlign w:val="center"/>
                </w:tcPr>
                <w:p w14:paraId="0269CD78">
                  <w:pPr>
                    <w:widowControl w:val="0"/>
                    <w:overflowPunct w:val="0"/>
                    <w:autoSpaceDE w:val="0"/>
                    <w:autoSpaceDN w:val="0"/>
                    <w:snapToGrid w:val="0"/>
                    <w:jc w:val="center"/>
                    <w:rPr>
                      <w:color w:val="auto"/>
                      <w14:ligatures w14:val="standardContextual"/>
                    </w:rPr>
                  </w:pPr>
                  <w:r>
                    <w:rPr>
                      <w:rFonts w:hint="eastAsia"/>
                      <w:color w:val="auto"/>
                      <w14:ligatures w14:val="standardContextual"/>
                    </w:rPr>
                    <w:t>地表水</w:t>
                  </w:r>
                </w:p>
              </w:tc>
              <w:tc>
                <w:tcPr>
                  <w:tcW w:w="2841" w:type="dxa"/>
                  <w:vAlign w:val="center"/>
                </w:tcPr>
                <w:p w14:paraId="2FFC2A05">
                  <w:pPr>
                    <w:widowControl w:val="0"/>
                    <w:overflowPunct w:val="0"/>
                    <w:autoSpaceDE w:val="0"/>
                    <w:autoSpaceDN w:val="0"/>
                    <w:snapToGrid w:val="0"/>
                    <w:jc w:val="center"/>
                    <w:rPr>
                      <w:color w:val="auto"/>
                      <w14:ligatures w14:val="standardContextual"/>
                    </w:rPr>
                  </w:pPr>
                  <w:r>
                    <w:rPr>
                      <w:rFonts w:hint="eastAsia"/>
                      <w:color w:val="auto"/>
                      <w14:ligatures w14:val="standardContextual"/>
                    </w:rPr>
                    <w:t>新增工业废水直排建设项目（槽罐车外送污水处理厂的除外）；新增废水直排的污水集中处理厂</w:t>
                  </w:r>
                </w:p>
              </w:tc>
              <w:tc>
                <w:tcPr>
                  <w:tcW w:w="3822" w:type="dxa"/>
                  <w:vAlign w:val="center"/>
                </w:tcPr>
                <w:p w14:paraId="77E4C8D9">
                  <w:pPr>
                    <w:widowControl w:val="0"/>
                    <w:overflowPunct w:val="0"/>
                    <w:autoSpaceDE w:val="0"/>
                    <w:autoSpaceDN w:val="0"/>
                    <w:snapToGrid w:val="0"/>
                    <w:jc w:val="center"/>
                    <w:rPr>
                      <w:color w:val="auto"/>
                      <w14:ligatures w14:val="standardContextual"/>
                    </w:rPr>
                  </w:pPr>
                  <w:r>
                    <w:rPr>
                      <w:rFonts w:hint="eastAsia"/>
                      <w:color w:val="auto"/>
                      <w14:ligatures w14:val="standardContextual"/>
                    </w:rPr>
                    <w:t>项目无废水直排，故不设置地表水专项评价。</w:t>
                  </w:r>
                </w:p>
              </w:tc>
            </w:tr>
            <w:tr w14:paraId="610553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75" w:type="dxa"/>
                  <w:vAlign w:val="center"/>
                </w:tcPr>
                <w:p w14:paraId="7D70B1AB">
                  <w:pPr>
                    <w:widowControl w:val="0"/>
                    <w:overflowPunct w:val="0"/>
                    <w:autoSpaceDE w:val="0"/>
                    <w:autoSpaceDN w:val="0"/>
                    <w:snapToGrid w:val="0"/>
                    <w:jc w:val="center"/>
                    <w:rPr>
                      <w:color w:val="auto"/>
                      <w14:ligatures w14:val="standardContextual"/>
                    </w:rPr>
                  </w:pPr>
                  <w:r>
                    <w:rPr>
                      <w:rFonts w:hint="eastAsia"/>
                      <w:color w:val="auto"/>
                      <w14:ligatures w14:val="standardContextual"/>
                    </w:rPr>
                    <w:t>环境风</w:t>
                  </w:r>
                </w:p>
                <w:p w14:paraId="675CDF29">
                  <w:pPr>
                    <w:widowControl w:val="0"/>
                    <w:overflowPunct w:val="0"/>
                    <w:autoSpaceDE w:val="0"/>
                    <w:autoSpaceDN w:val="0"/>
                    <w:snapToGrid w:val="0"/>
                    <w:jc w:val="center"/>
                    <w:rPr>
                      <w:color w:val="auto"/>
                      <w14:ligatures w14:val="standardContextual"/>
                    </w:rPr>
                  </w:pPr>
                  <w:r>
                    <w:rPr>
                      <w:rFonts w:hint="eastAsia"/>
                      <w:color w:val="auto"/>
                      <w14:ligatures w14:val="standardContextual"/>
                    </w:rPr>
                    <w:t>险</w:t>
                  </w:r>
                </w:p>
              </w:tc>
              <w:tc>
                <w:tcPr>
                  <w:tcW w:w="2841" w:type="dxa"/>
                  <w:vAlign w:val="center"/>
                </w:tcPr>
                <w:p w14:paraId="70EA136A">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有毒有害的易燃易爆危险物质存储量超过临界量</w:t>
                  </w:r>
                  <w:r>
                    <w:rPr>
                      <w:rFonts w:hint="eastAsia"/>
                      <w:color w:val="auto"/>
                      <w:vertAlign w:val="superscript"/>
                      <w14:ligatures w14:val="standardContextual"/>
                    </w:rPr>
                    <w:t>3</w:t>
                  </w:r>
                  <w:r>
                    <w:rPr>
                      <w:rFonts w:hint="eastAsia"/>
                      <w:color w:val="auto"/>
                      <w14:ligatures w14:val="standardContextual"/>
                    </w:rPr>
                    <w:t>的建设项目</w:t>
                  </w:r>
                </w:p>
              </w:tc>
              <w:tc>
                <w:tcPr>
                  <w:tcW w:w="3822" w:type="dxa"/>
                  <w:vAlign w:val="center"/>
                </w:tcPr>
                <w:p w14:paraId="5EF7BC72">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本项目不涉及设置原则中相关内容，无需设置该专项评价</w:t>
                  </w:r>
                </w:p>
              </w:tc>
            </w:tr>
            <w:tr w14:paraId="0F24C6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75" w:type="dxa"/>
                  <w:vAlign w:val="center"/>
                </w:tcPr>
                <w:p w14:paraId="246DD3DE">
                  <w:pPr>
                    <w:widowControl w:val="0"/>
                    <w:overflowPunct w:val="0"/>
                    <w:autoSpaceDE w:val="0"/>
                    <w:autoSpaceDN w:val="0"/>
                    <w:snapToGrid w:val="0"/>
                    <w:jc w:val="center"/>
                    <w:rPr>
                      <w:color w:val="auto"/>
                      <w14:ligatures w14:val="standardContextual"/>
                    </w:rPr>
                  </w:pPr>
                  <w:r>
                    <w:rPr>
                      <w:rFonts w:hint="eastAsia"/>
                      <w:color w:val="auto"/>
                      <w14:ligatures w14:val="standardContextual"/>
                    </w:rPr>
                    <w:t>生态</w:t>
                  </w:r>
                </w:p>
              </w:tc>
              <w:tc>
                <w:tcPr>
                  <w:tcW w:w="2841" w:type="dxa"/>
                  <w:vAlign w:val="center"/>
                </w:tcPr>
                <w:p w14:paraId="2465BC0C">
                  <w:pPr>
                    <w:widowControl w:val="0"/>
                    <w:overflowPunct w:val="0"/>
                    <w:autoSpaceDE w:val="0"/>
                    <w:autoSpaceDN w:val="0"/>
                    <w:snapToGrid w:val="0"/>
                    <w:jc w:val="center"/>
                    <w:rPr>
                      <w:color w:val="auto"/>
                      <w14:ligatures w14:val="standardContextual"/>
                    </w:rPr>
                  </w:pPr>
                  <w:r>
                    <w:rPr>
                      <w:rFonts w:hint="eastAsia"/>
                      <w:color w:val="auto"/>
                      <w14:ligatures w14:val="standardContextual"/>
                    </w:rPr>
                    <w:t>取水口下游500米范围内有重要水生生物的自然产卵场、索饵场、越冬场和洄游通道的新增河道取水的污染类建设项目</w:t>
                  </w:r>
                </w:p>
              </w:tc>
              <w:tc>
                <w:tcPr>
                  <w:tcW w:w="3822" w:type="dxa"/>
                  <w:vAlign w:val="center"/>
                </w:tcPr>
                <w:p w14:paraId="6DEBEE60">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本项目不涉及设置原则中相关内容，无需设置该专项评价</w:t>
                  </w:r>
                </w:p>
              </w:tc>
            </w:tr>
            <w:tr w14:paraId="0F3F9E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775" w:type="dxa"/>
                  <w:vAlign w:val="center"/>
                </w:tcPr>
                <w:p w14:paraId="10EB4592">
                  <w:pPr>
                    <w:widowControl w:val="0"/>
                    <w:overflowPunct w:val="0"/>
                    <w:autoSpaceDE w:val="0"/>
                    <w:autoSpaceDN w:val="0"/>
                    <w:snapToGrid w:val="0"/>
                    <w:jc w:val="center"/>
                    <w:rPr>
                      <w:color w:val="auto"/>
                      <w14:ligatures w14:val="standardContextual"/>
                    </w:rPr>
                  </w:pPr>
                  <w:r>
                    <w:rPr>
                      <w:rFonts w:hint="eastAsia"/>
                      <w:color w:val="auto"/>
                      <w14:ligatures w14:val="standardContextual"/>
                    </w:rPr>
                    <w:t>海洋</w:t>
                  </w:r>
                </w:p>
              </w:tc>
              <w:tc>
                <w:tcPr>
                  <w:tcW w:w="2841" w:type="dxa"/>
                  <w:vAlign w:val="center"/>
                </w:tcPr>
                <w:p w14:paraId="2CD8B421">
                  <w:pPr>
                    <w:widowControl w:val="0"/>
                    <w:overflowPunct w:val="0"/>
                    <w:autoSpaceDE w:val="0"/>
                    <w:autoSpaceDN w:val="0"/>
                    <w:snapToGrid w:val="0"/>
                    <w:jc w:val="center"/>
                    <w:rPr>
                      <w:color w:val="auto"/>
                      <w14:ligatures w14:val="standardContextual"/>
                    </w:rPr>
                  </w:pPr>
                  <w:r>
                    <w:rPr>
                      <w:rFonts w:hint="eastAsia"/>
                      <w:color w:val="auto"/>
                      <w14:ligatures w14:val="standardContextual"/>
                    </w:rPr>
                    <w:t>直接向海洋排放污染物的海洋建设项目</w:t>
                  </w:r>
                </w:p>
              </w:tc>
              <w:tc>
                <w:tcPr>
                  <w:tcW w:w="3822" w:type="dxa"/>
                  <w:vAlign w:val="center"/>
                </w:tcPr>
                <w:p w14:paraId="10831169">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本项目不涉及设置原则中相关内容，无需设置该专项</w:t>
                  </w:r>
                </w:p>
              </w:tc>
            </w:tr>
          </w:tbl>
          <w:p w14:paraId="6A543E3E">
            <w:pPr>
              <w:pStyle w:val="66"/>
              <w:spacing w:after="120"/>
              <w:rPr>
                <w:color w:val="auto"/>
              </w:rPr>
            </w:pPr>
            <w:r>
              <w:rPr>
                <w:rFonts w:hint="eastAsia"/>
                <w:color w:val="auto"/>
              </w:rPr>
              <w:t>注：1.废气中有毒有害污染物指纳入《有毒有害大气污染物名录》的污染物（不包括无排放标准的污染物）。</w:t>
            </w:r>
          </w:p>
          <w:p w14:paraId="3CE4BDC5">
            <w:pPr>
              <w:pStyle w:val="66"/>
              <w:spacing w:after="120"/>
              <w:rPr>
                <w:color w:val="auto"/>
              </w:rPr>
            </w:pPr>
            <w:r>
              <w:rPr>
                <w:rFonts w:hint="eastAsia"/>
                <w:color w:val="auto"/>
              </w:rPr>
              <w:t>2.环境空气保护目标指自然保护区、风景名胜区、居住区、文化区和农村地区中人群较集中的区域。</w:t>
            </w:r>
          </w:p>
          <w:p w14:paraId="45A7E376">
            <w:pPr>
              <w:pStyle w:val="66"/>
              <w:spacing w:after="120"/>
              <w:rPr>
                <w:color w:val="auto"/>
              </w:rPr>
            </w:pPr>
            <w:r>
              <w:rPr>
                <w:rFonts w:hint="eastAsia"/>
                <w:color w:val="auto"/>
              </w:rPr>
              <w:t>3.临界量及其计算方法可参考《建设项目环境风险评价技术导则》（HJ 169）附录B、附录C。</w:t>
            </w:r>
          </w:p>
          <w:p w14:paraId="192D03D4">
            <w:pPr>
              <w:pStyle w:val="3"/>
              <w:ind w:firstLine="480"/>
              <w:rPr>
                <w:color w:val="auto"/>
              </w:rPr>
            </w:pPr>
            <w:r>
              <w:rPr>
                <w:rFonts w:hint="eastAsia"/>
                <w:color w:val="auto"/>
              </w:rPr>
              <w:t>根据《建设项目环境影响报告表编制技术指南（污染影响类）》（试行），土壤及声环境不开展专项评价。地下水原则上不开展专项评价，涉及集中式饮用水水源和热水、矿泉水、温泉等特殊地下水资源保护区的开展地下水专项评价工作，本项目不涉及上述保护区，因此可不开展地下水专项评价。</w:t>
            </w:r>
          </w:p>
          <w:p w14:paraId="1B11F4A9">
            <w:pPr>
              <w:pStyle w:val="3"/>
              <w:ind w:firstLine="480"/>
              <w:rPr>
                <w:rFonts w:cs="宋体"/>
                <w:color w:val="auto"/>
              </w:rPr>
            </w:pPr>
            <w:r>
              <w:rPr>
                <w:rFonts w:hint="eastAsia"/>
                <w:color w:val="auto"/>
              </w:rPr>
              <w:t>综上判定，本次评价无须设置专项评价。</w:t>
            </w:r>
          </w:p>
        </w:tc>
      </w:tr>
      <w:tr w14:paraId="47967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26" w:type="dxa"/>
            <w:vAlign w:val="center"/>
          </w:tcPr>
          <w:p w14:paraId="2ED673E1">
            <w:pPr>
              <w:autoSpaceDE w:val="0"/>
              <w:autoSpaceDN w:val="0"/>
              <w:snapToGrid w:val="0"/>
              <w:jc w:val="center"/>
              <w:rPr>
                <w:rFonts w:cs="宋体"/>
                <w:color w:val="auto"/>
                <w:sz w:val="24"/>
              </w:rPr>
            </w:pPr>
            <w:r>
              <w:rPr>
                <w:rFonts w:hint="eastAsia" w:cs="宋体"/>
                <w:color w:val="auto"/>
                <w:sz w:val="24"/>
              </w:rPr>
              <w:t>规划情况</w:t>
            </w:r>
          </w:p>
        </w:tc>
        <w:tc>
          <w:tcPr>
            <w:tcW w:w="7599" w:type="dxa"/>
            <w:gridSpan w:val="4"/>
            <w:vAlign w:val="center"/>
          </w:tcPr>
          <w:p w14:paraId="742842C5">
            <w:pPr>
              <w:pStyle w:val="3"/>
              <w:ind w:firstLine="0" w:firstLineChars="0"/>
              <w:jc w:val="center"/>
              <w:rPr>
                <w:color w:val="auto"/>
              </w:rPr>
            </w:pPr>
            <w:r>
              <w:rPr>
                <w:rFonts w:hint="eastAsia"/>
                <w:color w:val="auto"/>
              </w:rPr>
              <w:t>无</w:t>
            </w:r>
          </w:p>
        </w:tc>
      </w:tr>
      <w:tr w14:paraId="076EA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726" w:type="dxa"/>
            <w:vAlign w:val="center"/>
          </w:tcPr>
          <w:p w14:paraId="526A4B5B">
            <w:pPr>
              <w:snapToGrid w:val="0"/>
              <w:jc w:val="center"/>
              <w:rPr>
                <w:rFonts w:cs="宋体"/>
                <w:color w:val="auto"/>
                <w:sz w:val="24"/>
              </w:rPr>
            </w:pPr>
            <w:r>
              <w:rPr>
                <w:rFonts w:hint="eastAsia" w:cs="宋体"/>
                <w:color w:val="auto"/>
                <w:sz w:val="24"/>
              </w:rPr>
              <w:t>规划环境影响评价情况</w:t>
            </w:r>
          </w:p>
        </w:tc>
        <w:tc>
          <w:tcPr>
            <w:tcW w:w="7599" w:type="dxa"/>
            <w:gridSpan w:val="4"/>
            <w:vAlign w:val="center"/>
          </w:tcPr>
          <w:p w14:paraId="52D9C530">
            <w:pPr>
              <w:pStyle w:val="3"/>
              <w:ind w:firstLine="0" w:firstLineChars="0"/>
              <w:jc w:val="center"/>
              <w:rPr>
                <w:color w:val="auto"/>
              </w:rPr>
            </w:pPr>
            <w:r>
              <w:rPr>
                <w:rFonts w:hint="eastAsia"/>
                <w:color w:val="auto"/>
              </w:rPr>
              <w:t>无</w:t>
            </w:r>
          </w:p>
        </w:tc>
      </w:tr>
      <w:tr w14:paraId="14589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6" w:type="dxa"/>
            <w:vAlign w:val="center"/>
          </w:tcPr>
          <w:p w14:paraId="3B372CE7">
            <w:pPr>
              <w:autoSpaceDE w:val="0"/>
              <w:autoSpaceDN w:val="0"/>
              <w:snapToGrid w:val="0"/>
              <w:jc w:val="center"/>
              <w:rPr>
                <w:rFonts w:cs="宋体"/>
                <w:color w:val="auto"/>
                <w:sz w:val="24"/>
              </w:rPr>
            </w:pPr>
            <w:r>
              <w:rPr>
                <w:rFonts w:hint="eastAsia" w:cs="宋体"/>
                <w:color w:val="auto"/>
                <w:sz w:val="24"/>
              </w:rPr>
              <w:t>规划及规划环境影响评价符合性分析</w:t>
            </w:r>
          </w:p>
        </w:tc>
        <w:tc>
          <w:tcPr>
            <w:tcW w:w="7599" w:type="dxa"/>
            <w:gridSpan w:val="4"/>
            <w:vAlign w:val="center"/>
          </w:tcPr>
          <w:p w14:paraId="4EC2703C">
            <w:pPr>
              <w:pStyle w:val="3"/>
              <w:ind w:firstLine="480"/>
              <w:jc w:val="center"/>
              <w:rPr>
                <w:rFonts w:cs="宋体"/>
                <w:color w:val="auto"/>
              </w:rPr>
            </w:pPr>
            <w:r>
              <w:rPr>
                <w:rFonts w:hint="eastAsia" w:cs="宋体"/>
                <w:color w:val="auto"/>
              </w:rPr>
              <w:t>无</w:t>
            </w:r>
          </w:p>
        </w:tc>
      </w:tr>
      <w:tr w14:paraId="3F816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6" w:type="dxa"/>
            <w:vAlign w:val="center"/>
          </w:tcPr>
          <w:p w14:paraId="24C83956">
            <w:pPr>
              <w:autoSpaceDE w:val="0"/>
              <w:autoSpaceDN w:val="0"/>
              <w:snapToGrid w:val="0"/>
              <w:jc w:val="center"/>
              <w:rPr>
                <w:rFonts w:cs="宋体"/>
                <w:color w:val="auto"/>
                <w:sz w:val="24"/>
              </w:rPr>
            </w:pPr>
            <w:r>
              <w:rPr>
                <w:rFonts w:hint="eastAsia" w:cs="宋体"/>
                <w:color w:val="auto"/>
                <w:sz w:val="24"/>
              </w:rPr>
              <w:t>其他符合性分析</w:t>
            </w:r>
          </w:p>
        </w:tc>
        <w:tc>
          <w:tcPr>
            <w:tcW w:w="7599" w:type="dxa"/>
            <w:gridSpan w:val="4"/>
            <w:vAlign w:val="center"/>
          </w:tcPr>
          <w:p w14:paraId="304C54DC">
            <w:pPr>
              <w:pStyle w:val="7"/>
              <w:rPr>
                <w:color w:val="auto"/>
              </w:rPr>
            </w:pPr>
            <w:r>
              <w:rPr>
                <w:rFonts w:hint="eastAsia"/>
                <w:color w:val="auto"/>
              </w:rPr>
              <w:t>1、产业政策符合性分析</w:t>
            </w:r>
          </w:p>
          <w:p w14:paraId="39794F01">
            <w:pPr>
              <w:pStyle w:val="3"/>
              <w:ind w:firstLine="480"/>
              <w:rPr>
                <w:color w:val="auto"/>
              </w:rPr>
            </w:pPr>
            <w:r>
              <w:rPr>
                <w:rFonts w:hint="eastAsia"/>
                <w:color w:val="auto"/>
              </w:rPr>
              <w:t>根据《产业结构调整指导目录（20</w:t>
            </w:r>
            <w:r>
              <w:rPr>
                <w:color w:val="auto"/>
              </w:rPr>
              <w:t>24</w:t>
            </w:r>
            <w:r>
              <w:rPr>
                <w:rFonts w:hint="eastAsia"/>
                <w:color w:val="auto"/>
              </w:rPr>
              <w:t>年本）》（国家发展和改革委员会令第</w:t>
            </w:r>
            <w:r>
              <w:rPr>
                <w:color w:val="auto"/>
              </w:rPr>
              <w:t>7</w:t>
            </w:r>
            <w:r>
              <w:rPr>
                <w:rFonts w:hint="eastAsia"/>
                <w:color w:val="auto"/>
              </w:rPr>
              <w:t>号），本项目属于鼓励类中“二十九、现代物流业—1、煤炭等重要商品现代化物流设施建设”类项目，符合该文件要求。</w:t>
            </w:r>
          </w:p>
          <w:p w14:paraId="67F7F55E">
            <w:pPr>
              <w:pStyle w:val="3"/>
              <w:ind w:firstLine="480"/>
              <w:rPr>
                <w:color w:val="auto"/>
              </w:rPr>
            </w:pPr>
            <w:r>
              <w:rPr>
                <w:rFonts w:hint="eastAsia"/>
                <w:color w:val="auto"/>
              </w:rPr>
              <w:t>本项目已在鄯善县发展和改革委员会（鄯善县粮食和物资储备局）进行备案，项目代码为2408-650421-04-01-823927，符合国家有关产业政策的要求。</w:t>
            </w:r>
          </w:p>
          <w:p w14:paraId="2975EE75">
            <w:pPr>
              <w:pStyle w:val="7"/>
              <w:rPr>
                <w:color w:val="auto"/>
              </w:rPr>
            </w:pPr>
            <w:r>
              <w:rPr>
                <w:rFonts w:hint="eastAsia"/>
                <w:color w:val="auto"/>
              </w:rPr>
              <w:t>2、选址可行性分析</w:t>
            </w:r>
          </w:p>
          <w:p w14:paraId="6392464D">
            <w:pPr>
              <w:pStyle w:val="3"/>
              <w:ind w:firstLine="480"/>
              <w:rPr>
                <w:color w:val="auto"/>
              </w:rPr>
            </w:pPr>
            <w:r>
              <w:rPr>
                <w:rFonts w:hint="eastAsia"/>
                <w:color w:val="auto"/>
              </w:rPr>
              <w:t>（1）规划选址符合性分析</w:t>
            </w:r>
          </w:p>
          <w:p w14:paraId="1C23A576">
            <w:pPr>
              <w:pStyle w:val="3"/>
              <w:ind w:firstLine="480"/>
              <w:rPr>
                <w:color w:val="auto"/>
              </w:rPr>
            </w:pPr>
            <w:r>
              <w:rPr>
                <w:rFonts w:hint="eastAsia"/>
                <w:color w:val="auto"/>
              </w:rPr>
              <w:t>国土资源部、国家工业和信息化局2012年5月30日发布的“关于发布实施《限制用地项目目录（2012年本）》和《禁止用地项目目录（2012年本）》的通知”，项目选址位于新疆维吾尔自治区吐鲁番市鄯善县（鄯善火车站铁石货场北侧），已取得建设项目用地预审与选址意见书（6504212024000626），用地性质属于未利用地，不属于《禁止目录》和《限制目录》中的建设项目，不属于该文件中限批或禁批的范围。</w:t>
            </w:r>
          </w:p>
          <w:p w14:paraId="10E399CA">
            <w:pPr>
              <w:pStyle w:val="3"/>
              <w:ind w:firstLine="480"/>
              <w:rPr>
                <w:color w:val="auto"/>
              </w:rPr>
            </w:pPr>
            <w:r>
              <w:rPr>
                <w:rFonts w:hint="eastAsia"/>
                <w:color w:val="auto"/>
              </w:rPr>
              <w:t>（2）选址所在地环境敏感度分析</w:t>
            </w:r>
          </w:p>
          <w:p w14:paraId="06024FED">
            <w:pPr>
              <w:pStyle w:val="3"/>
              <w:ind w:firstLine="480"/>
              <w:rPr>
                <w:color w:val="auto"/>
              </w:rPr>
            </w:pPr>
            <w:r>
              <w:rPr>
                <w:rFonts w:hint="eastAsia"/>
                <w:color w:val="auto"/>
              </w:rPr>
              <w:t>项目选址位于新疆维吾尔自治区吐鲁番市鄯善县（鄯善火车站铁石货场北侧），不属于生活饮用水源地和地下水补给区、风景名胜区、温泉疗养区、水产养殖区、基本农田保护区、自然保护区等需要特殊保护区域。</w:t>
            </w:r>
          </w:p>
          <w:p w14:paraId="03919CF2">
            <w:pPr>
              <w:pStyle w:val="3"/>
              <w:ind w:firstLine="480"/>
              <w:rPr>
                <w:color w:val="auto"/>
              </w:rPr>
            </w:pPr>
            <w:r>
              <w:rPr>
                <w:rFonts w:hint="eastAsia"/>
                <w:color w:val="auto"/>
              </w:rPr>
              <w:t>（3）与周边环境相容性分析</w:t>
            </w:r>
          </w:p>
          <w:p w14:paraId="1AEF6DA0">
            <w:pPr>
              <w:pStyle w:val="3"/>
              <w:ind w:firstLine="480"/>
              <w:rPr>
                <w:color w:val="auto"/>
              </w:rPr>
            </w:pPr>
            <w:r>
              <w:rPr>
                <w:rFonts w:hint="eastAsia"/>
                <w:color w:val="auto"/>
              </w:rPr>
              <w:t>根据现场踏勘，项目四周情况：东面为空地，西面为空地，南面为铁路货场，北面为空地，项目周边关系见附图3。周边不存在食品、药品等对环境质量要求高的企业，因此，项目与周边环境相容性较好。建设单位在认真落实本环评提出的各项处理措施后，对外围的环境影响较小，与周边环境兼容，选址可行。</w:t>
            </w:r>
          </w:p>
          <w:p w14:paraId="6E4D471F">
            <w:pPr>
              <w:pStyle w:val="7"/>
              <w:rPr>
                <w:color w:val="auto"/>
              </w:rPr>
            </w:pPr>
            <w:r>
              <w:rPr>
                <w:rFonts w:hint="eastAsia"/>
                <w:color w:val="auto"/>
              </w:rPr>
              <w:t>3、与“三线一单”符合性分析</w:t>
            </w:r>
          </w:p>
          <w:p w14:paraId="275034D6">
            <w:pPr>
              <w:pStyle w:val="3"/>
              <w:ind w:firstLine="480"/>
              <w:rPr>
                <w:color w:val="auto"/>
              </w:rPr>
            </w:pPr>
            <w:r>
              <w:rPr>
                <w:rFonts w:hint="eastAsia"/>
                <w:color w:val="auto"/>
              </w:rPr>
              <w:t>（1）与《新疆维吾尔自治区“三线一单”生态环境分区管控方案》符合性分析</w:t>
            </w:r>
          </w:p>
          <w:p w14:paraId="3235D816">
            <w:pPr>
              <w:pStyle w:val="3"/>
              <w:ind w:firstLine="480"/>
              <w:rPr>
                <w:color w:val="auto"/>
              </w:rPr>
            </w:pPr>
            <w:r>
              <w:rPr>
                <w:rFonts w:hint="eastAsia"/>
                <w:color w:val="auto"/>
              </w:rPr>
              <w:t>根据吐鲁番市人民政府办公室2021年6月发布的《吐鲁番市“三线一单”生态环境分区管控方案》（吐政办〔2021〕24号），吐鲁番市共划定管控单元64个，优先保护单元17个，重点管控单元36个，一般管控单元11个。</w:t>
            </w:r>
          </w:p>
          <w:p w14:paraId="4012967F">
            <w:pPr>
              <w:pStyle w:val="3"/>
              <w:ind w:firstLine="480"/>
              <w:rPr>
                <w:color w:val="auto"/>
              </w:rPr>
            </w:pPr>
            <w:r>
              <w:rPr>
                <w:rFonts w:hint="eastAsia"/>
                <w:color w:val="auto"/>
              </w:rPr>
              <w:t>本项目位于新疆维吾尔自治区吐鲁番市鄯善县（鄯善火车站铁石货场北侧），属于一般管控单元，与自治区一般管控单元管控要求符合性分析如下：</w:t>
            </w:r>
          </w:p>
          <w:p w14:paraId="7C85A25E">
            <w:pPr>
              <w:pStyle w:val="49"/>
              <w:rPr>
                <w:rFonts w:eastAsia="仿宋"/>
                <w:bCs w:val="0"/>
                <w:color w:val="auto"/>
                <w:sz w:val="21"/>
              </w:rPr>
            </w:pPr>
            <w:bookmarkStart w:id="3" w:name="_Ref175248391"/>
            <w:bookmarkStart w:id="4" w:name="_Ref175248448"/>
            <w:r>
              <w:rPr>
                <w:rFonts w:hint="eastAsia"/>
                <w:color w:val="auto"/>
              </w:rPr>
              <w:t xml:space="preserve">表1- </w:t>
            </w:r>
            <w:r>
              <w:rPr>
                <w:color w:val="auto"/>
              </w:rPr>
              <w:t>2</w:t>
            </w:r>
            <w:bookmarkEnd w:id="3"/>
            <w:r>
              <w:rPr>
                <w:rFonts w:hint="eastAsia"/>
                <w:color w:val="auto"/>
              </w:rPr>
              <w:t>：与自治区一般管控单元符合性分析一览表</w:t>
            </w:r>
            <w:bookmarkEnd w:id="4"/>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466"/>
              <w:gridCol w:w="736"/>
              <w:gridCol w:w="3103"/>
              <w:gridCol w:w="3072"/>
            </w:tblGrid>
            <w:tr w14:paraId="3A6043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432" w:type="dxa"/>
                  <w:gridSpan w:val="3"/>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2DB2FB5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管控要求</w:t>
                  </w:r>
                </w:p>
              </w:tc>
              <w:tc>
                <w:tcPr>
                  <w:tcW w:w="3213" w:type="dxa"/>
                  <w:tcBorders>
                    <w:top w:val="single" w:color="auto" w:sz="12" w:space="0"/>
                    <w:bottom w:val="single" w:color="auto" w:sz="12" w:space="0"/>
                    <w:right w:val="nil"/>
                    <w:insideH w:val="single" w:sz="12" w:space="0"/>
                    <w:insideV w:val="single" w:sz="4" w:space="0"/>
                    <w:tl2br w:val="nil"/>
                    <w:tr2bl w:val="nil"/>
                  </w:tcBorders>
                  <w:vAlign w:val="center"/>
                </w:tcPr>
                <w:p w14:paraId="46620B8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本项目符合性</w:t>
                  </w:r>
                </w:p>
              </w:tc>
            </w:tr>
            <w:tr w14:paraId="181410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2" w:type="dxa"/>
                  <w:vMerge w:val="restart"/>
                  <w:vAlign w:val="center"/>
                </w:tcPr>
                <w:p w14:paraId="19FF1EF3">
                  <w:pPr>
                    <w:widowControl w:val="0"/>
                    <w:overflowPunct w:val="0"/>
                    <w:autoSpaceDE w:val="0"/>
                    <w:autoSpaceDN w:val="0"/>
                    <w:snapToGrid w:val="0"/>
                    <w:jc w:val="center"/>
                    <w:rPr>
                      <w:color w:val="auto"/>
                      <w14:ligatures w14:val="standardContextual"/>
                    </w:rPr>
                  </w:pPr>
                  <w:r>
                    <w:rPr>
                      <w:color w:val="auto"/>
                      <w14:ligatures w14:val="standardContextual"/>
                    </w:rPr>
                    <w:t>A7一般管控单元</w:t>
                  </w:r>
                </w:p>
              </w:tc>
              <w:tc>
                <w:tcPr>
                  <w:tcW w:w="747" w:type="dxa"/>
                  <w:vAlign w:val="center"/>
                </w:tcPr>
                <w:p w14:paraId="6B5309D2">
                  <w:pPr>
                    <w:widowControl w:val="0"/>
                    <w:overflowPunct w:val="0"/>
                    <w:autoSpaceDE w:val="0"/>
                    <w:autoSpaceDN w:val="0"/>
                    <w:snapToGrid w:val="0"/>
                    <w:jc w:val="center"/>
                    <w:rPr>
                      <w:color w:val="auto"/>
                      <w14:ligatures w14:val="standardContextual"/>
                    </w:rPr>
                  </w:pPr>
                  <w:r>
                    <w:rPr>
                      <w:color w:val="auto"/>
                      <w14:ligatures w14:val="standardContextual"/>
                    </w:rPr>
                    <w:t>A7.1空间布局约束</w:t>
                  </w:r>
                </w:p>
              </w:tc>
              <w:tc>
                <w:tcPr>
                  <w:tcW w:w="3213" w:type="dxa"/>
                  <w:vAlign w:val="center"/>
                </w:tcPr>
                <w:p w14:paraId="6BACAA4F">
                  <w:pPr>
                    <w:widowControl w:val="0"/>
                    <w:overflowPunct w:val="0"/>
                    <w:autoSpaceDE w:val="0"/>
                    <w:autoSpaceDN w:val="0"/>
                    <w:snapToGrid w:val="0"/>
                    <w:jc w:val="center"/>
                    <w:rPr>
                      <w:color w:val="auto"/>
                      <w14:ligatures w14:val="standardContextual"/>
                    </w:rPr>
                  </w:pPr>
                  <w:r>
                    <w:rPr>
                      <w:color w:val="auto"/>
                      <w14:ligatures w14:val="standardContextual"/>
                    </w:rPr>
                    <w:t>【A7.1-1】限制进行大规模高强度工业化城镇化开发，严格控制金属冶炼、石油化工、焦化等</w:t>
                  </w:r>
                  <w:r>
                    <w:rPr>
                      <w:rFonts w:hint="eastAsia" w:ascii="仿宋" w:hAnsi="仿宋" w:cs="仿宋"/>
                      <w:color w:val="auto"/>
                      <w14:ligatures w14:val="standardContextual"/>
                    </w:rPr>
                    <w:t>“高污染、高环境风险产品”工业项目，原则上不增加产能，现有“高污染、高环境风险产品”</w:t>
                  </w:r>
                  <w:r>
                    <w:rPr>
                      <w:color w:val="auto"/>
                      <w14:ligatures w14:val="standardContextual"/>
                    </w:rPr>
                    <w:t>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3213" w:type="dxa"/>
                  <w:vAlign w:val="center"/>
                </w:tcPr>
                <w:p w14:paraId="5A0E7DA0">
                  <w:pPr>
                    <w:widowControl w:val="0"/>
                    <w:overflowPunct w:val="0"/>
                    <w:autoSpaceDE w:val="0"/>
                    <w:autoSpaceDN w:val="0"/>
                    <w:snapToGrid w:val="0"/>
                    <w:jc w:val="center"/>
                    <w:rPr>
                      <w:color w:val="auto"/>
                      <w14:ligatures w14:val="standardContextual"/>
                    </w:rPr>
                  </w:pPr>
                  <w:r>
                    <w:rPr>
                      <w:color w:val="auto"/>
                      <w14:ligatures w14:val="standardContextual"/>
                    </w:rPr>
                    <w:t>符合。</w:t>
                  </w:r>
                </w:p>
                <w:p w14:paraId="78F656BC">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w:t>
                  </w:r>
                  <w:r>
                    <w:rPr>
                      <w:color w:val="auto"/>
                      <w14:ligatures w14:val="standardContextual"/>
                    </w:rPr>
                    <w:t>项目为</w:t>
                  </w:r>
                  <w:r>
                    <w:rPr>
                      <w:rFonts w:hint="eastAsia"/>
                      <w:color w:val="auto"/>
                      <w14:ligatures w14:val="standardContextual"/>
                    </w:rPr>
                    <w:t>煤炭储存、集运项目</w:t>
                  </w:r>
                  <w:r>
                    <w:rPr>
                      <w:color w:val="auto"/>
                      <w14:ligatures w14:val="standardContextual"/>
                    </w:rPr>
                    <w:t>，不属于金属冶炼、石油化工、焦化等</w:t>
                  </w:r>
                  <w:r>
                    <w:rPr>
                      <w:rFonts w:hint="eastAsia" w:ascii="仿宋" w:hAnsi="仿宋" w:cs="仿宋"/>
                      <w:color w:val="auto"/>
                      <w14:ligatures w14:val="standardContextual"/>
                    </w:rPr>
                    <w:t>“高污染、高环境风险产品”</w:t>
                  </w:r>
                  <w:r>
                    <w:rPr>
                      <w:color w:val="auto"/>
                      <w14:ligatures w14:val="standardContextual"/>
                    </w:rPr>
                    <w:t>工业项目</w:t>
                  </w:r>
                  <w:r>
                    <w:rPr>
                      <w:rFonts w:hint="eastAsia"/>
                      <w:color w:val="auto"/>
                      <w14:ligatures w14:val="standardContextual"/>
                    </w:rPr>
                    <w:t>，不涉及</w:t>
                  </w:r>
                  <w:r>
                    <w:rPr>
                      <w:color w:val="auto"/>
                      <w14:ligatures w14:val="standardContextual"/>
                    </w:rPr>
                    <w:t>一类重金属、持久性有机污染物排放</w:t>
                  </w:r>
                  <w:r>
                    <w:rPr>
                      <w:rFonts w:hint="eastAsia"/>
                      <w:color w:val="auto"/>
                      <w14:ligatures w14:val="standardContextual"/>
                    </w:rPr>
                    <w:t>，也不属于</w:t>
                  </w:r>
                  <w:r>
                    <w:rPr>
                      <w:color w:val="auto"/>
                      <w14:ligatures w14:val="standardContextual"/>
                    </w:rPr>
                    <w:t>畜禽养殖</w:t>
                  </w:r>
                  <w:r>
                    <w:rPr>
                      <w:rFonts w:hint="eastAsia"/>
                      <w:color w:val="auto"/>
                      <w14:ligatures w14:val="standardContextual"/>
                    </w:rPr>
                    <w:t>项目，</w:t>
                  </w:r>
                  <w:r>
                    <w:rPr>
                      <w:color w:val="auto"/>
                      <w14:ligatures w14:val="standardContextual"/>
                    </w:rPr>
                    <w:t>符合国家及当地产业政策</w:t>
                  </w:r>
                  <w:r>
                    <w:rPr>
                      <w:rFonts w:hint="eastAsia"/>
                      <w:color w:val="auto"/>
                      <w14:ligatures w14:val="standardContextual"/>
                    </w:rPr>
                    <w:t>。</w:t>
                  </w:r>
                </w:p>
                <w:p w14:paraId="1D6A74EB">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w:t>
                  </w:r>
                  <w:r>
                    <w:rPr>
                      <w:color w:val="auto"/>
                      <w14:ligatures w14:val="standardContextual"/>
                    </w:rPr>
                    <w:t>项目位于</w:t>
                  </w:r>
                  <w:r>
                    <w:rPr>
                      <w:rFonts w:hint="eastAsia"/>
                      <w:color w:val="auto"/>
                      <w14:ligatures w14:val="standardContextual"/>
                    </w:rPr>
                    <w:t>鄯善火车站铁石货场北侧</w:t>
                  </w:r>
                  <w:r>
                    <w:rPr>
                      <w:color w:val="auto"/>
                      <w14:ligatures w14:val="standardContextual"/>
                    </w:rPr>
                    <w:t>，</w:t>
                  </w:r>
                  <w:r>
                    <w:rPr>
                      <w:rFonts w:hint="eastAsia"/>
                      <w:color w:val="auto"/>
                      <w14:ligatures w14:val="standardContextual"/>
                    </w:rPr>
                    <w:t>土地用途</w:t>
                  </w:r>
                  <w:r>
                    <w:rPr>
                      <w:color w:val="auto"/>
                      <w14:ligatures w14:val="standardContextual"/>
                    </w:rPr>
                    <w:t>为</w:t>
                  </w:r>
                  <w:r>
                    <w:rPr>
                      <w:rFonts w:hint="eastAsia"/>
                      <w:color w:val="auto"/>
                      <w14:ligatures w14:val="standardContextual"/>
                    </w:rPr>
                    <w:t>未利用地</w:t>
                  </w:r>
                  <w:r>
                    <w:rPr>
                      <w:color w:val="auto"/>
                      <w14:ligatures w14:val="standardContextual"/>
                    </w:rPr>
                    <w:t>，项目地及周边不涉及基本农田、基本草原，也不涉及重点生态功能区、生态敏感区、生态脆弱区、生物多样性保护优先区和自然保护区等法定禁止开发区域，不涉及生态保护红线区域。</w:t>
                  </w:r>
                </w:p>
              </w:tc>
            </w:tr>
            <w:tr w14:paraId="1234CE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2" w:type="dxa"/>
                  <w:vMerge w:val="continue"/>
                  <w:vAlign w:val="center"/>
                </w:tcPr>
                <w:p w14:paraId="54C3E9EB">
                  <w:pPr>
                    <w:widowControl w:val="0"/>
                    <w:overflowPunct w:val="0"/>
                    <w:autoSpaceDE w:val="0"/>
                    <w:autoSpaceDN w:val="0"/>
                    <w:snapToGrid w:val="0"/>
                    <w:jc w:val="center"/>
                    <w:rPr>
                      <w:color w:val="auto"/>
                      <w14:ligatures w14:val="standardContextual"/>
                    </w:rPr>
                  </w:pPr>
                </w:p>
              </w:tc>
              <w:tc>
                <w:tcPr>
                  <w:tcW w:w="747" w:type="dxa"/>
                  <w:vAlign w:val="center"/>
                </w:tcPr>
                <w:p w14:paraId="7AF1B010">
                  <w:pPr>
                    <w:widowControl w:val="0"/>
                    <w:overflowPunct w:val="0"/>
                    <w:autoSpaceDE w:val="0"/>
                    <w:autoSpaceDN w:val="0"/>
                    <w:snapToGrid w:val="0"/>
                    <w:jc w:val="center"/>
                    <w:rPr>
                      <w:color w:val="auto"/>
                      <w14:ligatures w14:val="standardContextual"/>
                    </w:rPr>
                  </w:pPr>
                  <w:r>
                    <w:rPr>
                      <w:color w:val="auto"/>
                      <w14:ligatures w14:val="standardContextual"/>
                    </w:rPr>
                    <w:t>A7.2污染物排放管控</w:t>
                  </w:r>
                </w:p>
              </w:tc>
              <w:tc>
                <w:tcPr>
                  <w:tcW w:w="3213" w:type="dxa"/>
                  <w:vAlign w:val="center"/>
                </w:tcPr>
                <w:p w14:paraId="24FC51E5">
                  <w:pPr>
                    <w:widowControl w:val="0"/>
                    <w:overflowPunct w:val="0"/>
                    <w:autoSpaceDE w:val="0"/>
                    <w:autoSpaceDN w:val="0"/>
                    <w:snapToGrid w:val="0"/>
                    <w:jc w:val="center"/>
                    <w:rPr>
                      <w:color w:val="auto"/>
                      <w14:ligatures w14:val="standardContextual"/>
                    </w:rPr>
                  </w:pPr>
                  <w:r>
                    <w:rPr>
                      <w:color w:val="auto"/>
                      <w14:ligatures w14:val="standardContextual"/>
                    </w:rPr>
                    <w:t>【A7.2-1】落实污染物总量控制制度，根据区域环境质量改善目标，削减污染物排放总量。加强农业面源污染治理，严格控制化肥农药施加量，逐步削减农业面源污染物排放量。</w:t>
                  </w:r>
                </w:p>
              </w:tc>
              <w:tc>
                <w:tcPr>
                  <w:tcW w:w="3213" w:type="dxa"/>
                  <w:vAlign w:val="center"/>
                </w:tcPr>
                <w:p w14:paraId="7EDE903C">
                  <w:pPr>
                    <w:widowControl w:val="0"/>
                    <w:overflowPunct w:val="0"/>
                    <w:autoSpaceDE w:val="0"/>
                    <w:autoSpaceDN w:val="0"/>
                    <w:snapToGrid w:val="0"/>
                    <w:jc w:val="center"/>
                    <w:rPr>
                      <w:color w:val="auto"/>
                      <w14:ligatures w14:val="standardContextual"/>
                    </w:rPr>
                  </w:pPr>
                  <w:r>
                    <w:rPr>
                      <w:color w:val="auto"/>
                      <w14:ligatures w14:val="standardContextual"/>
                    </w:rPr>
                    <w:t>符合。</w:t>
                  </w:r>
                </w:p>
                <w:p w14:paraId="3B504A07">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本项目不属于农业面源；</w:t>
                  </w:r>
                  <w:r>
                    <w:rPr>
                      <w:color w:val="auto"/>
                      <w14:ligatures w14:val="standardContextual"/>
                    </w:rPr>
                    <w:t>在采取本次评价提出的各项污染防治措施后，本项目各项污染物均能够稳定达标排放，并符合污染物总量控制指标要求。</w:t>
                  </w:r>
                </w:p>
              </w:tc>
            </w:tr>
            <w:tr w14:paraId="6B8346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2" w:type="dxa"/>
                  <w:vMerge w:val="continue"/>
                  <w:vAlign w:val="center"/>
                </w:tcPr>
                <w:p w14:paraId="0EE99E6A">
                  <w:pPr>
                    <w:widowControl w:val="0"/>
                    <w:overflowPunct w:val="0"/>
                    <w:autoSpaceDE w:val="0"/>
                    <w:autoSpaceDN w:val="0"/>
                    <w:snapToGrid w:val="0"/>
                    <w:jc w:val="center"/>
                    <w:rPr>
                      <w:color w:val="auto"/>
                      <w14:ligatures w14:val="standardContextual"/>
                    </w:rPr>
                  </w:pPr>
                </w:p>
              </w:tc>
              <w:tc>
                <w:tcPr>
                  <w:tcW w:w="747" w:type="dxa"/>
                  <w:vAlign w:val="center"/>
                </w:tcPr>
                <w:p w14:paraId="336EFAA3">
                  <w:pPr>
                    <w:widowControl w:val="0"/>
                    <w:overflowPunct w:val="0"/>
                    <w:autoSpaceDE w:val="0"/>
                    <w:autoSpaceDN w:val="0"/>
                    <w:snapToGrid w:val="0"/>
                    <w:jc w:val="center"/>
                    <w:rPr>
                      <w:color w:val="auto"/>
                      <w14:ligatures w14:val="standardContextual"/>
                    </w:rPr>
                  </w:pPr>
                  <w:r>
                    <w:rPr>
                      <w:color w:val="auto"/>
                      <w14:ligatures w14:val="standardContextual"/>
                    </w:rPr>
                    <w:t>A7.3环境风险防控</w:t>
                  </w:r>
                </w:p>
              </w:tc>
              <w:tc>
                <w:tcPr>
                  <w:tcW w:w="3213" w:type="dxa"/>
                  <w:vAlign w:val="center"/>
                </w:tcPr>
                <w:p w14:paraId="4392068C">
                  <w:pPr>
                    <w:widowControl w:val="0"/>
                    <w:overflowPunct w:val="0"/>
                    <w:autoSpaceDE w:val="0"/>
                    <w:autoSpaceDN w:val="0"/>
                    <w:snapToGrid w:val="0"/>
                    <w:jc w:val="center"/>
                    <w:rPr>
                      <w:color w:val="auto"/>
                      <w14:ligatures w14:val="standardContextual"/>
                    </w:rPr>
                  </w:pPr>
                  <w:r>
                    <w:rPr>
                      <w:color w:val="auto"/>
                      <w14:ligatures w14:val="standardContextual"/>
                    </w:rPr>
                    <w:t>【A7.3-1】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3213" w:type="dxa"/>
                  <w:vAlign w:val="center"/>
                </w:tcPr>
                <w:p w14:paraId="5411FFB3">
                  <w:pPr>
                    <w:widowControl w:val="0"/>
                    <w:overflowPunct w:val="0"/>
                    <w:autoSpaceDE w:val="0"/>
                    <w:autoSpaceDN w:val="0"/>
                    <w:snapToGrid w:val="0"/>
                    <w:jc w:val="center"/>
                    <w:rPr>
                      <w:color w:val="auto"/>
                      <w14:ligatures w14:val="standardContextual"/>
                    </w:rPr>
                  </w:pPr>
                  <w:r>
                    <w:rPr>
                      <w:color w:val="auto"/>
                      <w14:ligatures w14:val="standardContextual"/>
                    </w:rPr>
                    <w:t>符合。</w:t>
                  </w:r>
                </w:p>
                <w:p w14:paraId="518B63DF">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本项目土地用途</w:t>
                  </w:r>
                  <w:r>
                    <w:rPr>
                      <w:color w:val="auto"/>
                      <w14:ligatures w14:val="standardContextual"/>
                    </w:rPr>
                    <w:t>为</w:t>
                  </w:r>
                  <w:r>
                    <w:rPr>
                      <w:rFonts w:hint="eastAsia"/>
                      <w:color w:val="auto"/>
                      <w14:ligatures w14:val="standardContextual"/>
                    </w:rPr>
                    <w:t>未利用地</w:t>
                  </w:r>
                  <w:r>
                    <w:rPr>
                      <w:color w:val="auto"/>
                      <w14:ligatures w14:val="standardContextual"/>
                    </w:rPr>
                    <w:t>，</w:t>
                  </w:r>
                  <w:r>
                    <w:rPr>
                      <w:rFonts w:hint="eastAsia"/>
                      <w:color w:val="auto"/>
                      <w14:ligatures w14:val="standardContextual"/>
                    </w:rPr>
                    <w:t>不涉及生态公益林、农用地、</w:t>
                  </w:r>
                  <w:r>
                    <w:rPr>
                      <w:color w:val="auto"/>
                      <w14:ligatures w14:val="standardContextual"/>
                    </w:rPr>
                    <w:t>尾矿、矿渣等</w:t>
                  </w:r>
                  <w:r>
                    <w:rPr>
                      <w:rFonts w:hint="eastAsia"/>
                      <w:color w:val="auto"/>
                      <w14:ligatures w14:val="standardContextual"/>
                    </w:rPr>
                    <w:t>；</w:t>
                  </w:r>
                  <w:r>
                    <w:rPr>
                      <w:color w:val="auto"/>
                      <w14:ligatures w14:val="standardContextual"/>
                    </w:rPr>
                    <w:t>项目拟建立突发环境事件应急管理体系，</w:t>
                  </w:r>
                  <w:r>
                    <w:rPr>
                      <w:rFonts w:hint="eastAsia"/>
                      <w:color w:val="auto"/>
                      <w14:ligatures w14:val="standardContextual"/>
                    </w:rPr>
                    <w:t>厂区采取分区防渗措施，</w:t>
                  </w:r>
                  <w:r>
                    <w:rPr>
                      <w:color w:val="auto"/>
                      <w14:ligatures w14:val="standardContextual"/>
                    </w:rPr>
                    <w:t>危险废物按要求分类暂存，并进行申报转移，符合环境风险防控要求。</w:t>
                  </w:r>
                </w:p>
              </w:tc>
            </w:tr>
            <w:tr w14:paraId="2AE96A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2" w:type="dxa"/>
                  <w:vMerge w:val="continue"/>
                  <w:vAlign w:val="center"/>
                </w:tcPr>
                <w:p w14:paraId="263F98FD">
                  <w:pPr>
                    <w:widowControl w:val="0"/>
                    <w:overflowPunct w:val="0"/>
                    <w:autoSpaceDE w:val="0"/>
                    <w:autoSpaceDN w:val="0"/>
                    <w:snapToGrid w:val="0"/>
                    <w:jc w:val="center"/>
                    <w:rPr>
                      <w:color w:val="auto"/>
                      <w14:ligatures w14:val="standardContextual"/>
                    </w:rPr>
                  </w:pPr>
                </w:p>
              </w:tc>
              <w:tc>
                <w:tcPr>
                  <w:tcW w:w="747" w:type="dxa"/>
                  <w:vAlign w:val="center"/>
                </w:tcPr>
                <w:p w14:paraId="70DCE112">
                  <w:pPr>
                    <w:widowControl w:val="0"/>
                    <w:overflowPunct w:val="0"/>
                    <w:autoSpaceDE w:val="0"/>
                    <w:autoSpaceDN w:val="0"/>
                    <w:snapToGrid w:val="0"/>
                    <w:jc w:val="center"/>
                    <w:rPr>
                      <w:color w:val="auto"/>
                      <w14:ligatures w14:val="standardContextual"/>
                    </w:rPr>
                  </w:pPr>
                  <w:r>
                    <w:rPr>
                      <w:color w:val="auto"/>
                      <w14:ligatures w14:val="standardContextual"/>
                    </w:rPr>
                    <w:t>A7.4资源利用效率</w:t>
                  </w:r>
                </w:p>
              </w:tc>
              <w:tc>
                <w:tcPr>
                  <w:tcW w:w="3213" w:type="dxa"/>
                  <w:vAlign w:val="center"/>
                </w:tcPr>
                <w:p w14:paraId="64B37476">
                  <w:pPr>
                    <w:widowControl w:val="0"/>
                    <w:overflowPunct w:val="0"/>
                    <w:autoSpaceDE w:val="0"/>
                    <w:autoSpaceDN w:val="0"/>
                    <w:snapToGrid w:val="0"/>
                    <w:jc w:val="center"/>
                    <w:rPr>
                      <w:color w:val="auto"/>
                      <w14:ligatures w14:val="standardContextual"/>
                    </w:rPr>
                  </w:pPr>
                  <w:r>
                    <w:rPr>
                      <w:color w:val="auto"/>
                      <w14:ligatures w14:val="standardContextual"/>
                    </w:rPr>
                    <w:t>【A7.4-1】实行水资源消耗总量和强度双控，推进农业节水，提高农业用水效率。优化能源结构，加强能源清洁利用。</w:t>
                  </w:r>
                </w:p>
              </w:tc>
              <w:tc>
                <w:tcPr>
                  <w:tcW w:w="3213" w:type="dxa"/>
                  <w:vAlign w:val="center"/>
                </w:tcPr>
                <w:p w14:paraId="5387B5B2">
                  <w:pPr>
                    <w:widowControl w:val="0"/>
                    <w:overflowPunct w:val="0"/>
                    <w:autoSpaceDE w:val="0"/>
                    <w:autoSpaceDN w:val="0"/>
                    <w:snapToGrid w:val="0"/>
                    <w:jc w:val="center"/>
                    <w:rPr>
                      <w:color w:val="auto"/>
                      <w14:ligatures w14:val="standardContextual"/>
                    </w:rPr>
                  </w:pPr>
                  <w:r>
                    <w:rPr>
                      <w:color w:val="auto"/>
                      <w14:ligatures w14:val="standardContextual"/>
                    </w:rPr>
                    <w:t>符合。</w:t>
                  </w:r>
                </w:p>
                <w:p w14:paraId="18525DE9">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本项目不涉及农业用水；</w:t>
                  </w:r>
                  <w:r>
                    <w:rPr>
                      <w:color w:val="auto"/>
                      <w14:ligatures w14:val="standardContextual"/>
                    </w:rPr>
                    <w:t>项目用水接</w:t>
                  </w:r>
                  <w:r>
                    <w:rPr>
                      <w:rFonts w:hint="eastAsia"/>
                      <w:color w:val="auto"/>
                      <w14:ligatures w14:val="standardContextual"/>
                    </w:rPr>
                    <w:t>市政供水</w:t>
                  </w:r>
                  <w:r>
                    <w:rPr>
                      <w:color w:val="auto"/>
                      <w14:ligatures w14:val="standardContextual"/>
                    </w:rPr>
                    <w:t>管网，用电由</w:t>
                  </w:r>
                  <w:r>
                    <w:rPr>
                      <w:rFonts w:hint="eastAsia"/>
                      <w:color w:val="auto"/>
                      <w14:ligatures w14:val="standardContextual"/>
                    </w:rPr>
                    <w:t>市政</w:t>
                  </w:r>
                  <w:r>
                    <w:rPr>
                      <w:color w:val="auto"/>
                      <w14:ligatures w14:val="standardContextual"/>
                    </w:rPr>
                    <w:t>供电电网提供，不属于高能耗项目</w:t>
                  </w:r>
                  <w:r>
                    <w:rPr>
                      <w:rFonts w:hint="eastAsia"/>
                      <w:color w:val="auto"/>
                      <w14:ligatures w14:val="standardContextual"/>
                    </w:rPr>
                    <w:t>；</w:t>
                  </w:r>
                </w:p>
              </w:tc>
            </w:tr>
          </w:tbl>
          <w:p w14:paraId="57B59B77">
            <w:pPr>
              <w:pStyle w:val="3"/>
              <w:ind w:firstLine="480"/>
              <w:rPr>
                <w:color w:val="auto"/>
              </w:rPr>
            </w:pPr>
            <w:r>
              <w:rPr>
                <w:rFonts w:hint="eastAsia"/>
                <w:color w:val="auto"/>
              </w:rPr>
              <w:t>因此，本项目符合《新疆维吾尔自治区“三线一单”生态环境分区管控方案》中“一般管控单元”相关管控要求。</w:t>
            </w:r>
          </w:p>
          <w:p w14:paraId="62C251BF">
            <w:pPr>
              <w:pStyle w:val="3"/>
              <w:ind w:firstLine="480"/>
              <w:rPr>
                <w:color w:val="auto"/>
              </w:rPr>
            </w:pPr>
            <w:r>
              <w:rPr>
                <w:rFonts w:hint="eastAsia"/>
                <w:color w:val="auto"/>
              </w:rPr>
              <w:t>（2）与《吐鲁番市“三线一单”生态环境分区管控方案》和《吐鲁番市生态环境分区管控成果动态更新情况说明》（2023年）符合性分析</w:t>
            </w:r>
          </w:p>
          <w:p w14:paraId="7EC38AEB">
            <w:pPr>
              <w:pStyle w:val="3"/>
              <w:ind w:firstLine="480"/>
              <w:rPr>
                <w:color w:val="auto"/>
              </w:rPr>
            </w:pPr>
            <w:r>
              <w:rPr>
                <w:rFonts w:hint="eastAsia"/>
                <w:color w:val="auto"/>
              </w:rPr>
              <w:t>本项目位于新疆维吾尔自治区吐鲁番市鄯善县（鄯善火车站铁石货场北侧），与吐鲁番市“三线一单”生态环境分区管控方案的符合性分析如下：</w:t>
            </w:r>
          </w:p>
          <w:p w14:paraId="757C02E1">
            <w:pPr>
              <w:pStyle w:val="49"/>
              <w:rPr>
                <w:color w:val="auto"/>
              </w:rPr>
            </w:pPr>
            <w:r>
              <w:rPr>
                <w:rFonts w:hint="eastAsia"/>
                <w:color w:val="auto"/>
              </w:rPr>
              <w:t xml:space="preserve">表1- </w:t>
            </w:r>
            <w:r>
              <w:rPr>
                <w:color w:val="auto"/>
              </w:rPr>
              <w:t>2</w:t>
            </w:r>
            <w:r>
              <w:rPr>
                <w:rFonts w:hint="eastAsia"/>
                <w:color w:val="auto"/>
              </w:rPr>
              <w:t>：本项目与吐鲁番市“三线一单”符合性分析一览表</w:t>
            </w:r>
          </w:p>
          <w:tbl>
            <w:tblPr>
              <w:tblStyle w:val="50"/>
              <w:tblW w:w="48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65"/>
              <w:gridCol w:w="3076"/>
              <w:gridCol w:w="3487"/>
            </w:tblGrid>
            <w:tr w14:paraId="4ECE38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82"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2AA0EC0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类别</w:t>
                  </w:r>
                </w:p>
              </w:tc>
              <w:tc>
                <w:tcPr>
                  <w:tcW w:w="3201"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A8AC01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主要目标</w:t>
                  </w:r>
                </w:p>
              </w:tc>
              <w:tc>
                <w:tcPr>
                  <w:tcW w:w="3615" w:type="dxa"/>
                  <w:tcBorders>
                    <w:top w:val="single" w:color="auto" w:sz="12" w:space="0"/>
                    <w:bottom w:val="single" w:color="auto" w:sz="12" w:space="0"/>
                    <w:right w:val="nil"/>
                    <w:insideH w:val="single" w:sz="12" w:space="0"/>
                    <w:insideV w:val="single" w:sz="4" w:space="0"/>
                    <w:tl2br w:val="nil"/>
                    <w:tr2bl w:val="nil"/>
                  </w:tcBorders>
                  <w:vAlign w:val="center"/>
                </w:tcPr>
                <w:p w14:paraId="37F861D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本项目符合性</w:t>
                  </w:r>
                </w:p>
              </w:tc>
            </w:tr>
            <w:tr w14:paraId="75614F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82" w:type="dxa"/>
                  <w:vAlign w:val="center"/>
                </w:tcPr>
                <w:p w14:paraId="584D92E6">
                  <w:pPr>
                    <w:widowControl w:val="0"/>
                    <w:overflowPunct w:val="0"/>
                    <w:autoSpaceDE w:val="0"/>
                    <w:autoSpaceDN w:val="0"/>
                    <w:snapToGrid w:val="0"/>
                    <w:jc w:val="center"/>
                    <w:rPr>
                      <w:color w:val="auto"/>
                      <w14:ligatures w14:val="standardContextual"/>
                    </w:rPr>
                  </w:pPr>
                  <w:r>
                    <w:rPr>
                      <w:color w:val="auto"/>
                      <w14:ligatures w14:val="standardContextual"/>
                    </w:rPr>
                    <w:t>生态保护红线</w:t>
                  </w:r>
                </w:p>
              </w:tc>
              <w:tc>
                <w:tcPr>
                  <w:tcW w:w="3201" w:type="dxa"/>
                  <w:vAlign w:val="center"/>
                </w:tcPr>
                <w:p w14:paraId="3309741F">
                  <w:pPr>
                    <w:widowControl w:val="0"/>
                    <w:overflowPunct w:val="0"/>
                    <w:autoSpaceDE w:val="0"/>
                    <w:autoSpaceDN w:val="0"/>
                    <w:snapToGrid w:val="0"/>
                    <w:jc w:val="center"/>
                    <w:rPr>
                      <w:color w:val="auto"/>
                      <w14:ligatures w14:val="standardContextual"/>
                    </w:rPr>
                  </w:pPr>
                  <w:r>
                    <w:rPr>
                      <w:rFonts w:hint="eastAsia"/>
                      <w:color w:val="auto"/>
                      <w14:ligatures w14:val="standardContextual"/>
                    </w:rPr>
                    <w:t>按照“生态功能不降低、面积不减少、性质不改变”的基本要求，对划定的生态保护红线实施严格管控，保障和维护国家生态安全的底线和生命线。</w:t>
                  </w:r>
                </w:p>
              </w:tc>
              <w:tc>
                <w:tcPr>
                  <w:tcW w:w="3615" w:type="dxa"/>
                  <w:vAlign w:val="center"/>
                </w:tcPr>
                <w:p w14:paraId="0CB898B0">
                  <w:pPr>
                    <w:widowControl w:val="0"/>
                    <w:overflowPunct w:val="0"/>
                    <w:autoSpaceDE w:val="0"/>
                    <w:autoSpaceDN w:val="0"/>
                    <w:snapToGrid w:val="0"/>
                    <w:jc w:val="center"/>
                    <w:rPr>
                      <w:color w:val="auto"/>
                      <w14:ligatures w14:val="standardContextual"/>
                    </w:rPr>
                  </w:pPr>
                  <w:r>
                    <w:rPr>
                      <w:color w:val="auto"/>
                      <w14:ligatures w14:val="standardContextual"/>
                    </w:rPr>
                    <w:t>符合。</w:t>
                  </w:r>
                </w:p>
                <w:p w14:paraId="20C66018">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w:t>
                  </w:r>
                  <w:r>
                    <w:rPr>
                      <w:color w:val="auto"/>
                      <w14:ligatures w14:val="standardContextual"/>
                    </w:rPr>
                    <w:t>项目</w:t>
                  </w:r>
                  <w:r>
                    <w:rPr>
                      <w:rFonts w:hint="eastAsia"/>
                      <w:color w:val="auto"/>
                      <w14:ligatures w14:val="standardContextual"/>
                    </w:rPr>
                    <w:t>土地用途</w:t>
                  </w:r>
                  <w:r>
                    <w:rPr>
                      <w:color w:val="auto"/>
                      <w14:ligatures w14:val="standardContextual"/>
                    </w:rPr>
                    <w:t>为</w:t>
                  </w:r>
                  <w:r>
                    <w:rPr>
                      <w:rFonts w:hint="eastAsia"/>
                      <w:color w:val="auto"/>
                      <w14:ligatures w14:val="standardContextual"/>
                    </w:rPr>
                    <w:t>未利用地</w:t>
                  </w:r>
                  <w:r>
                    <w:rPr>
                      <w:color w:val="auto"/>
                      <w14:ligatures w14:val="standardContextual"/>
                    </w:rPr>
                    <w:t>，不属于基本农田、基本草原，也不属于重点生态功能区、生态敏感区、生态脆弱区、生物多样性保护优先区和自然保护区等法定禁止开发区域，不涉及生态保护红线区域。</w:t>
                  </w:r>
                </w:p>
              </w:tc>
            </w:tr>
            <w:tr w14:paraId="583400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82" w:type="dxa"/>
                  <w:vAlign w:val="center"/>
                </w:tcPr>
                <w:p w14:paraId="31332EED">
                  <w:pPr>
                    <w:widowControl w:val="0"/>
                    <w:overflowPunct w:val="0"/>
                    <w:autoSpaceDE w:val="0"/>
                    <w:autoSpaceDN w:val="0"/>
                    <w:snapToGrid w:val="0"/>
                    <w:jc w:val="center"/>
                    <w:rPr>
                      <w:color w:val="auto"/>
                      <w14:ligatures w14:val="standardContextual"/>
                    </w:rPr>
                  </w:pPr>
                  <w:r>
                    <w:rPr>
                      <w:color w:val="auto"/>
                      <w14:ligatures w14:val="standardContextual"/>
                    </w:rPr>
                    <w:t>环境质量底线</w:t>
                  </w:r>
                </w:p>
              </w:tc>
              <w:tc>
                <w:tcPr>
                  <w:tcW w:w="3201" w:type="dxa"/>
                  <w:vAlign w:val="center"/>
                </w:tcPr>
                <w:p w14:paraId="139BFCB6">
                  <w:pPr>
                    <w:widowControl w:val="0"/>
                    <w:overflowPunct w:val="0"/>
                    <w:autoSpaceDE w:val="0"/>
                    <w:autoSpaceDN w:val="0"/>
                    <w:snapToGrid w:val="0"/>
                    <w:jc w:val="center"/>
                    <w:rPr>
                      <w:color w:val="auto"/>
                      <w14:ligatures w14:val="standardContextual"/>
                    </w:rPr>
                  </w:pPr>
                  <w:r>
                    <w:rPr>
                      <w:rFonts w:hint="eastAsia"/>
                      <w:color w:val="auto"/>
                      <w14:ligatures w14:val="standardContextual"/>
                    </w:rPr>
                    <w:t>全市环境空气质量进一步改善，PM</w:t>
                  </w:r>
                  <w:r>
                    <w:rPr>
                      <w:rFonts w:hint="eastAsia"/>
                      <w:color w:val="auto"/>
                      <w:vertAlign w:val="subscript"/>
                      <w14:ligatures w14:val="standardContextual"/>
                    </w:rPr>
                    <w:t>2.5</w:t>
                  </w:r>
                  <w:r>
                    <w:rPr>
                      <w:rFonts w:hint="eastAsia"/>
                      <w:color w:val="auto"/>
                      <w14:ligatures w14:val="standardContextual"/>
                    </w:rPr>
                    <w:t>浓度稳步下降，重污染天数持续减少；水环境质量稳定达标并持续改善，水生态建设得到加强，地下水超采得到严格控制，地下水水质保持稳定；土壤环境质量稳中向好，土壤环境安全得到有效保证，土壤环境风险得到进一步管控</w:t>
                  </w:r>
                  <w:r>
                    <w:rPr>
                      <w:color w:val="auto"/>
                      <w14:ligatures w14:val="standardContextual"/>
                    </w:rPr>
                    <w:t>。</w:t>
                  </w:r>
                </w:p>
              </w:tc>
              <w:tc>
                <w:tcPr>
                  <w:tcW w:w="3615" w:type="dxa"/>
                  <w:vAlign w:val="center"/>
                </w:tcPr>
                <w:p w14:paraId="623A97F3">
                  <w:pPr>
                    <w:widowControl w:val="0"/>
                    <w:overflowPunct w:val="0"/>
                    <w:autoSpaceDE w:val="0"/>
                    <w:autoSpaceDN w:val="0"/>
                    <w:snapToGrid w:val="0"/>
                    <w:jc w:val="center"/>
                    <w:rPr>
                      <w:color w:val="auto"/>
                      <w14:ligatures w14:val="standardContextual"/>
                    </w:rPr>
                  </w:pPr>
                  <w:r>
                    <w:rPr>
                      <w:color w:val="auto"/>
                      <w14:ligatures w14:val="standardContextual"/>
                    </w:rPr>
                    <w:t>符合。</w:t>
                  </w:r>
                </w:p>
                <w:p w14:paraId="7CE42A34">
                  <w:pPr>
                    <w:widowControl w:val="0"/>
                    <w:overflowPunct w:val="0"/>
                    <w:autoSpaceDE w:val="0"/>
                    <w:autoSpaceDN w:val="0"/>
                    <w:snapToGrid w:val="0"/>
                    <w:jc w:val="center"/>
                    <w:rPr>
                      <w:color w:val="auto"/>
                      <w14:ligatures w14:val="standardContextual"/>
                    </w:rPr>
                  </w:pPr>
                  <w:r>
                    <w:rPr>
                      <w:color w:val="auto"/>
                      <w14:ligatures w14:val="standardContextual"/>
                    </w:rPr>
                    <w:t>根据项目所在区域环境质量现状调查及分析可知，在采取本次评价提出的污染防治措施后，各项污染物能够稳定达标排放，对周围环境影响很小，在可接受范围，不会改变区域环境功能等级，满足环境质量底线要求。</w:t>
                  </w:r>
                </w:p>
              </w:tc>
            </w:tr>
            <w:tr w14:paraId="7F3C17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82" w:type="dxa"/>
                  <w:vAlign w:val="center"/>
                </w:tcPr>
                <w:p w14:paraId="5E015965">
                  <w:pPr>
                    <w:widowControl w:val="0"/>
                    <w:overflowPunct w:val="0"/>
                    <w:autoSpaceDE w:val="0"/>
                    <w:autoSpaceDN w:val="0"/>
                    <w:snapToGrid w:val="0"/>
                    <w:jc w:val="center"/>
                    <w:rPr>
                      <w:color w:val="auto"/>
                      <w14:ligatures w14:val="standardContextual"/>
                    </w:rPr>
                  </w:pPr>
                  <w:r>
                    <w:rPr>
                      <w:color w:val="auto"/>
                      <w14:ligatures w14:val="standardContextual"/>
                    </w:rPr>
                    <w:t>资源利用上线</w:t>
                  </w:r>
                </w:p>
              </w:tc>
              <w:tc>
                <w:tcPr>
                  <w:tcW w:w="3201" w:type="dxa"/>
                  <w:vAlign w:val="center"/>
                </w:tcPr>
                <w:p w14:paraId="74CF64EF">
                  <w:pPr>
                    <w:widowControl w:val="0"/>
                    <w:overflowPunct w:val="0"/>
                    <w:autoSpaceDE w:val="0"/>
                    <w:autoSpaceDN w:val="0"/>
                    <w:snapToGrid w:val="0"/>
                    <w:jc w:val="center"/>
                    <w:rPr>
                      <w:color w:val="auto"/>
                      <w14:ligatures w14:val="standardContextual"/>
                    </w:rPr>
                  </w:pPr>
                  <w:r>
                    <w:rPr>
                      <w:color w:val="auto"/>
                      <w14:ligatures w14:val="standardContextual"/>
                    </w:rPr>
                    <w:t>强化节约集约利用，持续提升资源能源利用效率，水资源、土地资源、能源消耗等达到自治区下达的总量和强度控制目标。</w:t>
                  </w:r>
                  <w:r>
                    <w:rPr>
                      <w:rFonts w:hint="eastAsia"/>
                      <w:color w:val="auto"/>
                      <w14:ligatures w14:val="standardContextual"/>
                    </w:rPr>
                    <w:t>推动</w:t>
                  </w:r>
                  <w:r>
                    <w:rPr>
                      <w:color w:val="auto"/>
                      <w14:ligatures w14:val="standardContextual"/>
                    </w:rPr>
                    <w:t>低碳发展。</w:t>
                  </w:r>
                </w:p>
              </w:tc>
              <w:tc>
                <w:tcPr>
                  <w:tcW w:w="3615" w:type="dxa"/>
                  <w:vAlign w:val="center"/>
                </w:tcPr>
                <w:p w14:paraId="53601E95">
                  <w:pPr>
                    <w:widowControl w:val="0"/>
                    <w:overflowPunct w:val="0"/>
                    <w:autoSpaceDE w:val="0"/>
                    <w:autoSpaceDN w:val="0"/>
                    <w:snapToGrid w:val="0"/>
                    <w:jc w:val="center"/>
                    <w:rPr>
                      <w:color w:val="auto"/>
                      <w14:ligatures w14:val="standardContextual"/>
                    </w:rPr>
                  </w:pPr>
                  <w:r>
                    <w:rPr>
                      <w:color w:val="auto"/>
                      <w14:ligatures w14:val="standardContextual"/>
                    </w:rPr>
                    <w:t>符合。</w:t>
                  </w:r>
                </w:p>
                <w:p w14:paraId="29821A6A">
                  <w:pPr>
                    <w:widowControl w:val="0"/>
                    <w:overflowPunct w:val="0"/>
                    <w:autoSpaceDE w:val="0"/>
                    <w:autoSpaceDN w:val="0"/>
                    <w:snapToGrid w:val="0"/>
                    <w:jc w:val="center"/>
                    <w:rPr>
                      <w:color w:val="auto"/>
                      <w14:ligatures w14:val="standardContextual"/>
                    </w:rPr>
                  </w:pPr>
                  <w:r>
                    <w:rPr>
                      <w:color w:val="auto"/>
                      <w14:ligatures w14:val="standardContextual"/>
                    </w:rPr>
                    <w:t>项目用地为</w:t>
                  </w:r>
                  <w:r>
                    <w:rPr>
                      <w:rFonts w:hint="eastAsia"/>
                      <w:color w:val="auto"/>
                      <w14:ligatures w14:val="standardContextual"/>
                    </w:rPr>
                    <w:t>未利用地</w:t>
                  </w:r>
                  <w:r>
                    <w:rPr>
                      <w:color w:val="auto"/>
                      <w14:ligatures w14:val="standardContextual"/>
                    </w:rPr>
                    <w:t>，用水接</w:t>
                  </w:r>
                  <w:r>
                    <w:rPr>
                      <w:rFonts w:hint="eastAsia"/>
                      <w:color w:val="auto"/>
                      <w14:ligatures w14:val="standardContextual"/>
                    </w:rPr>
                    <w:t>市政</w:t>
                  </w:r>
                  <w:r>
                    <w:rPr>
                      <w:color w:val="auto"/>
                      <w14:ligatures w14:val="standardContextual"/>
                    </w:rPr>
                    <w:t>供水管网，用电由</w:t>
                  </w:r>
                  <w:r>
                    <w:rPr>
                      <w:rFonts w:hint="eastAsia"/>
                      <w:color w:val="auto"/>
                      <w14:ligatures w14:val="standardContextual"/>
                    </w:rPr>
                    <w:t>市政</w:t>
                  </w:r>
                  <w:r>
                    <w:rPr>
                      <w:color w:val="auto"/>
                      <w14:ligatures w14:val="standardContextual"/>
                    </w:rPr>
                    <w:t>供电电网提供，不属于高能耗项目，符合资源利用上线要求。</w:t>
                  </w:r>
                </w:p>
              </w:tc>
            </w:tr>
            <w:tr w14:paraId="411EA9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82" w:type="dxa"/>
                  <w:vAlign w:val="center"/>
                </w:tcPr>
                <w:p w14:paraId="3F63E531">
                  <w:pPr>
                    <w:widowControl w:val="0"/>
                    <w:overflowPunct w:val="0"/>
                    <w:autoSpaceDE w:val="0"/>
                    <w:autoSpaceDN w:val="0"/>
                    <w:snapToGrid w:val="0"/>
                    <w:jc w:val="center"/>
                    <w:rPr>
                      <w:color w:val="auto"/>
                      <w14:ligatures w14:val="standardContextual"/>
                    </w:rPr>
                  </w:pPr>
                  <w:r>
                    <w:rPr>
                      <w:color w:val="auto"/>
                      <w14:ligatures w14:val="standardContextual"/>
                    </w:rPr>
                    <w:t>环境管控单元生态环境准入清单</w:t>
                  </w:r>
                </w:p>
              </w:tc>
              <w:tc>
                <w:tcPr>
                  <w:tcW w:w="3201" w:type="dxa"/>
                  <w:vAlign w:val="center"/>
                </w:tcPr>
                <w:p w14:paraId="765C50F4">
                  <w:pPr>
                    <w:widowControl w:val="0"/>
                    <w:overflowPunct w:val="0"/>
                    <w:autoSpaceDE w:val="0"/>
                    <w:autoSpaceDN w:val="0"/>
                    <w:snapToGrid w:val="0"/>
                    <w:jc w:val="center"/>
                    <w:rPr>
                      <w:color w:val="auto"/>
                      <w14:ligatures w14:val="standardContextual"/>
                    </w:rPr>
                  </w:pPr>
                  <w:r>
                    <w:rPr>
                      <w:rFonts w:hint="eastAsia"/>
                      <w:color w:val="auto"/>
                      <w14:ligatures w14:val="standardContextual"/>
                    </w:rPr>
                    <w:t>全市</w:t>
                  </w:r>
                  <w:r>
                    <w:rPr>
                      <w:color w:val="auto"/>
                      <w14:ligatures w14:val="standardContextual"/>
                    </w:rPr>
                    <w:t>共划定</w:t>
                  </w:r>
                  <w:r>
                    <w:rPr>
                      <w:rFonts w:hint="eastAsia"/>
                      <w:color w:val="auto"/>
                      <w14:ligatures w14:val="standardContextual"/>
                    </w:rPr>
                    <w:t>64</w:t>
                  </w:r>
                  <w:r>
                    <w:rPr>
                      <w:color w:val="auto"/>
                      <w14:ligatures w14:val="standardContextual"/>
                    </w:rPr>
                    <w:t>个环境管控单元，分为优先保护单元、重点管控单元和一般管控单元三类，实施分类管控。</w:t>
                  </w:r>
                </w:p>
                <w:p w14:paraId="4E9A9DC5">
                  <w:pPr>
                    <w:widowControl w:val="0"/>
                    <w:overflowPunct w:val="0"/>
                    <w:autoSpaceDE w:val="0"/>
                    <w:autoSpaceDN w:val="0"/>
                    <w:snapToGrid w:val="0"/>
                    <w:jc w:val="center"/>
                    <w:rPr>
                      <w:color w:val="auto"/>
                      <w14:ligatures w14:val="standardContextual"/>
                    </w:rPr>
                  </w:pPr>
                  <w:r>
                    <w:rPr>
                      <w:color w:val="auto"/>
                      <w14:ligatures w14:val="standardContextual"/>
                    </w:rPr>
                    <w:t>以环境管控单元为基础，依据相关法律法规和文件精神，衔接区域发展战略和生态功能定位，坚持目标导向和问题导向，体现总体和差异化管控要求，从空间布局约束、污染物排放管控、环境风险防控和资源利用效率四个方面严格环境准入。</w:t>
                  </w:r>
                </w:p>
              </w:tc>
              <w:tc>
                <w:tcPr>
                  <w:tcW w:w="3615" w:type="dxa"/>
                  <w:vAlign w:val="center"/>
                </w:tcPr>
                <w:p w14:paraId="1CA37598">
                  <w:pPr>
                    <w:widowControl w:val="0"/>
                    <w:overflowPunct w:val="0"/>
                    <w:autoSpaceDE w:val="0"/>
                    <w:autoSpaceDN w:val="0"/>
                    <w:snapToGrid w:val="0"/>
                    <w:jc w:val="center"/>
                    <w:rPr>
                      <w:color w:val="auto"/>
                      <w14:ligatures w14:val="standardContextual"/>
                    </w:rPr>
                  </w:pPr>
                  <w:r>
                    <w:rPr>
                      <w:color w:val="auto"/>
                      <w14:ligatures w14:val="standardContextual"/>
                    </w:rPr>
                    <w:t>符合。</w:t>
                  </w:r>
                </w:p>
                <w:p w14:paraId="45E318B1">
                  <w:pPr>
                    <w:widowControl w:val="0"/>
                    <w:overflowPunct w:val="0"/>
                    <w:autoSpaceDE w:val="0"/>
                    <w:autoSpaceDN w:val="0"/>
                    <w:snapToGrid w:val="0"/>
                    <w:jc w:val="center"/>
                    <w:rPr>
                      <w:color w:val="auto"/>
                      <w14:ligatures w14:val="standardContextual"/>
                    </w:rPr>
                  </w:pPr>
                  <w:r>
                    <w:rPr>
                      <w:color w:val="auto"/>
                      <w14:ligatures w14:val="standardContextual"/>
                    </w:rPr>
                    <w:t>对照《产业结构调整指导目录（2024年本）》，</w:t>
                  </w:r>
                  <w:r>
                    <w:rPr>
                      <w:rFonts w:hint="eastAsia"/>
                      <w:color w:val="auto"/>
                      <w14:ligatures w14:val="standardContextual"/>
                    </w:rPr>
                    <w:t>本</w:t>
                  </w:r>
                  <w:r>
                    <w:rPr>
                      <w:color w:val="auto"/>
                      <w14:ligatures w14:val="standardContextual"/>
                    </w:rPr>
                    <w:t>项目为</w:t>
                  </w:r>
                  <w:r>
                    <w:rPr>
                      <w:rFonts w:hint="eastAsia"/>
                      <w:color w:val="auto"/>
                      <w14:ligatures w14:val="standardContextual"/>
                    </w:rPr>
                    <w:t>鼓励</w:t>
                  </w:r>
                  <w:r>
                    <w:rPr>
                      <w:color w:val="auto"/>
                      <w14:ligatures w14:val="standardContextual"/>
                    </w:rPr>
                    <w:t>类</w:t>
                  </w:r>
                  <w:r>
                    <w:rPr>
                      <w:rFonts w:hint="eastAsia"/>
                      <w:color w:val="auto"/>
                      <w14:ligatures w14:val="standardContextual"/>
                    </w:rPr>
                    <w:t>建设项目</w:t>
                  </w:r>
                  <w:r>
                    <w:rPr>
                      <w:color w:val="auto"/>
                      <w14:ligatures w14:val="standardContextual"/>
                    </w:rPr>
                    <w:t>；</w:t>
                  </w:r>
                  <w:r>
                    <w:rPr>
                      <w:rFonts w:hint="eastAsia"/>
                      <w:color w:val="auto"/>
                      <w14:ligatures w14:val="standardContextual"/>
                    </w:rPr>
                    <w:t>项目已在鄯善县</w:t>
                  </w:r>
                  <w:r>
                    <w:rPr>
                      <w:color w:val="auto"/>
                      <w14:ligatures w14:val="standardContextual"/>
                    </w:rPr>
                    <w:t>发展和改革委员会</w:t>
                  </w:r>
                  <w:r>
                    <w:rPr>
                      <w:rFonts w:hint="eastAsia"/>
                      <w:color w:val="auto"/>
                      <w14:ligatures w14:val="standardContextual"/>
                    </w:rPr>
                    <w:t>进行</w:t>
                  </w:r>
                  <w:r>
                    <w:rPr>
                      <w:color w:val="auto"/>
                      <w14:ligatures w14:val="standardContextual"/>
                    </w:rPr>
                    <w:t>备案，符合国家及当地产业政策。</w:t>
                  </w:r>
                </w:p>
                <w:p w14:paraId="34371B4A">
                  <w:pPr>
                    <w:widowControl w:val="0"/>
                    <w:overflowPunct w:val="0"/>
                    <w:autoSpaceDE w:val="0"/>
                    <w:autoSpaceDN w:val="0"/>
                    <w:snapToGrid w:val="0"/>
                    <w:jc w:val="center"/>
                    <w:rPr>
                      <w:color w:val="auto"/>
                      <w14:ligatures w14:val="standardContextual"/>
                    </w:rPr>
                  </w:pPr>
                  <w:r>
                    <w:rPr>
                      <w:color w:val="auto"/>
                      <w14:ligatures w14:val="standardContextual"/>
                    </w:rPr>
                    <w:t>对照</w:t>
                  </w:r>
                  <w:r>
                    <w:rPr>
                      <w:rFonts w:hint="eastAsia"/>
                      <w:color w:val="auto"/>
                      <w14:ligatures w14:val="standardContextual"/>
                    </w:rPr>
                    <w:t>《吐鲁番市生态环境分区管控成果动态更新情况说明》（2023年）</w:t>
                  </w:r>
                  <w:r>
                    <w:rPr>
                      <w:color w:val="auto"/>
                      <w14:ligatures w14:val="standardContextual"/>
                    </w:rPr>
                    <w:t>，项目</w:t>
                  </w:r>
                  <w:r>
                    <w:rPr>
                      <w:rFonts w:hint="eastAsia"/>
                      <w:color w:val="auto"/>
                      <w14:ligatures w14:val="standardContextual"/>
                    </w:rPr>
                    <w:t>区</w:t>
                  </w:r>
                  <w:r>
                    <w:rPr>
                      <w:color w:val="auto"/>
                      <w14:ligatures w14:val="standardContextual"/>
                    </w:rPr>
                    <w:t>属于一般管控单元，在采取本次评价提出的污染防治措施后，各项污染物能够稳定达标排放，符合相关管控要求。</w:t>
                  </w:r>
                </w:p>
              </w:tc>
            </w:tr>
          </w:tbl>
          <w:p w14:paraId="32D20BD1">
            <w:pPr>
              <w:pStyle w:val="3"/>
              <w:ind w:firstLine="480"/>
              <w:rPr>
                <w:color w:val="auto"/>
              </w:rPr>
            </w:pPr>
            <w:r>
              <w:rPr>
                <w:rFonts w:hint="eastAsia"/>
                <w:color w:val="auto"/>
              </w:rPr>
              <w:t>（3）与“鄯善县一般管控单元”符合性分析</w:t>
            </w:r>
          </w:p>
          <w:p w14:paraId="5D4E7EAD">
            <w:pPr>
              <w:pStyle w:val="3"/>
              <w:ind w:firstLine="480"/>
              <w:rPr>
                <w:color w:val="auto"/>
              </w:rPr>
            </w:pPr>
            <w:r>
              <w:rPr>
                <w:rFonts w:hint="eastAsia"/>
                <w:color w:val="auto"/>
              </w:rPr>
              <w:t>由于《吐鲁番市生态环境分区管控成果动态更新情况说明》（2023年）暂未正式发布，本次评价收集《吐鲁番市生态环境分区管控成果动态更新情况说明》（2023年）中相关资料，确定项目所在区域环境管控单元类别为一般管控单元，单元编码为ZH6504213001，单元名称为鄯善县一般管控单元，项目与其管控要求符合性分析如下：</w:t>
            </w:r>
          </w:p>
          <w:p w14:paraId="7D4C10B8">
            <w:pPr>
              <w:pStyle w:val="49"/>
              <w:rPr>
                <w:color w:val="auto"/>
              </w:rPr>
            </w:pPr>
            <w:r>
              <w:rPr>
                <w:rFonts w:hint="eastAsia"/>
                <w:color w:val="auto"/>
              </w:rPr>
              <w:t xml:space="preserve">表1- </w:t>
            </w:r>
            <w:r>
              <w:rPr>
                <w:color w:val="auto"/>
              </w:rPr>
              <w:t>2</w:t>
            </w:r>
            <w:r>
              <w:rPr>
                <w:rFonts w:hint="eastAsia"/>
                <w:color w:val="auto"/>
              </w:rPr>
              <w:t>：与“鄯善县一般管控单元”符合性分析一览表</w:t>
            </w:r>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90"/>
              <w:gridCol w:w="4090"/>
              <w:gridCol w:w="2597"/>
            </w:tblGrid>
            <w:tr w14:paraId="6730FF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7"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508F8AC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管控维度</w:t>
                  </w:r>
                </w:p>
              </w:tc>
              <w:tc>
                <w:tcPr>
                  <w:tcW w:w="4250"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DCC07D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管控要求</w:t>
                  </w:r>
                </w:p>
              </w:tc>
              <w:tc>
                <w:tcPr>
                  <w:tcW w:w="2690" w:type="dxa"/>
                  <w:tcBorders>
                    <w:top w:val="single" w:color="auto" w:sz="12" w:space="0"/>
                    <w:bottom w:val="single" w:color="auto" w:sz="12" w:space="0"/>
                    <w:right w:val="nil"/>
                    <w:insideH w:val="single" w:sz="12" w:space="0"/>
                    <w:insideV w:val="single" w:sz="4" w:space="0"/>
                    <w:tl2br w:val="nil"/>
                    <w:tr2bl w:val="nil"/>
                  </w:tcBorders>
                  <w:vAlign w:val="center"/>
                </w:tcPr>
                <w:p w14:paraId="07551C7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本项目符合性</w:t>
                  </w:r>
                </w:p>
              </w:tc>
            </w:tr>
            <w:tr w14:paraId="655BF8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7" w:type="dxa"/>
                  <w:vAlign w:val="center"/>
                </w:tcPr>
                <w:p w14:paraId="5DC20E65">
                  <w:pPr>
                    <w:widowControl w:val="0"/>
                    <w:overflowPunct w:val="0"/>
                    <w:autoSpaceDE w:val="0"/>
                    <w:autoSpaceDN w:val="0"/>
                    <w:snapToGrid w:val="0"/>
                    <w:jc w:val="center"/>
                    <w:rPr>
                      <w:color w:val="auto"/>
                      <w14:ligatures w14:val="standardContextual"/>
                    </w:rPr>
                  </w:pPr>
                  <w:r>
                    <w:rPr>
                      <w:color w:val="auto"/>
                      <w14:ligatures w14:val="standardContextual"/>
                    </w:rPr>
                    <w:t>空间布局约束</w:t>
                  </w:r>
                </w:p>
              </w:tc>
              <w:tc>
                <w:tcPr>
                  <w:tcW w:w="4250" w:type="dxa"/>
                  <w:vAlign w:val="center"/>
                </w:tcPr>
                <w:p w14:paraId="78AF1094">
                  <w:pPr>
                    <w:widowControl w:val="0"/>
                    <w:overflowPunct w:val="0"/>
                    <w:autoSpaceDE w:val="0"/>
                    <w:autoSpaceDN w:val="0"/>
                    <w:snapToGrid w:val="0"/>
                    <w:jc w:val="center"/>
                    <w:rPr>
                      <w:color w:val="auto"/>
                      <w14:ligatures w14:val="standardContextual"/>
                    </w:rPr>
                  </w:pPr>
                  <w:r>
                    <w:rPr>
                      <w:color w:val="auto"/>
                      <w14:ligatures w14:val="standardContextual"/>
                    </w:rPr>
                    <w:t>1.原则上禁止建设涉及一类重金属、持久性有机污染物排放的工业项目。</w:t>
                  </w:r>
                </w:p>
                <w:p w14:paraId="6F1C0070">
                  <w:pPr>
                    <w:widowControl w:val="0"/>
                    <w:overflowPunct w:val="0"/>
                    <w:autoSpaceDE w:val="0"/>
                    <w:autoSpaceDN w:val="0"/>
                    <w:snapToGrid w:val="0"/>
                    <w:jc w:val="center"/>
                    <w:rPr>
                      <w:color w:val="auto"/>
                      <w14:ligatures w14:val="standardContextual"/>
                    </w:rPr>
                  </w:pPr>
                  <w:r>
                    <w:rPr>
                      <w:color w:val="auto"/>
                      <w14:ligatures w14:val="standardContextual"/>
                    </w:rPr>
                    <w:t>2.限制进行大规模高强度工业化、城镇化开发。按照自治区要求建立</w:t>
                  </w:r>
                  <w:r>
                    <w:rPr>
                      <w:rFonts w:hint="eastAsia" w:ascii="仿宋" w:hAnsi="仿宋" w:cs="仿宋"/>
                      <w:color w:val="auto"/>
                      <w14:ligatures w14:val="standardContextual"/>
                    </w:rPr>
                    <w:t>“两高”</w:t>
                  </w:r>
                  <w:r>
                    <w:rPr>
                      <w:color w:val="auto"/>
                      <w14:ligatures w14:val="standardContextual"/>
                    </w:rPr>
                    <w:t>项目环评管理台账，严格执行环评审批原则和准入条件，落实主要污染物区域削减、煤炭消费减量替代等措施。</w:t>
                  </w:r>
                </w:p>
                <w:p w14:paraId="2049C080">
                  <w:pPr>
                    <w:widowControl w:val="0"/>
                    <w:overflowPunct w:val="0"/>
                    <w:autoSpaceDE w:val="0"/>
                    <w:autoSpaceDN w:val="0"/>
                    <w:snapToGrid w:val="0"/>
                    <w:jc w:val="center"/>
                    <w:rPr>
                      <w:color w:val="auto"/>
                      <w14:ligatures w14:val="standardContextual"/>
                    </w:rPr>
                  </w:pPr>
                  <w:r>
                    <w:rPr>
                      <w:color w:val="auto"/>
                      <w14:ligatures w14:val="standardContextual"/>
                    </w:rPr>
                    <w:t>3.推进新能源的开发和利用，鼓励发展风力发电和太阳能发电。</w:t>
                  </w:r>
                </w:p>
                <w:p w14:paraId="486AB30F">
                  <w:pPr>
                    <w:widowControl w:val="0"/>
                    <w:overflowPunct w:val="0"/>
                    <w:autoSpaceDE w:val="0"/>
                    <w:autoSpaceDN w:val="0"/>
                    <w:snapToGrid w:val="0"/>
                    <w:jc w:val="center"/>
                    <w:rPr>
                      <w:color w:val="auto"/>
                      <w14:ligatures w14:val="standardContextual"/>
                    </w:rPr>
                  </w:pPr>
                  <w:r>
                    <w:rPr>
                      <w:color w:val="auto"/>
                      <w14:ligatures w14:val="standardContextual"/>
                    </w:rPr>
                    <w:t>4.建立集镇居住商业区、耕地保护区与工业功能区等集聚区块之间的防护带。</w:t>
                  </w:r>
                </w:p>
                <w:p w14:paraId="40642802">
                  <w:pPr>
                    <w:widowControl w:val="0"/>
                    <w:overflowPunct w:val="0"/>
                    <w:autoSpaceDE w:val="0"/>
                    <w:autoSpaceDN w:val="0"/>
                    <w:snapToGrid w:val="0"/>
                    <w:jc w:val="center"/>
                    <w:rPr>
                      <w:color w:val="auto"/>
                      <w14:ligatures w14:val="standardContextual"/>
                    </w:rPr>
                  </w:pPr>
                  <w:r>
                    <w:rPr>
                      <w:color w:val="auto"/>
                      <w14:ligatures w14:val="standardContextual"/>
                    </w:rPr>
                    <w:t>5.严格执行畜禽养殖禁养区规定，根据区域用地和消纳水平，合理确定养殖规模。</w:t>
                  </w:r>
                </w:p>
                <w:p w14:paraId="5D5F9B3C">
                  <w:pPr>
                    <w:widowControl w:val="0"/>
                    <w:overflowPunct w:val="0"/>
                    <w:autoSpaceDE w:val="0"/>
                    <w:autoSpaceDN w:val="0"/>
                    <w:snapToGrid w:val="0"/>
                    <w:jc w:val="center"/>
                    <w:rPr>
                      <w:color w:val="auto"/>
                      <w14:ligatures w14:val="standardContextual"/>
                    </w:rPr>
                  </w:pPr>
                  <w:r>
                    <w:rPr>
                      <w:color w:val="auto"/>
                      <w14:ligatures w14:val="standardContextual"/>
                    </w:rPr>
                    <w:t>6.任何单位和个人不得改变或者占用基本农田保护区。国家能源、交通、水利、军事设施等重点建设项目选址确实无法避开基本农田保护区，需要占用基本农田，涉及农用地转用或者征收土地的，必须经国务院批准。</w:t>
                  </w:r>
                </w:p>
                <w:p w14:paraId="37D323B7">
                  <w:pPr>
                    <w:widowControl w:val="0"/>
                    <w:overflowPunct w:val="0"/>
                    <w:autoSpaceDE w:val="0"/>
                    <w:autoSpaceDN w:val="0"/>
                    <w:snapToGrid w:val="0"/>
                    <w:jc w:val="center"/>
                    <w:rPr>
                      <w:color w:val="auto"/>
                      <w14:ligatures w14:val="standardContextual"/>
                    </w:rPr>
                  </w:pPr>
                  <w:r>
                    <w:rPr>
                      <w:color w:val="auto"/>
                      <w14:ligatures w14:val="standardContextual"/>
                    </w:rPr>
                    <w:t>7.禁止任何单位和个人在基本农田保护区内建窑、建房、建坟、挖砂、采石、采矿、取土、堆放固体废弃物或者进行其他破坏基本农田的活动。禁止任何单位和个人占用基本农田发展林果业和挖塘养鱼。</w:t>
                  </w:r>
                </w:p>
              </w:tc>
              <w:tc>
                <w:tcPr>
                  <w:tcW w:w="2690" w:type="dxa"/>
                  <w:vAlign w:val="center"/>
                </w:tcPr>
                <w:p w14:paraId="3A0DF1EE">
                  <w:pPr>
                    <w:widowControl w:val="0"/>
                    <w:overflowPunct w:val="0"/>
                    <w:autoSpaceDE w:val="0"/>
                    <w:autoSpaceDN w:val="0"/>
                    <w:snapToGrid w:val="0"/>
                    <w:jc w:val="center"/>
                    <w:rPr>
                      <w:color w:val="auto"/>
                      <w14:ligatures w14:val="standardContextual"/>
                    </w:rPr>
                  </w:pPr>
                  <w:r>
                    <w:rPr>
                      <w:color w:val="auto"/>
                      <w14:ligatures w14:val="standardContextual"/>
                    </w:rPr>
                    <w:t>符合。</w:t>
                  </w:r>
                </w:p>
                <w:p w14:paraId="4407181E">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w:t>
                  </w:r>
                  <w:r>
                    <w:rPr>
                      <w:color w:val="auto"/>
                      <w14:ligatures w14:val="standardContextual"/>
                    </w:rPr>
                    <w:t>项目</w:t>
                  </w:r>
                  <w:r>
                    <w:rPr>
                      <w:rFonts w:hint="eastAsia"/>
                      <w:color w:val="auto"/>
                      <w14:ligatures w14:val="standardContextual"/>
                    </w:rPr>
                    <w:t>不涉及</w:t>
                  </w:r>
                  <w:r>
                    <w:rPr>
                      <w:color w:val="auto"/>
                      <w14:ligatures w14:val="standardContextual"/>
                    </w:rPr>
                    <w:t>一类重金属、持久性有机污染物排放</w:t>
                  </w:r>
                  <w:r>
                    <w:rPr>
                      <w:rFonts w:hint="eastAsia"/>
                      <w:color w:val="auto"/>
                      <w14:ligatures w14:val="standardContextual"/>
                    </w:rPr>
                    <w:t>，不属于</w:t>
                  </w:r>
                  <w:r>
                    <w:rPr>
                      <w:rFonts w:hint="eastAsia" w:ascii="仿宋" w:hAnsi="仿宋" w:cs="仿宋"/>
                      <w:color w:val="auto"/>
                      <w14:ligatures w14:val="standardContextual"/>
                    </w:rPr>
                    <w:t>“两高”</w:t>
                  </w:r>
                  <w:r>
                    <w:rPr>
                      <w:color w:val="auto"/>
                      <w14:ligatures w14:val="standardContextual"/>
                    </w:rPr>
                    <w:t>项目</w:t>
                  </w:r>
                  <w:r>
                    <w:rPr>
                      <w:rFonts w:hint="eastAsia"/>
                      <w:color w:val="auto"/>
                      <w14:ligatures w14:val="standardContextual"/>
                    </w:rPr>
                    <w:t>和</w:t>
                  </w:r>
                  <w:r>
                    <w:rPr>
                      <w:color w:val="auto"/>
                      <w14:ligatures w14:val="standardContextual"/>
                    </w:rPr>
                    <w:t>畜禽养殖</w:t>
                  </w:r>
                  <w:r>
                    <w:rPr>
                      <w:rFonts w:hint="eastAsia"/>
                      <w:color w:val="auto"/>
                      <w14:ligatures w14:val="standardContextual"/>
                    </w:rPr>
                    <w:t>项目，</w:t>
                  </w:r>
                  <w:r>
                    <w:rPr>
                      <w:color w:val="auto"/>
                      <w14:ligatures w14:val="standardContextual"/>
                    </w:rPr>
                    <w:t>符合</w:t>
                  </w:r>
                  <w:r>
                    <w:rPr>
                      <w:rFonts w:hint="eastAsia"/>
                      <w:color w:val="auto"/>
                      <w14:ligatures w14:val="standardContextual"/>
                    </w:rPr>
                    <w:t>国家及地方</w:t>
                  </w:r>
                  <w:r>
                    <w:rPr>
                      <w:color w:val="auto"/>
                      <w14:ligatures w14:val="standardContextual"/>
                    </w:rPr>
                    <w:t>产业政策</w:t>
                  </w:r>
                  <w:r>
                    <w:rPr>
                      <w:rFonts w:hint="eastAsia"/>
                      <w:color w:val="auto"/>
                      <w14:ligatures w14:val="standardContextual"/>
                    </w:rPr>
                    <w:t>要求。</w:t>
                  </w:r>
                </w:p>
                <w:p w14:paraId="5F351CE0">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w:t>
                  </w:r>
                  <w:r>
                    <w:rPr>
                      <w:color w:val="auto"/>
                      <w14:ligatures w14:val="standardContextual"/>
                    </w:rPr>
                    <w:t>项目</w:t>
                  </w:r>
                  <w:r>
                    <w:rPr>
                      <w:rFonts w:hint="eastAsia"/>
                      <w:color w:val="auto"/>
                      <w14:ligatures w14:val="standardContextual"/>
                    </w:rPr>
                    <w:t>土地用途</w:t>
                  </w:r>
                  <w:r>
                    <w:rPr>
                      <w:color w:val="auto"/>
                      <w14:ligatures w14:val="standardContextual"/>
                    </w:rPr>
                    <w:t>为</w:t>
                  </w:r>
                  <w:r>
                    <w:rPr>
                      <w:rFonts w:hint="eastAsia"/>
                      <w:color w:val="auto"/>
                      <w14:ligatures w14:val="standardContextual"/>
                    </w:rPr>
                    <w:t>未利用地</w:t>
                  </w:r>
                  <w:r>
                    <w:rPr>
                      <w:color w:val="auto"/>
                      <w14:ligatures w14:val="standardContextual"/>
                    </w:rPr>
                    <w:t>，不涉及</w:t>
                  </w:r>
                  <w:r>
                    <w:rPr>
                      <w:rFonts w:hint="eastAsia"/>
                      <w:color w:val="auto"/>
                      <w14:ligatures w14:val="standardContextual"/>
                    </w:rPr>
                    <w:t>基本农田、</w:t>
                  </w:r>
                  <w:r>
                    <w:rPr>
                      <w:color w:val="auto"/>
                      <w14:ligatures w14:val="standardContextual"/>
                    </w:rPr>
                    <w:t>生态保护红线区域。</w:t>
                  </w:r>
                </w:p>
                <w:p w14:paraId="13A19F62">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本项目配套相关环保设施，项目建成后可实现达标排放。</w:t>
                  </w:r>
                </w:p>
                <w:p w14:paraId="3A6C3C8E">
                  <w:pPr>
                    <w:widowControl w:val="0"/>
                    <w:overflowPunct w:val="0"/>
                    <w:autoSpaceDE w:val="0"/>
                    <w:autoSpaceDN w:val="0"/>
                    <w:snapToGrid w:val="0"/>
                    <w:jc w:val="center"/>
                    <w:rPr>
                      <w:color w:val="auto"/>
                      <w14:ligatures w14:val="standardContextual"/>
                    </w:rPr>
                  </w:pPr>
                </w:p>
              </w:tc>
            </w:tr>
            <w:tr w14:paraId="38EE1D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7" w:type="dxa"/>
                  <w:vAlign w:val="center"/>
                </w:tcPr>
                <w:p w14:paraId="144B4DC7">
                  <w:pPr>
                    <w:widowControl w:val="0"/>
                    <w:overflowPunct w:val="0"/>
                    <w:autoSpaceDE w:val="0"/>
                    <w:autoSpaceDN w:val="0"/>
                    <w:snapToGrid w:val="0"/>
                    <w:jc w:val="center"/>
                    <w:rPr>
                      <w:color w:val="auto"/>
                      <w14:ligatures w14:val="standardContextual"/>
                    </w:rPr>
                  </w:pPr>
                  <w:r>
                    <w:rPr>
                      <w:color w:val="auto"/>
                      <w14:ligatures w14:val="standardContextual"/>
                    </w:rPr>
                    <w:t>污染物排放管控</w:t>
                  </w:r>
                </w:p>
              </w:tc>
              <w:tc>
                <w:tcPr>
                  <w:tcW w:w="4250" w:type="dxa"/>
                  <w:vAlign w:val="center"/>
                </w:tcPr>
                <w:p w14:paraId="27F396D3">
                  <w:pPr>
                    <w:widowControl w:val="0"/>
                    <w:overflowPunct w:val="0"/>
                    <w:autoSpaceDE w:val="0"/>
                    <w:autoSpaceDN w:val="0"/>
                    <w:snapToGrid w:val="0"/>
                    <w:jc w:val="center"/>
                    <w:rPr>
                      <w:color w:val="auto"/>
                      <w14:ligatures w14:val="standardContextual"/>
                    </w:rPr>
                  </w:pPr>
                  <w:r>
                    <w:rPr>
                      <w:color w:val="auto"/>
                      <w14:ligatures w14:val="standardContextual"/>
                    </w:rPr>
                    <w:t>1.加强农业面源污染治理，科学合理使用化肥农药，逐步削减农业面源污染物排放量。</w:t>
                  </w:r>
                </w:p>
                <w:p w14:paraId="46EDD3B9">
                  <w:pPr>
                    <w:widowControl w:val="0"/>
                    <w:overflowPunct w:val="0"/>
                    <w:autoSpaceDE w:val="0"/>
                    <w:autoSpaceDN w:val="0"/>
                    <w:snapToGrid w:val="0"/>
                    <w:jc w:val="center"/>
                    <w:rPr>
                      <w:color w:val="auto"/>
                      <w14:ligatures w14:val="standardContextual"/>
                    </w:rPr>
                  </w:pPr>
                  <w:r>
                    <w:rPr>
                      <w:color w:val="auto"/>
                      <w14:ligatures w14:val="standardContextual"/>
                    </w:rPr>
                    <w:t>2.加强矿产资源开采的环境保护工作。</w:t>
                  </w:r>
                </w:p>
              </w:tc>
              <w:tc>
                <w:tcPr>
                  <w:tcW w:w="2690" w:type="dxa"/>
                  <w:vAlign w:val="center"/>
                </w:tcPr>
                <w:p w14:paraId="2CE04D74">
                  <w:pPr>
                    <w:widowControl w:val="0"/>
                    <w:overflowPunct w:val="0"/>
                    <w:autoSpaceDE w:val="0"/>
                    <w:autoSpaceDN w:val="0"/>
                    <w:snapToGrid w:val="0"/>
                    <w:jc w:val="center"/>
                    <w:rPr>
                      <w:color w:val="auto"/>
                      <w14:ligatures w14:val="standardContextual"/>
                    </w:rPr>
                  </w:pPr>
                  <w:r>
                    <w:rPr>
                      <w:rFonts w:hint="eastAsia"/>
                      <w:color w:val="auto"/>
                      <w14:ligatures w14:val="standardContextual"/>
                    </w:rPr>
                    <w:t>符合。</w:t>
                  </w:r>
                </w:p>
                <w:p w14:paraId="34082E89">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本项目不涉及农业面源和矿产资源开采。</w:t>
                  </w:r>
                </w:p>
              </w:tc>
            </w:tr>
            <w:tr w14:paraId="2031E3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7" w:type="dxa"/>
                  <w:vAlign w:val="center"/>
                </w:tcPr>
                <w:p w14:paraId="2200E25A">
                  <w:pPr>
                    <w:widowControl w:val="0"/>
                    <w:overflowPunct w:val="0"/>
                    <w:autoSpaceDE w:val="0"/>
                    <w:autoSpaceDN w:val="0"/>
                    <w:snapToGrid w:val="0"/>
                    <w:jc w:val="center"/>
                    <w:rPr>
                      <w:color w:val="auto"/>
                      <w14:ligatures w14:val="standardContextual"/>
                    </w:rPr>
                  </w:pPr>
                  <w:r>
                    <w:rPr>
                      <w:color w:val="auto"/>
                      <w14:ligatures w14:val="standardContextual"/>
                    </w:rPr>
                    <w:t>环境风险防控</w:t>
                  </w:r>
                </w:p>
              </w:tc>
              <w:tc>
                <w:tcPr>
                  <w:tcW w:w="4250" w:type="dxa"/>
                  <w:vAlign w:val="center"/>
                </w:tcPr>
                <w:p w14:paraId="16F86B11">
                  <w:pPr>
                    <w:widowControl w:val="0"/>
                    <w:overflowPunct w:val="0"/>
                    <w:autoSpaceDE w:val="0"/>
                    <w:autoSpaceDN w:val="0"/>
                    <w:snapToGrid w:val="0"/>
                    <w:jc w:val="center"/>
                    <w:rPr>
                      <w:color w:val="auto"/>
                      <w14:ligatures w14:val="standardContextual"/>
                    </w:rPr>
                  </w:pPr>
                  <w:r>
                    <w:rPr>
                      <w:color w:val="auto"/>
                      <w14:ligatures w14:val="standardContextual"/>
                    </w:rPr>
                    <w:t>1.禁止向农用地排放重金属或者其他有毒有害物质含量超标的污水、污泥，以及可能造成土壤污染的尾矿、矿渣等。</w:t>
                  </w:r>
                </w:p>
                <w:p w14:paraId="533032E2">
                  <w:pPr>
                    <w:widowControl w:val="0"/>
                    <w:overflowPunct w:val="0"/>
                    <w:autoSpaceDE w:val="0"/>
                    <w:autoSpaceDN w:val="0"/>
                    <w:snapToGrid w:val="0"/>
                    <w:jc w:val="center"/>
                    <w:rPr>
                      <w:color w:val="auto"/>
                      <w14:ligatures w14:val="standardContextual"/>
                    </w:rPr>
                  </w:pPr>
                  <w:r>
                    <w:rPr>
                      <w:color w:val="auto"/>
                      <w14:ligatures w14:val="standardContextual"/>
                    </w:rPr>
                    <w:t>2.加强农田土壤、灌溉水的监测及评价，对周边或区域环境风险源进行评估。</w:t>
                  </w:r>
                </w:p>
              </w:tc>
              <w:tc>
                <w:tcPr>
                  <w:tcW w:w="2690" w:type="dxa"/>
                  <w:vAlign w:val="center"/>
                </w:tcPr>
                <w:p w14:paraId="7B1CDB6B">
                  <w:pPr>
                    <w:widowControl w:val="0"/>
                    <w:overflowPunct w:val="0"/>
                    <w:autoSpaceDE w:val="0"/>
                    <w:autoSpaceDN w:val="0"/>
                    <w:snapToGrid w:val="0"/>
                    <w:jc w:val="center"/>
                    <w:rPr>
                      <w:color w:val="auto"/>
                      <w14:ligatures w14:val="standardContextual"/>
                    </w:rPr>
                  </w:pPr>
                  <w:r>
                    <w:rPr>
                      <w:rFonts w:hint="eastAsia"/>
                      <w:color w:val="auto"/>
                      <w14:ligatures w14:val="standardContextual"/>
                    </w:rPr>
                    <w:t>符合。</w:t>
                  </w:r>
                </w:p>
                <w:p w14:paraId="1D1A977A">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本项目不涉及农用地、尾矿、矿渣等。</w:t>
                  </w:r>
                </w:p>
              </w:tc>
            </w:tr>
            <w:tr w14:paraId="2923DC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7" w:type="dxa"/>
                  <w:vAlign w:val="center"/>
                </w:tcPr>
                <w:p w14:paraId="34F88B8A">
                  <w:pPr>
                    <w:widowControl w:val="0"/>
                    <w:overflowPunct w:val="0"/>
                    <w:autoSpaceDE w:val="0"/>
                    <w:autoSpaceDN w:val="0"/>
                    <w:snapToGrid w:val="0"/>
                    <w:jc w:val="center"/>
                    <w:rPr>
                      <w:color w:val="auto"/>
                      <w14:ligatures w14:val="standardContextual"/>
                    </w:rPr>
                  </w:pPr>
                  <w:r>
                    <w:rPr>
                      <w:color w:val="auto"/>
                      <w14:ligatures w14:val="standardContextual"/>
                    </w:rPr>
                    <w:t>资源利用效率</w:t>
                  </w:r>
                </w:p>
              </w:tc>
              <w:tc>
                <w:tcPr>
                  <w:tcW w:w="4250" w:type="dxa"/>
                  <w:vAlign w:val="center"/>
                </w:tcPr>
                <w:p w14:paraId="3E0DF43D">
                  <w:pPr>
                    <w:widowControl w:val="0"/>
                    <w:overflowPunct w:val="0"/>
                    <w:autoSpaceDE w:val="0"/>
                    <w:autoSpaceDN w:val="0"/>
                    <w:snapToGrid w:val="0"/>
                    <w:jc w:val="center"/>
                    <w:rPr>
                      <w:color w:val="auto"/>
                      <w14:ligatures w14:val="standardContextual"/>
                    </w:rPr>
                  </w:pPr>
                  <w:r>
                    <w:rPr>
                      <w:rFonts w:hint="eastAsia"/>
                      <w:color w:val="auto"/>
                      <w14:ligatures w14:val="standardContextual"/>
                    </w:rPr>
                    <w:t>1.</w:t>
                  </w:r>
                  <w:r>
                    <w:rPr>
                      <w:color w:val="auto"/>
                      <w14:ligatures w14:val="standardContextual"/>
                    </w:rPr>
                    <w:t>实行水资源消耗总量和强度双控，推进农业节水，提高农业用水效率。</w:t>
                  </w:r>
                </w:p>
                <w:p w14:paraId="385FB076">
                  <w:pPr>
                    <w:widowControl w:val="0"/>
                    <w:overflowPunct w:val="0"/>
                    <w:autoSpaceDE w:val="0"/>
                    <w:autoSpaceDN w:val="0"/>
                    <w:snapToGrid w:val="0"/>
                    <w:jc w:val="center"/>
                    <w:rPr>
                      <w:color w:val="auto"/>
                      <w14:ligatures w14:val="standardContextual"/>
                    </w:rPr>
                  </w:pPr>
                  <w:r>
                    <w:rPr>
                      <w:rFonts w:hint="eastAsia"/>
                      <w:color w:val="auto"/>
                      <w14:ligatures w14:val="standardContextual"/>
                    </w:rPr>
                    <w:t>2.优化能源结构，加强能源清洁利用。</w:t>
                  </w:r>
                </w:p>
              </w:tc>
              <w:tc>
                <w:tcPr>
                  <w:tcW w:w="2690" w:type="dxa"/>
                  <w:vAlign w:val="center"/>
                </w:tcPr>
                <w:p w14:paraId="4A0172B6">
                  <w:pPr>
                    <w:widowControl w:val="0"/>
                    <w:overflowPunct w:val="0"/>
                    <w:autoSpaceDE w:val="0"/>
                    <w:autoSpaceDN w:val="0"/>
                    <w:snapToGrid w:val="0"/>
                    <w:jc w:val="center"/>
                    <w:rPr>
                      <w:color w:val="auto"/>
                      <w14:ligatures w14:val="standardContextual"/>
                    </w:rPr>
                  </w:pPr>
                  <w:r>
                    <w:rPr>
                      <w:rFonts w:hint="eastAsia"/>
                      <w:color w:val="auto"/>
                      <w14:ligatures w14:val="standardContextual"/>
                    </w:rPr>
                    <w:t>符合。</w:t>
                  </w:r>
                </w:p>
                <w:p w14:paraId="349A93C6">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本</w:t>
                  </w:r>
                  <w:r>
                    <w:rPr>
                      <w:color w:val="auto"/>
                      <w14:ligatures w14:val="standardContextual"/>
                    </w:rPr>
                    <w:t>项目用水接</w:t>
                  </w:r>
                  <w:r>
                    <w:rPr>
                      <w:rFonts w:hint="eastAsia"/>
                      <w:color w:val="auto"/>
                      <w14:ligatures w14:val="standardContextual"/>
                    </w:rPr>
                    <w:t>市政</w:t>
                  </w:r>
                  <w:r>
                    <w:rPr>
                      <w:color w:val="auto"/>
                      <w14:ligatures w14:val="standardContextual"/>
                    </w:rPr>
                    <w:t>供水管网，不属于高能耗项目</w:t>
                  </w:r>
                  <w:r>
                    <w:rPr>
                      <w:rFonts w:hint="eastAsia"/>
                      <w:color w:val="auto"/>
                      <w14:ligatures w14:val="standardContextual"/>
                    </w:rPr>
                    <w:t>；车辆冲洗水</w:t>
                  </w:r>
                  <w:r>
                    <w:rPr>
                      <w:color w:val="auto"/>
                      <w14:ligatures w14:val="standardContextual"/>
                    </w:rPr>
                    <w:t>经收集、处理后</w:t>
                  </w:r>
                  <w:r>
                    <w:rPr>
                      <w:rFonts w:hint="eastAsia"/>
                      <w:color w:val="auto"/>
                      <w14:ligatures w14:val="standardContextual"/>
                    </w:rPr>
                    <w:t>重复使用，定期清理沉淀池沉渣。</w:t>
                  </w:r>
                </w:p>
              </w:tc>
            </w:tr>
          </w:tbl>
          <w:p w14:paraId="7737069D">
            <w:pPr>
              <w:pStyle w:val="7"/>
              <w:rPr>
                <w:color w:val="auto"/>
              </w:rPr>
            </w:pPr>
            <w:r>
              <w:rPr>
                <w:rFonts w:hint="eastAsia"/>
                <w:color w:val="auto"/>
              </w:rPr>
              <w:t>4、与《新疆维吾尔自治区大气污染防治条例》（2019）符合性分析</w:t>
            </w:r>
          </w:p>
          <w:p w14:paraId="6658A0F1">
            <w:pPr>
              <w:pStyle w:val="3"/>
              <w:ind w:firstLine="480"/>
              <w:rPr>
                <w:color w:val="auto"/>
              </w:rPr>
            </w:pPr>
            <w:r>
              <w:rPr>
                <w:rFonts w:hint="eastAsia"/>
                <w:color w:val="auto"/>
              </w:rPr>
              <w:t>根据《新疆维吾尔自治区大气污染防治条例》（2019）：各级人民政府应当加强对建设施工、矿产资源开采、物料运输的扬尘和沙尘污染的治理，保持道路清洁、控制料堆和渣土堆放，科学合理扩大绿地、水面、湿地、地面铺装和防风固沙绿化面积，防治扬尘污染。露天装卸物料应当采取密闭或者喷淋等抑尘措施；输送的物料应当在装料、卸料处配备吸尘、喷淋等防尘设施。</w:t>
            </w:r>
          </w:p>
          <w:p w14:paraId="712329AB">
            <w:pPr>
              <w:pStyle w:val="3"/>
              <w:ind w:firstLine="480"/>
              <w:rPr>
                <w:color w:val="auto"/>
              </w:rPr>
            </w:pPr>
            <w:r>
              <w:rPr>
                <w:rFonts w:hint="eastAsia"/>
                <w:color w:val="auto"/>
              </w:rPr>
              <w:t>符合性分析：本项新建两座煤棚。主要产尘环节有运输车辆扬尘、原料煤炭储存装卸扬尘。本项目采取以下粉尘防治措施：</w:t>
            </w:r>
          </w:p>
          <w:p w14:paraId="6D028971">
            <w:pPr>
              <w:pStyle w:val="3"/>
              <w:ind w:firstLine="480"/>
              <w:rPr>
                <w:color w:val="auto"/>
              </w:rPr>
            </w:pPr>
            <w:r>
              <w:rPr>
                <w:rFonts w:hint="eastAsia"/>
                <w:color w:val="auto"/>
              </w:rPr>
              <w:t>对煤棚进行封闭，物料进出口进行喷雾洒水降尘。</w:t>
            </w:r>
          </w:p>
          <w:p w14:paraId="125101D9">
            <w:pPr>
              <w:pStyle w:val="3"/>
              <w:ind w:firstLine="480"/>
              <w:rPr>
                <w:color w:val="auto"/>
              </w:rPr>
            </w:pPr>
            <w:r>
              <w:rPr>
                <w:rFonts w:hint="eastAsia"/>
                <w:color w:val="auto"/>
              </w:rPr>
              <w:t>（3）硬化运输道路及厂区场地、加强绿化、设置洒水车。</w:t>
            </w:r>
          </w:p>
          <w:p w14:paraId="48C09D06">
            <w:pPr>
              <w:pStyle w:val="3"/>
              <w:ind w:firstLine="480"/>
              <w:rPr>
                <w:color w:val="auto"/>
              </w:rPr>
            </w:pPr>
            <w:r>
              <w:rPr>
                <w:rFonts w:hint="eastAsia"/>
                <w:color w:val="auto"/>
              </w:rPr>
              <w:t>（4）设置1座洗车平台及1座沉淀池，将污染源控制在源头，实现厂区无尘化。</w:t>
            </w:r>
          </w:p>
          <w:p w14:paraId="2054DC0E">
            <w:pPr>
              <w:pStyle w:val="3"/>
              <w:ind w:firstLine="480"/>
              <w:rPr>
                <w:color w:val="auto"/>
              </w:rPr>
            </w:pPr>
            <w:r>
              <w:rPr>
                <w:rFonts w:hint="eastAsia"/>
                <w:color w:val="auto"/>
              </w:rPr>
              <w:t>（5）皮带机上设置封闭隔尘罩，基本可避免皮带输送机带来的煤尘污染。</w:t>
            </w:r>
          </w:p>
          <w:p w14:paraId="5125FE60">
            <w:pPr>
              <w:pStyle w:val="3"/>
              <w:ind w:firstLine="480"/>
              <w:rPr>
                <w:color w:val="auto"/>
              </w:rPr>
            </w:pPr>
            <w:r>
              <w:rPr>
                <w:rFonts w:hint="eastAsia"/>
                <w:color w:val="auto"/>
              </w:rPr>
              <w:t>在采取以上措施后，本项目可有效减少大气环境影响，符合《新疆维吾尔自治区大气污染防治条例》（2019）相关要求。</w:t>
            </w:r>
          </w:p>
          <w:p w14:paraId="7B33C999">
            <w:pPr>
              <w:pStyle w:val="7"/>
              <w:rPr>
                <w:color w:val="auto"/>
              </w:rPr>
            </w:pPr>
            <w:r>
              <w:rPr>
                <w:rFonts w:hint="eastAsia"/>
                <w:color w:val="auto"/>
              </w:rPr>
              <w:t>6、《工业料堆场扬尘整治规范》（DB 65/T 4061-2017）相符性分析</w:t>
            </w:r>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480"/>
              <w:gridCol w:w="2713"/>
              <w:gridCol w:w="3479"/>
              <w:gridCol w:w="705"/>
            </w:tblGrid>
            <w:tr w14:paraId="0DE9AA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25"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6609C1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序号</w:t>
                  </w:r>
                </w:p>
              </w:tc>
              <w:tc>
                <w:tcPr>
                  <w:tcW w:w="1839"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350BF6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规范要求</w:t>
                  </w:r>
                </w:p>
              </w:tc>
              <w:tc>
                <w:tcPr>
                  <w:tcW w:w="2358"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BCB89D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本项目</w:t>
                  </w:r>
                </w:p>
              </w:tc>
              <w:tc>
                <w:tcPr>
                  <w:tcW w:w="479" w:type="pct"/>
                  <w:tcBorders>
                    <w:top w:val="single" w:color="auto" w:sz="12" w:space="0"/>
                    <w:bottom w:val="single" w:color="auto" w:sz="12" w:space="0"/>
                    <w:right w:val="nil"/>
                    <w:insideH w:val="single" w:sz="12" w:space="0"/>
                    <w:insideV w:val="single" w:sz="4" w:space="0"/>
                    <w:tl2br w:val="nil"/>
                    <w:tr2bl w:val="nil"/>
                  </w:tcBorders>
                  <w:vAlign w:val="center"/>
                </w:tcPr>
                <w:p w14:paraId="1A74CD0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相符性</w:t>
                  </w:r>
                </w:p>
              </w:tc>
            </w:tr>
            <w:tr w14:paraId="49B2A1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25" w:type="pct"/>
                  <w:vAlign w:val="center"/>
                </w:tcPr>
                <w:p w14:paraId="584D5BD1">
                  <w:pPr>
                    <w:widowControl w:val="0"/>
                    <w:overflowPunct w:val="0"/>
                    <w:autoSpaceDE w:val="0"/>
                    <w:autoSpaceDN w:val="0"/>
                    <w:snapToGrid w:val="0"/>
                    <w:jc w:val="center"/>
                    <w:rPr>
                      <w:color w:val="auto"/>
                      <w14:ligatures w14:val="standardContextual"/>
                    </w:rPr>
                  </w:pPr>
                  <w:r>
                    <w:rPr>
                      <w:color w:val="auto"/>
                      <w14:ligatures w14:val="standardContextual"/>
                    </w:rPr>
                    <w:t>1</w:t>
                  </w:r>
                </w:p>
              </w:tc>
              <w:tc>
                <w:tcPr>
                  <w:tcW w:w="1839" w:type="pct"/>
                  <w:vAlign w:val="center"/>
                </w:tcPr>
                <w:p w14:paraId="2AC85837">
                  <w:pPr>
                    <w:widowControl w:val="0"/>
                    <w:overflowPunct w:val="0"/>
                    <w:autoSpaceDE w:val="0"/>
                    <w:autoSpaceDN w:val="0"/>
                    <w:snapToGrid w:val="0"/>
                    <w:jc w:val="center"/>
                    <w:rPr>
                      <w:color w:val="auto"/>
                      <w14:ligatures w14:val="standardContextual"/>
                    </w:rPr>
                  </w:pPr>
                  <w:r>
                    <w:rPr>
                      <w:color w:val="auto"/>
                      <w14:ligatures w14:val="standardContextual"/>
                    </w:rPr>
                    <w:t>工业料堆场与生产车间布置应作业程序合理，原、燃料堆场及全场性仓库（棚）宜集中布置在燃料进场或靠近主要用户的一个区域</w:t>
                  </w:r>
                </w:p>
              </w:tc>
              <w:tc>
                <w:tcPr>
                  <w:tcW w:w="2358" w:type="pct"/>
                  <w:vAlign w:val="center"/>
                </w:tcPr>
                <w:p w14:paraId="62ECF00C">
                  <w:pPr>
                    <w:widowControl w:val="0"/>
                    <w:overflowPunct w:val="0"/>
                    <w:autoSpaceDE w:val="0"/>
                    <w:autoSpaceDN w:val="0"/>
                    <w:snapToGrid w:val="0"/>
                    <w:jc w:val="center"/>
                    <w:rPr>
                      <w:color w:val="auto"/>
                      <w14:ligatures w14:val="standardContextual"/>
                    </w:rPr>
                  </w:pPr>
                  <w:r>
                    <w:rPr>
                      <w:color w:val="auto"/>
                      <w14:ligatures w14:val="standardContextual"/>
                    </w:rPr>
                    <w:t>本项目</w:t>
                  </w:r>
                  <w:r>
                    <w:rPr>
                      <w:rFonts w:hint="eastAsia"/>
                      <w:color w:val="auto"/>
                      <w14:ligatures w14:val="standardContextual"/>
                    </w:rPr>
                    <w:t>无生产车间</w:t>
                  </w:r>
                  <w:r>
                    <w:rPr>
                      <w:color w:val="auto"/>
                      <w14:ligatures w14:val="standardContextual"/>
                    </w:rPr>
                    <w:t>，</w:t>
                  </w:r>
                  <w:r>
                    <w:rPr>
                      <w:rFonts w:hint="eastAsia"/>
                      <w:color w:val="auto"/>
                      <w14:ligatures w14:val="standardContextual"/>
                    </w:rPr>
                    <w:t>建筑物仅有两个煤棚及相关消防、安全等设施，厂区布置相对简单，作业程序合理。</w:t>
                  </w:r>
                </w:p>
              </w:tc>
              <w:tc>
                <w:tcPr>
                  <w:tcW w:w="479" w:type="pct"/>
                  <w:vAlign w:val="center"/>
                </w:tcPr>
                <w:p w14:paraId="36C1F3CC">
                  <w:pPr>
                    <w:widowControl w:val="0"/>
                    <w:overflowPunct w:val="0"/>
                    <w:autoSpaceDE w:val="0"/>
                    <w:autoSpaceDN w:val="0"/>
                    <w:snapToGrid w:val="0"/>
                    <w:jc w:val="center"/>
                    <w:rPr>
                      <w:color w:val="auto"/>
                      <w14:ligatures w14:val="standardContextual"/>
                    </w:rPr>
                  </w:pPr>
                  <w:r>
                    <w:rPr>
                      <w:color w:val="auto"/>
                      <w14:ligatures w14:val="standardContextual"/>
                    </w:rPr>
                    <w:t>符合</w:t>
                  </w:r>
                </w:p>
              </w:tc>
            </w:tr>
            <w:tr w14:paraId="584DE0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25" w:type="pct"/>
                  <w:vAlign w:val="center"/>
                </w:tcPr>
                <w:p w14:paraId="64DBC4BA">
                  <w:pPr>
                    <w:widowControl w:val="0"/>
                    <w:overflowPunct w:val="0"/>
                    <w:autoSpaceDE w:val="0"/>
                    <w:autoSpaceDN w:val="0"/>
                    <w:snapToGrid w:val="0"/>
                    <w:jc w:val="center"/>
                    <w:rPr>
                      <w:color w:val="auto"/>
                      <w14:ligatures w14:val="standardContextual"/>
                    </w:rPr>
                  </w:pPr>
                  <w:r>
                    <w:rPr>
                      <w:color w:val="auto"/>
                      <w14:ligatures w14:val="standardContextual"/>
                    </w:rPr>
                    <w:t>2</w:t>
                  </w:r>
                </w:p>
              </w:tc>
              <w:tc>
                <w:tcPr>
                  <w:tcW w:w="1839" w:type="pct"/>
                  <w:vAlign w:val="center"/>
                </w:tcPr>
                <w:p w14:paraId="5E1702B0">
                  <w:pPr>
                    <w:widowControl w:val="0"/>
                    <w:overflowPunct w:val="0"/>
                    <w:autoSpaceDE w:val="0"/>
                    <w:autoSpaceDN w:val="0"/>
                    <w:snapToGrid w:val="0"/>
                    <w:jc w:val="center"/>
                    <w:rPr>
                      <w:color w:val="auto"/>
                      <w14:ligatures w14:val="standardContextual"/>
                    </w:rPr>
                  </w:pPr>
                  <w:r>
                    <w:rPr>
                      <w:color w:val="auto"/>
                      <w14:ligatures w14:val="standardContextual"/>
                    </w:rPr>
                    <w:t>工业料堆的污染法防治应从源头控制、减少堆存量、通过优化生产车间原料配置、厂区布置、提供管理水平、改善污染防治技术工艺、加强综合利用等措施减少环境污染</w:t>
                  </w:r>
                </w:p>
              </w:tc>
              <w:tc>
                <w:tcPr>
                  <w:tcW w:w="2358" w:type="pct"/>
                  <w:vAlign w:val="center"/>
                </w:tcPr>
                <w:p w14:paraId="33CF0217">
                  <w:pPr>
                    <w:widowControl w:val="0"/>
                    <w:overflowPunct w:val="0"/>
                    <w:autoSpaceDE w:val="0"/>
                    <w:autoSpaceDN w:val="0"/>
                    <w:snapToGrid w:val="0"/>
                    <w:jc w:val="center"/>
                    <w:rPr>
                      <w:color w:val="auto"/>
                      <w14:ligatures w14:val="standardContextual"/>
                    </w:rPr>
                  </w:pPr>
                  <w:r>
                    <w:rPr>
                      <w:color w:val="auto"/>
                      <w14:ligatures w14:val="standardContextual"/>
                    </w:rPr>
                    <w:t>本项目</w:t>
                  </w:r>
                  <w:r>
                    <w:rPr>
                      <w:rFonts w:hint="eastAsia"/>
                      <w:color w:val="auto"/>
                      <w14:ligatures w14:val="standardContextual"/>
                    </w:rPr>
                    <w:t>工作面设置于储库内进行，配套喷雾洒水装置，固定装卸点</w:t>
                  </w:r>
                  <w:r>
                    <w:rPr>
                      <w:color w:val="auto"/>
                      <w14:ligatures w14:val="standardContextual"/>
                    </w:rPr>
                    <w:t>；</w:t>
                  </w:r>
                  <w:r>
                    <w:rPr>
                      <w:rFonts w:hint="eastAsia"/>
                      <w:color w:val="auto"/>
                      <w14:ligatures w14:val="standardContextual"/>
                    </w:rPr>
                    <w:t>硬化运输道路及厂区场地、加强绿化、设置洒水车等措施</w:t>
                  </w:r>
                  <w:r>
                    <w:rPr>
                      <w:color w:val="auto"/>
                      <w14:ligatures w14:val="standardContextual"/>
                    </w:rPr>
                    <w:t>。在生产过程中加强监管，减少环境污染</w:t>
                  </w:r>
                </w:p>
              </w:tc>
              <w:tc>
                <w:tcPr>
                  <w:tcW w:w="479" w:type="pct"/>
                  <w:vAlign w:val="center"/>
                </w:tcPr>
                <w:p w14:paraId="278FF244">
                  <w:pPr>
                    <w:widowControl w:val="0"/>
                    <w:overflowPunct w:val="0"/>
                    <w:autoSpaceDE w:val="0"/>
                    <w:autoSpaceDN w:val="0"/>
                    <w:snapToGrid w:val="0"/>
                    <w:jc w:val="center"/>
                    <w:rPr>
                      <w:color w:val="auto"/>
                      <w14:ligatures w14:val="standardContextual"/>
                    </w:rPr>
                  </w:pPr>
                  <w:r>
                    <w:rPr>
                      <w:color w:val="auto"/>
                      <w14:ligatures w14:val="standardContextual"/>
                    </w:rPr>
                    <w:t>符合</w:t>
                  </w:r>
                </w:p>
              </w:tc>
            </w:tr>
            <w:tr w14:paraId="3A569A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25" w:type="pct"/>
                  <w:vAlign w:val="center"/>
                </w:tcPr>
                <w:p w14:paraId="3EA04D37">
                  <w:pPr>
                    <w:widowControl w:val="0"/>
                    <w:overflowPunct w:val="0"/>
                    <w:autoSpaceDE w:val="0"/>
                    <w:autoSpaceDN w:val="0"/>
                    <w:snapToGrid w:val="0"/>
                    <w:jc w:val="center"/>
                    <w:rPr>
                      <w:color w:val="auto"/>
                      <w14:ligatures w14:val="standardContextual"/>
                    </w:rPr>
                  </w:pPr>
                  <w:r>
                    <w:rPr>
                      <w:color w:val="auto"/>
                      <w14:ligatures w14:val="standardContextual"/>
                    </w:rPr>
                    <w:t>3</w:t>
                  </w:r>
                </w:p>
              </w:tc>
              <w:tc>
                <w:tcPr>
                  <w:tcW w:w="1839" w:type="pct"/>
                  <w:vAlign w:val="center"/>
                </w:tcPr>
                <w:p w14:paraId="26BF14A5">
                  <w:pPr>
                    <w:widowControl w:val="0"/>
                    <w:overflowPunct w:val="0"/>
                    <w:autoSpaceDE w:val="0"/>
                    <w:autoSpaceDN w:val="0"/>
                    <w:snapToGrid w:val="0"/>
                    <w:jc w:val="center"/>
                    <w:rPr>
                      <w:color w:val="auto"/>
                      <w14:ligatures w14:val="standardContextual"/>
                    </w:rPr>
                  </w:pPr>
                  <w:r>
                    <w:rPr>
                      <w:color w:val="auto"/>
                      <w14:ligatures w14:val="standardContextual"/>
                    </w:rPr>
                    <w:t>工业料堆场内应采用连续输送设备将物料送往用户，避免二次中转倒运</w:t>
                  </w:r>
                </w:p>
              </w:tc>
              <w:tc>
                <w:tcPr>
                  <w:tcW w:w="2358" w:type="pct"/>
                  <w:vAlign w:val="center"/>
                </w:tcPr>
                <w:p w14:paraId="0B87B35E">
                  <w:pPr>
                    <w:widowControl w:val="0"/>
                    <w:overflowPunct w:val="0"/>
                    <w:autoSpaceDE w:val="0"/>
                    <w:autoSpaceDN w:val="0"/>
                    <w:snapToGrid w:val="0"/>
                    <w:jc w:val="center"/>
                    <w:rPr>
                      <w:color w:val="auto"/>
                      <w14:ligatures w14:val="standardContextual"/>
                    </w:rPr>
                  </w:pPr>
                  <w:r>
                    <w:rPr>
                      <w:color w:val="auto"/>
                      <w14:ligatures w14:val="standardContextual"/>
                    </w:rPr>
                    <w:t>本项目</w:t>
                  </w:r>
                  <w:r>
                    <w:rPr>
                      <w:rFonts w:hint="eastAsia"/>
                      <w:color w:val="auto"/>
                      <w14:ligatures w14:val="standardContextual"/>
                    </w:rPr>
                    <w:t>作为铁路场站配套的煤炭中转项目，设置自动化快速装车线系统，可</w:t>
                  </w:r>
                  <w:r>
                    <w:rPr>
                      <w:color w:val="auto"/>
                      <w14:ligatures w14:val="standardContextual"/>
                    </w:rPr>
                    <w:t>避免二次中转倒运</w:t>
                  </w:r>
                  <w:r>
                    <w:rPr>
                      <w:rFonts w:hint="eastAsia"/>
                      <w:color w:val="auto"/>
                      <w14:ligatures w14:val="standardContextual"/>
                    </w:rPr>
                    <w:t>，同时可以作为应对突发状况时的能源储备基地</w:t>
                  </w:r>
                  <w:r>
                    <w:rPr>
                      <w:color w:val="auto"/>
                      <w14:ligatures w14:val="standardContextual"/>
                    </w:rPr>
                    <w:t>。</w:t>
                  </w:r>
                </w:p>
              </w:tc>
              <w:tc>
                <w:tcPr>
                  <w:tcW w:w="479" w:type="pct"/>
                  <w:vAlign w:val="center"/>
                </w:tcPr>
                <w:p w14:paraId="6FF8E42E">
                  <w:pPr>
                    <w:widowControl w:val="0"/>
                    <w:overflowPunct w:val="0"/>
                    <w:autoSpaceDE w:val="0"/>
                    <w:autoSpaceDN w:val="0"/>
                    <w:snapToGrid w:val="0"/>
                    <w:jc w:val="center"/>
                    <w:rPr>
                      <w:color w:val="auto"/>
                      <w14:ligatures w14:val="standardContextual"/>
                    </w:rPr>
                  </w:pPr>
                  <w:r>
                    <w:rPr>
                      <w:color w:val="auto"/>
                      <w14:ligatures w14:val="standardContextual"/>
                    </w:rPr>
                    <w:t>符合</w:t>
                  </w:r>
                </w:p>
              </w:tc>
            </w:tr>
            <w:tr w14:paraId="2A8A27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25" w:type="pct"/>
                  <w:vAlign w:val="center"/>
                </w:tcPr>
                <w:p w14:paraId="2760700A">
                  <w:pPr>
                    <w:widowControl w:val="0"/>
                    <w:overflowPunct w:val="0"/>
                    <w:autoSpaceDE w:val="0"/>
                    <w:autoSpaceDN w:val="0"/>
                    <w:snapToGrid w:val="0"/>
                    <w:jc w:val="center"/>
                    <w:rPr>
                      <w:color w:val="auto"/>
                      <w14:ligatures w14:val="standardContextual"/>
                    </w:rPr>
                  </w:pPr>
                  <w:r>
                    <w:rPr>
                      <w:color w:val="auto"/>
                      <w14:ligatures w14:val="standardContextual"/>
                    </w:rPr>
                    <w:t>4</w:t>
                  </w:r>
                </w:p>
              </w:tc>
              <w:tc>
                <w:tcPr>
                  <w:tcW w:w="1839" w:type="pct"/>
                  <w:vAlign w:val="center"/>
                </w:tcPr>
                <w:p w14:paraId="39B6F385">
                  <w:pPr>
                    <w:widowControl w:val="0"/>
                    <w:overflowPunct w:val="0"/>
                    <w:autoSpaceDE w:val="0"/>
                    <w:autoSpaceDN w:val="0"/>
                    <w:snapToGrid w:val="0"/>
                    <w:jc w:val="center"/>
                    <w:rPr>
                      <w:color w:val="auto"/>
                      <w14:ligatures w14:val="standardContextual"/>
                    </w:rPr>
                  </w:pPr>
                  <w:r>
                    <w:rPr>
                      <w:color w:val="auto"/>
                      <w14:ligatures w14:val="standardContextual"/>
                    </w:rPr>
                    <w:t>对工业料堆场内装卸、运输等作业过程中，易产生扬尘污染的物料必须采取封闭、遮盖、洒水降尘措施，密闭输送物料必须在装料、卸料处配备吸尘、喷淋防尘措施。</w:t>
                  </w:r>
                </w:p>
              </w:tc>
              <w:tc>
                <w:tcPr>
                  <w:tcW w:w="2358" w:type="pct"/>
                  <w:vAlign w:val="center"/>
                </w:tcPr>
                <w:p w14:paraId="3AA8FE86">
                  <w:pPr>
                    <w:widowControl w:val="0"/>
                    <w:overflowPunct w:val="0"/>
                    <w:autoSpaceDE w:val="0"/>
                    <w:autoSpaceDN w:val="0"/>
                    <w:snapToGrid w:val="0"/>
                    <w:jc w:val="center"/>
                    <w:rPr>
                      <w:color w:val="auto"/>
                      <w14:ligatures w14:val="standardContextual"/>
                    </w:rPr>
                  </w:pPr>
                  <w:r>
                    <w:rPr>
                      <w:color w:val="auto"/>
                      <w14:ligatures w14:val="standardContextual"/>
                    </w:rPr>
                    <w:t>本项目</w:t>
                  </w:r>
                  <w:r>
                    <w:rPr>
                      <w:rFonts w:hint="eastAsia"/>
                      <w:color w:val="auto"/>
                      <w14:ligatures w14:val="standardContextual"/>
                    </w:rPr>
                    <w:t>作业面</w:t>
                  </w:r>
                  <w:r>
                    <w:rPr>
                      <w:color w:val="auto"/>
                      <w14:ligatures w14:val="standardContextual"/>
                    </w:rPr>
                    <w:t>进行封闭、内部设</w:t>
                  </w:r>
                  <w:r>
                    <w:rPr>
                      <w:rFonts w:hint="eastAsia"/>
                      <w:color w:val="auto"/>
                      <w14:ligatures w14:val="standardContextual"/>
                    </w:rPr>
                    <w:t>喷雾洒水装置</w:t>
                  </w:r>
                  <w:r>
                    <w:rPr>
                      <w:color w:val="auto"/>
                      <w14:ligatures w14:val="standardContextual"/>
                    </w:rPr>
                    <w:t>，卸料装料处进行</w:t>
                  </w:r>
                  <w:r>
                    <w:rPr>
                      <w:rFonts w:hint="eastAsia"/>
                      <w:color w:val="auto"/>
                      <w14:ligatures w14:val="standardContextual"/>
                    </w:rPr>
                    <w:t>洒水</w:t>
                  </w:r>
                  <w:r>
                    <w:rPr>
                      <w:color w:val="auto"/>
                      <w14:ligatures w14:val="standardContextual"/>
                    </w:rPr>
                    <w:t>降尘。</w:t>
                  </w:r>
                </w:p>
              </w:tc>
              <w:tc>
                <w:tcPr>
                  <w:tcW w:w="479" w:type="pct"/>
                  <w:vAlign w:val="center"/>
                </w:tcPr>
                <w:p w14:paraId="00391FEB">
                  <w:pPr>
                    <w:widowControl w:val="0"/>
                    <w:overflowPunct w:val="0"/>
                    <w:autoSpaceDE w:val="0"/>
                    <w:autoSpaceDN w:val="0"/>
                    <w:snapToGrid w:val="0"/>
                    <w:jc w:val="center"/>
                    <w:rPr>
                      <w:color w:val="auto"/>
                      <w14:ligatures w14:val="standardContextual"/>
                    </w:rPr>
                  </w:pPr>
                  <w:r>
                    <w:rPr>
                      <w:color w:val="auto"/>
                      <w14:ligatures w14:val="standardContextual"/>
                    </w:rPr>
                    <w:t>符合</w:t>
                  </w:r>
                </w:p>
              </w:tc>
            </w:tr>
            <w:tr w14:paraId="33200C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25" w:type="pct"/>
                  <w:vAlign w:val="center"/>
                </w:tcPr>
                <w:p w14:paraId="111C3A5F">
                  <w:pPr>
                    <w:widowControl w:val="0"/>
                    <w:overflowPunct w:val="0"/>
                    <w:autoSpaceDE w:val="0"/>
                    <w:autoSpaceDN w:val="0"/>
                    <w:snapToGrid w:val="0"/>
                    <w:jc w:val="center"/>
                    <w:rPr>
                      <w:color w:val="auto"/>
                      <w14:ligatures w14:val="standardContextual"/>
                    </w:rPr>
                  </w:pPr>
                  <w:r>
                    <w:rPr>
                      <w:color w:val="auto"/>
                      <w14:ligatures w14:val="standardContextual"/>
                    </w:rPr>
                    <w:t>5</w:t>
                  </w:r>
                </w:p>
              </w:tc>
              <w:tc>
                <w:tcPr>
                  <w:tcW w:w="1839" w:type="pct"/>
                  <w:vAlign w:val="center"/>
                </w:tcPr>
                <w:p w14:paraId="02F810D4">
                  <w:pPr>
                    <w:widowControl w:val="0"/>
                    <w:overflowPunct w:val="0"/>
                    <w:autoSpaceDE w:val="0"/>
                    <w:autoSpaceDN w:val="0"/>
                    <w:snapToGrid w:val="0"/>
                    <w:jc w:val="center"/>
                    <w:rPr>
                      <w:color w:val="auto"/>
                      <w14:ligatures w14:val="standardContextual"/>
                    </w:rPr>
                  </w:pPr>
                  <w:r>
                    <w:rPr>
                      <w:color w:val="auto"/>
                      <w14:ligatures w14:val="standardContextual"/>
                    </w:rPr>
                    <w:t>工业料堆场需设置料区和道路界限的标识线，对散落地面的物料等进行及时清理和清洗，保持道路干净、整洁，必须落实专人进行保洁工作，保持环境整洁。</w:t>
                  </w:r>
                </w:p>
              </w:tc>
              <w:tc>
                <w:tcPr>
                  <w:tcW w:w="2358" w:type="pct"/>
                  <w:vAlign w:val="center"/>
                </w:tcPr>
                <w:p w14:paraId="01AA3EFB">
                  <w:pPr>
                    <w:widowControl w:val="0"/>
                    <w:overflowPunct w:val="0"/>
                    <w:autoSpaceDE w:val="0"/>
                    <w:autoSpaceDN w:val="0"/>
                    <w:snapToGrid w:val="0"/>
                    <w:jc w:val="center"/>
                    <w:rPr>
                      <w:color w:val="auto"/>
                      <w14:ligatures w14:val="standardContextual"/>
                    </w:rPr>
                  </w:pPr>
                  <w:r>
                    <w:rPr>
                      <w:color w:val="auto"/>
                      <w14:ligatures w14:val="standardContextual"/>
                    </w:rPr>
                    <w:t>本项目</w:t>
                  </w:r>
                  <w:r>
                    <w:rPr>
                      <w:rFonts w:hint="eastAsia"/>
                      <w:color w:val="auto"/>
                      <w14:ligatures w14:val="standardContextual"/>
                    </w:rPr>
                    <w:t>设置环保仓储大棚，和道路有明显的分隔，道路定期洒水并采取清扫措施等。</w:t>
                  </w:r>
                </w:p>
              </w:tc>
              <w:tc>
                <w:tcPr>
                  <w:tcW w:w="479" w:type="pct"/>
                  <w:vAlign w:val="center"/>
                </w:tcPr>
                <w:p w14:paraId="7B3ECBDE">
                  <w:pPr>
                    <w:widowControl w:val="0"/>
                    <w:overflowPunct w:val="0"/>
                    <w:autoSpaceDE w:val="0"/>
                    <w:autoSpaceDN w:val="0"/>
                    <w:snapToGrid w:val="0"/>
                    <w:jc w:val="center"/>
                    <w:rPr>
                      <w:color w:val="auto"/>
                      <w14:ligatures w14:val="standardContextual"/>
                    </w:rPr>
                  </w:pPr>
                  <w:r>
                    <w:rPr>
                      <w:color w:val="auto"/>
                      <w14:ligatures w14:val="standardContextual"/>
                    </w:rPr>
                    <w:t>符合</w:t>
                  </w:r>
                </w:p>
              </w:tc>
            </w:tr>
            <w:tr w14:paraId="303D30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25" w:type="pct"/>
                  <w:vAlign w:val="center"/>
                </w:tcPr>
                <w:p w14:paraId="6F938B22">
                  <w:pPr>
                    <w:widowControl w:val="0"/>
                    <w:overflowPunct w:val="0"/>
                    <w:autoSpaceDE w:val="0"/>
                    <w:autoSpaceDN w:val="0"/>
                    <w:snapToGrid w:val="0"/>
                    <w:jc w:val="center"/>
                    <w:rPr>
                      <w:color w:val="auto"/>
                      <w14:ligatures w14:val="standardContextual"/>
                    </w:rPr>
                  </w:pPr>
                  <w:r>
                    <w:rPr>
                      <w:color w:val="auto"/>
                      <w14:ligatures w14:val="standardContextual"/>
                    </w:rPr>
                    <w:t>6</w:t>
                  </w:r>
                </w:p>
              </w:tc>
              <w:tc>
                <w:tcPr>
                  <w:tcW w:w="1839" w:type="pct"/>
                  <w:vAlign w:val="center"/>
                </w:tcPr>
                <w:p w14:paraId="0A4D9755">
                  <w:pPr>
                    <w:widowControl w:val="0"/>
                    <w:overflowPunct w:val="0"/>
                    <w:autoSpaceDE w:val="0"/>
                    <w:autoSpaceDN w:val="0"/>
                    <w:snapToGrid w:val="0"/>
                    <w:jc w:val="center"/>
                    <w:rPr>
                      <w:color w:val="auto"/>
                      <w14:ligatures w14:val="standardContextual"/>
                    </w:rPr>
                  </w:pPr>
                  <w:r>
                    <w:rPr>
                      <w:color w:val="auto"/>
                      <w14:ligatures w14:val="standardContextual"/>
                    </w:rPr>
                    <w:t>在工业料堆场出口处设置车辆清洗的专用场地，配备运输车辆冲洗保洁设施，冲洗沉积物必须及时进行清理和清运，冲洗污水必须经回收系统收集、处理。</w:t>
                  </w:r>
                </w:p>
              </w:tc>
              <w:tc>
                <w:tcPr>
                  <w:tcW w:w="2358" w:type="pct"/>
                  <w:vAlign w:val="center"/>
                </w:tcPr>
                <w:p w14:paraId="5DB354A5">
                  <w:pPr>
                    <w:widowControl w:val="0"/>
                    <w:overflowPunct w:val="0"/>
                    <w:autoSpaceDE w:val="0"/>
                    <w:autoSpaceDN w:val="0"/>
                    <w:snapToGrid w:val="0"/>
                    <w:jc w:val="center"/>
                    <w:rPr>
                      <w:color w:val="auto"/>
                      <w14:ligatures w14:val="standardContextual"/>
                    </w:rPr>
                  </w:pPr>
                  <w:r>
                    <w:rPr>
                      <w:color w:val="auto"/>
                      <w14:ligatures w14:val="standardContextual"/>
                    </w:rPr>
                    <w:t>本项目在工业料堆场出口处设置车辆清洗的专用场地，配备运输车辆冲洗保洁设施，</w:t>
                  </w:r>
                  <w:r>
                    <w:rPr>
                      <w:rFonts w:hint="eastAsia"/>
                      <w:color w:val="auto"/>
                      <w14:ligatures w14:val="standardContextual"/>
                    </w:rPr>
                    <w:t>车辆冲洗水</w:t>
                  </w:r>
                  <w:r>
                    <w:rPr>
                      <w:color w:val="auto"/>
                      <w14:ligatures w14:val="standardContextual"/>
                    </w:rPr>
                    <w:t>经收集、处理后</w:t>
                  </w:r>
                  <w:r>
                    <w:rPr>
                      <w:rFonts w:hint="eastAsia"/>
                      <w:color w:val="auto"/>
                      <w14:ligatures w14:val="standardContextual"/>
                    </w:rPr>
                    <w:t>重复使用，定期清理沉淀池沉渣</w:t>
                  </w:r>
                  <w:r>
                    <w:rPr>
                      <w:color w:val="auto"/>
                      <w14:ligatures w14:val="standardContextual"/>
                    </w:rPr>
                    <w:t>。</w:t>
                  </w:r>
                </w:p>
              </w:tc>
              <w:tc>
                <w:tcPr>
                  <w:tcW w:w="479" w:type="pct"/>
                  <w:vAlign w:val="center"/>
                </w:tcPr>
                <w:p w14:paraId="43C323B2">
                  <w:pPr>
                    <w:widowControl w:val="0"/>
                    <w:overflowPunct w:val="0"/>
                    <w:autoSpaceDE w:val="0"/>
                    <w:autoSpaceDN w:val="0"/>
                    <w:snapToGrid w:val="0"/>
                    <w:jc w:val="center"/>
                    <w:rPr>
                      <w:color w:val="auto"/>
                      <w14:ligatures w14:val="standardContextual"/>
                    </w:rPr>
                  </w:pPr>
                  <w:r>
                    <w:rPr>
                      <w:color w:val="auto"/>
                      <w14:ligatures w14:val="standardContextual"/>
                    </w:rPr>
                    <w:t>符合</w:t>
                  </w:r>
                </w:p>
              </w:tc>
            </w:tr>
            <w:tr w14:paraId="79FE33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25" w:type="pct"/>
                  <w:vAlign w:val="center"/>
                </w:tcPr>
                <w:p w14:paraId="3684A585">
                  <w:pPr>
                    <w:widowControl w:val="0"/>
                    <w:overflowPunct w:val="0"/>
                    <w:autoSpaceDE w:val="0"/>
                    <w:autoSpaceDN w:val="0"/>
                    <w:snapToGrid w:val="0"/>
                    <w:jc w:val="center"/>
                    <w:rPr>
                      <w:color w:val="auto"/>
                      <w14:ligatures w14:val="standardContextual"/>
                    </w:rPr>
                  </w:pPr>
                  <w:r>
                    <w:rPr>
                      <w:color w:val="auto"/>
                      <w14:ligatures w14:val="standardContextual"/>
                    </w:rPr>
                    <w:t>7</w:t>
                  </w:r>
                </w:p>
              </w:tc>
              <w:tc>
                <w:tcPr>
                  <w:tcW w:w="1839" w:type="pct"/>
                  <w:vAlign w:val="center"/>
                </w:tcPr>
                <w:p w14:paraId="19CEC2C0">
                  <w:pPr>
                    <w:widowControl w:val="0"/>
                    <w:overflowPunct w:val="0"/>
                    <w:autoSpaceDE w:val="0"/>
                    <w:autoSpaceDN w:val="0"/>
                    <w:snapToGrid w:val="0"/>
                    <w:jc w:val="center"/>
                    <w:rPr>
                      <w:color w:val="auto"/>
                      <w14:ligatures w14:val="standardContextual"/>
                    </w:rPr>
                  </w:pPr>
                  <w:r>
                    <w:rPr>
                      <w:color w:val="auto"/>
                      <w14:ligatures w14:val="standardContextual"/>
                    </w:rPr>
                    <w:t>应管理和维护好料堆场堆存、装卸、输送和扬尘污染防治的设施、设备和场所，保证其正常运行和使用，并设立图形标志牌。</w:t>
                  </w:r>
                </w:p>
              </w:tc>
              <w:tc>
                <w:tcPr>
                  <w:tcW w:w="2358" w:type="pct"/>
                  <w:vAlign w:val="center"/>
                </w:tcPr>
                <w:p w14:paraId="2C11F4A7">
                  <w:pPr>
                    <w:widowControl w:val="0"/>
                    <w:overflowPunct w:val="0"/>
                    <w:autoSpaceDE w:val="0"/>
                    <w:autoSpaceDN w:val="0"/>
                    <w:snapToGrid w:val="0"/>
                    <w:jc w:val="center"/>
                    <w:rPr>
                      <w:color w:val="auto"/>
                      <w14:ligatures w14:val="standardContextual"/>
                    </w:rPr>
                  </w:pPr>
                  <w:r>
                    <w:rPr>
                      <w:color w:val="auto"/>
                      <w14:ligatures w14:val="standardContextual"/>
                    </w:rPr>
                    <w:t>厂区设置环境保护管理机构，负责组织、落实、监督本企业的环境保护工作。设置专职环境管理人员，并设厂级领导负责，配合厂方进行环境管理，负责日常环保设备检修，保证其正常运行，进行生产过程环保督察。厂区设立图形标志牌。</w:t>
                  </w:r>
                </w:p>
              </w:tc>
              <w:tc>
                <w:tcPr>
                  <w:tcW w:w="479" w:type="pct"/>
                  <w:vAlign w:val="center"/>
                </w:tcPr>
                <w:p w14:paraId="47E36749">
                  <w:pPr>
                    <w:widowControl w:val="0"/>
                    <w:overflowPunct w:val="0"/>
                    <w:autoSpaceDE w:val="0"/>
                    <w:autoSpaceDN w:val="0"/>
                    <w:snapToGrid w:val="0"/>
                    <w:jc w:val="center"/>
                    <w:rPr>
                      <w:color w:val="auto"/>
                      <w14:ligatures w14:val="standardContextual"/>
                    </w:rPr>
                  </w:pPr>
                  <w:r>
                    <w:rPr>
                      <w:color w:val="auto"/>
                      <w14:ligatures w14:val="standardContextual"/>
                    </w:rPr>
                    <w:t>符合</w:t>
                  </w:r>
                </w:p>
              </w:tc>
            </w:tr>
            <w:tr w14:paraId="7DEE2C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25" w:type="pct"/>
                  <w:vAlign w:val="center"/>
                </w:tcPr>
                <w:p w14:paraId="28043F96">
                  <w:pPr>
                    <w:widowControl w:val="0"/>
                    <w:overflowPunct w:val="0"/>
                    <w:autoSpaceDE w:val="0"/>
                    <w:autoSpaceDN w:val="0"/>
                    <w:snapToGrid w:val="0"/>
                    <w:jc w:val="center"/>
                    <w:rPr>
                      <w:color w:val="auto"/>
                      <w14:ligatures w14:val="standardContextual"/>
                    </w:rPr>
                  </w:pPr>
                  <w:r>
                    <w:rPr>
                      <w:color w:val="auto"/>
                      <w14:ligatures w14:val="standardContextual"/>
                    </w:rPr>
                    <w:t>8</w:t>
                  </w:r>
                </w:p>
              </w:tc>
              <w:tc>
                <w:tcPr>
                  <w:tcW w:w="1839" w:type="pct"/>
                  <w:vAlign w:val="center"/>
                </w:tcPr>
                <w:p w14:paraId="46083323">
                  <w:pPr>
                    <w:widowControl w:val="0"/>
                    <w:overflowPunct w:val="0"/>
                    <w:autoSpaceDE w:val="0"/>
                    <w:autoSpaceDN w:val="0"/>
                    <w:snapToGrid w:val="0"/>
                    <w:jc w:val="center"/>
                    <w:rPr>
                      <w:color w:val="auto"/>
                      <w14:ligatures w14:val="standardContextual"/>
                    </w:rPr>
                  </w:pPr>
                  <w:r>
                    <w:rPr>
                      <w:color w:val="auto"/>
                      <w14:ligatures w14:val="standardContextual"/>
                    </w:rPr>
                    <w:t>宜在工业料堆场周边进行绿化，减少扬尘污染对环境的影响。宜在工业料堆场周边进行绿化，减少扬尘污染对环境的影响。</w:t>
                  </w:r>
                </w:p>
              </w:tc>
              <w:tc>
                <w:tcPr>
                  <w:tcW w:w="2358" w:type="pct"/>
                  <w:vAlign w:val="center"/>
                </w:tcPr>
                <w:p w14:paraId="439E90CB">
                  <w:pPr>
                    <w:widowControl w:val="0"/>
                    <w:overflowPunct w:val="0"/>
                    <w:autoSpaceDE w:val="0"/>
                    <w:autoSpaceDN w:val="0"/>
                    <w:snapToGrid w:val="0"/>
                    <w:jc w:val="center"/>
                    <w:rPr>
                      <w:color w:val="auto"/>
                      <w14:ligatures w14:val="standardContextual"/>
                    </w:rPr>
                  </w:pPr>
                  <w:r>
                    <w:rPr>
                      <w:color w:val="auto"/>
                      <w14:ligatures w14:val="standardContextual"/>
                    </w:rPr>
                    <w:t>设计在厂区主干道、主厂房等处栽植观赏性的树木花草，沿道路两侧栽植树荫浓密的行道树；利用厂区空地铺植草地、栽植树木和花卉等以绿化美化环境。</w:t>
                  </w:r>
                </w:p>
              </w:tc>
              <w:tc>
                <w:tcPr>
                  <w:tcW w:w="479" w:type="pct"/>
                  <w:vAlign w:val="center"/>
                </w:tcPr>
                <w:p w14:paraId="352595BC">
                  <w:pPr>
                    <w:widowControl w:val="0"/>
                    <w:overflowPunct w:val="0"/>
                    <w:autoSpaceDE w:val="0"/>
                    <w:autoSpaceDN w:val="0"/>
                    <w:snapToGrid w:val="0"/>
                    <w:jc w:val="center"/>
                    <w:rPr>
                      <w:color w:val="auto"/>
                      <w14:ligatures w14:val="standardContextual"/>
                    </w:rPr>
                  </w:pPr>
                  <w:r>
                    <w:rPr>
                      <w:color w:val="auto"/>
                      <w14:ligatures w14:val="standardContextual"/>
                    </w:rPr>
                    <w:t>符合</w:t>
                  </w:r>
                </w:p>
              </w:tc>
            </w:tr>
          </w:tbl>
          <w:p w14:paraId="4D933CCD">
            <w:pPr>
              <w:pStyle w:val="3"/>
              <w:ind w:firstLine="480"/>
              <w:rPr>
                <w:color w:val="auto"/>
              </w:rPr>
            </w:pPr>
          </w:p>
          <w:p w14:paraId="57204B2F">
            <w:pPr>
              <w:pStyle w:val="3"/>
              <w:ind w:firstLine="480"/>
              <w:rPr>
                <w:color w:val="auto"/>
              </w:rPr>
            </w:pPr>
          </w:p>
          <w:p w14:paraId="4A191682">
            <w:pPr>
              <w:pStyle w:val="3"/>
              <w:ind w:firstLine="480"/>
              <w:rPr>
                <w:color w:val="auto"/>
              </w:rPr>
            </w:pPr>
          </w:p>
        </w:tc>
      </w:tr>
    </w:tbl>
    <w:p w14:paraId="1F7B6ADD">
      <w:pPr>
        <w:spacing w:line="360" w:lineRule="auto"/>
        <w:outlineLvl w:val="0"/>
        <w:rPr>
          <w:rFonts w:eastAsia="黑体"/>
          <w:color w:val="auto"/>
          <w:sz w:val="30"/>
        </w:rPr>
        <w:sectPr>
          <w:footerReference r:id="rId4" w:type="default"/>
          <w:pgSz w:w="11906" w:h="16838"/>
          <w:pgMar w:top="1440" w:right="1800" w:bottom="1440" w:left="1800" w:header="851" w:footer="1077" w:gutter="0"/>
          <w:pgNumType w:start="1"/>
          <w:cols w:space="720" w:num="1"/>
          <w:docGrid w:linePitch="312" w:charSpace="0"/>
        </w:sectPr>
      </w:pPr>
    </w:p>
    <w:p w14:paraId="68B3F751">
      <w:pPr>
        <w:pStyle w:val="2"/>
        <w:rPr>
          <w:snapToGrid w:val="0"/>
          <w:color w:val="auto"/>
        </w:rPr>
      </w:pPr>
      <w:bookmarkStart w:id="5" w:name="_Toc177030775"/>
      <w:bookmarkStart w:id="6" w:name="_Toc175609268"/>
      <w:r>
        <w:rPr>
          <w:rFonts w:hint="eastAsia"/>
          <w:snapToGrid w:val="0"/>
          <w:color w:val="auto"/>
        </w:rPr>
        <w:t>建设项目工程分析</w:t>
      </w:r>
      <w:bookmarkEnd w:id="5"/>
      <w:bookmarkEnd w:id="6"/>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8196"/>
      </w:tblGrid>
      <w:tr w14:paraId="120D6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7" w:hRule="atLeast"/>
          <w:jc w:val="center"/>
        </w:trPr>
        <w:tc>
          <w:tcPr>
            <w:tcW w:w="477" w:type="pct"/>
            <w:vAlign w:val="center"/>
          </w:tcPr>
          <w:p w14:paraId="5B23BD0F">
            <w:pPr>
              <w:pStyle w:val="18"/>
              <w:rPr>
                <w:rFonts w:hint="eastAsia"/>
                <w:color w:val="auto"/>
              </w:rPr>
            </w:pPr>
            <w:bookmarkStart w:id="7" w:name="_Toc175609269"/>
            <w:bookmarkStart w:id="8" w:name="_Hlk151415148"/>
            <w:r>
              <w:rPr>
                <w:rFonts w:hint="eastAsia"/>
                <w:color w:val="auto"/>
              </w:rPr>
              <w:t>建设内容</w:t>
            </w:r>
            <w:bookmarkEnd w:id="7"/>
          </w:p>
        </w:tc>
        <w:tc>
          <w:tcPr>
            <w:tcW w:w="4523" w:type="pct"/>
          </w:tcPr>
          <w:p w14:paraId="7CE92822">
            <w:pPr>
              <w:pStyle w:val="7"/>
              <w:rPr>
                <w:color w:val="auto"/>
              </w:rPr>
            </w:pPr>
            <w:bookmarkStart w:id="9" w:name="_Hlk151415178"/>
            <w:r>
              <w:rPr>
                <w:rFonts w:hint="eastAsia"/>
                <w:color w:val="auto"/>
              </w:rPr>
              <w:t>一、项目由来</w:t>
            </w:r>
          </w:p>
          <w:p w14:paraId="06F6FA57">
            <w:pPr>
              <w:pStyle w:val="3"/>
              <w:ind w:firstLine="480"/>
              <w:rPr>
                <w:color w:val="auto"/>
              </w:rPr>
            </w:pPr>
            <w:r>
              <w:rPr>
                <w:rFonts w:hint="eastAsia"/>
                <w:color w:val="auto"/>
              </w:rPr>
              <w:t>本项目为铁路场站煤炭中转及集装箱自动化装箱等功能为一体的环保大棚及其配套设施，该项目填补了我县的市场空白，不但可以满足我县煤炭产销市场对高效、节能、环保和高质量发展需求，而且还可以作为我县在极端自然环境和应对突发状况时的能源储备基地。</w:t>
            </w:r>
          </w:p>
          <w:p w14:paraId="6FC25886">
            <w:pPr>
              <w:pStyle w:val="3"/>
              <w:ind w:firstLine="480"/>
              <w:rPr>
                <w:color w:val="auto"/>
              </w:rPr>
            </w:pPr>
            <w:r>
              <w:rPr>
                <w:rFonts w:hint="eastAsia"/>
                <w:color w:val="auto"/>
              </w:rPr>
              <w:t>根据《中华人民共和国环境保护法》（2014年4月24日第十二届全国人民代表大会常务委员会第八次会议修订）、《建设项目环境保护管理条例》（中华人民共和国国务院令第682号，2017年7月16日修订）、《中华人民共和国环境影响评价法》（中华人民共和国主席令第二十四号，2018年12月29日修正）的有关规定，本项目需要进行环境影响评价。根据《建设项目环境影响评价分类管理名录（2021年版）》（生态环境部部令第16号），本项目属于四、煤炭开采和洗选业—6、煤炭储存、集运，应编制环境影响报告表。</w:t>
            </w:r>
          </w:p>
          <w:p w14:paraId="40EB3245">
            <w:pPr>
              <w:pStyle w:val="3"/>
              <w:ind w:firstLine="480"/>
              <w:rPr>
                <w:color w:val="auto"/>
              </w:rPr>
            </w:pPr>
            <w:r>
              <w:rPr>
                <w:rFonts w:hint="eastAsia"/>
                <w:color w:val="auto"/>
              </w:rPr>
              <w:t>新疆瑞科华兴供应链管理有限公司委托我公司编制该项目的环境影响报告表。本环评单位接受委托后，立即派技术人员踏勘现场和收集有关资料，并依照相关规定编写成报告表，供建设单位报环境保护行政主管部门审批和作为污染防治建设的依据。</w:t>
            </w:r>
          </w:p>
          <w:p w14:paraId="0DCB028C">
            <w:pPr>
              <w:pStyle w:val="7"/>
              <w:rPr>
                <w:color w:val="auto"/>
              </w:rPr>
            </w:pPr>
            <w:r>
              <w:rPr>
                <w:rFonts w:hint="eastAsia"/>
                <w:color w:val="auto"/>
              </w:rPr>
              <w:t>二、项目概况</w:t>
            </w:r>
          </w:p>
          <w:p w14:paraId="402D5DB2">
            <w:pPr>
              <w:pStyle w:val="3"/>
              <w:ind w:firstLine="480"/>
              <w:rPr>
                <w:color w:val="auto"/>
              </w:rPr>
            </w:pPr>
            <w:r>
              <w:rPr>
                <w:rFonts w:hint="eastAsia"/>
                <w:color w:val="auto"/>
              </w:rPr>
              <w:t>（1）项目名称：新疆瑞科华兴供应链管理有限公司300万吨/年铁路装车煤炭（集装箱）中转站及配套设施建设项目；</w:t>
            </w:r>
          </w:p>
          <w:p w14:paraId="27704F48">
            <w:pPr>
              <w:pStyle w:val="3"/>
              <w:ind w:firstLine="480"/>
              <w:rPr>
                <w:color w:val="auto"/>
              </w:rPr>
            </w:pPr>
            <w:r>
              <w:rPr>
                <w:rFonts w:hint="eastAsia"/>
                <w:color w:val="auto"/>
              </w:rPr>
              <w:t>（2）建设单位：新疆瑞科华兴供应链管理有限公司；</w:t>
            </w:r>
          </w:p>
          <w:p w14:paraId="2962F850">
            <w:pPr>
              <w:pStyle w:val="3"/>
              <w:ind w:firstLine="480"/>
              <w:rPr>
                <w:color w:val="auto"/>
              </w:rPr>
            </w:pPr>
            <w:r>
              <w:rPr>
                <w:rFonts w:hint="eastAsia"/>
                <w:color w:val="auto"/>
              </w:rPr>
              <w:t>（3）建设地点：新疆维吾尔自治区吐鲁番市鄯善县（鄯善火车站铁石货场北侧）</w:t>
            </w:r>
            <w:r>
              <w:rPr>
                <w:rFonts w:hint="eastAsia"/>
                <w:color w:val="auto"/>
                <w:lang w:eastAsia="zh-CN"/>
              </w:rPr>
              <w:t>。</w:t>
            </w:r>
          </w:p>
          <w:p w14:paraId="4320F87D">
            <w:pPr>
              <w:pStyle w:val="3"/>
              <w:ind w:firstLine="480"/>
              <w:rPr>
                <w:color w:val="auto"/>
              </w:rPr>
            </w:pPr>
            <w:r>
              <w:rPr>
                <w:rFonts w:hint="eastAsia"/>
                <w:color w:val="auto"/>
              </w:rPr>
              <w:t>（4）项目投资：本项目总投资3500万元，环保投资20万元，占总投资的0.57%；</w:t>
            </w:r>
          </w:p>
          <w:p w14:paraId="62E9A082">
            <w:pPr>
              <w:pStyle w:val="3"/>
              <w:ind w:firstLine="480"/>
              <w:rPr>
                <w:color w:val="auto"/>
              </w:rPr>
            </w:pPr>
            <w:r>
              <w:rPr>
                <w:rFonts w:hint="eastAsia"/>
                <w:color w:val="auto"/>
              </w:rPr>
              <w:t>（5）建设内容及生产规模：</w:t>
            </w:r>
          </w:p>
          <w:p w14:paraId="23534403">
            <w:pPr>
              <w:pStyle w:val="3"/>
              <w:ind w:firstLine="480"/>
              <w:rPr>
                <w:color w:val="auto"/>
              </w:rPr>
            </w:pPr>
            <w:r>
              <w:rPr>
                <w:rFonts w:hint="eastAsia"/>
                <w:color w:val="auto"/>
              </w:rPr>
              <w:t>该项目建设2座煤棚，其中1座建筑面积23808㎡，1座建筑面积11904㎡，集装箱自动化快速装车线系统2条，配套设施包括：门卫、消防控制室、消防泵房及水池、配电室、洗车平台等。</w:t>
            </w:r>
          </w:p>
          <w:p w14:paraId="77E4391B">
            <w:pPr>
              <w:pStyle w:val="3"/>
              <w:ind w:firstLine="480"/>
              <w:rPr>
                <w:color w:val="auto"/>
              </w:rPr>
            </w:pPr>
            <w:bookmarkStart w:id="10" w:name="_Hlk152252157"/>
            <w:r>
              <w:rPr>
                <w:rFonts w:hint="eastAsia"/>
                <w:color w:val="auto"/>
              </w:rPr>
              <w:t>三、项目组成</w:t>
            </w:r>
          </w:p>
          <w:p w14:paraId="096FB89F">
            <w:pPr>
              <w:pStyle w:val="3"/>
              <w:ind w:firstLine="480"/>
              <w:rPr>
                <w:color w:val="auto"/>
              </w:rPr>
            </w:pPr>
            <w:r>
              <w:rPr>
                <w:rFonts w:hint="eastAsia"/>
                <w:color w:val="auto"/>
              </w:rPr>
              <w:t xml:space="preserve">本项目工程组成见表2- </w:t>
            </w:r>
            <w:r>
              <w:rPr>
                <w:color w:val="auto"/>
              </w:rPr>
              <w:t>1</w:t>
            </w:r>
            <w:r>
              <w:rPr>
                <w:rFonts w:hint="eastAsia"/>
                <w:color w:val="auto"/>
              </w:rPr>
              <w:t>。</w:t>
            </w:r>
          </w:p>
          <w:bookmarkEnd w:id="9"/>
          <w:bookmarkEnd w:id="10"/>
          <w:p w14:paraId="27D5B1BE">
            <w:pPr>
              <w:pStyle w:val="49"/>
              <w:rPr>
                <w:color w:val="auto"/>
                <w:szCs w:val="24"/>
              </w:rPr>
            </w:pPr>
            <w:bookmarkStart w:id="11" w:name="_Ref170675760"/>
            <w:bookmarkStart w:id="12" w:name="_Ref176965472"/>
            <w:r>
              <w:rPr>
                <w:rFonts w:hint="eastAsia"/>
                <w:color w:val="auto"/>
              </w:rPr>
              <w:t xml:space="preserve">表2- </w:t>
            </w:r>
            <w:r>
              <w:rPr>
                <w:color w:val="auto"/>
              </w:rPr>
              <w:t>1</w:t>
            </w:r>
            <w:bookmarkEnd w:id="11"/>
            <w:r>
              <w:rPr>
                <w:rFonts w:hint="eastAsia"/>
                <w:color w:val="auto"/>
              </w:rPr>
              <w:t>：</w:t>
            </w:r>
            <w:bookmarkStart w:id="13" w:name="_Hlk170745151"/>
            <w:r>
              <w:rPr>
                <w:rFonts w:hint="eastAsia"/>
                <w:color w:val="auto"/>
              </w:rPr>
              <w:t>工程组成</w:t>
            </w:r>
            <w:r>
              <w:rPr>
                <w:rFonts w:hint="eastAsia"/>
                <w:color w:val="auto"/>
                <w:szCs w:val="24"/>
              </w:rPr>
              <w:t>一览表</w:t>
            </w:r>
            <w:bookmarkEnd w:id="12"/>
            <w:bookmarkEnd w:id="13"/>
          </w:p>
          <w:tbl>
            <w:tblPr>
              <w:tblStyle w:val="50"/>
              <w:tblW w:w="7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36"/>
              <w:gridCol w:w="1399"/>
              <w:gridCol w:w="5903"/>
            </w:tblGrid>
            <w:tr w14:paraId="22F6F1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82" w:type="pct"/>
                  <w:gridSpan w:val="2"/>
                  <w:vMerge w:val="restar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70DED9A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工程类别</w:t>
                  </w:r>
                </w:p>
              </w:tc>
              <w:tc>
                <w:tcPr>
                  <w:tcW w:w="3718" w:type="pct"/>
                  <w:tcBorders>
                    <w:top w:val="single" w:color="auto" w:sz="12" w:space="0"/>
                    <w:bottom w:val="single" w:color="auto" w:sz="12" w:space="0"/>
                    <w:right w:val="nil"/>
                    <w:insideH w:val="single" w:sz="12" w:space="0"/>
                    <w:insideV w:val="single" w:sz="4" w:space="0"/>
                    <w:tl2br w:val="nil"/>
                    <w:tr2bl w:val="nil"/>
                  </w:tcBorders>
                  <w:vAlign w:val="center"/>
                </w:tcPr>
                <w:p w14:paraId="3050B32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项目建设内容</w:t>
                  </w:r>
                </w:p>
              </w:tc>
            </w:tr>
            <w:tr w14:paraId="795C3C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82" w:type="pct"/>
                  <w:gridSpan w:val="2"/>
                  <w:vMerge w:val="continue"/>
                  <w:vAlign w:val="center"/>
                </w:tcPr>
                <w:p w14:paraId="76AB3755">
                  <w:pPr>
                    <w:widowControl w:val="0"/>
                    <w:overflowPunct w:val="0"/>
                    <w:autoSpaceDE w:val="0"/>
                    <w:autoSpaceDN w:val="0"/>
                    <w:snapToGrid w:val="0"/>
                    <w:jc w:val="center"/>
                    <w:rPr>
                      <w:color w:val="auto"/>
                      <w14:ligatures w14:val="standardContextual"/>
                    </w:rPr>
                  </w:pPr>
                </w:p>
              </w:tc>
              <w:tc>
                <w:tcPr>
                  <w:tcW w:w="3718" w:type="pct"/>
                  <w:vAlign w:val="center"/>
                </w:tcPr>
                <w:p w14:paraId="5F05B777">
                  <w:pPr>
                    <w:widowControl w:val="0"/>
                    <w:overflowPunct w:val="0"/>
                    <w:autoSpaceDE w:val="0"/>
                    <w:autoSpaceDN w:val="0"/>
                    <w:snapToGrid w:val="0"/>
                    <w:jc w:val="center"/>
                    <w:rPr>
                      <w:color w:val="auto"/>
                      <w14:ligatures w14:val="standardContextual"/>
                    </w:rPr>
                  </w:pPr>
                  <w:r>
                    <w:rPr>
                      <w:rFonts w:hint="eastAsia"/>
                      <w:color w:val="auto"/>
                      <w14:ligatures w14:val="standardContextual"/>
                    </w:rPr>
                    <w:t>工程内容及建设规模</w:t>
                  </w:r>
                </w:p>
              </w:tc>
            </w:tr>
            <w:tr w14:paraId="3C616C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01" w:type="pct"/>
                  <w:vAlign w:val="center"/>
                </w:tcPr>
                <w:p w14:paraId="627B870B">
                  <w:pPr>
                    <w:widowControl w:val="0"/>
                    <w:overflowPunct w:val="0"/>
                    <w:autoSpaceDE w:val="0"/>
                    <w:autoSpaceDN w:val="0"/>
                    <w:snapToGrid w:val="0"/>
                    <w:jc w:val="center"/>
                    <w:rPr>
                      <w:color w:val="auto"/>
                      <w14:ligatures w14:val="standardContextual"/>
                    </w:rPr>
                  </w:pPr>
                  <w:r>
                    <w:rPr>
                      <w:color w:val="auto"/>
                      <w14:ligatures w14:val="standardContextual"/>
                    </w:rPr>
                    <w:t>主体工程</w:t>
                  </w:r>
                </w:p>
              </w:tc>
              <w:tc>
                <w:tcPr>
                  <w:tcW w:w="881" w:type="pct"/>
                  <w:vAlign w:val="center"/>
                </w:tcPr>
                <w:p w14:paraId="37F88EBB">
                  <w:pPr>
                    <w:widowControl w:val="0"/>
                    <w:overflowPunct w:val="0"/>
                    <w:autoSpaceDE w:val="0"/>
                    <w:autoSpaceDN w:val="0"/>
                    <w:snapToGrid w:val="0"/>
                    <w:jc w:val="center"/>
                    <w:rPr>
                      <w:color w:val="auto"/>
                      <w14:ligatures w14:val="standardContextual"/>
                    </w:rPr>
                  </w:pPr>
                  <w:r>
                    <w:rPr>
                      <w:rFonts w:hint="eastAsia"/>
                      <w:color w:val="auto"/>
                      <w14:ligatures w14:val="standardContextual"/>
                    </w:rPr>
                    <w:t>1#、2#煤棚</w:t>
                  </w:r>
                </w:p>
              </w:tc>
              <w:tc>
                <w:tcPr>
                  <w:tcW w:w="3718" w:type="pct"/>
                  <w:vAlign w:val="center"/>
                </w:tcPr>
                <w:p w14:paraId="70710F36">
                  <w:pPr>
                    <w:widowControl w:val="0"/>
                    <w:overflowPunct w:val="0"/>
                    <w:autoSpaceDE w:val="0"/>
                    <w:autoSpaceDN w:val="0"/>
                    <w:snapToGrid w:val="0"/>
                    <w:jc w:val="center"/>
                    <w:rPr>
                      <w:color w:val="auto"/>
                      <w14:ligatures w14:val="standardContextual"/>
                    </w:rPr>
                  </w:pPr>
                  <w:r>
                    <w:rPr>
                      <w:rFonts w:hint="eastAsia"/>
                      <w:color w:val="auto"/>
                      <w14:ligatures w14:val="standardContextual"/>
                    </w:rPr>
                    <w:t>内设集装箱自动化快速装车线系统各1条。采用全密闭式煤炭储存库，采用网架结构，底部加固，建筑高度为16m，1#煤棚设置8套喷雾抑尘装置，2#煤棚设置4套喷雾抑尘装置，均覆盖整个储存面。煤棚内设置固定装卸点，设置2处平开门，无原料运输时及时关闭，主要储存成品煤炭。</w:t>
                  </w:r>
                </w:p>
              </w:tc>
            </w:tr>
            <w:tr w14:paraId="6978F9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01" w:type="pct"/>
                  <w:vAlign w:val="center"/>
                </w:tcPr>
                <w:p w14:paraId="67D6C3AD">
                  <w:pPr>
                    <w:widowControl w:val="0"/>
                    <w:overflowPunct w:val="0"/>
                    <w:autoSpaceDE w:val="0"/>
                    <w:autoSpaceDN w:val="0"/>
                    <w:snapToGrid w:val="0"/>
                    <w:jc w:val="center"/>
                    <w:rPr>
                      <w:color w:val="auto"/>
                      <w14:ligatures w14:val="standardContextual"/>
                    </w:rPr>
                  </w:pPr>
                  <w:r>
                    <w:rPr>
                      <w:color w:val="auto"/>
                      <w14:ligatures w14:val="standardContextual"/>
                    </w:rPr>
                    <w:t>辅助工程</w:t>
                  </w:r>
                </w:p>
              </w:tc>
              <w:tc>
                <w:tcPr>
                  <w:tcW w:w="881" w:type="pct"/>
                  <w:vAlign w:val="center"/>
                </w:tcPr>
                <w:p w14:paraId="351DBEBB">
                  <w:pPr>
                    <w:widowControl w:val="0"/>
                    <w:overflowPunct w:val="0"/>
                    <w:autoSpaceDE w:val="0"/>
                    <w:autoSpaceDN w:val="0"/>
                    <w:snapToGrid w:val="0"/>
                    <w:jc w:val="center"/>
                    <w:rPr>
                      <w:color w:val="auto"/>
                      <w14:ligatures w14:val="standardContextual"/>
                    </w:rPr>
                  </w:pPr>
                  <w:r>
                    <w:rPr>
                      <w:rFonts w:hint="eastAsia"/>
                      <w:color w:val="auto"/>
                      <w14:ligatures w14:val="standardContextual"/>
                    </w:rPr>
                    <w:t>地磅</w:t>
                  </w:r>
                </w:p>
              </w:tc>
              <w:tc>
                <w:tcPr>
                  <w:tcW w:w="3718" w:type="pct"/>
                  <w:vAlign w:val="center"/>
                </w:tcPr>
                <w:p w14:paraId="751CB5D7">
                  <w:pPr>
                    <w:widowControl w:val="0"/>
                    <w:overflowPunct w:val="0"/>
                    <w:autoSpaceDE w:val="0"/>
                    <w:autoSpaceDN w:val="0"/>
                    <w:snapToGrid w:val="0"/>
                    <w:jc w:val="center"/>
                    <w:rPr>
                      <w:color w:val="auto"/>
                      <w14:ligatures w14:val="standardContextual"/>
                    </w:rPr>
                  </w:pPr>
                  <w:r>
                    <w:rPr>
                      <w:rFonts w:hint="eastAsia"/>
                      <w:color w:val="auto"/>
                      <w14:ligatures w14:val="standardContextual"/>
                    </w:rPr>
                    <w:t>占地面积50m</w:t>
                  </w:r>
                  <w:r>
                    <w:rPr>
                      <w:rFonts w:hint="eastAsia"/>
                      <w:color w:val="auto"/>
                      <w:vertAlign w:val="superscript"/>
                      <w14:ligatures w14:val="standardContextual"/>
                    </w:rPr>
                    <w:t>2</w:t>
                  </w:r>
                  <w:r>
                    <w:rPr>
                      <w:rFonts w:hint="eastAsia"/>
                      <w:color w:val="auto"/>
                      <w14:ligatures w14:val="standardContextual"/>
                    </w:rPr>
                    <w:t>，位于厂区入口处。</w:t>
                  </w:r>
                </w:p>
              </w:tc>
            </w:tr>
            <w:tr w14:paraId="5CFB59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01" w:type="pct"/>
                  <w:vMerge w:val="restart"/>
                  <w:vAlign w:val="center"/>
                </w:tcPr>
                <w:p w14:paraId="600B949C">
                  <w:pPr>
                    <w:widowControl w:val="0"/>
                    <w:overflowPunct w:val="0"/>
                    <w:autoSpaceDE w:val="0"/>
                    <w:autoSpaceDN w:val="0"/>
                    <w:snapToGrid w:val="0"/>
                    <w:jc w:val="center"/>
                    <w:rPr>
                      <w:color w:val="auto"/>
                      <w14:ligatures w14:val="standardContextual"/>
                    </w:rPr>
                  </w:pPr>
                  <w:r>
                    <w:rPr>
                      <w:color w:val="auto"/>
                      <w14:ligatures w14:val="standardContextual"/>
                    </w:rPr>
                    <w:t>公用工程</w:t>
                  </w:r>
                </w:p>
              </w:tc>
              <w:tc>
                <w:tcPr>
                  <w:tcW w:w="881" w:type="pct"/>
                  <w:vAlign w:val="center"/>
                </w:tcPr>
                <w:p w14:paraId="37511930">
                  <w:pPr>
                    <w:widowControl w:val="0"/>
                    <w:overflowPunct w:val="0"/>
                    <w:autoSpaceDE w:val="0"/>
                    <w:autoSpaceDN w:val="0"/>
                    <w:snapToGrid w:val="0"/>
                    <w:jc w:val="center"/>
                    <w:rPr>
                      <w:color w:val="auto"/>
                      <w14:ligatures w14:val="standardContextual"/>
                    </w:rPr>
                  </w:pPr>
                  <w:r>
                    <w:rPr>
                      <w:color w:val="auto"/>
                      <w14:ligatures w14:val="standardContextual"/>
                    </w:rPr>
                    <w:t>供</w:t>
                  </w:r>
                  <w:r>
                    <w:rPr>
                      <w:rFonts w:hint="eastAsia"/>
                      <w:color w:val="auto"/>
                      <w14:ligatures w14:val="standardContextual"/>
                    </w:rPr>
                    <w:t>热</w:t>
                  </w:r>
                  <w:r>
                    <w:rPr>
                      <w:color w:val="auto"/>
                      <w14:ligatures w14:val="standardContextual"/>
                    </w:rPr>
                    <w:t>系统</w:t>
                  </w:r>
                </w:p>
              </w:tc>
              <w:tc>
                <w:tcPr>
                  <w:tcW w:w="3718" w:type="pct"/>
                  <w:vAlign w:val="center"/>
                </w:tcPr>
                <w:p w14:paraId="3D400B39">
                  <w:pPr>
                    <w:widowControl w:val="0"/>
                    <w:overflowPunct w:val="0"/>
                    <w:autoSpaceDE w:val="0"/>
                    <w:autoSpaceDN w:val="0"/>
                    <w:snapToGrid w:val="0"/>
                    <w:jc w:val="center"/>
                    <w:rPr>
                      <w:color w:val="auto"/>
                      <w14:ligatures w14:val="standardContextual"/>
                    </w:rPr>
                  </w:pPr>
                  <w:r>
                    <w:rPr>
                      <w:rFonts w:hint="eastAsia"/>
                      <w:color w:val="auto"/>
                      <w14:ligatures w14:val="standardContextual"/>
                    </w:rPr>
                    <w:t>冬季供暖采取空调系统</w:t>
                  </w:r>
                </w:p>
              </w:tc>
            </w:tr>
            <w:tr w14:paraId="28708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01" w:type="pct"/>
                  <w:vMerge w:val="continue"/>
                  <w:vAlign w:val="center"/>
                </w:tcPr>
                <w:p w14:paraId="31B11458">
                  <w:pPr>
                    <w:widowControl w:val="0"/>
                    <w:overflowPunct w:val="0"/>
                    <w:autoSpaceDE w:val="0"/>
                    <w:autoSpaceDN w:val="0"/>
                    <w:snapToGrid w:val="0"/>
                    <w:jc w:val="center"/>
                    <w:rPr>
                      <w:color w:val="auto"/>
                      <w14:ligatures w14:val="standardContextual"/>
                    </w:rPr>
                  </w:pPr>
                </w:p>
              </w:tc>
              <w:tc>
                <w:tcPr>
                  <w:tcW w:w="881" w:type="pct"/>
                  <w:vAlign w:val="center"/>
                </w:tcPr>
                <w:p w14:paraId="71664C02">
                  <w:pPr>
                    <w:widowControl w:val="0"/>
                    <w:overflowPunct w:val="0"/>
                    <w:autoSpaceDE w:val="0"/>
                    <w:autoSpaceDN w:val="0"/>
                    <w:snapToGrid w:val="0"/>
                    <w:jc w:val="center"/>
                    <w:rPr>
                      <w:color w:val="auto"/>
                      <w14:ligatures w14:val="standardContextual"/>
                    </w:rPr>
                  </w:pPr>
                  <w:r>
                    <w:rPr>
                      <w:color w:val="auto"/>
                      <w14:ligatures w14:val="standardContextual"/>
                    </w:rPr>
                    <w:t>供电系统</w:t>
                  </w:r>
                </w:p>
              </w:tc>
              <w:tc>
                <w:tcPr>
                  <w:tcW w:w="3718" w:type="pct"/>
                  <w:vAlign w:val="center"/>
                </w:tcPr>
                <w:p w14:paraId="7C7ED2F9">
                  <w:pPr>
                    <w:widowControl w:val="0"/>
                    <w:overflowPunct w:val="0"/>
                    <w:autoSpaceDE w:val="0"/>
                    <w:autoSpaceDN w:val="0"/>
                    <w:snapToGrid w:val="0"/>
                    <w:jc w:val="center"/>
                    <w:rPr>
                      <w:color w:val="auto"/>
                      <w14:ligatures w14:val="standardContextual"/>
                    </w:rPr>
                  </w:pPr>
                  <w:r>
                    <w:rPr>
                      <w:rFonts w:hint="eastAsia"/>
                      <w:color w:val="auto"/>
                      <w14:ligatures w14:val="standardContextual"/>
                    </w:rPr>
                    <w:t>市政</w:t>
                  </w:r>
                  <w:r>
                    <w:rPr>
                      <w:color w:val="auto"/>
                      <w14:ligatures w14:val="standardContextual"/>
                    </w:rPr>
                    <w:t>供电</w:t>
                  </w:r>
                </w:p>
              </w:tc>
            </w:tr>
            <w:tr w14:paraId="5785D3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01" w:type="pct"/>
                  <w:vMerge w:val="restart"/>
                  <w:vAlign w:val="center"/>
                </w:tcPr>
                <w:p w14:paraId="0071B399">
                  <w:pPr>
                    <w:widowControl w:val="0"/>
                    <w:overflowPunct w:val="0"/>
                    <w:autoSpaceDE w:val="0"/>
                    <w:autoSpaceDN w:val="0"/>
                    <w:snapToGrid w:val="0"/>
                    <w:jc w:val="center"/>
                    <w:rPr>
                      <w:color w:val="auto"/>
                      <w14:ligatures w14:val="standardContextual"/>
                    </w:rPr>
                  </w:pPr>
                  <w:r>
                    <w:rPr>
                      <w:color w:val="auto"/>
                      <w14:ligatures w14:val="standardContextual"/>
                    </w:rPr>
                    <w:t>环保工程</w:t>
                  </w:r>
                </w:p>
              </w:tc>
              <w:tc>
                <w:tcPr>
                  <w:tcW w:w="881" w:type="pct"/>
                  <w:vAlign w:val="center"/>
                </w:tcPr>
                <w:p w14:paraId="2503A07E">
                  <w:pPr>
                    <w:widowControl w:val="0"/>
                    <w:overflowPunct w:val="0"/>
                    <w:autoSpaceDE w:val="0"/>
                    <w:autoSpaceDN w:val="0"/>
                    <w:snapToGrid w:val="0"/>
                    <w:jc w:val="center"/>
                    <w:rPr>
                      <w:color w:val="auto"/>
                      <w14:ligatures w14:val="standardContextual"/>
                    </w:rPr>
                  </w:pPr>
                  <w:r>
                    <w:rPr>
                      <w:color w:val="auto"/>
                      <w14:ligatures w14:val="standardContextual"/>
                    </w:rPr>
                    <w:t>废水治理</w:t>
                  </w:r>
                </w:p>
              </w:tc>
              <w:tc>
                <w:tcPr>
                  <w:tcW w:w="3718" w:type="pct"/>
                  <w:vAlign w:val="center"/>
                </w:tcPr>
                <w:p w14:paraId="48EB725C">
                  <w:pPr>
                    <w:widowControl w:val="0"/>
                    <w:overflowPunct w:val="0"/>
                    <w:autoSpaceDE w:val="0"/>
                    <w:autoSpaceDN w:val="0"/>
                    <w:snapToGrid w:val="0"/>
                    <w:jc w:val="left"/>
                    <w:rPr>
                      <w:color w:val="auto"/>
                      <w14:ligatures w14:val="standardContextual"/>
                    </w:rPr>
                  </w:pPr>
                  <w:r>
                    <w:rPr>
                      <w:rFonts w:hint="eastAsia"/>
                      <w:color w:val="auto"/>
                      <w14:ligatures w14:val="standardContextual"/>
                    </w:rPr>
                    <w:t>清洗废水：建设一座车辆清洗平台及1座沉淀水池，总容积约为25m</w:t>
                  </w:r>
                  <w:r>
                    <w:rPr>
                      <w:rFonts w:hint="eastAsia"/>
                      <w:color w:val="auto"/>
                      <w:vertAlign w:val="superscript"/>
                      <w14:ligatures w14:val="standardContextual"/>
                    </w:rPr>
                    <w:t>3</w:t>
                  </w:r>
                  <w:r>
                    <w:rPr>
                      <w:rFonts w:hint="eastAsia"/>
                      <w:color w:val="auto"/>
                      <w14:ligatures w14:val="standardContextual"/>
                    </w:rPr>
                    <w:t>，清洗废水循环使用、定期补充，不外排，定期清理沉淀池沉渣。</w:t>
                  </w:r>
                </w:p>
                <w:p w14:paraId="452FD832">
                  <w:pPr>
                    <w:widowControl w:val="0"/>
                    <w:overflowPunct w:val="0"/>
                    <w:autoSpaceDE w:val="0"/>
                    <w:autoSpaceDN w:val="0"/>
                    <w:snapToGrid w:val="0"/>
                    <w:jc w:val="left"/>
                    <w:rPr>
                      <w:color w:val="auto"/>
                      <w14:ligatures w14:val="standardContextual"/>
                    </w:rPr>
                  </w:pPr>
                  <w:r>
                    <w:rPr>
                      <w:rFonts w:hint="eastAsia"/>
                      <w:color w:val="auto"/>
                      <w14:ligatures w14:val="standardContextual"/>
                    </w:rPr>
                    <w:t>生活污水：生活污水排入地埋式一体化污水处理设施（处理规模2m</w:t>
                  </w:r>
                  <w:r>
                    <w:rPr>
                      <w:rFonts w:hint="eastAsia"/>
                      <w:color w:val="auto"/>
                      <w:vertAlign w:val="superscript"/>
                      <w14:ligatures w14:val="standardContextual"/>
                    </w:rPr>
                    <w:t>3</w:t>
                  </w:r>
                  <w:r>
                    <w:rPr>
                      <w:rFonts w:hint="eastAsia"/>
                      <w:color w:val="auto"/>
                      <w14:ligatures w14:val="standardContextual"/>
                    </w:rPr>
                    <w:t>/d）预处理后定期清运至鄯善县污水处理厂。</w:t>
                  </w:r>
                </w:p>
              </w:tc>
            </w:tr>
            <w:tr w14:paraId="47F6F1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01" w:type="pct"/>
                  <w:vMerge w:val="continue"/>
                  <w:vAlign w:val="center"/>
                </w:tcPr>
                <w:p w14:paraId="441211EE">
                  <w:pPr>
                    <w:widowControl w:val="0"/>
                    <w:overflowPunct w:val="0"/>
                    <w:autoSpaceDE w:val="0"/>
                    <w:autoSpaceDN w:val="0"/>
                    <w:snapToGrid w:val="0"/>
                    <w:jc w:val="center"/>
                    <w:rPr>
                      <w:color w:val="auto"/>
                      <w14:ligatures w14:val="standardContextual"/>
                    </w:rPr>
                  </w:pPr>
                </w:p>
              </w:tc>
              <w:tc>
                <w:tcPr>
                  <w:tcW w:w="881" w:type="pct"/>
                  <w:vAlign w:val="center"/>
                </w:tcPr>
                <w:p w14:paraId="0446B068">
                  <w:pPr>
                    <w:widowControl w:val="0"/>
                    <w:overflowPunct w:val="0"/>
                    <w:autoSpaceDE w:val="0"/>
                    <w:autoSpaceDN w:val="0"/>
                    <w:snapToGrid w:val="0"/>
                    <w:jc w:val="center"/>
                    <w:rPr>
                      <w:color w:val="auto"/>
                      <w14:ligatures w14:val="standardContextual"/>
                    </w:rPr>
                  </w:pPr>
                  <w:r>
                    <w:rPr>
                      <w:color w:val="auto"/>
                      <w14:ligatures w14:val="standardContextual"/>
                    </w:rPr>
                    <w:t>废气治理</w:t>
                  </w:r>
                </w:p>
              </w:tc>
              <w:tc>
                <w:tcPr>
                  <w:tcW w:w="3718" w:type="pct"/>
                  <w:vAlign w:val="center"/>
                </w:tcPr>
                <w:p w14:paraId="3CF617AC">
                  <w:pPr>
                    <w:widowControl w:val="0"/>
                    <w:overflowPunct w:val="0"/>
                    <w:autoSpaceDE w:val="0"/>
                    <w:autoSpaceDN w:val="0"/>
                    <w:snapToGrid w:val="0"/>
                    <w:jc w:val="left"/>
                    <w:rPr>
                      <w:color w:val="auto"/>
                      <w14:ligatures w14:val="standardContextual"/>
                    </w:rPr>
                  </w:pPr>
                  <w:r>
                    <w:rPr>
                      <w:rFonts w:hint="eastAsia"/>
                      <w:color w:val="auto"/>
                      <w14:ligatures w14:val="standardContextual"/>
                    </w:rPr>
                    <w:t>设有封闭煤棚，内设喷淋设施，皮带机上设封闭隔尘罩，地面硬化，道路定期洒水并采取清扫措施等</w:t>
                  </w:r>
                </w:p>
              </w:tc>
            </w:tr>
            <w:tr w14:paraId="0FBF9F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01" w:type="pct"/>
                  <w:vMerge w:val="continue"/>
                  <w:vAlign w:val="center"/>
                </w:tcPr>
                <w:p w14:paraId="678D90CC">
                  <w:pPr>
                    <w:widowControl w:val="0"/>
                    <w:overflowPunct w:val="0"/>
                    <w:autoSpaceDE w:val="0"/>
                    <w:autoSpaceDN w:val="0"/>
                    <w:snapToGrid w:val="0"/>
                    <w:jc w:val="center"/>
                    <w:rPr>
                      <w:color w:val="auto"/>
                      <w14:ligatures w14:val="standardContextual"/>
                    </w:rPr>
                  </w:pPr>
                </w:p>
              </w:tc>
              <w:tc>
                <w:tcPr>
                  <w:tcW w:w="881" w:type="pct"/>
                  <w:vAlign w:val="center"/>
                </w:tcPr>
                <w:p w14:paraId="3CF8CE15">
                  <w:pPr>
                    <w:widowControl w:val="0"/>
                    <w:overflowPunct w:val="0"/>
                    <w:autoSpaceDE w:val="0"/>
                    <w:autoSpaceDN w:val="0"/>
                    <w:snapToGrid w:val="0"/>
                    <w:jc w:val="center"/>
                    <w:rPr>
                      <w:color w:val="auto"/>
                      <w14:ligatures w14:val="standardContextual"/>
                    </w:rPr>
                  </w:pPr>
                  <w:r>
                    <w:rPr>
                      <w:color w:val="auto"/>
                      <w14:ligatures w14:val="standardContextual"/>
                    </w:rPr>
                    <w:t>噪声治理</w:t>
                  </w:r>
                </w:p>
              </w:tc>
              <w:tc>
                <w:tcPr>
                  <w:tcW w:w="3718" w:type="pct"/>
                  <w:vAlign w:val="center"/>
                </w:tcPr>
                <w:p w14:paraId="3006CBA7">
                  <w:pPr>
                    <w:widowControl w:val="0"/>
                    <w:overflowPunct w:val="0"/>
                    <w:autoSpaceDE w:val="0"/>
                    <w:autoSpaceDN w:val="0"/>
                    <w:snapToGrid w:val="0"/>
                    <w:jc w:val="center"/>
                    <w:rPr>
                      <w:color w:val="auto"/>
                      <w14:ligatures w14:val="standardContextual"/>
                    </w:rPr>
                  </w:pPr>
                  <w:r>
                    <w:rPr>
                      <w:color w:val="auto"/>
                      <w14:ligatures w14:val="standardContextual"/>
                    </w:rPr>
                    <w:t>车间隔声、</w:t>
                  </w:r>
                  <w:r>
                    <w:rPr>
                      <w:rFonts w:hint="eastAsia"/>
                      <w:color w:val="auto"/>
                      <w14:ligatures w14:val="standardContextual"/>
                    </w:rPr>
                    <w:t>吸声、</w:t>
                  </w:r>
                  <w:r>
                    <w:rPr>
                      <w:color w:val="auto"/>
                      <w14:ligatures w14:val="standardContextual"/>
                    </w:rPr>
                    <w:t>减振等措施</w:t>
                  </w:r>
                </w:p>
              </w:tc>
            </w:tr>
            <w:tr w14:paraId="5BAF78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01" w:type="pct"/>
                  <w:vMerge w:val="continue"/>
                  <w:vAlign w:val="center"/>
                </w:tcPr>
                <w:p w14:paraId="454B906A">
                  <w:pPr>
                    <w:widowControl w:val="0"/>
                    <w:overflowPunct w:val="0"/>
                    <w:autoSpaceDE w:val="0"/>
                    <w:autoSpaceDN w:val="0"/>
                    <w:snapToGrid w:val="0"/>
                    <w:jc w:val="center"/>
                    <w:rPr>
                      <w:color w:val="auto"/>
                      <w14:ligatures w14:val="standardContextual"/>
                    </w:rPr>
                  </w:pPr>
                </w:p>
              </w:tc>
              <w:tc>
                <w:tcPr>
                  <w:tcW w:w="881" w:type="pct"/>
                  <w:vAlign w:val="center"/>
                </w:tcPr>
                <w:p w14:paraId="7EF01C61">
                  <w:pPr>
                    <w:widowControl w:val="0"/>
                    <w:overflowPunct w:val="0"/>
                    <w:autoSpaceDE w:val="0"/>
                    <w:autoSpaceDN w:val="0"/>
                    <w:snapToGrid w:val="0"/>
                    <w:jc w:val="center"/>
                    <w:rPr>
                      <w:color w:val="auto"/>
                      <w14:ligatures w14:val="standardContextual"/>
                    </w:rPr>
                  </w:pPr>
                  <w:r>
                    <w:rPr>
                      <w:color w:val="auto"/>
                      <w14:ligatures w14:val="standardContextual"/>
                    </w:rPr>
                    <w:t>固废治理</w:t>
                  </w:r>
                </w:p>
              </w:tc>
              <w:tc>
                <w:tcPr>
                  <w:tcW w:w="3718" w:type="pct"/>
                  <w:vAlign w:val="center"/>
                </w:tcPr>
                <w:p w14:paraId="4FA0729D">
                  <w:pPr>
                    <w:widowControl w:val="0"/>
                    <w:overflowPunct w:val="0"/>
                    <w:autoSpaceDE w:val="0"/>
                    <w:autoSpaceDN w:val="0"/>
                    <w:snapToGrid w:val="0"/>
                    <w:jc w:val="left"/>
                    <w:rPr>
                      <w:color w:val="auto"/>
                      <w14:ligatures w14:val="standardContextual"/>
                    </w:rPr>
                  </w:pPr>
                  <w:r>
                    <w:rPr>
                      <w:rFonts w:hint="eastAsia"/>
                      <w:b/>
                      <w:bCs/>
                      <w:color w:val="auto"/>
                      <w14:ligatures w14:val="standardContextual"/>
                    </w:rPr>
                    <w:t>一般工业固体废物：</w:t>
                  </w:r>
                  <w:r>
                    <w:rPr>
                      <w:rFonts w:hint="eastAsia"/>
                      <w:color w:val="auto"/>
                      <w14:ligatures w14:val="standardContextual"/>
                    </w:rPr>
                    <w:t>沉淀池沉渣定期清理，不暂存，运送至住建部门指定堆存区；</w:t>
                  </w:r>
                </w:p>
                <w:p w14:paraId="5C7DA854">
                  <w:pPr>
                    <w:widowControl w:val="0"/>
                    <w:overflowPunct w:val="0"/>
                    <w:autoSpaceDE w:val="0"/>
                    <w:autoSpaceDN w:val="0"/>
                    <w:snapToGrid w:val="0"/>
                    <w:jc w:val="left"/>
                    <w:rPr>
                      <w:color w:val="auto"/>
                      <w14:ligatures w14:val="standardContextual"/>
                    </w:rPr>
                  </w:pPr>
                  <w:r>
                    <w:rPr>
                      <w:rFonts w:hint="eastAsia"/>
                      <w:b/>
                      <w:bCs/>
                      <w:color w:val="auto"/>
                      <w14:ligatures w14:val="standardContextual"/>
                    </w:rPr>
                    <w:t>生活垃圾：</w:t>
                  </w:r>
                  <w:r>
                    <w:rPr>
                      <w:rFonts w:hint="eastAsia"/>
                      <w:color w:val="auto"/>
                      <w14:ligatures w14:val="standardContextual"/>
                    </w:rPr>
                    <w:t>生活垃圾由环卫部门收集后统一处理。</w:t>
                  </w:r>
                </w:p>
              </w:tc>
            </w:tr>
            <w:tr w14:paraId="0DD4FC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01" w:type="pct"/>
                  <w:vMerge w:val="continue"/>
                  <w:vAlign w:val="center"/>
                </w:tcPr>
                <w:p w14:paraId="4CFAFA79">
                  <w:pPr>
                    <w:widowControl w:val="0"/>
                    <w:overflowPunct w:val="0"/>
                    <w:autoSpaceDE w:val="0"/>
                    <w:autoSpaceDN w:val="0"/>
                    <w:snapToGrid w:val="0"/>
                    <w:jc w:val="center"/>
                    <w:rPr>
                      <w:color w:val="auto"/>
                      <w14:ligatures w14:val="standardContextual"/>
                    </w:rPr>
                  </w:pPr>
                </w:p>
              </w:tc>
              <w:tc>
                <w:tcPr>
                  <w:tcW w:w="881" w:type="pct"/>
                  <w:vAlign w:val="center"/>
                </w:tcPr>
                <w:p w14:paraId="5367DC55">
                  <w:pPr>
                    <w:widowControl w:val="0"/>
                    <w:overflowPunct w:val="0"/>
                    <w:autoSpaceDE w:val="0"/>
                    <w:autoSpaceDN w:val="0"/>
                    <w:snapToGrid w:val="0"/>
                    <w:jc w:val="center"/>
                    <w:rPr>
                      <w:color w:val="auto"/>
                      <w14:ligatures w14:val="standardContextual"/>
                    </w:rPr>
                  </w:pPr>
                  <w:r>
                    <w:rPr>
                      <w:rFonts w:hint="eastAsia"/>
                      <w:color w:val="auto"/>
                      <w14:ligatures w14:val="standardContextual"/>
                    </w:rPr>
                    <w:t>防渗分区</w:t>
                  </w:r>
                </w:p>
              </w:tc>
              <w:tc>
                <w:tcPr>
                  <w:tcW w:w="3718" w:type="pct"/>
                  <w:vAlign w:val="center"/>
                </w:tcPr>
                <w:p w14:paraId="3684AED9">
                  <w:pPr>
                    <w:widowControl w:val="0"/>
                    <w:overflowPunct w:val="0"/>
                    <w:autoSpaceDE w:val="0"/>
                    <w:autoSpaceDN w:val="0"/>
                    <w:snapToGrid w:val="0"/>
                    <w:jc w:val="left"/>
                    <w:rPr>
                      <w:color w:val="auto"/>
                      <w14:ligatures w14:val="standardContextual"/>
                    </w:rPr>
                  </w:pPr>
                  <w:r>
                    <w:rPr>
                      <w:rFonts w:hint="eastAsia"/>
                      <w:color w:val="auto"/>
                      <w14:ligatures w14:val="standardContextual"/>
                    </w:rPr>
                    <w:t>一般防渗区：</w:t>
                  </w:r>
                  <w:r>
                    <w:rPr>
                      <w:rFonts w:hint="eastAsia"/>
                      <w:color w:val="auto"/>
                      <w14:ligatures w14:val="standardContextual"/>
                    </w:rPr>
                    <w:t>地埋式一体化污水处理设施</w:t>
                  </w:r>
                  <w:r>
                    <w:rPr>
                      <w:rFonts w:hint="eastAsia"/>
                      <w:color w:val="auto"/>
                      <w14:ligatures w14:val="standardContextual"/>
                    </w:rPr>
                    <w:t>、洗车平台及其配套沉淀池、煤棚</w:t>
                  </w:r>
                </w:p>
                <w:p w14:paraId="527C83B1">
                  <w:pPr>
                    <w:widowControl w:val="0"/>
                    <w:overflowPunct w:val="0"/>
                    <w:autoSpaceDE w:val="0"/>
                    <w:autoSpaceDN w:val="0"/>
                    <w:snapToGrid w:val="0"/>
                    <w:jc w:val="left"/>
                    <w:rPr>
                      <w:color w:val="auto"/>
                      <w14:ligatures w14:val="standardContextual"/>
                    </w:rPr>
                  </w:pPr>
                  <w:r>
                    <w:rPr>
                      <w:rFonts w:hint="eastAsia"/>
                      <w:color w:val="auto"/>
                      <w14:ligatures w14:val="standardContextual"/>
                    </w:rPr>
                    <w:t>简单防渗区：门卫、厂区道路</w:t>
                  </w:r>
                </w:p>
              </w:tc>
            </w:tr>
          </w:tbl>
          <w:p w14:paraId="5FBF849D">
            <w:pPr>
              <w:pStyle w:val="7"/>
              <w:rPr>
                <w:color w:val="auto"/>
              </w:rPr>
            </w:pPr>
            <w:r>
              <w:rPr>
                <w:rFonts w:hint="eastAsia"/>
                <w:color w:val="auto"/>
              </w:rPr>
              <w:t>四、煤炭吞吐量</w:t>
            </w:r>
          </w:p>
          <w:p w14:paraId="514F594B">
            <w:pPr>
              <w:pStyle w:val="3"/>
              <w:ind w:firstLine="480"/>
              <w:rPr>
                <w:color w:val="auto"/>
              </w:rPr>
            </w:pPr>
            <w:r>
              <w:rPr>
                <w:rFonts w:hint="eastAsia"/>
                <w:color w:val="auto"/>
              </w:rPr>
              <w:t>企业已与中联润世新疆煤业有限公司签订煤炭购销合同，见附件6。</w:t>
            </w:r>
          </w:p>
          <w:p w14:paraId="1E3F5FF1">
            <w:pPr>
              <w:pStyle w:val="49"/>
              <w:rPr>
                <w:color w:val="auto"/>
              </w:rPr>
            </w:pPr>
            <w:bookmarkStart w:id="14" w:name="_Ref172814766"/>
            <w:bookmarkStart w:id="15" w:name="_Ref172814504"/>
            <w:bookmarkStart w:id="16" w:name="_Ref176905201"/>
            <w:r>
              <w:rPr>
                <w:rFonts w:hint="eastAsia"/>
                <w:color w:val="auto"/>
              </w:rPr>
              <w:t xml:space="preserve">表2- </w:t>
            </w:r>
            <w:r>
              <w:rPr>
                <w:color w:val="auto"/>
              </w:rPr>
              <w:t>2</w:t>
            </w:r>
            <w:bookmarkEnd w:id="14"/>
            <w:r>
              <w:rPr>
                <w:rFonts w:hint="eastAsia"/>
                <w:color w:val="auto"/>
              </w:rPr>
              <w:t>：</w:t>
            </w:r>
            <w:bookmarkEnd w:id="15"/>
            <w:r>
              <w:rPr>
                <w:rFonts w:hint="eastAsia"/>
                <w:color w:val="auto"/>
              </w:rPr>
              <w:t>煤炭吞吐量一览表</w:t>
            </w:r>
            <w:bookmarkEnd w:id="16"/>
          </w:p>
          <w:tbl>
            <w:tblPr>
              <w:tblStyle w:val="50"/>
              <w:tblW w:w="7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880"/>
              <w:gridCol w:w="1164"/>
              <w:gridCol w:w="1134"/>
              <w:gridCol w:w="851"/>
              <w:gridCol w:w="3909"/>
            </w:tblGrid>
            <w:tr w14:paraId="06B9E8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880"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1C69F93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类别</w:t>
                  </w:r>
                </w:p>
              </w:tc>
              <w:tc>
                <w:tcPr>
                  <w:tcW w:w="1164"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7B708A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煤种</w:t>
                  </w:r>
                </w:p>
              </w:tc>
              <w:tc>
                <w:tcPr>
                  <w:tcW w:w="1134"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3D38AF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吞吐量</w:t>
                  </w:r>
                </w:p>
              </w:tc>
              <w:tc>
                <w:tcPr>
                  <w:tcW w:w="851"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5880A9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单位</w:t>
                  </w:r>
                </w:p>
              </w:tc>
              <w:tc>
                <w:tcPr>
                  <w:tcW w:w="3909" w:type="dxa"/>
                  <w:tcBorders>
                    <w:top w:val="single" w:color="auto" w:sz="12" w:space="0"/>
                    <w:bottom w:val="single" w:color="auto" w:sz="12" w:space="0"/>
                    <w:right w:val="nil"/>
                    <w:insideH w:val="single" w:sz="12" w:space="0"/>
                    <w:insideV w:val="single" w:sz="4" w:space="0"/>
                    <w:tl2br w:val="nil"/>
                    <w:tr2bl w:val="nil"/>
                  </w:tcBorders>
                  <w:vAlign w:val="center"/>
                </w:tcPr>
                <w:p w14:paraId="24986DD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自提货点</w:t>
                  </w:r>
                </w:p>
              </w:tc>
            </w:tr>
            <w:tr w14:paraId="541773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880" w:type="dxa"/>
                  <w:vAlign w:val="center"/>
                </w:tcPr>
                <w:p w14:paraId="6FCAE2E2">
                  <w:pPr>
                    <w:widowControl w:val="0"/>
                    <w:overflowPunct w:val="0"/>
                    <w:autoSpaceDE w:val="0"/>
                    <w:autoSpaceDN w:val="0"/>
                    <w:snapToGrid w:val="0"/>
                    <w:jc w:val="center"/>
                    <w:rPr>
                      <w:color w:val="auto"/>
                      <w14:ligatures w14:val="standardContextual"/>
                    </w:rPr>
                  </w:pPr>
                  <w:r>
                    <w:rPr>
                      <w:rFonts w:hint="eastAsia"/>
                      <w:color w:val="auto"/>
                      <w14:ligatures w14:val="standardContextual"/>
                    </w:rPr>
                    <w:t>煤炭</w:t>
                  </w:r>
                </w:p>
              </w:tc>
              <w:tc>
                <w:tcPr>
                  <w:tcW w:w="1164" w:type="dxa"/>
                  <w:vAlign w:val="center"/>
                </w:tcPr>
                <w:p w14:paraId="252AC66A">
                  <w:pPr>
                    <w:widowControl w:val="0"/>
                    <w:overflowPunct w:val="0"/>
                    <w:autoSpaceDE w:val="0"/>
                    <w:autoSpaceDN w:val="0"/>
                    <w:snapToGrid w:val="0"/>
                    <w:jc w:val="center"/>
                    <w:rPr>
                      <w:color w:val="auto"/>
                      <w14:ligatures w14:val="standardContextual"/>
                    </w:rPr>
                  </w:pPr>
                  <w:r>
                    <w:rPr>
                      <w:rFonts w:hint="eastAsia"/>
                      <w:color w:val="auto"/>
                      <w14:ligatures w14:val="standardContextual"/>
                    </w:rPr>
                    <w:t>豫新混煤</w:t>
                  </w:r>
                </w:p>
              </w:tc>
              <w:tc>
                <w:tcPr>
                  <w:tcW w:w="1134" w:type="dxa"/>
                  <w:vAlign w:val="center"/>
                </w:tcPr>
                <w:p w14:paraId="750A87F4">
                  <w:pPr>
                    <w:widowControl w:val="0"/>
                    <w:overflowPunct w:val="0"/>
                    <w:autoSpaceDE w:val="0"/>
                    <w:autoSpaceDN w:val="0"/>
                    <w:snapToGrid w:val="0"/>
                    <w:jc w:val="center"/>
                    <w:rPr>
                      <w:color w:val="auto"/>
                      <w14:ligatures w14:val="standardContextual"/>
                    </w:rPr>
                  </w:pPr>
                  <w:r>
                    <w:rPr>
                      <w:rFonts w:hint="eastAsia"/>
                      <w:color w:val="auto"/>
                      <w14:ligatures w14:val="standardContextual"/>
                    </w:rPr>
                    <w:t>300</w:t>
                  </w:r>
                </w:p>
              </w:tc>
              <w:tc>
                <w:tcPr>
                  <w:tcW w:w="851" w:type="dxa"/>
                  <w:vAlign w:val="center"/>
                </w:tcPr>
                <w:p w14:paraId="300E855E">
                  <w:pPr>
                    <w:widowControl w:val="0"/>
                    <w:overflowPunct w:val="0"/>
                    <w:autoSpaceDE w:val="0"/>
                    <w:autoSpaceDN w:val="0"/>
                    <w:snapToGrid w:val="0"/>
                    <w:jc w:val="center"/>
                    <w:rPr>
                      <w:color w:val="auto"/>
                      <w14:ligatures w14:val="standardContextual"/>
                    </w:rPr>
                  </w:pPr>
                  <w:r>
                    <w:rPr>
                      <w:rFonts w:hint="eastAsia"/>
                      <w:color w:val="auto"/>
                      <w14:ligatures w14:val="standardContextual"/>
                    </w:rPr>
                    <w:t>万t/a</w:t>
                  </w:r>
                </w:p>
              </w:tc>
              <w:tc>
                <w:tcPr>
                  <w:tcW w:w="3909" w:type="dxa"/>
                  <w:vAlign w:val="center"/>
                </w:tcPr>
                <w:p w14:paraId="1E022A24">
                  <w:pPr>
                    <w:widowControl w:val="0"/>
                    <w:overflowPunct w:val="0"/>
                    <w:autoSpaceDE w:val="0"/>
                    <w:autoSpaceDN w:val="0"/>
                    <w:snapToGrid w:val="0"/>
                    <w:jc w:val="center"/>
                    <w:rPr>
                      <w:color w:val="auto"/>
                      <w14:ligatures w14:val="standardContextual"/>
                    </w:rPr>
                  </w:pPr>
                  <w:r>
                    <w:rPr>
                      <w:rFonts w:hint="eastAsia"/>
                      <w:color w:val="auto"/>
                      <w14:ligatures w14:val="standardContextual"/>
                    </w:rPr>
                    <w:t>中联润世新疆煤业有限公司（义马矿）</w:t>
                  </w:r>
                </w:p>
              </w:tc>
            </w:tr>
          </w:tbl>
          <w:p w14:paraId="6EB755F1">
            <w:pPr>
              <w:pStyle w:val="66"/>
              <w:spacing w:after="120"/>
              <w:rPr>
                <w:color w:val="auto"/>
              </w:rPr>
            </w:pPr>
            <w:r>
              <w:rPr>
                <w:rFonts w:hint="eastAsia"/>
                <w:color w:val="auto"/>
              </w:rPr>
              <w:t>备注：年煤炭静态储备能力约40万吨，年周转配送能力300万吨。</w:t>
            </w:r>
          </w:p>
          <w:p w14:paraId="7264BF61">
            <w:pPr>
              <w:pStyle w:val="7"/>
              <w:rPr>
                <w:color w:val="auto"/>
              </w:rPr>
            </w:pPr>
            <w:r>
              <w:rPr>
                <w:rFonts w:hint="eastAsia"/>
                <w:color w:val="auto"/>
              </w:rPr>
              <w:t>五、主要生产设施</w:t>
            </w:r>
          </w:p>
          <w:p w14:paraId="381CA287">
            <w:pPr>
              <w:pStyle w:val="3"/>
              <w:tabs>
                <w:tab w:val="left" w:pos="4433"/>
              </w:tabs>
              <w:ind w:firstLine="480"/>
              <w:rPr>
                <w:color w:val="auto"/>
              </w:rPr>
            </w:pPr>
            <w:r>
              <w:rPr>
                <w:rFonts w:hint="eastAsia"/>
                <w:color w:val="auto"/>
              </w:rPr>
              <w:t>本项目主要设备明细见下表。</w:t>
            </w:r>
          </w:p>
          <w:p w14:paraId="23A3C5F0">
            <w:pPr>
              <w:pStyle w:val="49"/>
              <w:rPr>
                <w:color w:val="auto"/>
              </w:rPr>
            </w:pPr>
            <w:bookmarkStart w:id="17" w:name="_Ref176945961"/>
            <w:r>
              <w:rPr>
                <w:rFonts w:hint="eastAsia"/>
                <w:color w:val="auto"/>
              </w:rPr>
              <w:t xml:space="preserve">表2- </w:t>
            </w:r>
            <w:r>
              <w:rPr>
                <w:color w:val="auto"/>
              </w:rPr>
              <w:t>3</w:t>
            </w:r>
            <w:r>
              <w:rPr>
                <w:rFonts w:hint="eastAsia"/>
                <w:color w:val="auto"/>
              </w:rPr>
              <w:t>：本项目主要设备</w:t>
            </w:r>
            <w:bookmarkEnd w:id="17"/>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938"/>
              <w:gridCol w:w="1954"/>
              <w:gridCol w:w="1377"/>
              <w:gridCol w:w="1492"/>
              <w:gridCol w:w="2219"/>
            </w:tblGrid>
            <w:tr w14:paraId="20FBD5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4" w:hRule="exact"/>
                <w:jc w:val="center"/>
              </w:trPr>
              <w:tc>
                <w:tcPr>
                  <w:tcW w:w="588"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1796D70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序号</w:t>
                  </w:r>
                </w:p>
              </w:tc>
              <w:tc>
                <w:tcPr>
                  <w:tcW w:w="122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0C347C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名称</w:t>
                  </w:r>
                </w:p>
              </w:tc>
              <w:tc>
                <w:tcPr>
                  <w:tcW w:w="863"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EA5BE9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规格型号</w:t>
                  </w:r>
                </w:p>
              </w:tc>
              <w:tc>
                <w:tcPr>
                  <w:tcW w:w="935"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78E69A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数量</w:t>
                  </w:r>
                </w:p>
              </w:tc>
              <w:tc>
                <w:tcPr>
                  <w:tcW w:w="1391" w:type="pct"/>
                  <w:tcBorders>
                    <w:top w:val="single" w:color="auto" w:sz="12" w:space="0"/>
                    <w:bottom w:val="single" w:color="auto" w:sz="12" w:space="0"/>
                    <w:right w:val="nil"/>
                    <w:insideH w:val="single" w:sz="12" w:space="0"/>
                    <w:insideV w:val="single" w:sz="4" w:space="0"/>
                    <w:tl2br w:val="nil"/>
                    <w:tr2bl w:val="nil"/>
                  </w:tcBorders>
                  <w:vAlign w:val="center"/>
                </w:tcPr>
                <w:p w14:paraId="1D77CC4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位置</w:t>
                  </w:r>
                </w:p>
              </w:tc>
            </w:tr>
            <w:tr w14:paraId="044BA5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exact"/>
                <w:jc w:val="center"/>
              </w:trPr>
              <w:tc>
                <w:tcPr>
                  <w:tcW w:w="588" w:type="pct"/>
                  <w:vAlign w:val="center"/>
                </w:tcPr>
                <w:p w14:paraId="78398C39">
                  <w:pPr>
                    <w:widowControl w:val="0"/>
                    <w:overflowPunct w:val="0"/>
                    <w:autoSpaceDE w:val="0"/>
                    <w:autoSpaceDN w:val="0"/>
                    <w:snapToGrid w:val="0"/>
                    <w:jc w:val="center"/>
                    <w:rPr>
                      <w:color w:val="auto"/>
                      <w14:ligatures w14:val="standardContextual"/>
                    </w:rPr>
                  </w:pPr>
                  <w:r>
                    <w:rPr>
                      <w:rFonts w:hint="eastAsia"/>
                      <w:color w:val="auto"/>
                      <w14:ligatures w14:val="standardContextual"/>
                    </w:rPr>
                    <w:t>1</w:t>
                  </w:r>
                </w:p>
              </w:tc>
              <w:tc>
                <w:tcPr>
                  <w:tcW w:w="1224" w:type="pct"/>
                  <w:vAlign w:val="center"/>
                </w:tcPr>
                <w:p w14:paraId="52C55DEB">
                  <w:pPr>
                    <w:widowControl w:val="0"/>
                    <w:overflowPunct w:val="0"/>
                    <w:autoSpaceDE w:val="0"/>
                    <w:autoSpaceDN w:val="0"/>
                    <w:snapToGrid w:val="0"/>
                    <w:jc w:val="center"/>
                    <w:rPr>
                      <w:color w:val="auto"/>
                      <w14:ligatures w14:val="standardContextual"/>
                    </w:rPr>
                  </w:pPr>
                  <w:r>
                    <w:rPr>
                      <w:rFonts w:hint="eastAsia"/>
                      <w:color w:val="auto"/>
                      <w14:ligatures w14:val="standardContextual"/>
                    </w:rPr>
                    <w:t>装载机1</w:t>
                  </w:r>
                </w:p>
              </w:tc>
              <w:tc>
                <w:tcPr>
                  <w:tcW w:w="863" w:type="pct"/>
                  <w:vAlign w:val="center"/>
                </w:tcPr>
                <w:p w14:paraId="78B0D9E8">
                  <w:pPr>
                    <w:widowControl w:val="0"/>
                    <w:overflowPunct w:val="0"/>
                    <w:autoSpaceDE w:val="0"/>
                    <w:autoSpaceDN w:val="0"/>
                    <w:snapToGrid w:val="0"/>
                    <w:jc w:val="center"/>
                    <w:rPr>
                      <w:color w:val="auto"/>
                      <w14:ligatures w14:val="standardContextual"/>
                    </w:rPr>
                  </w:pPr>
                  <w:r>
                    <w:rPr>
                      <w:rFonts w:hint="eastAsia"/>
                      <w:color w:val="auto"/>
                      <w14:ligatures w14:val="standardContextual"/>
                    </w:rPr>
                    <w:t>L968F</w:t>
                  </w:r>
                </w:p>
              </w:tc>
              <w:tc>
                <w:tcPr>
                  <w:tcW w:w="935" w:type="pct"/>
                  <w:vAlign w:val="center"/>
                </w:tcPr>
                <w:p w14:paraId="33A49BCF">
                  <w:pPr>
                    <w:widowControl w:val="0"/>
                    <w:overflowPunct w:val="0"/>
                    <w:autoSpaceDE w:val="0"/>
                    <w:autoSpaceDN w:val="0"/>
                    <w:snapToGrid w:val="0"/>
                    <w:jc w:val="center"/>
                    <w:rPr>
                      <w:color w:val="auto"/>
                      <w14:ligatures w14:val="standardContextual"/>
                    </w:rPr>
                  </w:pPr>
                  <w:r>
                    <w:rPr>
                      <w:rFonts w:hint="eastAsia"/>
                      <w:color w:val="auto"/>
                      <w14:ligatures w14:val="standardContextual"/>
                    </w:rPr>
                    <w:t>2台</w:t>
                  </w:r>
                </w:p>
              </w:tc>
              <w:tc>
                <w:tcPr>
                  <w:tcW w:w="1391" w:type="pct"/>
                  <w:vAlign w:val="center"/>
                </w:tcPr>
                <w:p w14:paraId="4CFA17DC">
                  <w:pPr>
                    <w:widowControl w:val="0"/>
                    <w:overflowPunct w:val="0"/>
                    <w:autoSpaceDE w:val="0"/>
                    <w:autoSpaceDN w:val="0"/>
                    <w:snapToGrid w:val="0"/>
                    <w:jc w:val="center"/>
                    <w:rPr>
                      <w:color w:val="auto"/>
                      <w14:ligatures w14:val="standardContextual"/>
                    </w:rPr>
                  </w:pPr>
                  <w:r>
                    <w:rPr>
                      <w:rFonts w:hint="eastAsia"/>
                      <w:color w:val="auto"/>
                      <w14:ligatures w14:val="standardContextual"/>
                    </w:rPr>
                    <w:t>1#煤棚</w:t>
                  </w:r>
                </w:p>
              </w:tc>
            </w:tr>
            <w:tr w14:paraId="03ACBC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exact"/>
                <w:jc w:val="center"/>
              </w:trPr>
              <w:tc>
                <w:tcPr>
                  <w:tcW w:w="588" w:type="pct"/>
                  <w:vAlign w:val="center"/>
                </w:tcPr>
                <w:p w14:paraId="650935C6">
                  <w:pPr>
                    <w:widowControl w:val="0"/>
                    <w:overflowPunct w:val="0"/>
                    <w:autoSpaceDE w:val="0"/>
                    <w:autoSpaceDN w:val="0"/>
                    <w:snapToGrid w:val="0"/>
                    <w:jc w:val="center"/>
                    <w:rPr>
                      <w:color w:val="auto"/>
                      <w14:ligatures w14:val="standardContextual"/>
                    </w:rPr>
                  </w:pPr>
                  <w:r>
                    <w:rPr>
                      <w:rFonts w:hint="eastAsia"/>
                      <w:color w:val="auto"/>
                      <w14:ligatures w14:val="standardContextual"/>
                    </w:rPr>
                    <w:t>2</w:t>
                  </w:r>
                </w:p>
              </w:tc>
              <w:tc>
                <w:tcPr>
                  <w:tcW w:w="1224" w:type="pct"/>
                  <w:vAlign w:val="center"/>
                </w:tcPr>
                <w:p w14:paraId="2D60E5A4">
                  <w:pPr>
                    <w:widowControl w:val="0"/>
                    <w:overflowPunct w:val="0"/>
                    <w:autoSpaceDE w:val="0"/>
                    <w:autoSpaceDN w:val="0"/>
                    <w:snapToGrid w:val="0"/>
                    <w:jc w:val="center"/>
                    <w:rPr>
                      <w:color w:val="auto"/>
                      <w14:ligatures w14:val="standardContextual"/>
                    </w:rPr>
                  </w:pPr>
                  <w:r>
                    <w:rPr>
                      <w:rFonts w:hint="eastAsia"/>
                      <w:color w:val="auto"/>
                      <w14:ligatures w14:val="standardContextual"/>
                    </w:rPr>
                    <w:t>装载机2</w:t>
                  </w:r>
                </w:p>
              </w:tc>
              <w:tc>
                <w:tcPr>
                  <w:tcW w:w="863" w:type="pct"/>
                  <w:vAlign w:val="center"/>
                </w:tcPr>
                <w:p w14:paraId="79568FF4">
                  <w:pPr>
                    <w:widowControl w:val="0"/>
                    <w:overflowPunct w:val="0"/>
                    <w:autoSpaceDE w:val="0"/>
                    <w:autoSpaceDN w:val="0"/>
                    <w:snapToGrid w:val="0"/>
                    <w:jc w:val="center"/>
                    <w:rPr>
                      <w:color w:val="auto"/>
                      <w14:ligatures w14:val="standardContextual"/>
                    </w:rPr>
                  </w:pPr>
                  <w:r>
                    <w:rPr>
                      <w:rFonts w:hint="eastAsia"/>
                      <w:color w:val="auto"/>
                      <w14:ligatures w14:val="standardContextual"/>
                    </w:rPr>
                    <w:t>L968HEV</w:t>
                  </w:r>
                </w:p>
              </w:tc>
              <w:tc>
                <w:tcPr>
                  <w:tcW w:w="935" w:type="pct"/>
                  <w:vAlign w:val="center"/>
                </w:tcPr>
                <w:p w14:paraId="08DD7982">
                  <w:pPr>
                    <w:widowControl w:val="0"/>
                    <w:overflowPunct w:val="0"/>
                    <w:autoSpaceDE w:val="0"/>
                    <w:autoSpaceDN w:val="0"/>
                    <w:snapToGrid w:val="0"/>
                    <w:jc w:val="center"/>
                    <w:rPr>
                      <w:color w:val="auto"/>
                      <w14:ligatures w14:val="standardContextual"/>
                    </w:rPr>
                  </w:pPr>
                  <w:r>
                    <w:rPr>
                      <w:rFonts w:hint="eastAsia"/>
                      <w:color w:val="auto"/>
                      <w14:ligatures w14:val="standardContextual"/>
                    </w:rPr>
                    <w:t>2台</w:t>
                  </w:r>
                </w:p>
              </w:tc>
              <w:tc>
                <w:tcPr>
                  <w:tcW w:w="1391" w:type="pct"/>
                  <w:vAlign w:val="center"/>
                </w:tcPr>
                <w:p w14:paraId="338B1910">
                  <w:pPr>
                    <w:widowControl w:val="0"/>
                    <w:overflowPunct w:val="0"/>
                    <w:autoSpaceDE w:val="0"/>
                    <w:autoSpaceDN w:val="0"/>
                    <w:snapToGrid w:val="0"/>
                    <w:jc w:val="center"/>
                    <w:rPr>
                      <w:color w:val="auto"/>
                      <w14:ligatures w14:val="standardContextual"/>
                    </w:rPr>
                  </w:pPr>
                  <w:r>
                    <w:rPr>
                      <w:rFonts w:hint="eastAsia"/>
                      <w:color w:val="auto"/>
                      <w14:ligatures w14:val="standardContextual"/>
                    </w:rPr>
                    <w:t>2#煤棚</w:t>
                  </w:r>
                </w:p>
              </w:tc>
            </w:tr>
            <w:tr w14:paraId="43AF36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exact"/>
                <w:jc w:val="center"/>
              </w:trPr>
              <w:tc>
                <w:tcPr>
                  <w:tcW w:w="588" w:type="pct"/>
                  <w:vAlign w:val="center"/>
                </w:tcPr>
                <w:p w14:paraId="14D11167">
                  <w:pPr>
                    <w:widowControl w:val="0"/>
                    <w:overflowPunct w:val="0"/>
                    <w:autoSpaceDE w:val="0"/>
                    <w:autoSpaceDN w:val="0"/>
                    <w:snapToGrid w:val="0"/>
                    <w:jc w:val="center"/>
                    <w:rPr>
                      <w:color w:val="auto"/>
                      <w14:ligatures w14:val="standardContextual"/>
                    </w:rPr>
                  </w:pPr>
                  <w:r>
                    <w:rPr>
                      <w:rFonts w:hint="eastAsia"/>
                      <w:color w:val="auto"/>
                      <w14:ligatures w14:val="standardContextual"/>
                    </w:rPr>
                    <w:t>3</w:t>
                  </w:r>
                </w:p>
              </w:tc>
              <w:tc>
                <w:tcPr>
                  <w:tcW w:w="1224" w:type="pct"/>
                  <w:vAlign w:val="center"/>
                </w:tcPr>
                <w:p w14:paraId="33954A20">
                  <w:pPr>
                    <w:widowControl w:val="0"/>
                    <w:overflowPunct w:val="0"/>
                    <w:autoSpaceDE w:val="0"/>
                    <w:autoSpaceDN w:val="0"/>
                    <w:snapToGrid w:val="0"/>
                    <w:jc w:val="center"/>
                    <w:rPr>
                      <w:color w:val="auto"/>
                      <w14:ligatures w14:val="standardContextual"/>
                    </w:rPr>
                  </w:pPr>
                  <w:r>
                    <w:rPr>
                      <w:rFonts w:hint="eastAsia"/>
                      <w:color w:val="auto"/>
                      <w14:ligatures w14:val="standardContextual"/>
                    </w:rPr>
                    <w:t>叉车</w:t>
                  </w:r>
                </w:p>
              </w:tc>
              <w:tc>
                <w:tcPr>
                  <w:tcW w:w="863" w:type="pct"/>
                  <w:vAlign w:val="center"/>
                </w:tcPr>
                <w:p w14:paraId="01497FD3">
                  <w:pPr>
                    <w:widowControl w:val="0"/>
                    <w:overflowPunct w:val="0"/>
                    <w:autoSpaceDE w:val="0"/>
                    <w:autoSpaceDN w:val="0"/>
                    <w:snapToGrid w:val="0"/>
                    <w:jc w:val="center"/>
                    <w:rPr>
                      <w:color w:val="auto"/>
                      <w14:ligatures w14:val="standardContextual"/>
                    </w:rPr>
                  </w:pPr>
                  <w:r>
                    <w:rPr>
                      <w:rFonts w:hint="eastAsia"/>
                      <w:color w:val="auto"/>
                      <w14:ligatures w14:val="standardContextual"/>
                    </w:rPr>
                    <w:t>CPCD10T</w:t>
                  </w:r>
                </w:p>
              </w:tc>
              <w:tc>
                <w:tcPr>
                  <w:tcW w:w="935" w:type="pct"/>
                  <w:vAlign w:val="center"/>
                </w:tcPr>
                <w:p w14:paraId="7BB97F17">
                  <w:pPr>
                    <w:widowControl w:val="0"/>
                    <w:overflowPunct w:val="0"/>
                    <w:autoSpaceDE w:val="0"/>
                    <w:autoSpaceDN w:val="0"/>
                    <w:snapToGrid w:val="0"/>
                    <w:jc w:val="center"/>
                    <w:rPr>
                      <w:color w:val="auto"/>
                      <w14:ligatures w14:val="standardContextual"/>
                    </w:rPr>
                  </w:pPr>
                  <w:r>
                    <w:rPr>
                      <w:rFonts w:hint="eastAsia"/>
                      <w:color w:val="auto"/>
                      <w14:ligatures w14:val="standardContextual"/>
                    </w:rPr>
                    <w:t>1台</w:t>
                  </w:r>
                </w:p>
              </w:tc>
              <w:tc>
                <w:tcPr>
                  <w:tcW w:w="1391" w:type="pct"/>
                  <w:vAlign w:val="center"/>
                </w:tcPr>
                <w:p w14:paraId="164D9377">
                  <w:pPr>
                    <w:widowControl w:val="0"/>
                    <w:overflowPunct w:val="0"/>
                    <w:autoSpaceDE w:val="0"/>
                    <w:autoSpaceDN w:val="0"/>
                    <w:snapToGrid w:val="0"/>
                    <w:jc w:val="center"/>
                    <w:rPr>
                      <w:color w:val="auto"/>
                      <w14:ligatures w14:val="standardContextual"/>
                    </w:rPr>
                  </w:pPr>
                  <w:r>
                    <w:rPr>
                      <w:rFonts w:hint="eastAsia"/>
                      <w:color w:val="auto"/>
                      <w14:ligatures w14:val="standardContextual"/>
                    </w:rPr>
                    <w:t>1#煤棚内</w:t>
                  </w:r>
                </w:p>
              </w:tc>
            </w:tr>
            <w:tr w14:paraId="14E031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exact"/>
                <w:jc w:val="center"/>
              </w:trPr>
              <w:tc>
                <w:tcPr>
                  <w:tcW w:w="588" w:type="pct"/>
                  <w:vAlign w:val="center"/>
                </w:tcPr>
                <w:p w14:paraId="33D4F29E">
                  <w:pPr>
                    <w:widowControl w:val="0"/>
                    <w:overflowPunct w:val="0"/>
                    <w:autoSpaceDE w:val="0"/>
                    <w:autoSpaceDN w:val="0"/>
                    <w:snapToGrid w:val="0"/>
                    <w:jc w:val="center"/>
                    <w:rPr>
                      <w:color w:val="auto"/>
                      <w14:ligatures w14:val="standardContextual"/>
                    </w:rPr>
                  </w:pPr>
                  <w:r>
                    <w:rPr>
                      <w:rFonts w:hint="eastAsia"/>
                      <w:color w:val="auto"/>
                      <w14:ligatures w14:val="standardContextual"/>
                    </w:rPr>
                    <w:t>4</w:t>
                  </w:r>
                </w:p>
              </w:tc>
              <w:tc>
                <w:tcPr>
                  <w:tcW w:w="1224" w:type="pct"/>
                  <w:vAlign w:val="center"/>
                </w:tcPr>
                <w:p w14:paraId="0B6C6314">
                  <w:pPr>
                    <w:widowControl w:val="0"/>
                    <w:overflowPunct w:val="0"/>
                    <w:autoSpaceDE w:val="0"/>
                    <w:autoSpaceDN w:val="0"/>
                    <w:snapToGrid w:val="0"/>
                    <w:jc w:val="center"/>
                    <w:rPr>
                      <w:color w:val="auto"/>
                      <w14:ligatures w14:val="standardContextual"/>
                    </w:rPr>
                  </w:pPr>
                  <w:r>
                    <w:rPr>
                      <w:rFonts w:hint="eastAsia"/>
                      <w:color w:val="auto"/>
                      <w14:ligatures w14:val="standardContextual"/>
                    </w:rPr>
                    <w:t>轮式挖掘机</w:t>
                  </w:r>
                </w:p>
              </w:tc>
              <w:tc>
                <w:tcPr>
                  <w:tcW w:w="863" w:type="pct"/>
                  <w:vAlign w:val="center"/>
                </w:tcPr>
                <w:p w14:paraId="5821BB46">
                  <w:pPr>
                    <w:widowControl w:val="0"/>
                    <w:overflowPunct w:val="0"/>
                    <w:autoSpaceDE w:val="0"/>
                    <w:autoSpaceDN w:val="0"/>
                    <w:snapToGrid w:val="0"/>
                    <w:jc w:val="center"/>
                    <w:rPr>
                      <w:color w:val="auto"/>
                      <w14:ligatures w14:val="standardContextual"/>
                    </w:rPr>
                  </w:pPr>
                  <w:r>
                    <w:rPr>
                      <w:rFonts w:hint="eastAsia"/>
                      <w:color w:val="auto"/>
                      <w14:ligatures w14:val="standardContextual"/>
                    </w:rPr>
                    <w:t>E765F</w:t>
                  </w:r>
                </w:p>
              </w:tc>
              <w:tc>
                <w:tcPr>
                  <w:tcW w:w="935" w:type="pct"/>
                  <w:vAlign w:val="center"/>
                </w:tcPr>
                <w:p w14:paraId="211A516F">
                  <w:pPr>
                    <w:widowControl w:val="0"/>
                    <w:overflowPunct w:val="0"/>
                    <w:autoSpaceDE w:val="0"/>
                    <w:autoSpaceDN w:val="0"/>
                    <w:snapToGrid w:val="0"/>
                    <w:jc w:val="center"/>
                    <w:rPr>
                      <w:color w:val="auto"/>
                      <w14:ligatures w14:val="standardContextual"/>
                    </w:rPr>
                  </w:pPr>
                  <w:r>
                    <w:rPr>
                      <w:rFonts w:hint="eastAsia"/>
                      <w:color w:val="auto"/>
                      <w14:ligatures w14:val="standardContextual"/>
                    </w:rPr>
                    <w:t>1台</w:t>
                  </w:r>
                </w:p>
              </w:tc>
              <w:tc>
                <w:tcPr>
                  <w:tcW w:w="1391" w:type="pct"/>
                  <w:vAlign w:val="center"/>
                </w:tcPr>
                <w:p w14:paraId="09B2E379">
                  <w:pPr>
                    <w:widowControl w:val="0"/>
                    <w:overflowPunct w:val="0"/>
                    <w:autoSpaceDE w:val="0"/>
                    <w:autoSpaceDN w:val="0"/>
                    <w:snapToGrid w:val="0"/>
                    <w:jc w:val="center"/>
                    <w:rPr>
                      <w:color w:val="auto"/>
                      <w14:ligatures w14:val="standardContextual"/>
                    </w:rPr>
                  </w:pPr>
                  <w:r>
                    <w:rPr>
                      <w:rFonts w:hint="eastAsia"/>
                      <w:color w:val="auto"/>
                      <w14:ligatures w14:val="standardContextual"/>
                    </w:rPr>
                    <w:t>1#煤棚内</w:t>
                  </w:r>
                </w:p>
              </w:tc>
            </w:tr>
            <w:tr w14:paraId="449941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exact"/>
                <w:jc w:val="center"/>
              </w:trPr>
              <w:tc>
                <w:tcPr>
                  <w:tcW w:w="588" w:type="pct"/>
                  <w:vAlign w:val="center"/>
                </w:tcPr>
                <w:p w14:paraId="77CACA02">
                  <w:pPr>
                    <w:widowControl w:val="0"/>
                    <w:overflowPunct w:val="0"/>
                    <w:autoSpaceDE w:val="0"/>
                    <w:autoSpaceDN w:val="0"/>
                    <w:snapToGrid w:val="0"/>
                    <w:jc w:val="center"/>
                    <w:rPr>
                      <w:color w:val="auto"/>
                      <w14:ligatures w14:val="standardContextual"/>
                    </w:rPr>
                  </w:pPr>
                  <w:r>
                    <w:rPr>
                      <w:rFonts w:hint="eastAsia"/>
                      <w:color w:val="auto"/>
                      <w14:ligatures w14:val="standardContextual"/>
                    </w:rPr>
                    <w:t>5</w:t>
                  </w:r>
                </w:p>
              </w:tc>
              <w:tc>
                <w:tcPr>
                  <w:tcW w:w="1224" w:type="pct"/>
                  <w:vAlign w:val="center"/>
                </w:tcPr>
                <w:p w14:paraId="39B49FF2">
                  <w:pPr>
                    <w:widowControl w:val="0"/>
                    <w:overflowPunct w:val="0"/>
                    <w:autoSpaceDE w:val="0"/>
                    <w:autoSpaceDN w:val="0"/>
                    <w:snapToGrid w:val="0"/>
                    <w:jc w:val="center"/>
                    <w:rPr>
                      <w:color w:val="auto"/>
                      <w14:ligatures w14:val="standardContextual"/>
                    </w:rPr>
                  </w:pPr>
                  <w:r>
                    <w:rPr>
                      <w:rFonts w:hint="eastAsia"/>
                      <w:color w:val="auto"/>
                      <w14:ligatures w14:val="standardContextual"/>
                    </w:rPr>
                    <w:t>集装箱自动化系统</w:t>
                  </w:r>
                </w:p>
              </w:tc>
              <w:tc>
                <w:tcPr>
                  <w:tcW w:w="863" w:type="pct"/>
                  <w:vAlign w:val="center"/>
                </w:tcPr>
                <w:p w14:paraId="6168CC12">
                  <w:pPr>
                    <w:widowControl w:val="0"/>
                    <w:overflowPunct w:val="0"/>
                    <w:autoSpaceDE w:val="0"/>
                    <w:autoSpaceDN w:val="0"/>
                    <w:snapToGrid w:val="0"/>
                    <w:jc w:val="center"/>
                    <w:rPr>
                      <w:color w:val="auto"/>
                      <w14:ligatures w14:val="standardContextual"/>
                    </w:rPr>
                  </w:pPr>
                  <w:r>
                    <w:rPr>
                      <w:rFonts w:hint="eastAsia"/>
                      <w:color w:val="auto"/>
                      <w14:ligatures w14:val="standardContextual"/>
                    </w:rPr>
                    <w:t>300T/h</w:t>
                  </w:r>
                </w:p>
              </w:tc>
              <w:tc>
                <w:tcPr>
                  <w:tcW w:w="935" w:type="pct"/>
                  <w:vAlign w:val="center"/>
                </w:tcPr>
                <w:p w14:paraId="0C69C17C">
                  <w:pPr>
                    <w:widowControl w:val="0"/>
                    <w:overflowPunct w:val="0"/>
                    <w:autoSpaceDE w:val="0"/>
                    <w:autoSpaceDN w:val="0"/>
                    <w:snapToGrid w:val="0"/>
                    <w:jc w:val="center"/>
                    <w:rPr>
                      <w:color w:val="auto"/>
                      <w14:ligatures w14:val="standardContextual"/>
                    </w:rPr>
                  </w:pPr>
                  <w:r>
                    <w:rPr>
                      <w:rFonts w:hint="eastAsia"/>
                      <w:color w:val="auto"/>
                      <w14:ligatures w14:val="standardContextual"/>
                    </w:rPr>
                    <w:t>2套</w:t>
                  </w:r>
                </w:p>
              </w:tc>
              <w:tc>
                <w:tcPr>
                  <w:tcW w:w="1391" w:type="pct"/>
                  <w:vAlign w:val="center"/>
                </w:tcPr>
                <w:p w14:paraId="50305796">
                  <w:pPr>
                    <w:widowControl w:val="0"/>
                    <w:overflowPunct w:val="0"/>
                    <w:autoSpaceDE w:val="0"/>
                    <w:autoSpaceDN w:val="0"/>
                    <w:snapToGrid w:val="0"/>
                    <w:jc w:val="center"/>
                    <w:rPr>
                      <w:color w:val="auto"/>
                      <w14:ligatures w14:val="standardContextual"/>
                    </w:rPr>
                  </w:pPr>
                  <w:r>
                    <w:rPr>
                      <w:rFonts w:hint="eastAsia"/>
                      <w:color w:val="auto"/>
                      <w14:ligatures w14:val="standardContextual"/>
                    </w:rPr>
                    <w:t>1#、2#煤棚内各1套</w:t>
                  </w:r>
                </w:p>
              </w:tc>
            </w:tr>
            <w:tr w14:paraId="668CC2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exact"/>
                <w:jc w:val="center"/>
              </w:trPr>
              <w:tc>
                <w:tcPr>
                  <w:tcW w:w="588" w:type="pct"/>
                  <w:vAlign w:val="center"/>
                </w:tcPr>
                <w:p w14:paraId="3F6A6CAB">
                  <w:pPr>
                    <w:widowControl w:val="0"/>
                    <w:overflowPunct w:val="0"/>
                    <w:autoSpaceDE w:val="0"/>
                    <w:autoSpaceDN w:val="0"/>
                    <w:snapToGrid w:val="0"/>
                    <w:jc w:val="center"/>
                    <w:rPr>
                      <w:color w:val="auto"/>
                      <w14:ligatures w14:val="standardContextual"/>
                    </w:rPr>
                  </w:pPr>
                  <w:r>
                    <w:rPr>
                      <w:rFonts w:hint="eastAsia"/>
                      <w:color w:val="auto"/>
                      <w14:ligatures w14:val="standardContextual"/>
                    </w:rPr>
                    <w:t>6</w:t>
                  </w:r>
                </w:p>
              </w:tc>
              <w:tc>
                <w:tcPr>
                  <w:tcW w:w="1224" w:type="pct"/>
                  <w:vAlign w:val="center"/>
                </w:tcPr>
                <w:p w14:paraId="70D79FB4">
                  <w:pPr>
                    <w:widowControl w:val="0"/>
                    <w:overflowPunct w:val="0"/>
                    <w:autoSpaceDE w:val="0"/>
                    <w:autoSpaceDN w:val="0"/>
                    <w:snapToGrid w:val="0"/>
                    <w:jc w:val="center"/>
                    <w:rPr>
                      <w:color w:val="auto"/>
                      <w14:ligatures w14:val="standardContextual"/>
                    </w:rPr>
                  </w:pPr>
                  <w:r>
                    <w:rPr>
                      <w:rFonts w:hint="eastAsia"/>
                      <w:color w:val="auto"/>
                      <w14:ligatures w14:val="standardContextual"/>
                    </w:rPr>
                    <w:t>地磅</w:t>
                  </w:r>
                </w:p>
              </w:tc>
              <w:tc>
                <w:tcPr>
                  <w:tcW w:w="863" w:type="pct"/>
                  <w:vAlign w:val="center"/>
                </w:tcPr>
                <w:p w14:paraId="1B16B674">
                  <w:pPr>
                    <w:widowControl w:val="0"/>
                    <w:overflowPunct w:val="0"/>
                    <w:autoSpaceDE w:val="0"/>
                    <w:autoSpaceDN w:val="0"/>
                    <w:snapToGrid w:val="0"/>
                    <w:jc w:val="center"/>
                    <w:rPr>
                      <w:color w:val="auto"/>
                      <w14:ligatures w14:val="standardContextual"/>
                    </w:rPr>
                  </w:pPr>
                  <w:r>
                    <w:rPr>
                      <w:rFonts w:hint="eastAsia"/>
                      <w:color w:val="auto"/>
                      <w14:ligatures w14:val="standardContextual"/>
                    </w:rPr>
                    <w:t>100T</w:t>
                  </w:r>
                </w:p>
              </w:tc>
              <w:tc>
                <w:tcPr>
                  <w:tcW w:w="935" w:type="pct"/>
                  <w:vAlign w:val="center"/>
                </w:tcPr>
                <w:p w14:paraId="51622F92">
                  <w:pPr>
                    <w:widowControl w:val="0"/>
                    <w:overflowPunct w:val="0"/>
                    <w:autoSpaceDE w:val="0"/>
                    <w:autoSpaceDN w:val="0"/>
                    <w:snapToGrid w:val="0"/>
                    <w:jc w:val="center"/>
                    <w:rPr>
                      <w:color w:val="auto"/>
                      <w14:ligatures w14:val="standardContextual"/>
                    </w:rPr>
                  </w:pPr>
                  <w:r>
                    <w:rPr>
                      <w:rFonts w:hint="eastAsia"/>
                      <w:color w:val="auto"/>
                      <w14:ligatures w14:val="standardContextual"/>
                    </w:rPr>
                    <w:t>4台</w:t>
                  </w:r>
                </w:p>
              </w:tc>
              <w:tc>
                <w:tcPr>
                  <w:tcW w:w="1391" w:type="pct"/>
                  <w:vAlign w:val="center"/>
                </w:tcPr>
                <w:p w14:paraId="3EC7CD0E">
                  <w:pPr>
                    <w:widowControl w:val="0"/>
                    <w:overflowPunct w:val="0"/>
                    <w:autoSpaceDE w:val="0"/>
                    <w:autoSpaceDN w:val="0"/>
                    <w:snapToGrid w:val="0"/>
                    <w:jc w:val="center"/>
                    <w:rPr>
                      <w:color w:val="auto"/>
                      <w14:ligatures w14:val="standardContextual"/>
                    </w:rPr>
                  </w:pPr>
                  <w:r>
                    <w:rPr>
                      <w:rFonts w:hint="eastAsia"/>
                      <w:color w:val="auto"/>
                      <w14:ligatures w14:val="standardContextual"/>
                    </w:rPr>
                    <w:t>厂区入口</w:t>
                  </w:r>
                </w:p>
              </w:tc>
            </w:tr>
            <w:tr w14:paraId="36FFA8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exact"/>
                <w:jc w:val="center"/>
              </w:trPr>
              <w:tc>
                <w:tcPr>
                  <w:tcW w:w="588" w:type="pct"/>
                  <w:vAlign w:val="center"/>
                </w:tcPr>
                <w:p w14:paraId="18D07FD1">
                  <w:pPr>
                    <w:widowControl w:val="0"/>
                    <w:overflowPunct w:val="0"/>
                    <w:autoSpaceDE w:val="0"/>
                    <w:autoSpaceDN w:val="0"/>
                    <w:snapToGrid w:val="0"/>
                    <w:jc w:val="center"/>
                    <w:rPr>
                      <w:color w:val="auto"/>
                      <w14:ligatures w14:val="standardContextual"/>
                    </w:rPr>
                  </w:pPr>
                  <w:r>
                    <w:rPr>
                      <w:rFonts w:hint="eastAsia"/>
                      <w:color w:val="auto"/>
                      <w14:ligatures w14:val="standardContextual"/>
                    </w:rPr>
                    <w:t>4</w:t>
                  </w:r>
                </w:p>
              </w:tc>
              <w:tc>
                <w:tcPr>
                  <w:tcW w:w="1224" w:type="pct"/>
                  <w:vAlign w:val="center"/>
                </w:tcPr>
                <w:p w14:paraId="11C42F39">
                  <w:pPr>
                    <w:widowControl w:val="0"/>
                    <w:overflowPunct w:val="0"/>
                    <w:autoSpaceDE w:val="0"/>
                    <w:autoSpaceDN w:val="0"/>
                    <w:snapToGrid w:val="0"/>
                    <w:jc w:val="center"/>
                    <w:rPr>
                      <w:color w:val="auto"/>
                      <w14:ligatures w14:val="standardContextual"/>
                    </w:rPr>
                  </w:pPr>
                  <w:r>
                    <w:rPr>
                      <w:color w:val="auto"/>
                      <w14:ligatures w14:val="standardContextual"/>
                    </w:rPr>
                    <w:t>喷雾灭尘装置</w:t>
                  </w:r>
                </w:p>
              </w:tc>
              <w:tc>
                <w:tcPr>
                  <w:tcW w:w="863" w:type="pct"/>
                  <w:vAlign w:val="center"/>
                </w:tcPr>
                <w:p w14:paraId="2E545D53">
                  <w:pPr>
                    <w:widowControl w:val="0"/>
                    <w:overflowPunct w:val="0"/>
                    <w:autoSpaceDE w:val="0"/>
                    <w:autoSpaceDN w:val="0"/>
                    <w:snapToGrid w:val="0"/>
                    <w:jc w:val="center"/>
                    <w:rPr>
                      <w:color w:val="auto"/>
                      <w14:ligatures w14:val="standardContextual"/>
                    </w:rPr>
                  </w:pPr>
                  <w:r>
                    <w:rPr>
                      <w:rFonts w:hint="eastAsia"/>
                      <w:color w:val="auto"/>
                      <w14:ligatures w14:val="standardContextual"/>
                    </w:rPr>
                    <w:t>/</w:t>
                  </w:r>
                </w:p>
              </w:tc>
              <w:tc>
                <w:tcPr>
                  <w:tcW w:w="935" w:type="pct"/>
                  <w:vAlign w:val="center"/>
                </w:tcPr>
                <w:p w14:paraId="758CF4CB">
                  <w:pPr>
                    <w:widowControl w:val="0"/>
                    <w:overflowPunct w:val="0"/>
                    <w:autoSpaceDE w:val="0"/>
                    <w:autoSpaceDN w:val="0"/>
                    <w:snapToGrid w:val="0"/>
                    <w:jc w:val="center"/>
                    <w:rPr>
                      <w:color w:val="auto"/>
                      <w14:ligatures w14:val="standardContextual"/>
                    </w:rPr>
                  </w:pPr>
                  <w:r>
                    <w:rPr>
                      <w:rFonts w:hint="eastAsia"/>
                      <w:color w:val="auto"/>
                      <w14:ligatures w14:val="standardContextual"/>
                    </w:rPr>
                    <w:t>12套</w:t>
                  </w:r>
                </w:p>
              </w:tc>
              <w:tc>
                <w:tcPr>
                  <w:tcW w:w="1391" w:type="pct"/>
                  <w:vAlign w:val="center"/>
                </w:tcPr>
                <w:p w14:paraId="3B980010">
                  <w:pPr>
                    <w:widowControl w:val="0"/>
                    <w:overflowPunct w:val="0"/>
                    <w:autoSpaceDE w:val="0"/>
                    <w:autoSpaceDN w:val="0"/>
                    <w:snapToGrid w:val="0"/>
                    <w:jc w:val="center"/>
                    <w:rPr>
                      <w:color w:val="auto"/>
                      <w14:ligatures w14:val="standardContextual"/>
                    </w:rPr>
                  </w:pPr>
                  <w:r>
                    <w:rPr>
                      <w:rFonts w:hint="eastAsia"/>
                      <w:color w:val="auto"/>
                      <w14:ligatures w14:val="standardContextual"/>
                    </w:rPr>
                    <w:t>1#、2#煤棚内</w:t>
                  </w:r>
                </w:p>
              </w:tc>
            </w:tr>
            <w:tr w14:paraId="5B127C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exact"/>
                <w:jc w:val="center"/>
              </w:trPr>
              <w:tc>
                <w:tcPr>
                  <w:tcW w:w="588" w:type="pct"/>
                  <w:vAlign w:val="center"/>
                </w:tcPr>
                <w:p w14:paraId="5A7722DC">
                  <w:pPr>
                    <w:widowControl w:val="0"/>
                    <w:overflowPunct w:val="0"/>
                    <w:autoSpaceDE w:val="0"/>
                    <w:autoSpaceDN w:val="0"/>
                    <w:snapToGrid w:val="0"/>
                    <w:jc w:val="center"/>
                    <w:rPr>
                      <w:color w:val="auto"/>
                      <w14:ligatures w14:val="standardContextual"/>
                    </w:rPr>
                  </w:pPr>
                  <w:r>
                    <w:rPr>
                      <w:color w:val="auto"/>
                      <w14:ligatures w14:val="standardContextual"/>
                    </w:rPr>
                    <w:t>5</w:t>
                  </w:r>
                </w:p>
              </w:tc>
              <w:tc>
                <w:tcPr>
                  <w:tcW w:w="1224" w:type="pct"/>
                  <w:vAlign w:val="center"/>
                </w:tcPr>
                <w:p w14:paraId="2781434A">
                  <w:pPr>
                    <w:widowControl w:val="0"/>
                    <w:overflowPunct w:val="0"/>
                    <w:autoSpaceDE w:val="0"/>
                    <w:autoSpaceDN w:val="0"/>
                    <w:snapToGrid w:val="0"/>
                    <w:jc w:val="center"/>
                    <w:rPr>
                      <w:color w:val="auto"/>
                      <w14:ligatures w14:val="standardContextual"/>
                    </w:rPr>
                  </w:pPr>
                  <w:r>
                    <w:rPr>
                      <w:color w:val="auto"/>
                      <w14:ligatures w14:val="standardContextual"/>
                    </w:rPr>
                    <w:t>洒水车</w:t>
                  </w:r>
                </w:p>
              </w:tc>
              <w:tc>
                <w:tcPr>
                  <w:tcW w:w="863" w:type="pct"/>
                  <w:vAlign w:val="center"/>
                </w:tcPr>
                <w:p w14:paraId="24FF40E8">
                  <w:pPr>
                    <w:widowControl w:val="0"/>
                    <w:overflowPunct w:val="0"/>
                    <w:autoSpaceDE w:val="0"/>
                    <w:autoSpaceDN w:val="0"/>
                    <w:snapToGrid w:val="0"/>
                    <w:jc w:val="center"/>
                    <w:rPr>
                      <w:color w:val="auto"/>
                      <w14:ligatures w14:val="standardContextual"/>
                    </w:rPr>
                  </w:pPr>
                  <w:r>
                    <w:rPr>
                      <w:rFonts w:hint="eastAsia"/>
                      <w:color w:val="auto"/>
                      <w14:ligatures w14:val="standardContextual"/>
                    </w:rPr>
                    <w:t>5m</w:t>
                  </w:r>
                  <w:r>
                    <w:rPr>
                      <w:rFonts w:hint="eastAsia"/>
                      <w:color w:val="auto"/>
                      <w:vertAlign w:val="superscript"/>
                      <w14:ligatures w14:val="standardContextual"/>
                    </w:rPr>
                    <w:t>3</w:t>
                  </w:r>
                </w:p>
              </w:tc>
              <w:tc>
                <w:tcPr>
                  <w:tcW w:w="935" w:type="pct"/>
                  <w:vAlign w:val="center"/>
                </w:tcPr>
                <w:p w14:paraId="6F69C1A5">
                  <w:pPr>
                    <w:widowControl w:val="0"/>
                    <w:overflowPunct w:val="0"/>
                    <w:autoSpaceDE w:val="0"/>
                    <w:autoSpaceDN w:val="0"/>
                    <w:snapToGrid w:val="0"/>
                    <w:jc w:val="center"/>
                    <w:rPr>
                      <w:color w:val="auto"/>
                      <w14:ligatures w14:val="standardContextual"/>
                    </w:rPr>
                  </w:pPr>
                  <w:r>
                    <w:rPr>
                      <w:rFonts w:hint="eastAsia"/>
                      <w:color w:val="auto"/>
                      <w14:ligatures w14:val="standardContextual"/>
                    </w:rPr>
                    <w:t>1辆</w:t>
                  </w:r>
                </w:p>
              </w:tc>
              <w:tc>
                <w:tcPr>
                  <w:tcW w:w="1391" w:type="pct"/>
                  <w:vAlign w:val="center"/>
                </w:tcPr>
                <w:p w14:paraId="4736CE14">
                  <w:pPr>
                    <w:widowControl w:val="0"/>
                    <w:overflowPunct w:val="0"/>
                    <w:autoSpaceDE w:val="0"/>
                    <w:autoSpaceDN w:val="0"/>
                    <w:snapToGrid w:val="0"/>
                    <w:jc w:val="center"/>
                    <w:rPr>
                      <w:color w:val="auto"/>
                      <w14:ligatures w14:val="standardContextual"/>
                    </w:rPr>
                  </w:pPr>
                  <w:r>
                    <w:rPr>
                      <w:rFonts w:hint="eastAsia"/>
                      <w:color w:val="auto"/>
                      <w14:ligatures w14:val="standardContextual"/>
                    </w:rPr>
                    <w:t>固定</w:t>
                  </w:r>
                  <w:r>
                    <w:rPr>
                      <w:color w:val="auto"/>
                      <w14:ligatures w14:val="standardContextual"/>
                    </w:rPr>
                    <w:t>装卸点</w:t>
                  </w:r>
                </w:p>
              </w:tc>
            </w:tr>
          </w:tbl>
          <w:p w14:paraId="3C690CC0">
            <w:pPr>
              <w:pStyle w:val="7"/>
              <w:rPr>
                <w:color w:val="auto"/>
              </w:rPr>
            </w:pPr>
            <w:r>
              <w:rPr>
                <w:rFonts w:hint="eastAsia"/>
                <w:color w:val="auto"/>
              </w:rPr>
              <w:t>六、主要原辅材料及燃料</w:t>
            </w:r>
          </w:p>
          <w:p w14:paraId="76DF9B33">
            <w:pPr>
              <w:pStyle w:val="3"/>
              <w:ind w:firstLine="480"/>
              <w:rPr>
                <w:color w:val="auto"/>
              </w:rPr>
            </w:pPr>
            <w:r>
              <w:rPr>
                <w:rFonts w:hint="eastAsia"/>
                <w:color w:val="auto"/>
              </w:rPr>
              <w:t>本项目仅用于成品煤炭储存、装卸、装车，不涉及物料的任何加工洗选等活动，不涉及原辅材料及燃料。</w:t>
            </w:r>
          </w:p>
          <w:p w14:paraId="404DFDE6">
            <w:pPr>
              <w:pStyle w:val="7"/>
              <w:rPr>
                <w:color w:val="auto"/>
              </w:rPr>
            </w:pPr>
            <w:r>
              <w:rPr>
                <w:rFonts w:hint="eastAsia"/>
                <w:color w:val="auto"/>
              </w:rPr>
              <w:t>七、劳动定员及工作制度</w:t>
            </w:r>
          </w:p>
          <w:p w14:paraId="53A2CEF5">
            <w:pPr>
              <w:pStyle w:val="3"/>
              <w:ind w:firstLine="480"/>
              <w:rPr>
                <w:color w:val="auto"/>
              </w:rPr>
            </w:pPr>
            <w:r>
              <w:rPr>
                <w:rFonts w:hint="eastAsia"/>
                <w:color w:val="auto"/>
              </w:rPr>
              <w:t>本项目全厂劳动定员为10人，均为煤炭装卸工人。工作制度为一班制，一班8小时，年工作330天，共2640h/a。</w:t>
            </w:r>
          </w:p>
          <w:p w14:paraId="2AC3FCD0">
            <w:pPr>
              <w:pStyle w:val="7"/>
              <w:rPr>
                <w:color w:val="auto"/>
              </w:rPr>
            </w:pPr>
            <w:r>
              <w:rPr>
                <w:rFonts w:hint="eastAsia"/>
                <w:color w:val="auto"/>
              </w:rPr>
              <w:t>八、公用工程</w:t>
            </w:r>
          </w:p>
          <w:p w14:paraId="0A144237">
            <w:pPr>
              <w:pStyle w:val="3"/>
              <w:ind w:firstLine="482"/>
              <w:rPr>
                <w:b/>
                <w:bCs/>
                <w:color w:val="auto"/>
              </w:rPr>
            </w:pPr>
            <w:r>
              <w:rPr>
                <w:rFonts w:hint="eastAsia"/>
                <w:b/>
                <w:bCs/>
                <w:color w:val="auto"/>
              </w:rPr>
              <w:t>（1）用水</w:t>
            </w:r>
          </w:p>
          <w:p w14:paraId="012E6165">
            <w:pPr>
              <w:pStyle w:val="3"/>
              <w:ind w:firstLine="480"/>
              <w:rPr>
                <w:color w:val="auto"/>
              </w:rPr>
            </w:pPr>
            <w:r>
              <w:rPr>
                <w:rFonts w:hint="eastAsia"/>
                <w:color w:val="auto"/>
              </w:rPr>
              <w:t>厂区用水主要为职工生活用水、车辆冲洗补充水、喷雾降尘用水以及绿化用水。</w:t>
            </w:r>
          </w:p>
          <w:p w14:paraId="43ED6724">
            <w:pPr>
              <w:pStyle w:val="3"/>
              <w:ind w:firstLine="480"/>
              <w:rPr>
                <w:color w:val="auto"/>
              </w:rPr>
            </w:pPr>
            <w:r>
              <w:rPr>
                <w:rFonts w:hint="eastAsia"/>
                <w:color w:val="auto"/>
              </w:rPr>
              <w:t>生活用水：本项目生活用水全部使用新鲜水，用水量参照《建筑给水排水设计标准》（</w:t>
            </w:r>
            <w:r>
              <w:rPr>
                <w:color w:val="auto"/>
              </w:rPr>
              <w:t>GB50015-2019</w:t>
            </w:r>
            <w:r>
              <w:rPr>
                <w:rFonts w:hint="eastAsia"/>
                <w:color w:val="auto"/>
              </w:rPr>
              <w:t>）中系数，按照70L/d•人取值。本项目全厂劳动定员为10人，则生活用水为0.7 m³/d（231.0 m</w:t>
            </w:r>
            <w:r>
              <w:rPr>
                <w:rFonts w:hint="eastAsia"/>
                <w:color w:val="auto"/>
                <w:vertAlign w:val="superscript"/>
              </w:rPr>
              <w:t>3</w:t>
            </w:r>
            <w:r>
              <w:rPr>
                <w:rFonts w:hint="eastAsia"/>
                <w:color w:val="auto"/>
              </w:rPr>
              <w:t>/a）。</w:t>
            </w:r>
          </w:p>
          <w:p w14:paraId="5210BD6E">
            <w:pPr>
              <w:pStyle w:val="3"/>
              <w:ind w:firstLine="480"/>
              <w:rPr>
                <w:color w:val="auto"/>
              </w:rPr>
            </w:pPr>
            <w:r>
              <w:rPr>
                <w:rFonts w:hint="eastAsia"/>
                <w:color w:val="auto"/>
              </w:rPr>
              <w:t>车辆冲洗补充水：运输汽车进出厂区需对轮胎进行清洗，评价要求企业建设一座车辆清洗平台及1座沉淀水池，总容积约为25m</w:t>
            </w:r>
            <w:r>
              <w:rPr>
                <w:rFonts w:hint="eastAsia"/>
                <w:color w:val="auto"/>
                <w:vertAlign w:val="superscript"/>
              </w:rPr>
              <w:t>3</w:t>
            </w:r>
            <w:r>
              <w:rPr>
                <w:rFonts w:hint="eastAsia"/>
                <w:color w:val="auto"/>
              </w:rPr>
              <w:t>，清洗废水循环使用，本洗车平台设施供全厂使用。根据《环境影响评价技术手册水利水电工程》，平均每台机械设备每天冲洗水0.4m</w:t>
            </w:r>
            <w:r>
              <w:rPr>
                <w:rFonts w:hint="eastAsia"/>
                <w:color w:val="auto"/>
                <w:vertAlign w:val="superscript"/>
              </w:rPr>
              <w:t>3</w:t>
            </w:r>
            <w:r>
              <w:rPr>
                <w:rFonts w:hint="eastAsia"/>
                <w:color w:val="auto"/>
              </w:rPr>
              <w:t>/台•d，全厂每天预计运输约为182车次，补充水量约为5%，则车辆冲洗水补充水用量为3.6m</w:t>
            </w:r>
            <w:r>
              <w:rPr>
                <w:rFonts w:hint="eastAsia"/>
                <w:color w:val="auto"/>
                <w:vertAlign w:val="superscript"/>
              </w:rPr>
              <w:t>3</w:t>
            </w:r>
            <w:r>
              <w:rPr>
                <w:rFonts w:hint="eastAsia"/>
                <w:color w:val="auto"/>
              </w:rPr>
              <w:t>/d。清洗废水循环使用、定期补充，不外排，定期清理沉淀池沉渣。</w:t>
            </w:r>
          </w:p>
          <w:p w14:paraId="5E54D525">
            <w:pPr>
              <w:pStyle w:val="3"/>
              <w:ind w:firstLine="480"/>
              <w:rPr>
                <w:color w:val="auto"/>
              </w:rPr>
            </w:pPr>
            <w:r>
              <w:rPr>
                <w:rFonts w:hint="eastAsia"/>
                <w:color w:val="auto"/>
              </w:rPr>
              <w:t>喷雾降尘用水：平均每天用水量为3.0m</w:t>
            </w:r>
            <w:r>
              <w:rPr>
                <w:rFonts w:hint="eastAsia"/>
                <w:color w:val="auto"/>
                <w:vertAlign w:val="superscript"/>
              </w:rPr>
              <w:t>3</w:t>
            </w:r>
            <w:r>
              <w:rPr>
                <w:rFonts w:hint="eastAsia"/>
                <w:color w:val="auto"/>
              </w:rPr>
              <w:t>/d。</w:t>
            </w:r>
          </w:p>
          <w:p w14:paraId="660E2066">
            <w:pPr>
              <w:pStyle w:val="3"/>
              <w:ind w:firstLine="480"/>
              <w:rPr>
                <w:color w:val="auto"/>
              </w:rPr>
            </w:pPr>
            <w:r>
              <w:rPr>
                <w:rFonts w:hint="eastAsia"/>
                <w:color w:val="auto"/>
              </w:rPr>
              <w:t>绿化用水：本工程绿化区浇灌面积约1308m</w:t>
            </w:r>
            <w:r>
              <w:rPr>
                <w:rFonts w:hint="eastAsia"/>
                <w:color w:val="auto"/>
                <w:vertAlign w:val="superscript"/>
              </w:rPr>
              <w:t>2</w:t>
            </w:r>
            <w:r>
              <w:rPr>
                <w:rFonts w:hint="eastAsia"/>
                <w:color w:val="auto"/>
              </w:rPr>
              <w:t>，绿化用水定额按0.15m</w:t>
            </w:r>
            <w:r>
              <w:rPr>
                <w:rFonts w:hint="eastAsia"/>
                <w:color w:val="auto"/>
                <w:vertAlign w:val="superscript"/>
              </w:rPr>
              <w:t>3</w:t>
            </w:r>
            <w:r>
              <w:rPr>
                <w:rFonts w:hint="eastAsia"/>
                <w:color w:val="auto"/>
              </w:rPr>
              <w:t>/m</w:t>
            </w:r>
            <w:r>
              <w:rPr>
                <w:rFonts w:hint="eastAsia"/>
                <w:color w:val="auto"/>
                <w:vertAlign w:val="superscript"/>
              </w:rPr>
              <w:t>2</w:t>
            </w:r>
            <w:r>
              <w:rPr>
                <w:color w:val="auto"/>
              </w:rPr>
              <w:t>·</w:t>
            </w:r>
            <w:r>
              <w:rPr>
                <w:rFonts w:hint="eastAsia"/>
                <w:color w:val="auto"/>
              </w:rPr>
              <w:t>a计，灌溉期按200d计，则本扩建工程绿化用水约为0.98m</w:t>
            </w:r>
            <w:r>
              <w:rPr>
                <w:rFonts w:hint="eastAsia"/>
                <w:color w:val="auto"/>
                <w:vertAlign w:val="superscript"/>
              </w:rPr>
              <w:t>3</w:t>
            </w:r>
            <w:r>
              <w:rPr>
                <w:rFonts w:hint="eastAsia"/>
                <w:color w:val="auto"/>
              </w:rPr>
              <w:t>/d（196.2m</w:t>
            </w:r>
            <w:r>
              <w:rPr>
                <w:rFonts w:hint="eastAsia"/>
                <w:color w:val="auto"/>
                <w:vertAlign w:val="superscript"/>
              </w:rPr>
              <w:t>3</w:t>
            </w:r>
            <w:r>
              <w:rPr>
                <w:rFonts w:hint="eastAsia"/>
                <w:color w:val="auto"/>
              </w:rPr>
              <w:t>/a）。</w:t>
            </w:r>
          </w:p>
          <w:p w14:paraId="6B2A00FB">
            <w:pPr>
              <w:pStyle w:val="3"/>
              <w:ind w:firstLine="482"/>
              <w:rPr>
                <w:b/>
                <w:bCs/>
                <w:color w:val="auto"/>
              </w:rPr>
            </w:pPr>
            <w:r>
              <w:rPr>
                <w:rFonts w:hint="eastAsia"/>
                <w:b/>
                <w:bCs/>
                <w:color w:val="auto"/>
              </w:rPr>
              <w:t>（2）排水</w:t>
            </w:r>
          </w:p>
          <w:p w14:paraId="1CD6DB52">
            <w:pPr>
              <w:pStyle w:val="3"/>
              <w:ind w:firstLine="480"/>
              <w:rPr>
                <w:color w:val="auto"/>
              </w:rPr>
            </w:pPr>
            <w:r>
              <w:rPr>
                <w:rFonts w:hint="eastAsia"/>
                <w:color w:val="auto"/>
              </w:rPr>
              <w:t>该项目运营期产生的废水主要为生活污水，排水系数按0.8计，产生量约为0.56m</w:t>
            </w:r>
            <w:r>
              <w:rPr>
                <w:rFonts w:hint="eastAsia"/>
                <w:color w:val="auto"/>
                <w:vertAlign w:val="superscript"/>
              </w:rPr>
              <w:t>3</w:t>
            </w:r>
            <w:r>
              <w:rPr>
                <w:rFonts w:hint="eastAsia"/>
                <w:color w:val="auto"/>
              </w:rPr>
              <w:t>/d，排入</w:t>
            </w:r>
            <w:r>
              <w:rPr>
                <w:rFonts w:hint="eastAsia"/>
                <w:b/>
                <w:bCs/>
                <w:color w:val="auto"/>
              </w:rPr>
              <w:t>地埋式一体化污水处理设施</w:t>
            </w:r>
            <w:r>
              <w:rPr>
                <w:rFonts w:hint="eastAsia"/>
                <w:color w:val="auto"/>
              </w:rPr>
              <w:t>预处理后定期清运至鄯善县污水处理厂。</w:t>
            </w:r>
          </w:p>
          <w:p w14:paraId="66C15DD9">
            <w:pPr>
              <w:pStyle w:val="3"/>
              <w:ind w:firstLine="480"/>
              <w:rPr>
                <w:color w:val="auto"/>
              </w:rPr>
            </w:pPr>
            <w:r>
              <w:rPr>
                <w:rFonts w:hint="eastAsia"/>
                <w:color w:val="auto"/>
              </w:rPr>
              <w:t>本项目建成后全厂水平衡如下：</w:t>
            </w:r>
          </w:p>
          <w:p w14:paraId="2A42B020">
            <w:pPr>
              <w:pStyle w:val="49"/>
              <w:rPr>
                <w:color w:val="auto"/>
              </w:rPr>
            </w:pPr>
            <w:bookmarkStart w:id="18" w:name="_Ref176881275"/>
            <w:r>
              <w:rPr>
                <w:rFonts w:hint="eastAsia"/>
                <w:color w:val="auto"/>
              </w:rPr>
              <w:t xml:space="preserve">表2- </w:t>
            </w:r>
            <w:r>
              <w:rPr>
                <w:color w:val="auto"/>
              </w:rPr>
              <w:t>11</w:t>
            </w:r>
            <w:r>
              <w:rPr>
                <w:rFonts w:hint="eastAsia"/>
                <w:color w:val="auto"/>
              </w:rPr>
              <w:t>：水平衡表（单位m³/d）</w:t>
            </w:r>
            <w:bookmarkEnd w:id="18"/>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890"/>
              <w:gridCol w:w="1526"/>
              <w:gridCol w:w="919"/>
              <w:gridCol w:w="998"/>
              <w:gridCol w:w="998"/>
              <w:gridCol w:w="1649"/>
            </w:tblGrid>
            <w:tr w14:paraId="1F87B8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185"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2384162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用水环节</w:t>
                  </w:r>
                </w:p>
              </w:tc>
              <w:tc>
                <w:tcPr>
                  <w:tcW w:w="95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D51D1E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用水定额</w:t>
                  </w:r>
                </w:p>
              </w:tc>
              <w:tc>
                <w:tcPr>
                  <w:tcW w:w="57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6EF0DB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数量</w:t>
                  </w:r>
                </w:p>
              </w:tc>
              <w:tc>
                <w:tcPr>
                  <w:tcW w:w="625"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BEE348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日用水量(m</w:t>
                  </w:r>
                  <w:r>
                    <w:rPr>
                      <w:rFonts w:hint="default" w:ascii="Times New Roman" w:hAnsi="Times New Roman" w:eastAsia="宋体" w:cs="Times New Roman"/>
                      <w:b/>
                      <w:i w:val="0"/>
                      <w:color w:val="auto"/>
                      <w:sz w:val="21"/>
                      <w:szCs w:val="21"/>
                      <w:vertAlign w:val="superscript"/>
                      <w14:ligatures w14:val="standardContextual"/>
                    </w:rPr>
                    <w:t>3</w:t>
                  </w:r>
                  <w:r>
                    <w:rPr>
                      <w:rFonts w:hint="default" w:ascii="Times New Roman" w:hAnsi="Times New Roman" w:eastAsia="宋体" w:cs="Times New Roman"/>
                      <w:b/>
                      <w:i w:val="0"/>
                      <w:color w:val="auto"/>
                      <w:sz w:val="21"/>
                      <w:szCs w:val="21"/>
                      <w14:ligatures w14:val="standardContextual"/>
                    </w:rPr>
                    <w:t>/d)</w:t>
                  </w:r>
                </w:p>
              </w:tc>
              <w:tc>
                <w:tcPr>
                  <w:tcW w:w="625"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C61A2A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日</w:t>
                  </w:r>
                  <w:r>
                    <w:rPr>
                      <w:rFonts w:hint="default" w:ascii="Times New Roman" w:hAnsi="Times New Roman" w:eastAsia="宋体" w:cs="Times New Roman"/>
                      <w:b/>
                      <w:i w:val="0"/>
                      <w:color w:val="auto"/>
                      <w:sz w:val="21"/>
                      <w:szCs w:val="21"/>
                      <w14:ligatures w14:val="standardContextual"/>
                    </w:rPr>
                    <w:t>排水量(m</w:t>
                  </w:r>
                  <w:r>
                    <w:rPr>
                      <w:rFonts w:hint="default" w:ascii="Times New Roman" w:hAnsi="Times New Roman" w:eastAsia="宋体" w:cs="Times New Roman"/>
                      <w:b/>
                      <w:i w:val="0"/>
                      <w:color w:val="auto"/>
                      <w:sz w:val="21"/>
                      <w:szCs w:val="21"/>
                      <w:vertAlign w:val="superscript"/>
                      <w14:ligatures w14:val="standardContextual"/>
                    </w:rPr>
                    <w:t>3</w:t>
                  </w:r>
                  <w:r>
                    <w:rPr>
                      <w:rFonts w:hint="default" w:ascii="Times New Roman" w:hAnsi="Times New Roman" w:eastAsia="宋体" w:cs="Times New Roman"/>
                      <w:b/>
                      <w:i w:val="0"/>
                      <w:color w:val="auto"/>
                      <w:sz w:val="21"/>
                      <w:szCs w:val="21"/>
                      <w14:ligatures w14:val="standardContextual"/>
                    </w:rPr>
                    <w:t>/d)</w:t>
                  </w:r>
                </w:p>
              </w:tc>
              <w:tc>
                <w:tcPr>
                  <w:tcW w:w="1034" w:type="pct"/>
                  <w:tcBorders>
                    <w:top w:val="single" w:color="auto" w:sz="12" w:space="0"/>
                    <w:bottom w:val="single" w:color="auto" w:sz="12" w:space="0"/>
                    <w:right w:val="nil"/>
                    <w:insideH w:val="single" w:sz="12" w:space="0"/>
                    <w:insideV w:val="single" w:sz="4" w:space="0"/>
                    <w:tl2br w:val="nil"/>
                    <w:tr2bl w:val="nil"/>
                  </w:tcBorders>
                  <w:vAlign w:val="center"/>
                </w:tcPr>
                <w:p w14:paraId="48A93CA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备注</w:t>
                  </w:r>
                </w:p>
              </w:tc>
            </w:tr>
            <w:tr w14:paraId="5839B8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185" w:type="pct"/>
                  <w:vAlign w:val="center"/>
                </w:tcPr>
                <w:p w14:paraId="34B3EE80">
                  <w:pPr>
                    <w:widowControl w:val="0"/>
                    <w:overflowPunct w:val="0"/>
                    <w:autoSpaceDE w:val="0"/>
                    <w:autoSpaceDN w:val="0"/>
                    <w:snapToGrid w:val="0"/>
                    <w:jc w:val="center"/>
                    <w:rPr>
                      <w:color w:val="auto"/>
                      <w14:ligatures w14:val="standardContextual"/>
                    </w:rPr>
                  </w:pPr>
                  <w:r>
                    <w:rPr>
                      <w:color w:val="auto"/>
                      <w14:ligatures w14:val="standardContextual"/>
                    </w:rPr>
                    <w:t>生活用水</w:t>
                  </w:r>
                </w:p>
              </w:tc>
              <w:tc>
                <w:tcPr>
                  <w:tcW w:w="956" w:type="pct"/>
                  <w:vAlign w:val="center"/>
                </w:tcPr>
                <w:p w14:paraId="75D18561">
                  <w:pPr>
                    <w:widowControl w:val="0"/>
                    <w:overflowPunct w:val="0"/>
                    <w:autoSpaceDE w:val="0"/>
                    <w:autoSpaceDN w:val="0"/>
                    <w:snapToGrid w:val="0"/>
                    <w:jc w:val="center"/>
                    <w:rPr>
                      <w:color w:val="auto"/>
                      <w14:ligatures w14:val="standardContextual"/>
                    </w:rPr>
                  </w:pPr>
                  <w:r>
                    <w:rPr>
                      <w:rFonts w:hint="eastAsia"/>
                      <w:color w:val="auto"/>
                      <w14:ligatures w14:val="standardContextual"/>
                    </w:rPr>
                    <w:t>7</w:t>
                  </w:r>
                  <w:r>
                    <w:rPr>
                      <w:color w:val="auto"/>
                      <w14:ligatures w14:val="standardContextual"/>
                    </w:rPr>
                    <w:t>0L/d·人</w:t>
                  </w:r>
                </w:p>
              </w:tc>
              <w:tc>
                <w:tcPr>
                  <w:tcW w:w="576" w:type="pct"/>
                  <w:vAlign w:val="center"/>
                </w:tcPr>
                <w:p w14:paraId="01F6D520">
                  <w:pPr>
                    <w:widowControl w:val="0"/>
                    <w:overflowPunct w:val="0"/>
                    <w:autoSpaceDE w:val="0"/>
                    <w:autoSpaceDN w:val="0"/>
                    <w:snapToGrid w:val="0"/>
                    <w:jc w:val="center"/>
                    <w:rPr>
                      <w:color w:val="auto"/>
                      <w14:ligatures w14:val="standardContextual"/>
                    </w:rPr>
                  </w:pPr>
                  <w:r>
                    <w:rPr>
                      <w:rFonts w:hint="eastAsia"/>
                      <w:color w:val="auto"/>
                      <w14:ligatures w14:val="standardContextual"/>
                    </w:rPr>
                    <w:t>10</w:t>
                  </w:r>
                  <w:r>
                    <w:rPr>
                      <w:color w:val="auto"/>
                      <w14:ligatures w14:val="standardContextual"/>
                    </w:rPr>
                    <w:t>人</w:t>
                  </w:r>
                </w:p>
              </w:tc>
              <w:tc>
                <w:tcPr>
                  <w:tcW w:w="625" w:type="pct"/>
                  <w:vAlign w:val="center"/>
                </w:tcPr>
                <w:p w14:paraId="755ADBE7">
                  <w:pPr>
                    <w:widowControl w:val="0"/>
                    <w:overflowPunct w:val="0"/>
                    <w:autoSpaceDE w:val="0"/>
                    <w:autoSpaceDN w:val="0"/>
                    <w:snapToGrid w:val="0"/>
                    <w:jc w:val="center"/>
                    <w:rPr>
                      <w:color w:val="auto"/>
                      <w14:ligatures w14:val="standardContextual"/>
                    </w:rPr>
                  </w:pPr>
                  <w:r>
                    <w:rPr>
                      <w:rFonts w:hint="eastAsia"/>
                      <w:color w:val="auto"/>
                      <w14:ligatures w14:val="standardContextual"/>
                    </w:rPr>
                    <w:t>0.7</w:t>
                  </w:r>
                </w:p>
              </w:tc>
              <w:tc>
                <w:tcPr>
                  <w:tcW w:w="625" w:type="pct"/>
                  <w:vAlign w:val="center"/>
                </w:tcPr>
                <w:p w14:paraId="39B31E5D">
                  <w:pPr>
                    <w:widowControl w:val="0"/>
                    <w:overflowPunct w:val="0"/>
                    <w:autoSpaceDE w:val="0"/>
                    <w:autoSpaceDN w:val="0"/>
                    <w:snapToGrid w:val="0"/>
                    <w:jc w:val="center"/>
                    <w:rPr>
                      <w:color w:val="auto"/>
                      <w14:ligatures w14:val="standardContextual"/>
                    </w:rPr>
                  </w:pPr>
                  <w:r>
                    <w:rPr>
                      <w:rFonts w:hint="eastAsia"/>
                      <w:color w:val="auto"/>
                      <w14:ligatures w14:val="standardContextual"/>
                    </w:rPr>
                    <w:t>0.56</w:t>
                  </w:r>
                </w:p>
              </w:tc>
              <w:tc>
                <w:tcPr>
                  <w:tcW w:w="1034" w:type="pct"/>
                  <w:vAlign w:val="center"/>
                </w:tcPr>
                <w:p w14:paraId="27A0A07E">
                  <w:pPr>
                    <w:widowControl w:val="0"/>
                    <w:overflowPunct w:val="0"/>
                    <w:autoSpaceDE w:val="0"/>
                    <w:autoSpaceDN w:val="0"/>
                    <w:snapToGrid w:val="0"/>
                    <w:jc w:val="center"/>
                    <w:rPr>
                      <w:color w:val="auto"/>
                      <w14:ligatures w14:val="standardContextual"/>
                    </w:rPr>
                  </w:pPr>
                  <w:r>
                    <w:rPr>
                      <w:rFonts w:hint="eastAsia"/>
                      <w:color w:val="auto"/>
                      <w14:ligatures w14:val="standardContextual"/>
                    </w:rPr>
                    <w:t>184.8t/a</w:t>
                  </w:r>
                </w:p>
              </w:tc>
            </w:tr>
            <w:tr w14:paraId="239DC4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185" w:type="pct"/>
                  <w:vAlign w:val="center"/>
                </w:tcPr>
                <w:p w14:paraId="39780396">
                  <w:pPr>
                    <w:widowControl w:val="0"/>
                    <w:overflowPunct w:val="0"/>
                    <w:autoSpaceDE w:val="0"/>
                    <w:autoSpaceDN w:val="0"/>
                    <w:snapToGrid w:val="0"/>
                    <w:jc w:val="center"/>
                    <w:rPr>
                      <w:color w:val="auto"/>
                      <w14:ligatures w14:val="standardContextual"/>
                    </w:rPr>
                  </w:pPr>
                  <w:r>
                    <w:rPr>
                      <w:color w:val="auto"/>
                      <w14:ligatures w14:val="standardContextual"/>
                    </w:rPr>
                    <w:t>车辆冲洗水补充水</w:t>
                  </w:r>
                </w:p>
              </w:tc>
              <w:tc>
                <w:tcPr>
                  <w:tcW w:w="956" w:type="pct"/>
                  <w:vAlign w:val="center"/>
                </w:tcPr>
                <w:p w14:paraId="4C2E60C4">
                  <w:pPr>
                    <w:widowControl w:val="0"/>
                    <w:overflowPunct w:val="0"/>
                    <w:autoSpaceDE w:val="0"/>
                    <w:autoSpaceDN w:val="0"/>
                    <w:snapToGrid w:val="0"/>
                    <w:jc w:val="center"/>
                    <w:rPr>
                      <w:color w:val="auto"/>
                      <w14:ligatures w14:val="standardContextual"/>
                    </w:rPr>
                  </w:pPr>
                  <w:r>
                    <w:rPr>
                      <w:color w:val="auto"/>
                      <w:spacing w:val="-4"/>
                      <w14:ligatures w14:val="standardContextual"/>
                    </w:rPr>
                    <w:t>40L/辆·次</w:t>
                  </w:r>
                  <w:r>
                    <w:rPr>
                      <w:rFonts w:hint="eastAsia"/>
                      <w:color w:val="auto"/>
                      <w:spacing w:val="-4"/>
                      <w14:ligatures w14:val="standardContextual"/>
                    </w:rPr>
                    <w:t>，</w:t>
                  </w:r>
                  <w:r>
                    <w:rPr>
                      <w:color w:val="auto"/>
                      <w:spacing w:val="-4"/>
                      <w14:ligatures w14:val="standardContextual"/>
                    </w:rPr>
                    <w:t>补充水约为</w:t>
                  </w:r>
                  <w:r>
                    <w:rPr>
                      <w:rFonts w:hint="eastAsia"/>
                      <w:color w:val="auto"/>
                      <w:spacing w:val="-4"/>
                      <w14:ligatures w14:val="standardContextual"/>
                    </w:rPr>
                    <w:t>5%</w:t>
                  </w:r>
                </w:p>
              </w:tc>
              <w:tc>
                <w:tcPr>
                  <w:tcW w:w="576" w:type="pct"/>
                  <w:vAlign w:val="center"/>
                </w:tcPr>
                <w:p w14:paraId="2A431FCA">
                  <w:pPr>
                    <w:widowControl w:val="0"/>
                    <w:overflowPunct w:val="0"/>
                    <w:autoSpaceDE w:val="0"/>
                    <w:autoSpaceDN w:val="0"/>
                    <w:snapToGrid w:val="0"/>
                    <w:jc w:val="center"/>
                    <w:rPr>
                      <w:color w:val="auto"/>
                      <w14:ligatures w14:val="standardContextual"/>
                    </w:rPr>
                  </w:pPr>
                  <w:r>
                    <w:rPr>
                      <w:rFonts w:hint="eastAsia"/>
                      <w:color w:val="auto"/>
                      <w14:ligatures w14:val="standardContextual"/>
                    </w:rPr>
                    <w:t>182</w:t>
                  </w:r>
                  <w:r>
                    <w:rPr>
                      <w:color w:val="auto"/>
                      <w14:ligatures w14:val="standardContextual"/>
                    </w:rPr>
                    <w:t>辆/d</w:t>
                  </w:r>
                </w:p>
              </w:tc>
              <w:tc>
                <w:tcPr>
                  <w:tcW w:w="625" w:type="pct"/>
                  <w:vAlign w:val="center"/>
                </w:tcPr>
                <w:p w14:paraId="6C274107">
                  <w:pPr>
                    <w:widowControl w:val="0"/>
                    <w:overflowPunct w:val="0"/>
                    <w:autoSpaceDE w:val="0"/>
                    <w:autoSpaceDN w:val="0"/>
                    <w:snapToGrid w:val="0"/>
                    <w:jc w:val="center"/>
                    <w:rPr>
                      <w:color w:val="auto"/>
                      <w14:ligatures w14:val="standardContextual"/>
                    </w:rPr>
                  </w:pPr>
                  <w:r>
                    <w:rPr>
                      <w:rFonts w:hint="eastAsia"/>
                      <w:color w:val="auto"/>
                      <w14:ligatures w14:val="standardContextual"/>
                    </w:rPr>
                    <w:t>3.6</w:t>
                  </w:r>
                </w:p>
              </w:tc>
              <w:tc>
                <w:tcPr>
                  <w:tcW w:w="625" w:type="pct"/>
                  <w:vAlign w:val="center"/>
                </w:tcPr>
                <w:p w14:paraId="38F68FAC">
                  <w:pPr>
                    <w:widowControl w:val="0"/>
                    <w:overflowPunct w:val="0"/>
                    <w:autoSpaceDE w:val="0"/>
                    <w:autoSpaceDN w:val="0"/>
                    <w:snapToGrid w:val="0"/>
                    <w:jc w:val="center"/>
                    <w:rPr>
                      <w:color w:val="auto"/>
                      <w14:ligatures w14:val="standardContextual"/>
                    </w:rPr>
                  </w:pPr>
                  <w:r>
                    <w:rPr>
                      <w:color w:val="auto"/>
                      <w14:ligatures w14:val="standardContextual"/>
                    </w:rPr>
                    <w:t>-</w:t>
                  </w:r>
                </w:p>
              </w:tc>
              <w:tc>
                <w:tcPr>
                  <w:tcW w:w="1034" w:type="pct"/>
                  <w:vAlign w:val="center"/>
                </w:tcPr>
                <w:p w14:paraId="65F28323">
                  <w:pPr>
                    <w:widowControl w:val="0"/>
                    <w:overflowPunct w:val="0"/>
                    <w:autoSpaceDE w:val="0"/>
                    <w:autoSpaceDN w:val="0"/>
                    <w:snapToGrid w:val="0"/>
                    <w:jc w:val="center"/>
                    <w:rPr>
                      <w:color w:val="auto"/>
                      <w14:ligatures w14:val="standardContextual"/>
                    </w:rPr>
                  </w:pPr>
                  <w:r>
                    <w:rPr>
                      <w:rFonts w:hint="eastAsia"/>
                      <w:color w:val="auto"/>
                      <w14:ligatures w14:val="standardContextual"/>
                    </w:rPr>
                    <w:t>清洗废水循环利用，全部损耗</w:t>
                  </w:r>
                </w:p>
              </w:tc>
            </w:tr>
            <w:tr w14:paraId="3192F8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185" w:type="pct"/>
                  <w:vAlign w:val="center"/>
                </w:tcPr>
                <w:p w14:paraId="769227A8">
                  <w:pPr>
                    <w:widowControl w:val="0"/>
                    <w:overflowPunct w:val="0"/>
                    <w:autoSpaceDE w:val="0"/>
                    <w:autoSpaceDN w:val="0"/>
                    <w:snapToGrid w:val="0"/>
                    <w:jc w:val="center"/>
                    <w:rPr>
                      <w:color w:val="auto"/>
                      <w14:ligatures w14:val="standardContextual"/>
                    </w:rPr>
                  </w:pPr>
                  <w:r>
                    <w:rPr>
                      <w:color w:val="auto"/>
                      <w14:ligatures w14:val="standardContextual"/>
                    </w:rPr>
                    <w:t>喷雾降尘用水</w:t>
                  </w:r>
                </w:p>
              </w:tc>
              <w:tc>
                <w:tcPr>
                  <w:tcW w:w="1532" w:type="pct"/>
                  <w:gridSpan w:val="2"/>
                  <w:vAlign w:val="center"/>
                </w:tcPr>
                <w:p w14:paraId="6008486C">
                  <w:pPr>
                    <w:widowControl w:val="0"/>
                    <w:overflowPunct w:val="0"/>
                    <w:autoSpaceDE w:val="0"/>
                    <w:autoSpaceDN w:val="0"/>
                    <w:snapToGrid w:val="0"/>
                    <w:jc w:val="center"/>
                    <w:rPr>
                      <w:color w:val="auto"/>
                      <w14:ligatures w14:val="standardContextual"/>
                    </w:rPr>
                  </w:pPr>
                  <w:r>
                    <w:rPr>
                      <w:rFonts w:hint="eastAsia"/>
                      <w:bCs/>
                      <w:color w:val="auto"/>
                      <w14:ligatures w14:val="standardContextual"/>
                    </w:rPr>
                    <w:t>3</w:t>
                  </w:r>
                  <w:r>
                    <w:rPr>
                      <w:bCs/>
                      <w:color w:val="auto"/>
                      <w14:ligatures w14:val="standardContextual"/>
                    </w:rPr>
                    <w:t>.0m</w:t>
                  </w:r>
                  <w:r>
                    <w:rPr>
                      <w:bCs/>
                      <w:color w:val="auto"/>
                      <w:vertAlign w:val="superscript"/>
                      <w14:ligatures w14:val="standardContextual"/>
                    </w:rPr>
                    <w:t>3</w:t>
                  </w:r>
                  <w:r>
                    <w:rPr>
                      <w:bCs/>
                      <w:color w:val="auto"/>
                      <w14:ligatures w14:val="standardContextual"/>
                    </w:rPr>
                    <w:t>/d</w:t>
                  </w:r>
                </w:p>
              </w:tc>
              <w:tc>
                <w:tcPr>
                  <w:tcW w:w="625" w:type="pct"/>
                  <w:vAlign w:val="center"/>
                </w:tcPr>
                <w:p w14:paraId="38CF42C2">
                  <w:pPr>
                    <w:widowControl w:val="0"/>
                    <w:overflowPunct w:val="0"/>
                    <w:autoSpaceDE w:val="0"/>
                    <w:autoSpaceDN w:val="0"/>
                    <w:snapToGrid w:val="0"/>
                    <w:jc w:val="center"/>
                    <w:rPr>
                      <w:color w:val="auto"/>
                      <w14:ligatures w14:val="standardContextual"/>
                    </w:rPr>
                  </w:pPr>
                  <w:r>
                    <w:rPr>
                      <w:rFonts w:hint="eastAsia"/>
                      <w:color w:val="auto"/>
                      <w14:ligatures w14:val="standardContextual"/>
                    </w:rPr>
                    <w:t>3</w:t>
                  </w:r>
                  <w:r>
                    <w:rPr>
                      <w:color w:val="auto"/>
                      <w14:ligatures w14:val="standardContextual"/>
                    </w:rPr>
                    <w:t>.0</w:t>
                  </w:r>
                </w:p>
              </w:tc>
              <w:tc>
                <w:tcPr>
                  <w:tcW w:w="625" w:type="pct"/>
                  <w:vAlign w:val="center"/>
                </w:tcPr>
                <w:p w14:paraId="0240D90F">
                  <w:pPr>
                    <w:widowControl w:val="0"/>
                    <w:overflowPunct w:val="0"/>
                    <w:autoSpaceDE w:val="0"/>
                    <w:autoSpaceDN w:val="0"/>
                    <w:snapToGrid w:val="0"/>
                    <w:jc w:val="center"/>
                    <w:rPr>
                      <w:color w:val="auto"/>
                      <w14:ligatures w14:val="standardContextual"/>
                    </w:rPr>
                  </w:pPr>
                  <w:r>
                    <w:rPr>
                      <w:color w:val="auto"/>
                      <w14:ligatures w14:val="standardContextual"/>
                    </w:rPr>
                    <w:t>-</w:t>
                  </w:r>
                </w:p>
              </w:tc>
              <w:tc>
                <w:tcPr>
                  <w:tcW w:w="1034" w:type="pct"/>
                  <w:vAlign w:val="center"/>
                </w:tcPr>
                <w:p w14:paraId="0CD3B9FE">
                  <w:pPr>
                    <w:widowControl w:val="0"/>
                    <w:overflowPunct w:val="0"/>
                    <w:autoSpaceDE w:val="0"/>
                    <w:autoSpaceDN w:val="0"/>
                    <w:snapToGrid w:val="0"/>
                    <w:jc w:val="center"/>
                    <w:rPr>
                      <w:color w:val="auto"/>
                      <w14:ligatures w14:val="standardContextual"/>
                    </w:rPr>
                  </w:pPr>
                  <w:r>
                    <w:rPr>
                      <w:rFonts w:hint="eastAsia"/>
                      <w:color w:val="auto"/>
                      <w14:ligatures w14:val="standardContextual"/>
                    </w:rPr>
                    <w:t>全部损耗</w:t>
                  </w:r>
                </w:p>
              </w:tc>
            </w:tr>
            <w:tr w14:paraId="27B16D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185" w:type="pct"/>
                  <w:vAlign w:val="center"/>
                </w:tcPr>
                <w:p w14:paraId="6E60A649">
                  <w:pPr>
                    <w:widowControl w:val="0"/>
                    <w:overflowPunct w:val="0"/>
                    <w:autoSpaceDE w:val="0"/>
                    <w:autoSpaceDN w:val="0"/>
                    <w:snapToGrid w:val="0"/>
                    <w:jc w:val="center"/>
                    <w:rPr>
                      <w:color w:val="auto"/>
                      <w:spacing w:val="4"/>
                      <w14:ligatures w14:val="standardContextual"/>
                    </w:rPr>
                  </w:pPr>
                  <w:r>
                    <w:rPr>
                      <w:color w:val="auto"/>
                      <w:spacing w:val="4"/>
                      <w14:ligatures w14:val="standardContextual"/>
                    </w:rPr>
                    <w:t>绿化用水</w:t>
                  </w:r>
                </w:p>
              </w:tc>
              <w:tc>
                <w:tcPr>
                  <w:tcW w:w="956" w:type="pct"/>
                  <w:vAlign w:val="center"/>
                </w:tcPr>
                <w:p w14:paraId="0CD821D7">
                  <w:pPr>
                    <w:widowControl w:val="0"/>
                    <w:overflowPunct w:val="0"/>
                    <w:autoSpaceDE w:val="0"/>
                    <w:autoSpaceDN w:val="0"/>
                    <w:snapToGrid w:val="0"/>
                    <w:jc w:val="center"/>
                    <w:rPr>
                      <w:color w:val="auto"/>
                      <w14:ligatures w14:val="standardContextual"/>
                    </w:rPr>
                  </w:pPr>
                  <w:r>
                    <w:rPr>
                      <w:color w:val="auto"/>
                      <w:spacing w:val="4"/>
                      <w14:ligatures w14:val="standardContextual"/>
                    </w:rPr>
                    <w:t>0.</w:t>
                  </w:r>
                  <w:r>
                    <w:rPr>
                      <w:rFonts w:hint="eastAsia"/>
                      <w:color w:val="auto"/>
                      <w:spacing w:val="4"/>
                      <w14:ligatures w14:val="standardContextual"/>
                    </w:rPr>
                    <w:t>15</w:t>
                  </w:r>
                  <w:r>
                    <w:rPr>
                      <w:color w:val="auto"/>
                      <w:spacing w:val="4"/>
                      <w14:ligatures w14:val="standardContextual"/>
                    </w:rPr>
                    <w:t>m</w:t>
                  </w:r>
                  <w:r>
                    <w:rPr>
                      <w:color w:val="auto"/>
                      <w:spacing w:val="4"/>
                      <w:vertAlign w:val="superscript"/>
                      <w14:ligatures w14:val="standardContextual"/>
                    </w:rPr>
                    <w:t>3</w:t>
                  </w:r>
                  <w:r>
                    <w:rPr>
                      <w:color w:val="auto"/>
                      <w:spacing w:val="4"/>
                      <w14:ligatures w14:val="standardContextual"/>
                    </w:rPr>
                    <w:t>/m</w:t>
                  </w:r>
                  <w:r>
                    <w:rPr>
                      <w:color w:val="auto"/>
                      <w:spacing w:val="4"/>
                      <w:vertAlign w:val="superscript"/>
                      <w14:ligatures w14:val="standardContextual"/>
                    </w:rPr>
                    <w:t>2</w:t>
                  </w:r>
                  <w:r>
                    <w:rPr>
                      <w:color w:val="auto"/>
                      <w:spacing w:val="4"/>
                      <w14:ligatures w14:val="standardContextual"/>
                    </w:rPr>
                    <w:t>·a</w:t>
                  </w:r>
                </w:p>
              </w:tc>
              <w:tc>
                <w:tcPr>
                  <w:tcW w:w="576" w:type="pct"/>
                  <w:vAlign w:val="center"/>
                </w:tcPr>
                <w:p w14:paraId="5A96F2C5">
                  <w:pPr>
                    <w:widowControl w:val="0"/>
                    <w:overflowPunct w:val="0"/>
                    <w:autoSpaceDE w:val="0"/>
                    <w:autoSpaceDN w:val="0"/>
                    <w:snapToGrid w:val="0"/>
                    <w:jc w:val="center"/>
                    <w:rPr>
                      <w:color w:val="auto"/>
                      <w14:ligatures w14:val="standardContextual"/>
                    </w:rPr>
                  </w:pPr>
                  <w:r>
                    <w:rPr>
                      <w:rFonts w:hint="eastAsia"/>
                      <w:color w:val="auto"/>
                      <w14:ligatures w14:val="standardContextual"/>
                    </w:rPr>
                    <w:t>1308</w:t>
                  </w:r>
                  <w:r>
                    <w:rPr>
                      <w:color w:val="auto"/>
                      <w14:ligatures w14:val="standardContextual"/>
                    </w:rPr>
                    <w:t>m</w:t>
                  </w:r>
                  <w:r>
                    <w:rPr>
                      <w:color w:val="auto"/>
                      <w:vertAlign w:val="superscript"/>
                      <w14:ligatures w14:val="standardContextual"/>
                    </w:rPr>
                    <w:t>2</w:t>
                  </w:r>
                </w:p>
              </w:tc>
              <w:tc>
                <w:tcPr>
                  <w:tcW w:w="625" w:type="pct"/>
                  <w:vAlign w:val="center"/>
                </w:tcPr>
                <w:p w14:paraId="6BEC5C36">
                  <w:pPr>
                    <w:widowControl w:val="0"/>
                    <w:overflowPunct w:val="0"/>
                    <w:autoSpaceDE w:val="0"/>
                    <w:autoSpaceDN w:val="0"/>
                    <w:snapToGrid w:val="0"/>
                    <w:jc w:val="center"/>
                    <w:rPr>
                      <w:color w:val="auto"/>
                      <w14:ligatures w14:val="standardContextual"/>
                    </w:rPr>
                  </w:pPr>
                  <w:r>
                    <w:rPr>
                      <w:rFonts w:hint="eastAsia"/>
                      <w:color w:val="auto"/>
                      <w14:ligatures w14:val="standardContextual"/>
                    </w:rPr>
                    <w:t>0.98</w:t>
                  </w:r>
                </w:p>
              </w:tc>
              <w:tc>
                <w:tcPr>
                  <w:tcW w:w="625" w:type="pct"/>
                  <w:vAlign w:val="center"/>
                </w:tcPr>
                <w:p w14:paraId="659A6BFE">
                  <w:pPr>
                    <w:widowControl w:val="0"/>
                    <w:overflowPunct w:val="0"/>
                    <w:autoSpaceDE w:val="0"/>
                    <w:autoSpaceDN w:val="0"/>
                    <w:snapToGrid w:val="0"/>
                    <w:jc w:val="center"/>
                    <w:rPr>
                      <w:color w:val="auto"/>
                      <w14:ligatures w14:val="standardContextual"/>
                    </w:rPr>
                  </w:pPr>
                  <w:r>
                    <w:rPr>
                      <w:color w:val="auto"/>
                      <w14:ligatures w14:val="standardContextual"/>
                    </w:rPr>
                    <w:t>/</w:t>
                  </w:r>
                </w:p>
              </w:tc>
              <w:tc>
                <w:tcPr>
                  <w:tcW w:w="1034" w:type="pct"/>
                  <w:vAlign w:val="center"/>
                </w:tcPr>
                <w:p w14:paraId="702DCA29">
                  <w:pPr>
                    <w:widowControl w:val="0"/>
                    <w:overflowPunct w:val="0"/>
                    <w:autoSpaceDE w:val="0"/>
                    <w:autoSpaceDN w:val="0"/>
                    <w:snapToGrid w:val="0"/>
                    <w:jc w:val="center"/>
                    <w:rPr>
                      <w:color w:val="auto"/>
                      <w14:ligatures w14:val="standardContextual"/>
                    </w:rPr>
                  </w:pPr>
                  <w:r>
                    <w:rPr>
                      <w:rFonts w:hint="eastAsia"/>
                      <w:color w:val="auto"/>
                      <w14:ligatures w14:val="standardContextual"/>
                    </w:rPr>
                    <w:t>全部损耗</w:t>
                  </w:r>
                </w:p>
              </w:tc>
            </w:tr>
            <w:tr w14:paraId="30AB35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1185" w:type="pct"/>
                  <w:vAlign w:val="center"/>
                </w:tcPr>
                <w:p w14:paraId="08E6EE92">
                  <w:pPr>
                    <w:widowControl w:val="0"/>
                    <w:overflowPunct w:val="0"/>
                    <w:autoSpaceDE w:val="0"/>
                    <w:autoSpaceDN w:val="0"/>
                    <w:snapToGrid w:val="0"/>
                    <w:jc w:val="center"/>
                    <w:rPr>
                      <w:color w:val="auto"/>
                      <w14:ligatures w14:val="standardContextual"/>
                    </w:rPr>
                  </w:pPr>
                  <w:r>
                    <w:rPr>
                      <w:rFonts w:hint="eastAsia"/>
                      <w:color w:val="auto"/>
                      <w14:ligatures w14:val="standardContextual"/>
                    </w:rPr>
                    <w:t>合计</w:t>
                  </w:r>
                </w:p>
              </w:tc>
              <w:tc>
                <w:tcPr>
                  <w:tcW w:w="956" w:type="pct"/>
                  <w:vAlign w:val="center"/>
                </w:tcPr>
                <w:p w14:paraId="1E5B0CB1">
                  <w:pPr>
                    <w:widowControl w:val="0"/>
                    <w:overflowPunct w:val="0"/>
                    <w:autoSpaceDE w:val="0"/>
                    <w:autoSpaceDN w:val="0"/>
                    <w:snapToGrid w:val="0"/>
                    <w:jc w:val="center"/>
                    <w:rPr>
                      <w:color w:val="auto"/>
                      <w14:ligatures w14:val="standardContextual"/>
                    </w:rPr>
                  </w:pPr>
                  <w:r>
                    <w:rPr>
                      <w:color w:val="auto"/>
                      <w14:ligatures w14:val="standardContextual"/>
                    </w:rPr>
                    <w:t>/</w:t>
                  </w:r>
                </w:p>
              </w:tc>
              <w:tc>
                <w:tcPr>
                  <w:tcW w:w="576" w:type="pct"/>
                  <w:vAlign w:val="center"/>
                </w:tcPr>
                <w:p w14:paraId="260297E0">
                  <w:pPr>
                    <w:widowControl w:val="0"/>
                    <w:overflowPunct w:val="0"/>
                    <w:autoSpaceDE w:val="0"/>
                    <w:autoSpaceDN w:val="0"/>
                    <w:snapToGrid w:val="0"/>
                    <w:jc w:val="center"/>
                    <w:rPr>
                      <w:color w:val="auto"/>
                      <w14:ligatures w14:val="standardContextual"/>
                    </w:rPr>
                  </w:pPr>
                  <w:r>
                    <w:rPr>
                      <w:color w:val="auto"/>
                      <w14:ligatures w14:val="standardContextual"/>
                    </w:rPr>
                    <w:t>/</w:t>
                  </w:r>
                </w:p>
              </w:tc>
              <w:tc>
                <w:tcPr>
                  <w:tcW w:w="625" w:type="pct"/>
                  <w:vAlign w:val="center"/>
                </w:tcPr>
                <w:p w14:paraId="4C894158">
                  <w:pPr>
                    <w:widowControl w:val="0"/>
                    <w:overflowPunct w:val="0"/>
                    <w:autoSpaceDE w:val="0"/>
                    <w:autoSpaceDN w:val="0"/>
                    <w:snapToGrid w:val="0"/>
                    <w:jc w:val="center"/>
                    <w:rPr>
                      <w:color w:val="auto"/>
                      <w14:ligatures w14:val="standardContextual"/>
                    </w:rPr>
                  </w:pPr>
                  <w:r>
                    <w:rPr>
                      <w:rFonts w:hint="eastAsia"/>
                      <w:color w:val="auto"/>
                      <w14:ligatures w14:val="standardContextual"/>
                    </w:rPr>
                    <w:t>0.83</w:t>
                  </w:r>
                </w:p>
              </w:tc>
              <w:tc>
                <w:tcPr>
                  <w:tcW w:w="625" w:type="pct"/>
                  <w:vAlign w:val="center"/>
                </w:tcPr>
                <w:p w14:paraId="489CA60F">
                  <w:pPr>
                    <w:widowControl w:val="0"/>
                    <w:overflowPunct w:val="0"/>
                    <w:autoSpaceDE w:val="0"/>
                    <w:autoSpaceDN w:val="0"/>
                    <w:snapToGrid w:val="0"/>
                    <w:jc w:val="center"/>
                    <w:rPr>
                      <w:color w:val="auto"/>
                      <w14:ligatures w14:val="standardContextual"/>
                    </w:rPr>
                  </w:pPr>
                  <w:r>
                    <w:rPr>
                      <w:rFonts w:hint="eastAsia"/>
                      <w:color w:val="auto"/>
                      <w14:ligatures w14:val="standardContextual"/>
                    </w:rPr>
                    <w:t>0.56</w:t>
                  </w:r>
                </w:p>
              </w:tc>
              <w:tc>
                <w:tcPr>
                  <w:tcW w:w="1034" w:type="pct"/>
                  <w:vAlign w:val="center"/>
                </w:tcPr>
                <w:p w14:paraId="3C9B662A">
                  <w:pPr>
                    <w:widowControl w:val="0"/>
                    <w:overflowPunct w:val="0"/>
                    <w:autoSpaceDE w:val="0"/>
                    <w:autoSpaceDN w:val="0"/>
                    <w:snapToGrid w:val="0"/>
                    <w:jc w:val="center"/>
                    <w:rPr>
                      <w:color w:val="auto"/>
                      <w14:ligatures w14:val="standardContextual"/>
                    </w:rPr>
                  </w:pPr>
                  <w:r>
                    <w:rPr>
                      <w:color w:val="auto"/>
                      <w14:ligatures w14:val="standardContextual"/>
                    </w:rPr>
                    <w:t>采暖期</w:t>
                  </w:r>
                </w:p>
              </w:tc>
            </w:tr>
          </w:tbl>
          <w:p w14:paraId="67D5E26E">
            <w:pPr>
              <w:pStyle w:val="51"/>
              <w:rPr>
                <w:color w:val="auto"/>
              </w:rPr>
            </w:pPr>
          </w:p>
          <w:p w14:paraId="07C9DBCF">
            <w:pPr>
              <w:pStyle w:val="3"/>
              <w:ind w:firstLine="480"/>
              <w:rPr>
                <w:color w:val="auto"/>
              </w:rPr>
            </w:pPr>
            <w:r>
              <w:rPr>
                <w:rFonts w:hint="eastAsia"/>
                <w:color w:val="auto"/>
              </w:rPr>
              <w:t>（3）供电</w:t>
            </w:r>
          </w:p>
          <w:p w14:paraId="66024A25">
            <w:pPr>
              <w:pStyle w:val="3"/>
              <w:ind w:firstLine="480"/>
              <w:rPr>
                <w:color w:val="auto"/>
              </w:rPr>
            </w:pPr>
            <w:r>
              <w:rPr>
                <w:rFonts w:hint="eastAsia"/>
                <w:color w:val="auto"/>
              </w:rPr>
              <w:t>工业园区市政供电。</w:t>
            </w:r>
          </w:p>
          <w:p w14:paraId="00E36542">
            <w:pPr>
              <w:pStyle w:val="3"/>
              <w:ind w:firstLine="480"/>
              <w:rPr>
                <w:color w:val="auto"/>
              </w:rPr>
            </w:pPr>
            <w:r>
              <w:rPr>
                <w:rFonts w:hint="eastAsia"/>
                <w:color w:val="auto"/>
              </w:rPr>
              <w:t>（4）供热</w:t>
            </w:r>
          </w:p>
          <w:p w14:paraId="38A520AC">
            <w:pPr>
              <w:pStyle w:val="3"/>
              <w:ind w:firstLine="480"/>
              <w:rPr>
                <w:color w:val="auto"/>
              </w:rPr>
            </w:pPr>
            <w:r>
              <w:rPr>
                <w:rFonts w:hint="eastAsia"/>
                <w:color w:val="auto"/>
              </w:rPr>
              <w:t>本项目冬季供暖采取空调，厂区不设燃煤、燃气等供热设施。</w:t>
            </w:r>
          </w:p>
          <w:p w14:paraId="31E33C9E">
            <w:pPr>
              <w:pStyle w:val="7"/>
              <w:rPr>
                <w:color w:val="auto"/>
              </w:rPr>
            </w:pPr>
            <w:r>
              <w:rPr>
                <w:rFonts w:hint="eastAsia"/>
                <w:color w:val="auto"/>
              </w:rPr>
              <w:t>十、平面布置</w:t>
            </w:r>
          </w:p>
          <w:p w14:paraId="23B3AFD6">
            <w:pPr>
              <w:pStyle w:val="3"/>
              <w:ind w:firstLine="480"/>
              <w:rPr>
                <w:color w:val="auto"/>
              </w:rPr>
            </w:pPr>
            <w:r>
              <w:rPr>
                <w:rFonts w:hint="eastAsia"/>
                <w:color w:val="auto"/>
              </w:rPr>
              <w:t>厂区总平面布置原则：建设项目必须符合生产行业要求，必须满足生产工艺、安全生产要求，符合消防规范。生产区与办公区分离，物流与人流分离，供电、供水线路简捷，土地利用及投资合理，建筑物平面布局美观、大方，突出出与环境协调。本项目是在满足生产工艺流程的前提下，考虑运输、安全、卫生等要求，结合项目用地的自然地形条件，按各种设施不同功能进行分区和组合，力求平面布置紧凑合理，节省用地，有利生产，方便管理。</w:t>
            </w:r>
          </w:p>
          <w:p w14:paraId="7599382F">
            <w:pPr>
              <w:pStyle w:val="3"/>
              <w:ind w:firstLine="480"/>
              <w:rPr>
                <w:color w:val="auto"/>
              </w:rPr>
            </w:pPr>
            <w:r>
              <w:rPr>
                <w:rFonts w:hint="eastAsia"/>
                <w:color w:val="auto"/>
              </w:rPr>
              <w:t>本项目平面布置图见附图2。</w:t>
            </w:r>
          </w:p>
        </w:tc>
      </w:tr>
      <w:tr w14:paraId="54DC4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7" w:hRule="atLeast"/>
          <w:jc w:val="center"/>
        </w:trPr>
        <w:tc>
          <w:tcPr>
            <w:tcW w:w="477" w:type="pct"/>
            <w:vAlign w:val="center"/>
          </w:tcPr>
          <w:p w14:paraId="5DFA11C4">
            <w:pPr>
              <w:pStyle w:val="18"/>
              <w:rPr>
                <w:rFonts w:hint="eastAsia"/>
                <w:color w:val="auto"/>
              </w:rPr>
            </w:pPr>
            <w:bookmarkStart w:id="19" w:name="_Toc175609270"/>
            <w:r>
              <w:rPr>
                <w:rFonts w:hint="eastAsia"/>
                <w:color w:val="auto"/>
              </w:rPr>
              <w:t>工艺流程和产排污环节</w:t>
            </w:r>
            <w:bookmarkEnd w:id="19"/>
          </w:p>
        </w:tc>
        <w:tc>
          <w:tcPr>
            <w:tcW w:w="4523" w:type="pct"/>
          </w:tcPr>
          <w:p w14:paraId="6469B5EC">
            <w:pPr>
              <w:pStyle w:val="7"/>
              <w:rPr>
                <w:color w:val="auto"/>
              </w:rPr>
            </w:pPr>
            <w:r>
              <w:rPr>
                <w:rFonts w:hint="eastAsia"/>
                <w:color w:val="auto"/>
              </w:rPr>
              <w:t>一、施工期工艺流程</w:t>
            </w:r>
          </w:p>
          <w:p w14:paraId="01C51E8E">
            <w:pPr>
              <w:pStyle w:val="3"/>
              <w:ind w:firstLine="480"/>
              <w:rPr>
                <w:color w:val="auto"/>
              </w:rPr>
            </w:pPr>
            <w:r>
              <w:rPr>
                <w:rFonts w:hint="eastAsia"/>
                <w:color w:val="auto"/>
              </w:rPr>
              <w:t>施工期工艺流程及产排污环节如下：</w:t>
            </w:r>
          </w:p>
          <w:p w14:paraId="3BAA6126">
            <w:pPr>
              <w:pStyle w:val="3"/>
              <w:ind w:left="0" w:leftChars="0" w:firstLine="480" w:firstLineChars="200"/>
              <w:rPr>
                <w:color w:val="auto"/>
              </w:rPr>
            </w:pPr>
            <w:r>
              <w:rPr>
                <w:rFonts w:hint="eastAsia"/>
                <w:color w:val="auto"/>
              </w:rPr>
              <w:t>施工期废气是扬尘、机械设备及车辆尾气，废水是施工废水和生活污水，噪声是机械设备及车辆噪声，固体废物是建筑垃圾和生活垃圾。这些污染物仅在施工期存在，并且影响范围小、程度低、时间短。</w:t>
            </w:r>
          </w:p>
          <w:p w14:paraId="484CD297">
            <w:pPr>
              <w:pStyle w:val="7"/>
              <w:rPr>
                <w:color w:val="auto"/>
              </w:rPr>
            </w:pPr>
            <w:r>
              <w:rPr>
                <w:rFonts w:hint="eastAsia"/>
                <w:color w:val="auto"/>
              </w:rPr>
              <w:t>二、运营期工艺流程</w:t>
            </w:r>
          </w:p>
          <w:p w14:paraId="271AB29A">
            <w:pPr>
              <w:pStyle w:val="51"/>
              <w:rPr>
                <w:color w:val="auto"/>
              </w:rPr>
            </w:pPr>
          </w:p>
          <w:p w14:paraId="6EF1F244">
            <w:pPr>
              <w:pStyle w:val="49"/>
              <w:rPr>
                <w:color w:val="auto"/>
              </w:rPr>
            </w:pPr>
            <w:bookmarkStart w:id="20" w:name="_Ref176945373"/>
            <w:r>
              <w:rPr>
                <w:rFonts w:hint="eastAsia"/>
                <w:color w:val="auto"/>
              </w:rPr>
              <w:t xml:space="preserve">图2- </w:t>
            </w:r>
            <w:r>
              <w:rPr>
                <w:color w:val="auto"/>
              </w:rPr>
              <w:t>3</w:t>
            </w:r>
            <w:r>
              <w:rPr>
                <w:rFonts w:hint="eastAsia"/>
                <w:color w:val="auto"/>
              </w:rPr>
              <w:t>：本项目运营期工艺流程图及产污环节图</w:t>
            </w:r>
            <w:bookmarkEnd w:id="20"/>
          </w:p>
          <w:p w14:paraId="570FE7B2">
            <w:pPr>
              <w:pStyle w:val="3"/>
              <w:ind w:firstLine="482"/>
              <w:rPr>
                <w:b/>
                <w:bCs/>
                <w:color w:val="auto"/>
              </w:rPr>
            </w:pPr>
            <w:r>
              <w:rPr>
                <w:rFonts w:hint="eastAsia"/>
                <w:b/>
                <w:bCs/>
                <w:color w:val="auto"/>
              </w:rPr>
              <w:t>1、工艺流程说明</w:t>
            </w:r>
          </w:p>
          <w:p w14:paraId="6693AFB3">
            <w:pPr>
              <w:pStyle w:val="3"/>
              <w:ind w:firstLine="480"/>
              <w:rPr>
                <w:color w:val="auto"/>
              </w:rPr>
            </w:pPr>
            <w:bookmarkStart w:id="21" w:name="_Ref176884529"/>
            <w:r>
              <w:rPr>
                <w:rFonts w:hint="eastAsia"/>
                <w:color w:val="auto"/>
              </w:rPr>
              <w:t>物料经使用清洁能源燃料的汽车，由供料方运输至站区，汽车直接驶入站台后，将煤炭卸至站台工作面，再由皮带输送机送入储煤仓内贮存；储煤仓内的煤炭直接装入火车车厢内，发运。装满后外运销售，装车时间约为4.5h，每次发车装运55节车箱，车箱采用封闭式车箱，装满后封闭。</w:t>
            </w:r>
          </w:p>
          <w:p w14:paraId="3DABA6BA">
            <w:pPr>
              <w:pStyle w:val="3"/>
              <w:ind w:firstLine="480"/>
              <w:rPr>
                <w:color w:val="auto"/>
              </w:rPr>
            </w:pPr>
          </w:p>
          <w:p w14:paraId="6E6BFA78">
            <w:pPr>
              <w:pStyle w:val="49"/>
              <w:rPr>
                <w:color w:val="auto"/>
              </w:rPr>
            </w:pPr>
            <w:r>
              <w:rPr>
                <w:rFonts w:hint="eastAsia"/>
                <w:color w:val="auto"/>
              </w:rPr>
              <w:t xml:space="preserve">表2- </w:t>
            </w:r>
            <w:r>
              <w:rPr>
                <w:color w:val="auto"/>
              </w:rPr>
              <w:t>12</w:t>
            </w:r>
            <w:r>
              <w:rPr>
                <w:rFonts w:hint="eastAsia"/>
                <w:color w:val="auto"/>
              </w:rPr>
              <w:t>：主要产排污节点一览表</w:t>
            </w:r>
            <w:bookmarkEnd w:id="21"/>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417"/>
              <w:gridCol w:w="474"/>
              <w:gridCol w:w="1451"/>
              <w:gridCol w:w="1146"/>
              <w:gridCol w:w="1567"/>
              <w:gridCol w:w="713"/>
              <w:gridCol w:w="2212"/>
            </w:tblGrid>
            <w:tr w14:paraId="04A7B7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261"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3F74BB5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污染</w:t>
                  </w:r>
                </w:p>
              </w:tc>
              <w:tc>
                <w:tcPr>
                  <w:tcW w:w="297"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8DEA37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编号</w:t>
                  </w:r>
                </w:p>
              </w:tc>
              <w:tc>
                <w:tcPr>
                  <w:tcW w:w="909"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B3F93E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产污节点</w:t>
                  </w:r>
                </w:p>
              </w:tc>
              <w:tc>
                <w:tcPr>
                  <w:tcW w:w="718"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C44BCA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污染源</w:t>
                  </w:r>
                </w:p>
              </w:tc>
              <w:tc>
                <w:tcPr>
                  <w:tcW w:w="982"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406DCC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主要污染物</w:t>
                  </w:r>
                </w:p>
              </w:tc>
              <w:tc>
                <w:tcPr>
                  <w:tcW w:w="447"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651F89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排放</w:t>
                  </w:r>
                </w:p>
              </w:tc>
              <w:tc>
                <w:tcPr>
                  <w:tcW w:w="1386" w:type="pct"/>
                  <w:tcBorders>
                    <w:top w:val="single" w:color="auto" w:sz="12" w:space="0"/>
                    <w:bottom w:val="single" w:color="auto" w:sz="12" w:space="0"/>
                    <w:right w:val="nil"/>
                    <w:insideH w:val="single" w:sz="12" w:space="0"/>
                    <w:insideV w:val="single" w:sz="4" w:space="0"/>
                    <w:tl2br w:val="nil"/>
                    <w:tr2bl w:val="nil"/>
                  </w:tcBorders>
                  <w:vAlign w:val="center"/>
                </w:tcPr>
                <w:p w14:paraId="51BAC1C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治理措施及排放去向</w:t>
                  </w:r>
                </w:p>
              </w:tc>
            </w:tr>
            <w:tr w14:paraId="768B6E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261" w:type="pct"/>
                  <w:vAlign w:val="center"/>
                </w:tcPr>
                <w:p w14:paraId="3AFA5F18">
                  <w:pPr>
                    <w:widowControl w:val="0"/>
                    <w:overflowPunct w:val="0"/>
                    <w:autoSpaceDE w:val="0"/>
                    <w:autoSpaceDN w:val="0"/>
                    <w:snapToGrid w:val="0"/>
                    <w:jc w:val="center"/>
                    <w:rPr>
                      <w:color w:val="auto"/>
                      <w14:ligatures w14:val="standardContextual"/>
                    </w:rPr>
                  </w:pPr>
                  <w:r>
                    <w:rPr>
                      <w:rFonts w:hint="eastAsia"/>
                      <w:color w:val="auto"/>
                      <w14:ligatures w14:val="standardContextual"/>
                    </w:rPr>
                    <w:t>废水</w:t>
                  </w:r>
                </w:p>
              </w:tc>
              <w:tc>
                <w:tcPr>
                  <w:tcW w:w="297" w:type="pct"/>
                  <w:vAlign w:val="center"/>
                </w:tcPr>
                <w:p w14:paraId="16781D6B">
                  <w:pPr>
                    <w:widowControl w:val="0"/>
                    <w:overflowPunct w:val="0"/>
                    <w:autoSpaceDE w:val="0"/>
                    <w:autoSpaceDN w:val="0"/>
                    <w:snapToGrid w:val="0"/>
                    <w:jc w:val="center"/>
                    <w:rPr>
                      <w:color w:val="auto"/>
                      <w14:ligatures w14:val="standardContextual"/>
                    </w:rPr>
                  </w:pPr>
                  <w:r>
                    <w:rPr>
                      <w:rFonts w:hint="eastAsia"/>
                      <w:color w:val="auto"/>
                      <w14:ligatures w14:val="standardContextual"/>
                    </w:rPr>
                    <w:t>W1</w:t>
                  </w:r>
                </w:p>
              </w:tc>
              <w:tc>
                <w:tcPr>
                  <w:tcW w:w="909" w:type="pct"/>
                  <w:vAlign w:val="center"/>
                </w:tcPr>
                <w:p w14:paraId="3E097B2D">
                  <w:pPr>
                    <w:widowControl w:val="0"/>
                    <w:overflowPunct w:val="0"/>
                    <w:autoSpaceDE w:val="0"/>
                    <w:autoSpaceDN w:val="0"/>
                    <w:snapToGrid w:val="0"/>
                    <w:jc w:val="center"/>
                    <w:rPr>
                      <w:color w:val="auto"/>
                      <w14:ligatures w14:val="standardContextual"/>
                    </w:rPr>
                  </w:pPr>
                  <w:r>
                    <w:rPr>
                      <w:rFonts w:hint="eastAsia"/>
                      <w:color w:val="auto"/>
                      <w14:ligatures w14:val="standardContextual"/>
                    </w:rPr>
                    <w:t>职工生活</w:t>
                  </w:r>
                </w:p>
              </w:tc>
              <w:tc>
                <w:tcPr>
                  <w:tcW w:w="718" w:type="pct"/>
                  <w:vAlign w:val="center"/>
                </w:tcPr>
                <w:p w14:paraId="321EFE7A">
                  <w:pPr>
                    <w:widowControl w:val="0"/>
                    <w:overflowPunct w:val="0"/>
                    <w:autoSpaceDE w:val="0"/>
                    <w:autoSpaceDN w:val="0"/>
                    <w:snapToGrid w:val="0"/>
                    <w:jc w:val="center"/>
                    <w:rPr>
                      <w:color w:val="auto"/>
                      <w14:ligatures w14:val="standardContextual"/>
                    </w:rPr>
                  </w:pPr>
                  <w:r>
                    <w:rPr>
                      <w:rFonts w:hint="eastAsia"/>
                      <w:color w:val="auto"/>
                      <w14:ligatures w14:val="standardContextual"/>
                    </w:rPr>
                    <w:t>生活污水</w:t>
                  </w:r>
                </w:p>
              </w:tc>
              <w:tc>
                <w:tcPr>
                  <w:tcW w:w="982" w:type="pct"/>
                  <w:vAlign w:val="center"/>
                </w:tcPr>
                <w:p w14:paraId="6A15513B">
                  <w:pPr>
                    <w:widowControl w:val="0"/>
                    <w:overflowPunct w:val="0"/>
                    <w:autoSpaceDE w:val="0"/>
                    <w:autoSpaceDN w:val="0"/>
                    <w:snapToGrid w:val="0"/>
                    <w:jc w:val="center"/>
                    <w:rPr>
                      <w:color w:val="auto"/>
                      <w14:ligatures w14:val="standardContextual"/>
                    </w:rPr>
                  </w:pPr>
                  <w:r>
                    <w:rPr>
                      <w:rFonts w:hint="eastAsia"/>
                      <w:color w:val="auto"/>
                      <w14:ligatures w14:val="standardContextual"/>
                    </w:rPr>
                    <w:t>pH、COD、氨氮、BOD</w:t>
                  </w:r>
                  <w:r>
                    <w:rPr>
                      <w:rFonts w:hint="eastAsia"/>
                      <w:color w:val="auto"/>
                      <w:vertAlign w:val="subscript"/>
                      <w14:ligatures w14:val="standardContextual"/>
                    </w:rPr>
                    <w:t>5</w:t>
                  </w:r>
                  <w:r>
                    <w:rPr>
                      <w:rFonts w:hint="eastAsia"/>
                      <w:color w:val="auto"/>
                      <w14:ligatures w14:val="standardContextual"/>
                    </w:rPr>
                    <w:t>、</w:t>
                  </w:r>
                  <w:r>
                    <w:rPr>
                      <w:color w:val="auto"/>
                      <w14:ligatures w14:val="standardContextual"/>
                    </w:rPr>
                    <w:t>SS</w:t>
                  </w:r>
                  <w:r>
                    <w:rPr>
                      <w:rFonts w:hint="eastAsia"/>
                      <w:color w:val="auto"/>
                      <w14:ligatures w14:val="standardContextual"/>
                    </w:rPr>
                    <w:t>、总磷、总氮</w:t>
                  </w:r>
                </w:p>
              </w:tc>
              <w:tc>
                <w:tcPr>
                  <w:tcW w:w="447" w:type="pct"/>
                  <w:vAlign w:val="center"/>
                </w:tcPr>
                <w:p w14:paraId="4EDA2624">
                  <w:pPr>
                    <w:widowControl w:val="0"/>
                    <w:overflowPunct w:val="0"/>
                    <w:autoSpaceDE w:val="0"/>
                    <w:autoSpaceDN w:val="0"/>
                    <w:snapToGrid w:val="0"/>
                    <w:jc w:val="center"/>
                    <w:rPr>
                      <w:color w:val="auto"/>
                      <w14:ligatures w14:val="standardContextual"/>
                    </w:rPr>
                  </w:pPr>
                  <w:r>
                    <w:rPr>
                      <w:color w:val="auto"/>
                      <w14:ligatures w14:val="standardContextual"/>
                    </w:rPr>
                    <w:t>间歇</w:t>
                  </w:r>
                </w:p>
              </w:tc>
              <w:tc>
                <w:tcPr>
                  <w:tcW w:w="1386" w:type="pct"/>
                  <w:vAlign w:val="center"/>
                </w:tcPr>
                <w:p w14:paraId="21F60786">
                  <w:pPr>
                    <w:widowControl w:val="0"/>
                    <w:overflowPunct w:val="0"/>
                    <w:autoSpaceDE w:val="0"/>
                    <w:autoSpaceDN w:val="0"/>
                    <w:snapToGrid w:val="0"/>
                    <w:jc w:val="center"/>
                    <w:rPr>
                      <w:color w:val="auto"/>
                      <w14:ligatures w14:val="standardContextual"/>
                    </w:rPr>
                  </w:pPr>
                  <w:r>
                    <w:rPr>
                      <w:rFonts w:hint="eastAsia"/>
                      <w:color w:val="auto"/>
                      <w14:ligatures w14:val="standardContextual"/>
                    </w:rPr>
                    <w:t>排入</w:t>
                  </w:r>
                  <w:r>
                    <w:rPr>
                      <w:rFonts w:hint="eastAsia"/>
                      <w:b/>
                      <w:bCs/>
                      <w:color w:val="auto"/>
                      <w14:ligatures w14:val="standardContextual"/>
                    </w:rPr>
                    <w:t>地埋式一体化污水处理设施</w:t>
                  </w:r>
                  <w:r>
                    <w:rPr>
                      <w:rFonts w:hint="eastAsia"/>
                      <w:color w:val="auto"/>
                      <w14:ligatures w14:val="standardContextual"/>
                    </w:rPr>
                    <w:t>预处理后定期清运至鄯善县污水处理厂</w:t>
                  </w:r>
                </w:p>
              </w:tc>
            </w:tr>
            <w:tr w14:paraId="43F68B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261" w:type="pct"/>
                  <w:vMerge w:val="restart"/>
                  <w:vAlign w:val="center"/>
                </w:tcPr>
                <w:p w14:paraId="308137A7">
                  <w:pPr>
                    <w:widowControl w:val="0"/>
                    <w:overflowPunct w:val="0"/>
                    <w:autoSpaceDE w:val="0"/>
                    <w:autoSpaceDN w:val="0"/>
                    <w:snapToGrid w:val="0"/>
                    <w:jc w:val="center"/>
                    <w:rPr>
                      <w:color w:val="auto"/>
                      <w14:ligatures w14:val="standardContextual"/>
                    </w:rPr>
                  </w:pPr>
                  <w:r>
                    <w:rPr>
                      <w:color w:val="auto"/>
                      <w14:ligatures w14:val="standardContextual"/>
                    </w:rPr>
                    <w:t>废</w:t>
                  </w:r>
                  <w:r>
                    <w:rPr>
                      <w:rFonts w:hint="eastAsia"/>
                      <w:color w:val="auto"/>
                      <w14:ligatures w14:val="standardContextual"/>
                    </w:rPr>
                    <w:t>气</w:t>
                  </w:r>
                </w:p>
              </w:tc>
              <w:tc>
                <w:tcPr>
                  <w:tcW w:w="297" w:type="pct"/>
                  <w:vAlign w:val="center"/>
                </w:tcPr>
                <w:p w14:paraId="49CF0A1E">
                  <w:pPr>
                    <w:widowControl w:val="0"/>
                    <w:overflowPunct w:val="0"/>
                    <w:autoSpaceDE w:val="0"/>
                    <w:autoSpaceDN w:val="0"/>
                    <w:snapToGrid w:val="0"/>
                    <w:jc w:val="center"/>
                    <w:rPr>
                      <w:color w:val="auto"/>
                      <w14:ligatures w14:val="standardContextual"/>
                    </w:rPr>
                  </w:pPr>
                  <w:r>
                    <w:rPr>
                      <w:rFonts w:hint="eastAsia"/>
                      <w:color w:val="auto"/>
                      <w14:ligatures w14:val="standardContextual"/>
                    </w:rPr>
                    <w:t>G1</w:t>
                  </w:r>
                </w:p>
              </w:tc>
              <w:tc>
                <w:tcPr>
                  <w:tcW w:w="909" w:type="pct"/>
                  <w:vAlign w:val="center"/>
                </w:tcPr>
                <w:p w14:paraId="50F7DC9F">
                  <w:pPr>
                    <w:widowControl w:val="0"/>
                    <w:overflowPunct w:val="0"/>
                    <w:autoSpaceDE w:val="0"/>
                    <w:autoSpaceDN w:val="0"/>
                    <w:snapToGrid w:val="0"/>
                    <w:jc w:val="center"/>
                    <w:rPr>
                      <w:color w:val="auto"/>
                      <w14:ligatures w14:val="standardContextual"/>
                    </w:rPr>
                  </w:pPr>
                  <w:r>
                    <w:rPr>
                      <w:rFonts w:hint="eastAsia"/>
                      <w:color w:val="auto"/>
                      <w14:ligatures w14:val="standardContextual"/>
                    </w:rPr>
                    <w:t>运输扬尘</w:t>
                  </w:r>
                </w:p>
              </w:tc>
              <w:tc>
                <w:tcPr>
                  <w:tcW w:w="718" w:type="pct"/>
                  <w:vAlign w:val="center"/>
                </w:tcPr>
                <w:p w14:paraId="6840C480">
                  <w:pPr>
                    <w:widowControl w:val="0"/>
                    <w:overflowPunct w:val="0"/>
                    <w:autoSpaceDE w:val="0"/>
                    <w:autoSpaceDN w:val="0"/>
                    <w:snapToGrid w:val="0"/>
                    <w:jc w:val="center"/>
                    <w:rPr>
                      <w:color w:val="auto"/>
                      <w14:ligatures w14:val="standardContextual"/>
                    </w:rPr>
                  </w:pPr>
                  <w:r>
                    <w:rPr>
                      <w:rFonts w:hint="eastAsia"/>
                      <w:color w:val="auto"/>
                      <w14:ligatures w14:val="standardContextual"/>
                    </w:rPr>
                    <w:t>运输车辆</w:t>
                  </w:r>
                </w:p>
              </w:tc>
              <w:tc>
                <w:tcPr>
                  <w:tcW w:w="982" w:type="pct"/>
                  <w:vAlign w:val="center"/>
                </w:tcPr>
                <w:p w14:paraId="17BF639B">
                  <w:pPr>
                    <w:widowControl w:val="0"/>
                    <w:overflowPunct w:val="0"/>
                    <w:autoSpaceDE w:val="0"/>
                    <w:autoSpaceDN w:val="0"/>
                    <w:snapToGrid w:val="0"/>
                    <w:jc w:val="center"/>
                    <w:rPr>
                      <w:color w:val="auto"/>
                      <w14:ligatures w14:val="standardContextual"/>
                    </w:rPr>
                  </w:pPr>
                  <w:r>
                    <w:rPr>
                      <w:rFonts w:hint="eastAsia"/>
                      <w:color w:val="auto"/>
                      <w14:ligatures w14:val="standardContextual"/>
                    </w:rPr>
                    <w:t>颗粒物</w:t>
                  </w:r>
                </w:p>
              </w:tc>
              <w:tc>
                <w:tcPr>
                  <w:tcW w:w="447" w:type="pct"/>
                  <w:vAlign w:val="center"/>
                </w:tcPr>
                <w:p w14:paraId="245CE383">
                  <w:pPr>
                    <w:widowControl w:val="0"/>
                    <w:overflowPunct w:val="0"/>
                    <w:autoSpaceDE w:val="0"/>
                    <w:autoSpaceDN w:val="0"/>
                    <w:snapToGrid w:val="0"/>
                    <w:jc w:val="center"/>
                    <w:rPr>
                      <w:color w:val="auto"/>
                      <w14:ligatures w14:val="standardContextual"/>
                    </w:rPr>
                  </w:pPr>
                  <w:r>
                    <w:rPr>
                      <w:rFonts w:hint="eastAsia"/>
                      <w:color w:val="auto"/>
                      <w14:ligatures w14:val="standardContextual"/>
                    </w:rPr>
                    <w:t>连续</w:t>
                  </w:r>
                </w:p>
              </w:tc>
              <w:tc>
                <w:tcPr>
                  <w:tcW w:w="1386" w:type="pct"/>
                  <w:vMerge w:val="restart"/>
                  <w:vAlign w:val="center"/>
                </w:tcPr>
                <w:p w14:paraId="1A90E6E4">
                  <w:pPr>
                    <w:widowControl w:val="0"/>
                    <w:overflowPunct w:val="0"/>
                    <w:autoSpaceDE w:val="0"/>
                    <w:autoSpaceDN w:val="0"/>
                    <w:snapToGrid w:val="0"/>
                    <w:jc w:val="center"/>
                    <w:rPr>
                      <w:color w:val="auto"/>
                      <w14:ligatures w14:val="standardContextual"/>
                    </w:rPr>
                  </w:pPr>
                  <w:r>
                    <w:rPr>
                      <w:rFonts w:hint="eastAsia"/>
                      <w:color w:val="auto"/>
                      <w14:ligatures w14:val="standardContextual"/>
                    </w:rPr>
                    <w:t>设有封闭煤棚，内设喷淋设施，皮带机上设封闭隔尘罩，地面硬化，道路定期洒水并采取清扫措施等，无组织排放</w:t>
                  </w:r>
                </w:p>
              </w:tc>
            </w:tr>
            <w:tr w14:paraId="27F75C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23" w:hRule="atLeast"/>
                <w:jc w:val="center"/>
              </w:trPr>
              <w:tc>
                <w:tcPr>
                  <w:tcW w:w="261" w:type="pct"/>
                  <w:vMerge w:val="continue"/>
                  <w:vAlign w:val="center"/>
                </w:tcPr>
                <w:p w14:paraId="364C7B83">
                  <w:pPr>
                    <w:widowControl w:val="0"/>
                    <w:overflowPunct w:val="0"/>
                    <w:autoSpaceDE w:val="0"/>
                    <w:autoSpaceDN w:val="0"/>
                    <w:snapToGrid w:val="0"/>
                    <w:jc w:val="center"/>
                    <w:rPr>
                      <w:color w:val="auto"/>
                      <w14:ligatures w14:val="standardContextual"/>
                    </w:rPr>
                  </w:pPr>
                </w:p>
              </w:tc>
              <w:tc>
                <w:tcPr>
                  <w:tcW w:w="297" w:type="pct"/>
                  <w:vAlign w:val="center"/>
                </w:tcPr>
                <w:p w14:paraId="2F2B1B5F">
                  <w:pPr>
                    <w:widowControl w:val="0"/>
                    <w:overflowPunct w:val="0"/>
                    <w:autoSpaceDE w:val="0"/>
                    <w:autoSpaceDN w:val="0"/>
                    <w:snapToGrid w:val="0"/>
                    <w:jc w:val="center"/>
                    <w:rPr>
                      <w:color w:val="auto"/>
                      <w14:ligatures w14:val="standardContextual"/>
                    </w:rPr>
                  </w:pPr>
                  <w:r>
                    <w:rPr>
                      <w:rFonts w:hint="eastAsia"/>
                      <w:color w:val="auto"/>
                      <w14:ligatures w14:val="standardContextual"/>
                    </w:rPr>
                    <w:t>G2</w:t>
                  </w:r>
                </w:p>
              </w:tc>
              <w:tc>
                <w:tcPr>
                  <w:tcW w:w="909" w:type="pct"/>
                  <w:vAlign w:val="center"/>
                </w:tcPr>
                <w:p w14:paraId="1C8B81DD">
                  <w:pPr>
                    <w:widowControl w:val="0"/>
                    <w:overflowPunct w:val="0"/>
                    <w:autoSpaceDE w:val="0"/>
                    <w:autoSpaceDN w:val="0"/>
                    <w:snapToGrid w:val="0"/>
                    <w:jc w:val="center"/>
                    <w:rPr>
                      <w:color w:val="auto"/>
                      <w14:ligatures w14:val="standardContextual"/>
                    </w:rPr>
                  </w:pPr>
                  <w:r>
                    <w:rPr>
                      <w:rFonts w:hint="eastAsia"/>
                      <w:color w:val="auto"/>
                      <w14:ligatures w14:val="standardContextual"/>
                    </w:rPr>
                    <w:t>堆存、装卸扬尘</w:t>
                  </w:r>
                </w:p>
              </w:tc>
              <w:tc>
                <w:tcPr>
                  <w:tcW w:w="718" w:type="pct"/>
                  <w:vAlign w:val="center"/>
                </w:tcPr>
                <w:p w14:paraId="23C5C9A1">
                  <w:pPr>
                    <w:widowControl w:val="0"/>
                    <w:overflowPunct w:val="0"/>
                    <w:autoSpaceDE w:val="0"/>
                    <w:autoSpaceDN w:val="0"/>
                    <w:snapToGrid w:val="0"/>
                    <w:jc w:val="center"/>
                    <w:rPr>
                      <w:color w:val="auto"/>
                      <w14:ligatures w14:val="standardContextual"/>
                    </w:rPr>
                  </w:pPr>
                  <w:r>
                    <w:rPr>
                      <w:rFonts w:hint="eastAsia"/>
                      <w:color w:val="auto"/>
                      <w14:ligatures w14:val="standardContextual"/>
                    </w:rPr>
                    <w:t>堆存、装卸</w:t>
                  </w:r>
                </w:p>
              </w:tc>
              <w:tc>
                <w:tcPr>
                  <w:tcW w:w="982" w:type="pct"/>
                  <w:vAlign w:val="center"/>
                </w:tcPr>
                <w:p w14:paraId="75D4EF37">
                  <w:pPr>
                    <w:widowControl w:val="0"/>
                    <w:overflowPunct w:val="0"/>
                    <w:autoSpaceDE w:val="0"/>
                    <w:autoSpaceDN w:val="0"/>
                    <w:snapToGrid w:val="0"/>
                    <w:jc w:val="center"/>
                    <w:rPr>
                      <w:color w:val="auto"/>
                      <w14:ligatures w14:val="standardContextual"/>
                    </w:rPr>
                  </w:pPr>
                  <w:r>
                    <w:rPr>
                      <w:rFonts w:hint="eastAsia"/>
                      <w:color w:val="auto"/>
                      <w14:ligatures w14:val="standardContextual"/>
                    </w:rPr>
                    <w:t>颗粒物</w:t>
                  </w:r>
                </w:p>
              </w:tc>
              <w:tc>
                <w:tcPr>
                  <w:tcW w:w="447" w:type="pct"/>
                  <w:vAlign w:val="center"/>
                </w:tcPr>
                <w:p w14:paraId="04EA06FF">
                  <w:pPr>
                    <w:widowControl w:val="0"/>
                    <w:overflowPunct w:val="0"/>
                    <w:autoSpaceDE w:val="0"/>
                    <w:autoSpaceDN w:val="0"/>
                    <w:snapToGrid w:val="0"/>
                    <w:jc w:val="center"/>
                    <w:rPr>
                      <w:color w:val="auto"/>
                      <w14:ligatures w14:val="standardContextual"/>
                    </w:rPr>
                  </w:pPr>
                  <w:r>
                    <w:rPr>
                      <w:rFonts w:hint="eastAsia"/>
                      <w:color w:val="auto"/>
                      <w14:ligatures w14:val="standardContextual"/>
                    </w:rPr>
                    <w:t>连续</w:t>
                  </w:r>
                </w:p>
              </w:tc>
              <w:tc>
                <w:tcPr>
                  <w:tcW w:w="1386" w:type="pct"/>
                  <w:vMerge w:val="continue"/>
                  <w:vAlign w:val="center"/>
                </w:tcPr>
                <w:p w14:paraId="211B1B69">
                  <w:pPr>
                    <w:widowControl w:val="0"/>
                    <w:overflowPunct w:val="0"/>
                    <w:autoSpaceDE w:val="0"/>
                    <w:autoSpaceDN w:val="0"/>
                    <w:snapToGrid w:val="0"/>
                    <w:jc w:val="center"/>
                    <w:rPr>
                      <w:color w:val="auto"/>
                      <w14:ligatures w14:val="standardContextual"/>
                    </w:rPr>
                  </w:pPr>
                </w:p>
              </w:tc>
            </w:tr>
            <w:tr w14:paraId="390BF7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261" w:type="pct"/>
                  <w:vAlign w:val="center"/>
                </w:tcPr>
                <w:p w14:paraId="5262769C">
                  <w:pPr>
                    <w:widowControl w:val="0"/>
                    <w:overflowPunct w:val="0"/>
                    <w:autoSpaceDE w:val="0"/>
                    <w:autoSpaceDN w:val="0"/>
                    <w:snapToGrid w:val="0"/>
                    <w:jc w:val="center"/>
                    <w:rPr>
                      <w:color w:val="auto"/>
                      <w14:ligatures w14:val="standardContextual"/>
                    </w:rPr>
                  </w:pPr>
                  <w:r>
                    <w:rPr>
                      <w:color w:val="auto"/>
                      <w14:ligatures w14:val="standardContextual"/>
                    </w:rPr>
                    <w:t>噪声</w:t>
                  </w:r>
                </w:p>
              </w:tc>
              <w:tc>
                <w:tcPr>
                  <w:tcW w:w="297" w:type="pct"/>
                  <w:vAlign w:val="center"/>
                </w:tcPr>
                <w:p w14:paraId="1950DF2D">
                  <w:pPr>
                    <w:widowControl w:val="0"/>
                    <w:overflowPunct w:val="0"/>
                    <w:autoSpaceDE w:val="0"/>
                    <w:autoSpaceDN w:val="0"/>
                    <w:snapToGrid w:val="0"/>
                    <w:jc w:val="center"/>
                    <w:rPr>
                      <w:color w:val="auto"/>
                      <w14:ligatures w14:val="standardContextual"/>
                    </w:rPr>
                  </w:pPr>
                  <w:r>
                    <w:rPr>
                      <w:rFonts w:hint="eastAsia"/>
                      <w:color w:val="auto"/>
                      <w14:ligatures w14:val="standardContextual"/>
                    </w:rPr>
                    <w:t>N</w:t>
                  </w:r>
                </w:p>
              </w:tc>
              <w:tc>
                <w:tcPr>
                  <w:tcW w:w="909" w:type="pct"/>
                  <w:vAlign w:val="center"/>
                </w:tcPr>
                <w:p w14:paraId="7341E19D">
                  <w:pPr>
                    <w:widowControl w:val="0"/>
                    <w:overflowPunct w:val="0"/>
                    <w:autoSpaceDE w:val="0"/>
                    <w:autoSpaceDN w:val="0"/>
                    <w:snapToGrid w:val="0"/>
                    <w:jc w:val="center"/>
                    <w:rPr>
                      <w:color w:val="auto"/>
                      <w14:ligatures w14:val="standardContextual"/>
                    </w:rPr>
                  </w:pPr>
                  <w:r>
                    <w:rPr>
                      <w:color w:val="auto"/>
                      <w14:ligatures w14:val="standardContextual"/>
                    </w:rPr>
                    <w:t>生产设备</w:t>
                  </w:r>
                </w:p>
              </w:tc>
              <w:tc>
                <w:tcPr>
                  <w:tcW w:w="718" w:type="pct"/>
                  <w:vAlign w:val="center"/>
                </w:tcPr>
                <w:p w14:paraId="266D27A6">
                  <w:pPr>
                    <w:widowControl w:val="0"/>
                    <w:overflowPunct w:val="0"/>
                    <w:autoSpaceDE w:val="0"/>
                    <w:autoSpaceDN w:val="0"/>
                    <w:snapToGrid w:val="0"/>
                    <w:jc w:val="center"/>
                    <w:rPr>
                      <w:color w:val="auto"/>
                      <w14:ligatures w14:val="standardContextual"/>
                    </w:rPr>
                  </w:pPr>
                  <w:r>
                    <w:rPr>
                      <w:rFonts w:hint="eastAsia"/>
                      <w:color w:val="auto"/>
                      <w14:ligatures w14:val="standardContextual"/>
                    </w:rPr>
                    <w:t>各类生产设备及风机运行噪声</w:t>
                  </w:r>
                </w:p>
              </w:tc>
              <w:tc>
                <w:tcPr>
                  <w:tcW w:w="982" w:type="pct"/>
                  <w:vAlign w:val="center"/>
                </w:tcPr>
                <w:p w14:paraId="4496D123">
                  <w:pPr>
                    <w:widowControl w:val="0"/>
                    <w:overflowPunct w:val="0"/>
                    <w:autoSpaceDE w:val="0"/>
                    <w:autoSpaceDN w:val="0"/>
                    <w:snapToGrid w:val="0"/>
                    <w:jc w:val="center"/>
                    <w:rPr>
                      <w:color w:val="auto"/>
                      <w14:ligatures w14:val="standardContextual"/>
                    </w:rPr>
                  </w:pPr>
                  <w:r>
                    <w:rPr>
                      <w:color w:val="auto"/>
                      <w14:ligatures w14:val="standardContextual"/>
                    </w:rPr>
                    <w:t>等效A声级</w:t>
                  </w:r>
                </w:p>
              </w:tc>
              <w:tc>
                <w:tcPr>
                  <w:tcW w:w="447" w:type="pct"/>
                  <w:vAlign w:val="center"/>
                </w:tcPr>
                <w:p w14:paraId="68E210A4">
                  <w:pPr>
                    <w:widowControl w:val="0"/>
                    <w:overflowPunct w:val="0"/>
                    <w:autoSpaceDE w:val="0"/>
                    <w:autoSpaceDN w:val="0"/>
                    <w:snapToGrid w:val="0"/>
                    <w:jc w:val="center"/>
                    <w:rPr>
                      <w:color w:val="auto"/>
                      <w14:ligatures w14:val="standardContextual"/>
                    </w:rPr>
                  </w:pPr>
                  <w:r>
                    <w:rPr>
                      <w:color w:val="auto"/>
                      <w14:ligatures w14:val="standardContextual"/>
                    </w:rPr>
                    <w:t>间歇</w:t>
                  </w:r>
                </w:p>
              </w:tc>
              <w:tc>
                <w:tcPr>
                  <w:tcW w:w="1386" w:type="pct"/>
                  <w:vAlign w:val="center"/>
                </w:tcPr>
                <w:p w14:paraId="43A5571E">
                  <w:pPr>
                    <w:widowControl w:val="0"/>
                    <w:overflowPunct w:val="0"/>
                    <w:autoSpaceDE w:val="0"/>
                    <w:autoSpaceDN w:val="0"/>
                    <w:snapToGrid w:val="0"/>
                    <w:jc w:val="center"/>
                    <w:rPr>
                      <w:color w:val="auto"/>
                      <w14:ligatures w14:val="standardContextual"/>
                    </w:rPr>
                  </w:pPr>
                  <w:r>
                    <w:rPr>
                      <w:rFonts w:hint="eastAsia"/>
                      <w:color w:val="auto"/>
                      <w14:ligatures w14:val="standardContextual"/>
                    </w:rPr>
                    <w:t>置于厂房内，选用低噪声设备，采取基础减振、厂房隔声、设备定期维护和保养等措施</w:t>
                  </w:r>
                </w:p>
              </w:tc>
            </w:tr>
            <w:tr w14:paraId="1D764A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23" w:hRule="atLeast"/>
                <w:jc w:val="center"/>
              </w:trPr>
              <w:tc>
                <w:tcPr>
                  <w:tcW w:w="261" w:type="pct"/>
                  <w:vAlign w:val="center"/>
                </w:tcPr>
                <w:p w14:paraId="786B09FE">
                  <w:pPr>
                    <w:widowControl w:val="0"/>
                    <w:overflowPunct w:val="0"/>
                    <w:autoSpaceDE w:val="0"/>
                    <w:autoSpaceDN w:val="0"/>
                    <w:snapToGrid w:val="0"/>
                    <w:jc w:val="center"/>
                    <w:rPr>
                      <w:color w:val="auto"/>
                      <w14:ligatures w14:val="standardContextual"/>
                    </w:rPr>
                  </w:pPr>
                </w:p>
              </w:tc>
              <w:tc>
                <w:tcPr>
                  <w:tcW w:w="297" w:type="pct"/>
                  <w:vAlign w:val="center"/>
                </w:tcPr>
                <w:p w14:paraId="0B3BFD27">
                  <w:pPr>
                    <w:widowControl w:val="0"/>
                    <w:overflowPunct w:val="0"/>
                    <w:autoSpaceDE w:val="0"/>
                    <w:autoSpaceDN w:val="0"/>
                    <w:snapToGrid w:val="0"/>
                    <w:jc w:val="center"/>
                    <w:rPr>
                      <w:color w:val="auto"/>
                      <w14:ligatures w14:val="standardContextual"/>
                    </w:rPr>
                  </w:pPr>
                  <w:r>
                    <w:rPr>
                      <w:rFonts w:hint="eastAsia"/>
                      <w:color w:val="auto"/>
                      <w14:ligatures w14:val="standardContextual"/>
                    </w:rPr>
                    <w:t>S1</w:t>
                  </w:r>
                </w:p>
              </w:tc>
              <w:tc>
                <w:tcPr>
                  <w:tcW w:w="909" w:type="pct"/>
                  <w:vAlign w:val="center"/>
                </w:tcPr>
                <w:p w14:paraId="0CB33D07">
                  <w:pPr>
                    <w:widowControl w:val="0"/>
                    <w:overflowPunct w:val="0"/>
                    <w:autoSpaceDE w:val="0"/>
                    <w:autoSpaceDN w:val="0"/>
                    <w:snapToGrid w:val="0"/>
                    <w:jc w:val="center"/>
                    <w:rPr>
                      <w:color w:val="auto"/>
                      <w14:ligatures w14:val="standardContextual"/>
                    </w:rPr>
                  </w:pPr>
                  <w:r>
                    <w:rPr>
                      <w:rFonts w:hint="eastAsia"/>
                      <w:color w:val="auto"/>
                      <w14:ligatures w14:val="standardContextual"/>
                    </w:rPr>
                    <w:t>职工生活</w:t>
                  </w:r>
                </w:p>
              </w:tc>
              <w:tc>
                <w:tcPr>
                  <w:tcW w:w="718" w:type="pct"/>
                  <w:vAlign w:val="center"/>
                </w:tcPr>
                <w:p w14:paraId="3D6B3C3A">
                  <w:pPr>
                    <w:widowControl w:val="0"/>
                    <w:overflowPunct w:val="0"/>
                    <w:autoSpaceDE w:val="0"/>
                    <w:autoSpaceDN w:val="0"/>
                    <w:snapToGrid w:val="0"/>
                    <w:jc w:val="center"/>
                    <w:rPr>
                      <w:color w:val="auto"/>
                      <w14:ligatures w14:val="standardContextual"/>
                    </w:rPr>
                  </w:pPr>
                  <w:r>
                    <w:rPr>
                      <w:color w:val="auto"/>
                      <w14:ligatures w14:val="standardContextual"/>
                    </w:rPr>
                    <w:t>生活垃圾</w:t>
                  </w:r>
                </w:p>
              </w:tc>
              <w:tc>
                <w:tcPr>
                  <w:tcW w:w="982" w:type="pct"/>
                  <w:vAlign w:val="center"/>
                </w:tcPr>
                <w:p w14:paraId="55F246B9">
                  <w:pPr>
                    <w:widowControl w:val="0"/>
                    <w:overflowPunct w:val="0"/>
                    <w:autoSpaceDE w:val="0"/>
                    <w:autoSpaceDN w:val="0"/>
                    <w:snapToGrid w:val="0"/>
                    <w:jc w:val="center"/>
                    <w:rPr>
                      <w:color w:val="auto"/>
                      <w14:ligatures w14:val="standardContextual"/>
                    </w:rPr>
                  </w:pPr>
                  <w:r>
                    <w:rPr>
                      <w:color w:val="auto"/>
                      <w14:ligatures w14:val="standardContextual"/>
                    </w:rPr>
                    <w:t>生活垃圾</w:t>
                  </w:r>
                </w:p>
              </w:tc>
              <w:tc>
                <w:tcPr>
                  <w:tcW w:w="447" w:type="pct"/>
                  <w:vAlign w:val="center"/>
                </w:tcPr>
                <w:p w14:paraId="4A901640">
                  <w:pPr>
                    <w:widowControl w:val="0"/>
                    <w:overflowPunct w:val="0"/>
                    <w:autoSpaceDE w:val="0"/>
                    <w:autoSpaceDN w:val="0"/>
                    <w:snapToGrid w:val="0"/>
                    <w:jc w:val="center"/>
                    <w:rPr>
                      <w:color w:val="auto"/>
                      <w14:ligatures w14:val="standardContextual"/>
                    </w:rPr>
                  </w:pPr>
                  <w:r>
                    <w:rPr>
                      <w:color w:val="auto"/>
                      <w14:ligatures w14:val="standardContextual"/>
                    </w:rPr>
                    <w:t>间歇</w:t>
                  </w:r>
                </w:p>
              </w:tc>
              <w:tc>
                <w:tcPr>
                  <w:tcW w:w="1386" w:type="pct"/>
                  <w:vAlign w:val="center"/>
                </w:tcPr>
                <w:p w14:paraId="14B2766F">
                  <w:pPr>
                    <w:widowControl w:val="0"/>
                    <w:overflowPunct w:val="0"/>
                    <w:autoSpaceDE w:val="0"/>
                    <w:autoSpaceDN w:val="0"/>
                    <w:snapToGrid w:val="0"/>
                    <w:jc w:val="center"/>
                    <w:rPr>
                      <w:color w:val="auto"/>
                      <w14:ligatures w14:val="standardContextual"/>
                    </w:rPr>
                  </w:pPr>
                  <w:r>
                    <w:rPr>
                      <w:rFonts w:hint="eastAsia"/>
                      <w:color w:val="auto"/>
                      <w14:ligatures w14:val="standardContextual"/>
                    </w:rPr>
                    <w:t>由环卫部门统一收集处理</w:t>
                  </w:r>
                </w:p>
              </w:tc>
            </w:tr>
          </w:tbl>
          <w:p w14:paraId="5D8866CA">
            <w:pPr>
              <w:pStyle w:val="3"/>
              <w:ind w:firstLine="480"/>
              <w:rPr>
                <w:color w:val="auto"/>
              </w:rPr>
            </w:pPr>
          </w:p>
        </w:tc>
      </w:tr>
      <w:bookmarkEnd w:id="8"/>
      <w:tr w14:paraId="7A83E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5" w:hRule="atLeast"/>
          <w:jc w:val="center"/>
        </w:trPr>
        <w:tc>
          <w:tcPr>
            <w:tcW w:w="477" w:type="pct"/>
            <w:vAlign w:val="center"/>
          </w:tcPr>
          <w:p w14:paraId="2B57F6E4">
            <w:pPr>
              <w:pStyle w:val="18"/>
              <w:rPr>
                <w:rFonts w:hint="eastAsia"/>
                <w:color w:val="auto"/>
              </w:rPr>
            </w:pPr>
            <w:bookmarkStart w:id="22" w:name="_Toc175609271"/>
            <w:r>
              <w:rPr>
                <w:rFonts w:hint="eastAsia"/>
                <w:color w:val="auto"/>
              </w:rPr>
              <w:t>与项目有关的原有环境污染问题</w:t>
            </w:r>
            <w:bookmarkEnd w:id="22"/>
          </w:p>
        </w:tc>
        <w:tc>
          <w:tcPr>
            <w:tcW w:w="4523" w:type="pct"/>
            <w:vAlign w:val="center"/>
          </w:tcPr>
          <w:p w14:paraId="7A67C881">
            <w:pPr>
              <w:pStyle w:val="3"/>
              <w:ind w:firstLine="480"/>
              <w:rPr>
                <w:color w:val="auto"/>
              </w:rPr>
            </w:pPr>
            <w:r>
              <w:rPr>
                <w:rFonts w:hint="eastAsia"/>
                <w:color w:val="auto"/>
              </w:rPr>
              <w:t>本项目属于新建项目。根据现场踏勘可知，项目场地为空地，无原有生产设备，无遗留环保问题，尚未发现有关的原有污染情况和环境问题。</w:t>
            </w:r>
          </w:p>
        </w:tc>
      </w:tr>
    </w:tbl>
    <w:p w14:paraId="4C547F94">
      <w:pPr>
        <w:pStyle w:val="18"/>
        <w:rPr>
          <w:rFonts w:hint="eastAsia"/>
          <w:snapToGrid w:val="0"/>
          <w:color w:val="auto"/>
        </w:rPr>
        <w:sectPr>
          <w:headerReference r:id="rId7" w:type="first"/>
          <w:headerReference r:id="rId5" w:type="default"/>
          <w:headerReference r:id="rId6" w:type="even"/>
          <w:pgSz w:w="11906" w:h="16838"/>
          <w:pgMar w:top="1701" w:right="1531" w:bottom="1701" w:left="1531" w:header="851" w:footer="851" w:gutter="0"/>
          <w:cols w:space="720" w:num="1"/>
          <w:docGrid w:linePitch="312" w:charSpace="0"/>
        </w:sectPr>
      </w:pPr>
    </w:p>
    <w:p w14:paraId="2CBB9247">
      <w:pPr>
        <w:pStyle w:val="2"/>
        <w:rPr>
          <w:snapToGrid w:val="0"/>
          <w:color w:val="auto"/>
        </w:rPr>
      </w:pPr>
      <w:bookmarkStart w:id="23" w:name="_Toc177030776"/>
      <w:bookmarkStart w:id="24" w:name="_Toc175609272"/>
      <w:bookmarkStart w:id="25" w:name="_Toc177030777"/>
      <w:bookmarkStart w:id="26" w:name="_Toc175609274"/>
      <w:r>
        <w:rPr>
          <w:rFonts w:hint="eastAsia"/>
          <w:snapToGrid w:val="0"/>
          <w:color w:val="auto"/>
        </w:rPr>
        <w:t>区域环境质量现状、环境保护目标及评价标准</w:t>
      </w:r>
      <w:bookmarkEnd w:id="23"/>
      <w:bookmarkEnd w:id="24"/>
    </w:p>
    <w:tbl>
      <w:tblPr>
        <w:tblStyle w:val="20"/>
        <w:tblW w:w="88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09"/>
      </w:tblGrid>
      <w:tr w14:paraId="6BFDC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40" w:type="pct"/>
            <w:vAlign w:val="center"/>
          </w:tcPr>
          <w:p w14:paraId="32E77893">
            <w:pPr>
              <w:pStyle w:val="67"/>
              <w:rPr>
                <w:rFonts w:hint="eastAsia"/>
                <w:color w:val="auto"/>
              </w:rPr>
            </w:pPr>
            <w:bookmarkStart w:id="27" w:name="_Toc175609273"/>
            <w:r>
              <w:rPr>
                <w:rFonts w:hint="eastAsia"/>
                <w:color w:val="auto"/>
              </w:rPr>
              <w:t>区域环境质量现状</w:t>
            </w:r>
            <w:bookmarkEnd w:id="27"/>
          </w:p>
        </w:tc>
        <w:tc>
          <w:tcPr>
            <w:tcW w:w="4560" w:type="pct"/>
            <w:vAlign w:val="center"/>
          </w:tcPr>
          <w:p w14:paraId="75095D84">
            <w:pPr>
              <w:pStyle w:val="7"/>
              <w:rPr>
                <w:color w:val="auto"/>
              </w:rPr>
            </w:pPr>
            <w:r>
              <w:rPr>
                <w:rFonts w:hint="eastAsia"/>
                <w:color w:val="auto"/>
              </w:rPr>
              <w:t>1、环境空气质量现状</w:t>
            </w:r>
          </w:p>
          <w:p w14:paraId="0355810D">
            <w:pPr>
              <w:pStyle w:val="3"/>
              <w:ind w:firstLine="480"/>
              <w:rPr>
                <w:color w:val="auto"/>
              </w:rPr>
            </w:pPr>
            <w:r>
              <w:rPr>
                <w:rFonts w:hint="eastAsia"/>
                <w:color w:val="auto"/>
              </w:rPr>
              <w:t>（1）环境空气质量达标区判定</w:t>
            </w:r>
          </w:p>
          <w:p w14:paraId="02447903">
            <w:pPr>
              <w:pStyle w:val="3"/>
              <w:ind w:firstLine="480"/>
              <w:rPr>
                <w:color w:val="auto"/>
              </w:rPr>
            </w:pPr>
            <w:r>
              <w:rPr>
                <w:rFonts w:hint="eastAsia"/>
                <w:color w:val="auto"/>
              </w:rPr>
              <w:t>根据《2023年12月和1-12月全区环境空气质量状况及排名》中资料，吐鲁番市2023年度环境空气质量现状评价结果如下：</w:t>
            </w:r>
          </w:p>
          <w:p w14:paraId="17E31ECA">
            <w:pPr>
              <w:pStyle w:val="49"/>
              <w:rPr>
                <w:color w:val="auto"/>
              </w:rPr>
            </w:pPr>
            <w:r>
              <w:rPr>
                <w:rFonts w:hint="eastAsia"/>
                <w:color w:val="auto"/>
              </w:rPr>
              <w:t xml:space="preserve">表3- </w:t>
            </w:r>
            <w:r>
              <w:rPr>
                <w:color w:val="auto"/>
              </w:rPr>
              <w:t>1</w:t>
            </w:r>
            <w:r>
              <w:rPr>
                <w:rFonts w:hint="eastAsia"/>
                <w:color w:val="auto"/>
              </w:rPr>
              <w:t>：2023年吐鲁番市环境空气质量现状评价一览表</w:t>
            </w:r>
          </w:p>
          <w:tbl>
            <w:tblPr>
              <w:tblStyle w:val="50"/>
              <w:tblW w:w="79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732"/>
              <w:gridCol w:w="3482"/>
              <w:gridCol w:w="1108"/>
              <w:gridCol w:w="1018"/>
              <w:gridCol w:w="709"/>
              <w:gridCol w:w="925"/>
            </w:tblGrid>
            <w:tr w14:paraId="1DDD6B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7655F18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污染物</w:t>
                  </w:r>
                </w:p>
              </w:tc>
              <w:tc>
                <w:tcPr>
                  <w:tcW w:w="3482"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A1F867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年评价指标</w:t>
                  </w:r>
                </w:p>
              </w:tc>
              <w:tc>
                <w:tcPr>
                  <w:tcW w:w="1108"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6761C2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现状浓度μg/m</w:t>
                  </w:r>
                  <w:r>
                    <w:rPr>
                      <w:rFonts w:hint="default" w:ascii="Times New Roman" w:hAnsi="Times New Roman" w:eastAsia="宋体" w:cs="Times New Roman"/>
                      <w:b/>
                      <w:i w:val="0"/>
                      <w:color w:val="auto"/>
                      <w:sz w:val="21"/>
                      <w:szCs w:val="21"/>
                      <w:vertAlign w:val="superscript"/>
                      <w14:ligatures w14:val="standardContextual"/>
                    </w:rPr>
                    <w:t>3</w:t>
                  </w:r>
                </w:p>
              </w:tc>
              <w:tc>
                <w:tcPr>
                  <w:tcW w:w="1018"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C23FD3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标准值μg/m</w:t>
                  </w:r>
                  <w:r>
                    <w:rPr>
                      <w:rFonts w:hint="default" w:ascii="Times New Roman" w:hAnsi="Times New Roman" w:eastAsia="宋体" w:cs="Times New Roman"/>
                      <w:b/>
                      <w:i w:val="0"/>
                      <w:color w:val="auto"/>
                      <w:sz w:val="21"/>
                      <w:szCs w:val="21"/>
                      <w:vertAlign w:val="superscript"/>
                      <w14:ligatures w14:val="standardContextual"/>
                    </w:rPr>
                    <w:t>3</w:t>
                  </w:r>
                </w:p>
              </w:tc>
              <w:tc>
                <w:tcPr>
                  <w:tcW w:w="709"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BB5B4B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占标率%</w:t>
                  </w:r>
                </w:p>
              </w:tc>
              <w:tc>
                <w:tcPr>
                  <w:tcW w:w="925" w:type="dxa"/>
                  <w:tcBorders>
                    <w:top w:val="single" w:color="auto" w:sz="12" w:space="0"/>
                    <w:bottom w:val="single" w:color="auto" w:sz="12" w:space="0"/>
                    <w:right w:val="nil"/>
                    <w:insideH w:val="single" w:sz="12" w:space="0"/>
                    <w:insideV w:val="single" w:sz="4" w:space="0"/>
                    <w:tl2br w:val="nil"/>
                    <w:tr2bl w:val="nil"/>
                  </w:tcBorders>
                  <w:vAlign w:val="center"/>
                </w:tcPr>
                <w:p w14:paraId="54E1CD6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达标</w:t>
                  </w:r>
                </w:p>
                <w:p w14:paraId="7592DAB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情况</w:t>
                  </w:r>
                </w:p>
              </w:tc>
            </w:tr>
            <w:tr w14:paraId="163495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Align w:val="center"/>
                </w:tcPr>
                <w:p w14:paraId="52750985">
                  <w:pPr>
                    <w:widowControl w:val="0"/>
                    <w:overflowPunct w:val="0"/>
                    <w:autoSpaceDE w:val="0"/>
                    <w:autoSpaceDN w:val="0"/>
                    <w:snapToGrid w:val="0"/>
                    <w:jc w:val="center"/>
                    <w:rPr>
                      <w:color w:val="auto"/>
                      <w14:ligatures w14:val="standardContextual"/>
                    </w:rPr>
                  </w:pPr>
                  <w:r>
                    <w:rPr>
                      <w:color w:val="auto"/>
                      <w14:ligatures w14:val="standardContextual"/>
                    </w:rPr>
                    <w:t>SO</w:t>
                  </w:r>
                  <w:r>
                    <w:rPr>
                      <w:color w:val="auto"/>
                      <w:vertAlign w:val="subscript"/>
                      <w14:ligatures w14:val="standardContextual"/>
                    </w:rPr>
                    <w:t>2</w:t>
                  </w:r>
                </w:p>
              </w:tc>
              <w:tc>
                <w:tcPr>
                  <w:tcW w:w="3482" w:type="dxa"/>
                  <w:vAlign w:val="center"/>
                </w:tcPr>
                <w:p w14:paraId="6EFB1DB6">
                  <w:pPr>
                    <w:widowControl w:val="0"/>
                    <w:overflowPunct w:val="0"/>
                    <w:autoSpaceDE w:val="0"/>
                    <w:autoSpaceDN w:val="0"/>
                    <w:snapToGrid w:val="0"/>
                    <w:jc w:val="center"/>
                    <w:rPr>
                      <w:color w:val="auto"/>
                      <w14:ligatures w14:val="standardContextual"/>
                    </w:rPr>
                  </w:pPr>
                  <w:r>
                    <w:rPr>
                      <w:color w:val="auto"/>
                      <w14:ligatures w14:val="standardContextual"/>
                    </w:rPr>
                    <w:t>年平均质量浓度</w:t>
                  </w:r>
                </w:p>
              </w:tc>
              <w:tc>
                <w:tcPr>
                  <w:tcW w:w="1108" w:type="dxa"/>
                  <w:vAlign w:val="center"/>
                </w:tcPr>
                <w:p w14:paraId="32AFCCA0">
                  <w:pPr>
                    <w:widowControl w:val="0"/>
                    <w:overflowPunct w:val="0"/>
                    <w:autoSpaceDE w:val="0"/>
                    <w:autoSpaceDN w:val="0"/>
                    <w:snapToGrid w:val="0"/>
                    <w:jc w:val="center"/>
                    <w:rPr>
                      <w:color w:val="auto"/>
                      <w14:ligatures w14:val="standardContextual"/>
                    </w:rPr>
                  </w:pPr>
                  <w:r>
                    <w:rPr>
                      <w:rFonts w:hint="eastAsia"/>
                      <w:color w:val="auto"/>
                      <w14:ligatures w14:val="standardContextual"/>
                    </w:rPr>
                    <w:t>6</w:t>
                  </w:r>
                </w:p>
              </w:tc>
              <w:tc>
                <w:tcPr>
                  <w:tcW w:w="1018" w:type="dxa"/>
                  <w:vAlign w:val="center"/>
                </w:tcPr>
                <w:p w14:paraId="1D49D332">
                  <w:pPr>
                    <w:widowControl w:val="0"/>
                    <w:overflowPunct w:val="0"/>
                    <w:autoSpaceDE w:val="0"/>
                    <w:autoSpaceDN w:val="0"/>
                    <w:snapToGrid w:val="0"/>
                    <w:jc w:val="center"/>
                    <w:rPr>
                      <w:color w:val="auto"/>
                      <w14:ligatures w14:val="standardContextual"/>
                    </w:rPr>
                  </w:pPr>
                  <w:r>
                    <w:rPr>
                      <w:color w:val="auto"/>
                      <w14:ligatures w14:val="standardContextual"/>
                    </w:rPr>
                    <w:t>60</w:t>
                  </w:r>
                </w:p>
              </w:tc>
              <w:tc>
                <w:tcPr>
                  <w:tcW w:w="709" w:type="dxa"/>
                  <w:vAlign w:val="center"/>
                </w:tcPr>
                <w:p w14:paraId="3437DA11">
                  <w:pPr>
                    <w:widowControl w:val="0"/>
                    <w:overflowPunct w:val="0"/>
                    <w:autoSpaceDE w:val="0"/>
                    <w:autoSpaceDN w:val="0"/>
                    <w:snapToGrid w:val="0"/>
                    <w:jc w:val="center"/>
                    <w:rPr>
                      <w:color w:val="auto"/>
                      <w14:ligatures w14:val="standardContextual"/>
                    </w:rPr>
                  </w:pPr>
                  <w:r>
                    <w:rPr>
                      <w:rFonts w:hint="eastAsia"/>
                      <w:color w:val="auto"/>
                      <w14:ligatures w14:val="standardContextual"/>
                    </w:rPr>
                    <w:t>10.0</w:t>
                  </w:r>
                </w:p>
              </w:tc>
              <w:tc>
                <w:tcPr>
                  <w:tcW w:w="925" w:type="dxa"/>
                  <w:vAlign w:val="center"/>
                </w:tcPr>
                <w:p w14:paraId="5DB57ACB">
                  <w:pPr>
                    <w:widowControl w:val="0"/>
                    <w:overflowPunct w:val="0"/>
                    <w:autoSpaceDE w:val="0"/>
                    <w:autoSpaceDN w:val="0"/>
                    <w:snapToGrid w:val="0"/>
                    <w:jc w:val="center"/>
                    <w:rPr>
                      <w:color w:val="auto"/>
                      <w14:ligatures w14:val="standardContextual"/>
                    </w:rPr>
                  </w:pPr>
                  <w:r>
                    <w:rPr>
                      <w:color w:val="auto"/>
                      <w14:ligatures w14:val="standardContextual"/>
                    </w:rPr>
                    <w:t>达标</w:t>
                  </w:r>
                </w:p>
              </w:tc>
            </w:tr>
            <w:tr w14:paraId="4C3512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Align w:val="center"/>
                </w:tcPr>
                <w:p w14:paraId="7A5A8AA7">
                  <w:pPr>
                    <w:widowControl w:val="0"/>
                    <w:overflowPunct w:val="0"/>
                    <w:autoSpaceDE w:val="0"/>
                    <w:autoSpaceDN w:val="0"/>
                    <w:snapToGrid w:val="0"/>
                    <w:jc w:val="center"/>
                    <w:rPr>
                      <w:color w:val="auto"/>
                      <w14:ligatures w14:val="standardContextual"/>
                    </w:rPr>
                  </w:pPr>
                  <w:r>
                    <w:rPr>
                      <w:color w:val="auto"/>
                      <w14:ligatures w14:val="standardContextual"/>
                    </w:rPr>
                    <w:t>NO</w:t>
                  </w:r>
                  <w:r>
                    <w:rPr>
                      <w:color w:val="auto"/>
                      <w:vertAlign w:val="subscript"/>
                      <w14:ligatures w14:val="standardContextual"/>
                    </w:rPr>
                    <w:t>2</w:t>
                  </w:r>
                </w:p>
              </w:tc>
              <w:tc>
                <w:tcPr>
                  <w:tcW w:w="3482" w:type="dxa"/>
                  <w:vAlign w:val="center"/>
                </w:tcPr>
                <w:p w14:paraId="7E862499">
                  <w:pPr>
                    <w:widowControl w:val="0"/>
                    <w:overflowPunct w:val="0"/>
                    <w:autoSpaceDE w:val="0"/>
                    <w:autoSpaceDN w:val="0"/>
                    <w:snapToGrid w:val="0"/>
                    <w:jc w:val="center"/>
                    <w:rPr>
                      <w:color w:val="auto"/>
                      <w14:ligatures w14:val="standardContextual"/>
                    </w:rPr>
                  </w:pPr>
                  <w:r>
                    <w:rPr>
                      <w:color w:val="auto"/>
                      <w14:ligatures w14:val="standardContextual"/>
                    </w:rPr>
                    <w:t>年平均质量浓度</w:t>
                  </w:r>
                </w:p>
              </w:tc>
              <w:tc>
                <w:tcPr>
                  <w:tcW w:w="1108" w:type="dxa"/>
                  <w:vAlign w:val="center"/>
                </w:tcPr>
                <w:p w14:paraId="7B36EC34">
                  <w:pPr>
                    <w:widowControl w:val="0"/>
                    <w:overflowPunct w:val="0"/>
                    <w:autoSpaceDE w:val="0"/>
                    <w:autoSpaceDN w:val="0"/>
                    <w:snapToGrid w:val="0"/>
                    <w:jc w:val="center"/>
                    <w:rPr>
                      <w:color w:val="auto"/>
                      <w14:ligatures w14:val="standardContextual"/>
                    </w:rPr>
                  </w:pPr>
                  <w:r>
                    <w:rPr>
                      <w:rFonts w:hint="eastAsia"/>
                      <w:color w:val="auto"/>
                      <w14:ligatures w14:val="standardContextual"/>
                    </w:rPr>
                    <w:t>32</w:t>
                  </w:r>
                </w:p>
              </w:tc>
              <w:tc>
                <w:tcPr>
                  <w:tcW w:w="1018" w:type="dxa"/>
                  <w:vAlign w:val="center"/>
                </w:tcPr>
                <w:p w14:paraId="05107304">
                  <w:pPr>
                    <w:widowControl w:val="0"/>
                    <w:overflowPunct w:val="0"/>
                    <w:autoSpaceDE w:val="0"/>
                    <w:autoSpaceDN w:val="0"/>
                    <w:snapToGrid w:val="0"/>
                    <w:jc w:val="center"/>
                    <w:rPr>
                      <w:color w:val="auto"/>
                      <w14:ligatures w14:val="standardContextual"/>
                    </w:rPr>
                  </w:pPr>
                  <w:r>
                    <w:rPr>
                      <w:color w:val="auto"/>
                      <w14:ligatures w14:val="standardContextual"/>
                    </w:rPr>
                    <w:t>40</w:t>
                  </w:r>
                </w:p>
              </w:tc>
              <w:tc>
                <w:tcPr>
                  <w:tcW w:w="709" w:type="dxa"/>
                  <w:vAlign w:val="center"/>
                </w:tcPr>
                <w:p w14:paraId="6319181F">
                  <w:pPr>
                    <w:widowControl w:val="0"/>
                    <w:overflowPunct w:val="0"/>
                    <w:autoSpaceDE w:val="0"/>
                    <w:autoSpaceDN w:val="0"/>
                    <w:snapToGrid w:val="0"/>
                    <w:jc w:val="center"/>
                    <w:rPr>
                      <w:color w:val="auto"/>
                      <w14:ligatures w14:val="standardContextual"/>
                    </w:rPr>
                  </w:pPr>
                  <w:r>
                    <w:rPr>
                      <w:rFonts w:hint="eastAsia"/>
                      <w:color w:val="auto"/>
                      <w14:ligatures w14:val="standardContextual"/>
                    </w:rPr>
                    <w:t>80.0</w:t>
                  </w:r>
                </w:p>
              </w:tc>
              <w:tc>
                <w:tcPr>
                  <w:tcW w:w="925" w:type="dxa"/>
                  <w:vAlign w:val="center"/>
                </w:tcPr>
                <w:p w14:paraId="54BF5BE4">
                  <w:pPr>
                    <w:widowControl w:val="0"/>
                    <w:overflowPunct w:val="0"/>
                    <w:autoSpaceDE w:val="0"/>
                    <w:autoSpaceDN w:val="0"/>
                    <w:snapToGrid w:val="0"/>
                    <w:jc w:val="center"/>
                    <w:rPr>
                      <w:color w:val="auto"/>
                      <w14:ligatures w14:val="standardContextual"/>
                    </w:rPr>
                  </w:pPr>
                  <w:r>
                    <w:rPr>
                      <w:color w:val="auto"/>
                      <w14:ligatures w14:val="standardContextual"/>
                    </w:rPr>
                    <w:t>达标</w:t>
                  </w:r>
                </w:p>
              </w:tc>
            </w:tr>
            <w:tr w14:paraId="19011A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Align w:val="center"/>
                </w:tcPr>
                <w:p w14:paraId="2B181A9B">
                  <w:pPr>
                    <w:widowControl w:val="0"/>
                    <w:overflowPunct w:val="0"/>
                    <w:autoSpaceDE w:val="0"/>
                    <w:autoSpaceDN w:val="0"/>
                    <w:snapToGrid w:val="0"/>
                    <w:jc w:val="center"/>
                    <w:rPr>
                      <w:color w:val="auto"/>
                      <w14:ligatures w14:val="standardContextual"/>
                    </w:rPr>
                  </w:pPr>
                  <w:r>
                    <w:rPr>
                      <w:color w:val="auto"/>
                      <w14:ligatures w14:val="standardContextual"/>
                    </w:rPr>
                    <w:t>PM</w:t>
                  </w:r>
                  <w:r>
                    <w:rPr>
                      <w:color w:val="auto"/>
                      <w:vertAlign w:val="subscript"/>
                      <w14:ligatures w14:val="standardContextual"/>
                    </w:rPr>
                    <w:t>2.5</w:t>
                  </w:r>
                </w:p>
              </w:tc>
              <w:tc>
                <w:tcPr>
                  <w:tcW w:w="3482" w:type="dxa"/>
                  <w:vAlign w:val="center"/>
                </w:tcPr>
                <w:p w14:paraId="56C172AA">
                  <w:pPr>
                    <w:widowControl w:val="0"/>
                    <w:overflowPunct w:val="0"/>
                    <w:autoSpaceDE w:val="0"/>
                    <w:autoSpaceDN w:val="0"/>
                    <w:snapToGrid w:val="0"/>
                    <w:jc w:val="center"/>
                    <w:rPr>
                      <w:color w:val="auto"/>
                      <w14:ligatures w14:val="standardContextual"/>
                    </w:rPr>
                  </w:pPr>
                  <w:r>
                    <w:rPr>
                      <w:color w:val="auto"/>
                      <w14:ligatures w14:val="standardContextual"/>
                    </w:rPr>
                    <w:t>年平均质量浓度</w:t>
                  </w:r>
                </w:p>
              </w:tc>
              <w:tc>
                <w:tcPr>
                  <w:tcW w:w="1108" w:type="dxa"/>
                  <w:vAlign w:val="center"/>
                </w:tcPr>
                <w:p w14:paraId="5658D31A">
                  <w:pPr>
                    <w:widowControl w:val="0"/>
                    <w:overflowPunct w:val="0"/>
                    <w:autoSpaceDE w:val="0"/>
                    <w:autoSpaceDN w:val="0"/>
                    <w:snapToGrid w:val="0"/>
                    <w:jc w:val="center"/>
                    <w:rPr>
                      <w:color w:val="auto"/>
                      <w14:ligatures w14:val="standardContextual"/>
                    </w:rPr>
                  </w:pPr>
                  <w:r>
                    <w:rPr>
                      <w:rFonts w:hint="eastAsia"/>
                      <w:color w:val="auto"/>
                      <w14:ligatures w14:val="standardContextual"/>
                    </w:rPr>
                    <w:t>46</w:t>
                  </w:r>
                </w:p>
              </w:tc>
              <w:tc>
                <w:tcPr>
                  <w:tcW w:w="1018" w:type="dxa"/>
                  <w:vAlign w:val="center"/>
                </w:tcPr>
                <w:p w14:paraId="28A76324">
                  <w:pPr>
                    <w:widowControl w:val="0"/>
                    <w:overflowPunct w:val="0"/>
                    <w:autoSpaceDE w:val="0"/>
                    <w:autoSpaceDN w:val="0"/>
                    <w:snapToGrid w:val="0"/>
                    <w:jc w:val="center"/>
                    <w:rPr>
                      <w:color w:val="auto"/>
                      <w14:ligatures w14:val="standardContextual"/>
                    </w:rPr>
                  </w:pPr>
                  <w:r>
                    <w:rPr>
                      <w:color w:val="auto"/>
                      <w14:ligatures w14:val="standardContextual"/>
                    </w:rPr>
                    <w:t>35</w:t>
                  </w:r>
                </w:p>
              </w:tc>
              <w:tc>
                <w:tcPr>
                  <w:tcW w:w="709" w:type="dxa"/>
                  <w:vAlign w:val="center"/>
                </w:tcPr>
                <w:p w14:paraId="389315A0">
                  <w:pPr>
                    <w:widowControl w:val="0"/>
                    <w:overflowPunct w:val="0"/>
                    <w:autoSpaceDE w:val="0"/>
                    <w:autoSpaceDN w:val="0"/>
                    <w:snapToGrid w:val="0"/>
                    <w:jc w:val="center"/>
                    <w:rPr>
                      <w:color w:val="auto"/>
                      <w14:ligatures w14:val="standardContextual"/>
                    </w:rPr>
                  </w:pPr>
                  <w:r>
                    <w:rPr>
                      <w:rFonts w:hint="eastAsia"/>
                      <w:color w:val="auto"/>
                      <w14:ligatures w14:val="standardContextual"/>
                    </w:rPr>
                    <w:t>131.4</w:t>
                  </w:r>
                </w:p>
              </w:tc>
              <w:tc>
                <w:tcPr>
                  <w:tcW w:w="925" w:type="dxa"/>
                  <w:vAlign w:val="center"/>
                </w:tcPr>
                <w:p w14:paraId="7DB161C7">
                  <w:pPr>
                    <w:widowControl w:val="0"/>
                    <w:overflowPunct w:val="0"/>
                    <w:autoSpaceDE w:val="0"/>
                    <w:autoSpaceDN w:val="0"/>
                    <w:snapToGrid w:val="0"/>
                    <w:jc w:val="center"/>
                    <w:rPr>
                      <w:color w:val="auto"/>
                      <w14:ligatures w14:val="standardContextual"/>
                    </w:rPr>
                  </w:pPr>
                  <w:r>
                    <w:rPr>
                      <w:color w:val="auto"/>
                      <w14:ligatures w14:val="standardContextual"/>
                    </w:rPr>
                    <w:t>超标</w:t>
                  </w:r>
                </w:p>
              </w:tc>
            </w:tr>
            <w:tr w14:paraId="61786F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Align w:val="center"/>
                </w:tcPr>
                <w:p w14:paraId="5A62D9F2">
                  <w:pPr>
                    <w:widowControl w:val="0"/>
                    <w:overflowPunct w:val="0"/>
                    <w:autoSpaceDE w:val="0"/>
                    <w:autoSpaceDN w:val="0"/>
                    <w:snapToGrid w:val="0"/>
                    <w:jc w:val="center"/>
                    <w:rPr>
                      <w:color w:val="auto"/>
                      <w14:ligatures w14:val="standardContextual"/>
                    </w:rPr>
                  </w:pPr>
                  <w:r>
                    <w:rPr>
                      <w:color w:val="auto"/>
                      <w14:ligatures w14:val="standardContextual"/>
                    </w:rPr>
                    <w:t>PM</w:t>
                  </w:r>
                  <w:r>
                    <w:rPr>
                      <w:color w:val="auto"/>
                      <w:vertAlign w:val="subscript"/>
                      <w14:ligatures w14:val="standardContextual"/>
                    </w:rPr>
                    <w:t>10</w:t>
                  </w:r>
                </w:p>
              </w:tc>
              <w:tc>
                <w:tcPr>
                  <w:tcW w:w="3482" w:type="dxa"/>
                  <w:vAlign w:val="center"/>
                </w:tcPr>
                <w:p w14:paraId="1D500843">
                  <w:pPr>
                    <w:widowControl w:val="0"/>
                    <w:overflowPunct w:val="0"/>
                    <w:autoSpaceDE w:val="0"/>
                    <w:autoSpaceDN w:val="0"/>
                    <w:snapToGrid w:val="0"/>
                    <w:jc w:val="center"/>
                    <w:rPr>
                      <w:color w:val="auto"/>
                      <w14:ligatures w14:val="standardContextual"/>
                    </w:rPr>
                  </w:pPr>
                  <w:r>
                    <w:rPr>
                      <w:color w:val="auto"/>
                      <w14:ligatures w14:val="standardContextual"/>
                    </w:rPr>
                    <w:t>年平均质量浓度</w:t>
                  </w:r>
                </w:p>
              </w:tc>
              <w:tc>
                <w:tcPr>
                  <w:tcW w:w="1108" w:type="dxa"/>
                  <w:vAlign w:val="center"/>
                </w:tcPr>
                <w:p w14:paraId="2259A2AC">
                  <w:pPr>
                    <w:widowControl w:val="0"/>
                    <w:overflowPunct w:val="0"/>
                    <w:autoSpaceDE w:val="0"/>
                    <w:autoSpaceDN w:val="0"/>
                    <w:snapToGrid w:val="0"/>
                    <w:jc w:val="center"/>
                    <w:rPr>
                      <w:color w:val="auto"/>
                      <w14:ligatures w14:val="standardContextual"/>
                    </w:rPr>
                  </w:pPr>
                  <w:r>
                    <w:rPr>
                      <w:rFonts w:hint="eastAsia"/>
                      <w:color w:val="auto"/>
                      <w14:ligatures w14:val="standardContextual"/>
                    </w:rPr>
                    <w:t>147</w:t>
                  </w:r>
                </w:p>
              </w:tc>
              <w:tc>
                <w:tcPr>
                  <w:tcW w:w="1018" w:type="dxa"/>
                  <w:vAlign w:val="center"/>
                </w:tcPr>
                <w:p w14:paraId="63C25A07">
                  <w:pPr>
                    <w:widowControl w:val="0"/>
                    <w:overflowPunct w:val="0"/>
                    <w:autoSpaceDE w:val="0"/>
                    <w:autoSpaceDN w:val="0"/>
                    <w:snapToGrid w:val="0"/>
                    <w:jc w:val="center"/>
                    <w:rPr>
                      <w:color w:val="auto"/>
                      <w14:ligatures w14:val="standardContextual"/>
                    </w:rPr>
                  </w:pPr>
                  <w:r>
                    <w:rPr>
                      <w:color w:val="auto"/>
                      <w14:ligatures w14:val="standardContextual"/>
                    </w:rPr>
                    <w:t>70</w:t>
                  </w:r>
                </w:p>
              </w:tc>
              <w:tc>
                <w:tcPr>
                  <w:tcW w:w="709" w:type="dxa"/>
                  <w:vAlign w:val="center"/>
                </w:tcPr>
                <w:p w14:paraId="3204AB91">
                  <w:pPr>
                    <w:widowControl w:val="0"/>
                    <w:overflowPunct w:val="0"/>
                    <w:autoSpaceDE w:val="0"/>
                    <w:autoSpaceDN w:val="0"/>
                    <w:snapToGrid w:val="0"/>
                    <w:jc w:val="center"/>
                    <w:rPr>
                      <w:color w:val="auto"/>
                      <w14:ligatures w14:val="standardContextual"/>
                    </w:rPr>
                  </w:pPr>
                  <w:r>
                    <w:rPr>
                      <w:rFonts w:hint="eastAsia"/>
                      <w:color w:val="auto"/>
                      <w14:ligatures w14:val="standardContextual"/>
                    </w:rPr>
                    <w:t>210.0</w:t>
                  </w:r>
                </w:p>
              </w:tc>
              <w:tc>
                <w:tcPr>
                  <w:tcW w:w="925" w:type="dxa"/>
                  <w:vAlign w:val="center"/>
                </w:tcPr>
                <w:p w14:paraId="7836982A">
                  <w:pPr>
                    <w:widowControl w:val="0"/>
                    <w:overflowPunct w:val="0"/>
                    <w:autoSpaceDE w:val="0"/>
                    <w:autoSpaceDN w:val="0"/>
                    <w:snapToGrid w:val="0"/>
                    <w:jc w:val="center"/>
                    <w:rPr>
                      <w:color w:val="auto"/>
                      <w14:ligatures w14:val="standardContextual"/>
                    </w:rPr>
                  </w:pPr>
                  <w:r>
                    <w:rPr>
                      <w:color w:val="auto"/>
                      <w14:ligatures w14:val="standardContextual"/>
                    </w:rPr>
                    <w:t>超标</w:t>
                  </w:r>
                </w:p>
              </w:tc>
            </w:tr>
            <w:tr w14:paraId="536E26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Align w:val="center"/>
                </w:tcPr>
                <w:p w14:paraId="6466F97F">
                  <w:pPr>
                    <w:widowControl w:val="0"/>
                    <w:overflowPunct w:val="0"/>
                    <w:autoSpaceDE w:val="0"/>
                    <w:autoSpaceDN w:val="0"/>
                    <w:snapToGrid w:val="0"/>
                    <w:jc w:val="center"/>
                    <w:rPr>
                      <w:color w:val="auto"/>
                      <w14:ligatures w14:val="standardContextual"/>
                    </w:rPr>
                  </w:pPr>
                  <w:r>
                    <w:rPr>
                      <w:color w:val="auto"/>
                      <w14:ligatures w14:val="standardContextual"/>
                    </w:rPr>
                    <w:t>CO</w:t>
                  </w:r>
                </w:p>
              </w:tc>
              <w:tc>
                <w:tcPr>
                  <w:tcW w:w="3482" w:type="dxa"/>
                  <w:vAlign w:val="center"/>
                </w:tcPr>
                <w:p w14:paraId="5D7E630A">
                  <w:pPr>
                    <w:widowControl w:val="0"/>
                    <w:overflowPunct w:val="0"/>
                    <w:autoSpaceDE w:val="0"/>
                    <w:autoSpaceDN w:val="0"/>
                    <w:snapToGrid w:val="0"/>
                    <w:jc w:val="center"/>
                    <w:rPr>
                      <w:color w:val="auto"/>
                      <w14:ligatures w14:val="standardContextual"/>
                    </w:rPr>
                  </w:pPr>
                  <w:r>
                    <w:rPr>
                      <w:color w:val="auto"/>
                      <w14:ligatures w14:val="standardContextual"/>
                    </w:rPr>
                    <w:t>24h平均第95百分位数</w:t>
                  </w:r>
                </w:p>
              </w:tc>
              <w:tc>
                <w:tcPr>
                  <w:tcW w:w="1108" w:type="dxa"/>
                  <w:vAlign w:val="center"/>
                </w:tcPr>
                <w:p w14:paraId="54AA51AB">
                  <w:pPr>
                    <w:widowControl w:val="0"/>
                    <w:overflowPunct w:val="0"/>
                    <w:autoSpaceDE w:val="0"/>
                    <w:autoSpaceDN w:val="0"/>
                    <w:snapToGrid w:val="0"/>
                    <w:jc w:val="center"/>
                    <w:rPr>
                      <w:color w:val="auto"/>
                      <w14:ligatures w14:val="standardContextual"/>
                    </w:rPr>
                  </w:pPr>
                  <w:r>
                    <w:rPr>
                      <w:rFonts w:hint="eastAsia"/>
                      <w:color w:val="auto"/>
                      <w14:ligatures w14:val="standardContextual"/>
                    </w:rPr>
                    <w:t>800</w:t>
                  </w:r>
                </w:p>
              </w:tc>
              <w:tc>
                <w:tcPr>
                  <w:tcW w:w="1018" w:type="dxa"/>
                  <w:vAlign w:val="center"/>
                </w:tcPr>
                <w:p w14:paraId="250C0190">
                  <w:pPr>
                    <w:widowControl w:val="0"/>
                    <w:overflowPunct w:val="0"/>
                    <w:autoSpaceDE w:val="0"/>
                    <w:autoSpaceDN w:val="0"/>
                    <w:snapToGrid w:val="0"/>
                    <w:jc w:val="center"/>
                    <w:rPr>
                      <w:color w:val="auto"/>
                      <w14:ligatures w14:val="standardContextual"/>
                    </w:rPr>
                  </w:pPr>
                  <w:r>
                    <w:rPr>
                      <w:color w:val="auto"/>
                      <w14:ligatures w14:val="standardContextual"/>
                    </w:rPr>
                    <w:t>4000</w:t>
                  </w:r>
                </w:p>
              </w:tc>
              <w:tc>
                <w:tcPr>
                  <w:tcW w:w="709" w:type="dxa"/>
                  <w:vAlign w:val="center"/>
                </w:tcPr>
                <w:p w14:paraId="58A4AF21">
                  <w:pPr>
                    <w:widowControl w:val="0"/>
                    <w:overflowPunct w:val="0"/>
                    <w:autoSpaceDE w:val="0"/>
                    <w:autoSpaceDN w:val="0"/>
                    <w:snapToGrid w:val="0"/>
                    <w:jc w:val="center"/>
                    <w:rPr>
                      <w:color w:val="auto"/>
                      <w14:ligatures w14:val="standardContextual"/>
                    </w:rPr>
                  </w:pPr>
                  <w:r>
                    <w:rPr>
                      <w:rFonts w:hint="eastAsia"/>
                      <w:color w:val="auto"/>
                      <w14:ligatures w14:val="standardContextual"/>
                    </w:rPr>
                    <w:t>20.0</w:t>
                  </w:r>
                </w:p>
              </w:tc>
              <w:tc>
                <w:tcPr>
                  <w:tcW w:w="925" w:type="dxa"/>
                  <w:vAlign w:val="center"/>
                </w:tcPr>
                <w:p w14:paraId="40DF5935">
                  <w:pPr>
                    <w:widowControl w:val="0"/>
                    <w:overflowPunct w:val="0"/>
                    <w:autoSpaceDE w:val="0"/>
                    <w:autoSpaceDN w:val="0"/>
                    <w:snapToGrid w:val="0"/>
                    <w:jc w:val="center"/>
                    <w:rPr>
                      <w:color w:val="auto"/>
                      <w14:ligatures w14:val="standardContextual"/>
                    </w:rPr>
                  </w:pPr>
                  <w:r>
                    <w:rPr>
                      <w:color w:val="auto"/>
                      <w14:ligatures w14:val="standardContextual"/>
                    </w:rPr>
                    <w:t>达标</w:t>
                  </w:r>
                </w:p>
              </w:tc>
            </w:tr>
            <w:tr w14:paraId="3304F4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Align w:val="center"/>
                </w:tcPr>
                <w:p w14:paraId="43C37F87">
                  <w:pPr>
                    <w:widowControl w:val="0"/>
                    <w:overflowPunct w:val="0"/>
                    <w:autoSpaceDE w:val="0"/>
                    <w:autoSpaceDN w:val="0"/>
                    <w:snapToGrid w:val="0"/>
                    <w:jc w:val="center"/>
                    <w:rPr>
                      <w:color w:val="auto"/>
                      <w14:ligatures w14:val="standardContextual"/>
                    </w:rPr>
                  </w:pPr>
                  <w:r>
                    <w:rPr>
                      <w:color w:val="auto"/>
                      <w14:ligatures w14:val="standardContextual"/>
                    </w:rPr>
                    <w:t>O</w:t>
                  </w:r>
                  <w:r>
                    <w:rPr>
                      <w:color w:val="auto"/>
                      <w:vertAlign w:val="subscript"/>
                      <w14:ligatures w14:val="standardContextual"/>
                    </w:rPr>
                    <w:t>3</w:t>
                  </w:r>
                </w:p>
              </w:tc>
              <w:tc>
                <w:tcPr>
                  <w:tcW w:w="3482" w:type="dxa"/>
                  <w:vAlign w:val="center"/>
                </w:tcPr>
                <w:p w14:paraId="3E003689">
                  <w:pPr>
                    <w:widowControl w:val="0"/>
                    <w:overflowPunct w:val="0"/>
                    <w:autoSpaceDE w:val="0"/>
                    <w:autoSpaceDN w:val="0"/>
                    <w:snapToGrid w:val="0"/>
                    <w:jc w:val="center"/>
                    <w:rPr>
                      <w:color w:val="auto"/>
                      <w14:ligatures w14:val="standardContextual"/>
                    </w:rPr>
                  </w:pPr>
                  <w:r>
                    <w:rPr>
                      <w:color w:val="auto"/>
                      <w14:ligatures w14:val="standardContextual"/>
                    </w:rPr>
                    <w:t>日最大8h滑动平均值的第90百分位数</w:t>
                  </w:r>
                </w:p>
              </w:tc>
              <w:tc>
                <w:tcPr>
                  <w:tcW w:w="1108" w:type="dxa"/>
                  <w:vAlign w:val="center"/>
                </w:tcPr>
                <w:p w14:paraId="2938ED1A">
                  <w:pPr>
                    <w:widowControl w:val="0"/>
                    <w:overflowPunct w:val="0"/>
                    <w:autoSpaceDE w:val="0"/>
                    <w:autoSpaceDN w:val="0"/>
                    <w:snapToGrid w:val="0"/>
                    <w:jc w:val="center"/>
                    <w:rPr>
                      <w:color w:val="auto"/>
                      <w14:ligatures w14:val="standardContextual"/>
                    </w:rPr>
                  </w:pPr>
                  <w:r>
                    <w:rPr>
                      <w:rFonts w:hint="eastAsia"/>
                      <w:color w:val="auto"/>
                      <w14:ligatures w14:val="standardContextual"/>
                    </w:rPr>
                    <w:t>96</w:t>
                  </w:r>
                </w:p>
              </w:tc>
              <w:tc>
                <w:tcPr>
                  <w:tcW w:w="1018" w:type="dxa"/>
                  <w:vAlign w:val="center"/>
                </w:tcPr>
                <w:p w14:paraId="07ECD54A">
                  <w:pPr>
                    <w:widowControl w:val="0"/>
                    <w:overflowPunct w:val="0"/>
                    <w:autoSpaceDE w:val="0"/>
                    <w:autoSpaceDN w:val="0"/>
                    <w:snapToGrid w:val="0"/>
                    <w:jc w:val="center"/>
                    <w:rPr>
                      <w:color w:val="auto"/>
                      <w14:ligatures w14:val="standardContextual"/>
                    </w:rPr>
                  </w:pPr>
                  <w:r>
                    <w:rPr>
                      <w:color w:val="auto"/>
                      <w14:ligatures w14:val="standardContextual"/>
                    </w:rPr>
                    <w:t>160</w:t>
                  </w:r>
                </w:p>
              </w:tc>
              <w:tc>
                <w:tcPr>
                  <w:tcW w:w="709" w:type="dxa"/>
                  <w:vAlign w:val="center"/>
                </w:tcPr>
                <w:p w14:paraId="23BF3F5E">
                  <w:pPr>
                    <w:widowControl w:val="0"/>
                    <w:overflowPunct w:val="0"/>
                    <w:autoSpaceDE w:val="0"/>
                    <w:autoSpaceDN w:val="0"/>
                    <w:snapToGrid w:val="0"/>
                    <w:jc w:val="center"/>
                    <w:rPr>
                      <w:color w:val="auto"/>
                      <w14:ligatures w14:val="standardContextual"/>
                    </w:rPr>
                  </w:pPr>
                  <w:r>
                    <w:rPr>
                      <w:rFonts w:hint="eastAsia"/>
                      <w:color w:val="auto"/>
                      <w14:ligatures w14:val="standardContextual"/>
                    </w:rPr>
                    <w:t>60.0</w:t>
                  </w:r>
                </w:p>
              </w:tc>
              <w:tc>
                <w:tcPr>
                  <w:tcW w:w="925" w:type="dxa"/>
                  <w:vAlign w:val="center"/>
                </w:tcPr>
                <w:p w14:paraId="7AEEB78F">
                  <w:pPr>
                    <w:widowControl w:val="0"/>
                    <w:overflowPunct w:val="0"/>
                    <w:autoSpaceDE w:val="0"/>
                    <w:autoSpaceDN w:val="0"/>
                    <w:snapToGrid w:val="0"/>
                    <w:jc w:val="center"/>
                    <w:rPr>
                      <w:color w:val="auto"/>
                      <w14:ligatures w14:val="standardContextual"/>
                    </w:rPr>
                  </w:pPr>
                  <w:r>
                    <w:rPr>
                      <w:color w:val="auto"/>
                      <w14:ligatures w14:val="standardContextual"/>
                    </w:rPr>
                    <w:t>达标</w:t>
                  </w:r>
                </w:p>
              </w:tc>
            </w:tr>
          </w:tbl>
          <w:p w14:paraId="29540CBB">
            <w:pPr>
              <w:pStyle w:val="3"/>
              <w:ind w:firstLine="480"/>
              <w:rPr>
                <w:color w:val="auto"/>
              </w:rPr>
            </w:pPr>
            <w:r>
              <w:rPr>
                <w:rFonts w:hint="eastAsia"/>
                <w:color w:val="auto"/>
              </w:rPr>
              <w:t>由上表可知，2023年度吐鲁番市SO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、PM</w:t>
            </w:r>
            <w:r>
              <w:rPr>
                <w:rFonts w:hint="eastAsia"/>
                <w:color w:val="auto"/>
                <w:vertAlign w:val="subscript"/>
              </w:rPr>
              <w:t>2.5</w:t>
            </w:r>
            <w:r>
              <w:rPr>
                <w:rFonts w:hint="eastAsia"/>
                <w:color w:val="auto"/>
              </w:rPr>
              <w:t>、PM</w:t>
            </w:r>
            <w:r>
              <w:rPr>
                <w:rFonts w:hint="eastAsia"/>
                <w:color w:val="auto"/>
                <w:vertAlign w:val="subscript"/>
              </w:rPr>
              <w:t>10</w:t>
            </w:r>
            <w:r>
              <w:rPr>
                <w:rFonts w:hint="eastAsia"/>
                <w:color w:val="auto"/>
              </w:rPr>
              <w:t>年均浓度分别为6µg/m</w:t>
            </w:r>
            <w:r>
              <w:rPr>
                <w:rFonts w:hint="eastAsia"/>
                <w:color w:val="auto"/>
                <w:vertAlign w:val="superscript"/>
              </w:rPr>
              <w:t>3</w:t>
            </w:r>
            <w:r>
              <w:rPr>
                <w:rFonts w:hint="eastAsia"/>
                <w:color w:val="auto"/>
              </w:rPr>
              <w:t>、32µg/m</w:t>
            </w:r>
            <w:r>
              <w:rPr>
                <w:rFonts w:hint="eastAsia"/>
                <w:color w:val="auto"/>
                <w:vertAlign w:val="superscript"/>
              </w:rPr>
              <w:t>3</w:t>
            </w:r>
            <w:r>
              <w:rPr>
                <w:rFonts w:hint="eastAsia"/>
                <w:color w:val="auto"/>
              </w:rPr>
              <w:t>、46µg/m</w:t>
            </w:r>
            <w:r>
              <w:rPr>
                <w:rFonts w:hint="eastAsia"/>
                <w:color w:val="auto"/>
                <w:vertAlign w:val="superscript"/>
              </w:rPr>
              <w:t>3</w:t>
            </w:r>
            <w:r>
              <w:rPr>
                <w:rFonts w:hint="eastAsia"/>
                <w:color w:val="auto"/>
              </w:rPr>
              <w:t>、147µg/m</w:t>
            </w:r>
            <w:r>
              <w:rPr>
                <w:rFonts w:hint="eastAsia"/>
                <w:color w:val="auto"/>
                <w:vertAlign w:val="superscript"/>
              </w:rPr>
              <w:t>3</w:t>
            </w:r>
            <w:r>
              <w:rPr>
                <w:rFonts w:hint="eastAsia"/>
                <w:color w:val="auto"/>
              </w:rPr>
              <w:t>；CO</w:t>
            </w:r>
            <w:r>
              <w:rPr>
                <w:rFonts w:hint="eastAsia"/>
                <w:color w:val="auto"/>
                <w:vertAlign w:val="subscript"/>
              </w:rPr>
              <w:t>24h</w:t>
            </w:r>
            <w:r>
              <w:rPr>
                <w:rFonts w:hint="eastAsia"/>
                <w:color w:val="auto"/>
              </w:rPr>
              <w:t>平均第95百分位数为0.8mg/m</w:t>
            </w:r>
            <w:r>
              <w:rPr>
                <w:rFonts w:hint="eastAsia"/>
                <w:color w:val="auto"/>
                <w:vertAlign w:val="superscript"/>
              </w:rPr>
              <w:t>3</w:t>
            </w:r>
            <w:r>
              <w:rPr>
                <w:rFonts w:hint="eastAsia"/>
                <w:color w:val="auto"/>
              </w:rPr>
              <w:t>，O</w:t>
            </w:r>
            <w:r>
              <w:rPr>
                <w:rFonts w:hint="eastAsia"/>
                <w:color w:val="auto"/>
                <w:vertAlign w:val="subscript"/>
              </w:rPr>
              <w:t>3</w:t>
            </w:r>
            <w:r>
              <w:rPr>
                <w:rFonts w:hint="eastAsia"/>
                <w:color w:val="auto"/>
              </w:rPr>
              <w:t>日最大8h平均第90百分位数为96µg/m</w:t>
            </w:r>
            <w:r>
              <w:rPr>
                <w:rFonts w:hint="eastAsia"/>
                <w:color w:val="auto"/>
                <w:vertAlign w:val="superscript"/>
              </w:rPr>
              <w:t>3</w:t>
            </w:r>
            <w:r>
              <w:rPr>
                <w:rFonts w:hint="eastAsia"/>
                <w:color w:val="auto"/>
              </w:rPr>
              <w:t>。SO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、CO、O</w:t>
            </w:r>
            <w:r>
              <w:rPr>
                <w:rFonts w:hint="eastAsia"/>
                <w:color w:val="auto"/>
                <w:vertAlign w:val="subscript"/>
              </w:rPr>
              <w:t>3</w:t>
            </w:r>
            <w:r>
              <w:rPr>
                <w:rFonts w:hint="eastAsia"/>
                <w:color w:val="auto"/>
              </w:rPr>
              <w:t>浓度值符合《环境空气质量标准》（GB3095-2012）中二级标准，PM</w:t>
            </w:r>
            <w:r>
              <w:rPr>
                <w:rFonts w:hint="eastAsia"/>
                <w:color w:val="auto"/>
                <w:vertAlign w:val="subscript"/>
              </w:rPr>
              <w:t>2.5</w:t>
            </w:r>
            <w:r>
              <w:rPr>
                <w:rFonts w:hint="eastAsia"/>
                <w:color w:val="auto"/>
              </w:rPr>
              <w:t>、PM</w:t>
            </w:r>
            <w:r>
              <w:rPr>
                <w:rFonts w:hint="eastAsia"/>
                <w:color w:val="auto"/>
                <w:vertAlign w:val="subscript"/>
              </w:rPr>
              <w:t>10</w:t>
            </w:r>
            <w:r>
              <w:rPr>
                <w:rFonts w:hint="eastAsia"/>
                <w:color w:val="auto"/>
              </w:rPr>
              <w:t>浓度值超过《环境空气质量标准》（GB3095-2012）中二级标准。因此，项目区为不达标区，超标原因是项目区干旱少雨，风沙较大，同时季节性春季沙尘天气对环境空气质量影响很大，是造成空气质量不达标的主要因素。</w:t>
            </w:r>
          </w:p>
          <w:p w14:paraId="484C4948">
            <w:pPr>
              <w:pStyle w:val="3"/>
              <w:ind w:firstLine="480"/>
              <w:rPr>
                <w:color w:val="auto"/>
              </w:rPr>
            </w:pPr>
            <w:r>
              <w:rPr>
                <w:rFonts w:hint="eastAsia"/>
                <w:color w:val="auto"/>
              </w:rPr>
              <w:t>根据中华人民共和国生态环境部办公厅《关于将巴音郭楞蒙古自治州吐鲁番市哈密市纳入执行&lt;环境影响评价技术导则大气环境（HJ2.2-2018）&gt;差别化政策范围的复函》（环办环评函〔2020〕341号）：“原则同意对巴音郭楞蒙古自治州、吐鲁番市和哈密市实施环境影响评价差别化政策，新建项目可不提供颗粒物区域削减方案。你区应按照《关于在南疆四地州深度贫困地区实施〈环境影响评价技术导则大气环境（HJ2.2-2018）〉差别化政策有关事宜的复函》（环办环评函〔2019〕590号）的相关要求，加强建设项目大气环境影响评价和技术论证等工作，严格建设项目环境准入，统筹做好生态环境保护与脱贫攻坚工作。”项目所在区域的基准年PM</w:t>
            </w:r>
            <w:r>
              <w:rPr>
                <w:rFonts w:hint="eastAsia"/>
                <w:color w:val="auto"/>
                <w:vertAlign w:val="subscript"/>
              </w:rPr>
              <w:t>2.5</w:t>
            </w:r>
            <w:r>
              <w:rPr>
                <w:rFonts w:hint="eastAsia"/>
                <w:color w:val="auto"/>
              </w:rPr>
              <w:t>/PM</w:t>
            </w:r>
            <w:r>
              <w:rPr>
                <w:rFonts w:hint="eastAsia"/>
                <w:color w:val="auto"/>
                <w:vertAlign w:val="subscript"/>
              </w:rPr>
              <w:t>10</w:t>
            </w:r>
            <w:r>
              <w:rPr>
                <w:rFonts w:hint="eastAsia"/>
                <w:color w:val="auto"/>
              </w:rPr>
              <w:t>年均值比值为0.31＜0.5，属于该复函中明确的不达标城市。本项目适用于该复函中可不提供颗粒物区域削减方案，可执行环境影响评价差别化政策。</w:t>
            </w:r>
          </w:p>
          <w:p w14:paraId="31A41F41">
            <w:pPr>
              <w:pStyle w:val="3"/>
              <w:ind w:firstLine="480"/>
              <w:rPr>
                <w:color w:val="auto"/>
              </w:rPr>
            </w:pPr>
            <w:r>
              <w:rPr>
                <w:rFonts w:hint="eastAsia"/>
                <w:color w:val="auto"/>
              </w:rPr>
              <w:t>（2）特征污染物环境质量现状评价</w:t>
            </w:r>
          </w:p>
          <w:p w14:paraId="4877EEEF">
            <w:pPr>
              <w:pStyle w:val="3"/>
              <w:ind w:firstLine="480"/>
              <w:rPr>
                <w:color w:val="auto"/>
              </w:rPr>
            </w:pPr>
            <w:r>
              <w:rPr>
                <w:rFonts w:hint="eastAsia"/>
                <w:color w:val="auto"/>
              </w:rPr>
              <w:t>本项目废气污染因子仅有颗粒物，属于常规污染物，根据《建设项目环境影响报告表编制技术指南（污染影响类）》，常规污染物引用与建设项目距离近的有效数据，包括近3年的规划环境影响评价的监测数据，国家、地方环境空气质量监测网数据或生态环境主管部门公开发布的质量数据等。由表3-1可知，颗粒物现状不达标，超标原因及差别化政策见上文。</w:t>
            </w:r>
          </w:p>
          <w:p w14:paraId="3C162DB4">
            <w:pPr>
              <w:pStyle w:val="7"/>
              <w:rPr>
                <w:color w:val="auto"/>
              </w:rPr>
            </w:pPr>
            <w:r>
              <w:rPr>
                <w:rFonts w:hint="eastAsia"/>
                <w:color w:val="auto"/>
              </w:rPr>
              <w:t>2、地表水环境质量现状</w:t>
            </w:r>
          </w:p>
          <w:p w14:paraId="49D6741F">
            <w:pPr>
              <w:pStyle w:val="3"/>
              <w:ind w:firstLine="480"/>
              <w:rPr>
                <w:color w:val="auto"/>
              </w:rPr>
            </w:pPr>
            <w:r>
              <w:rPr>
                <w:rFonts w:hint="eastAsia"/>
                <w:color w:val="auto"/>
              </w:rPr>
              <w:t>现场调查，项目区周边无地表水水体。</w:t>
            </w:r>
          </w:p>
          <w:p w14:paraId="29B1B2ED">
            <w:pPr>
              <w:pStyle w:val="7"/>
              <w:rPr>
                <w:color w:val="auto"/>
              </w:rPr>
            </w:pPr>
            <w:r>
              <w:rPr>
                <w:rFonts w:hint="eastAsia"/>
                <w:color w:val="auto"/>
              </w:rPr>
              <w:t>3、声环境</w:t>
            </w:r>
          </w:p>
          <w:p w14:paraId="2129FA74">
            <w:pPr>
              <w:pStyle w:val="3"/>
              <w:ind w:firstLine="480"/>
              <w:rPr>
                <w:color w:val="auto"/>
              </w:rPr>
            </w:pPr>
            <w:r>
              <w:rPr>
                <w:rFonts w:hint="eastAsia"/>
                <w:color w:val="auto"/>
              </w:rPr>
              <w:t>项目所在区域周围无声环境保护目标，周围工业活动较为密集，执行《声环境质量标准》(GB3096-2008)3类标准，昼间为65dB(A)，夜间为55dB(A)。</w:t>
            </w:r>
          </w:p>
          <w:p w14:paraId="6279F6A3">
            <w:pPr>
              <w:pStyle w:val="3"/>
              <w:ind w:firstLine="480"/>
              <w:rPr>
                <w:color w:val="auto"/>
              </w:rPr>
            </w:pPr>
            <w:r>
              <w:rPr>
                <w:rFonts w:hint="eastAsia"/>
                <w:color w:val="auto"/>
              </w:rPr>
              <w:t>本项目厂界外周围50米范围内无声环境保护目标，无需进行监测。</w:t>
            </w:r>
          </w:p>
          <w:p w14:paraId="7BF7C023">
            <w:pPr>
              <w:pStyle w:val="7"/>
              <w:rPr>
                <w:color w:val="auto"/>
              </w:rPr>
            </w:pPr>
            <w:r>
              <w:rPr>
                <w:rFonts w:hint="eastAsia"/>
                <w:color w:val="auto"/>
              </w:rPr>
              <w:t>4、地下水、土壤环境质量现状</w:t>
            </w:r>
          </w:p>
          <w:p w14:paraId="6A92FD0B">
            <w:pPr>
              <w:pStyle w:val="3"/>
              <w:ind w:firstLine="480"/>
              <w:rPr>
                <w:color w:val="auto"/>
              </w:rPr>
            </w:pPr>
            <w:r>
              <w:rPr>
                <w:color w:val="auto"/>
                <w:szCs w:val="24"/>
              </w:rPr>
              <w:t>根据《建设项目环境影响报告表编制技术指南（污染影响类）（试行）》：</w:t>
            </w:r>
            <w:r>
              <w:rPr>
                <w:rFonts w:hint="eastAsia"/>
                <w:color w:val="auto"/>
              </w:rPr>
              <w:t>地下水、土壤</w:t>
            </w:r>
            <w:r>
              <w:rPr>
                <w:color w:val="auto"/>
                <w:szCs w:val="24"/>
              </w:rPr>
              <w:t>原则上不开展环境质量现状调查。</w:t>
            </w:r>
            <w:r>
              <w:rPr>
                <w:rFonts w:hint="eastAsia"/>
                <w:color w:val="auto"/>
                <w:szCs w:val="24"/>
              </w:rPr>
              <w:t>同时根据项目现场调查可知，项目厂界范围外500米范围内无集中式饮用水水源和热水、矿泉水、温泉等特殊地下水资源，厂区内煤棚等地面均已做好防腐防渗处理，在生产过程中不存在土壤、地下水污染途径。故不开展地下水、土壤环境现状调查。</w:t>
            </w:r>
          </w:p>
          <w:p w14:paraId="2402726E">
            <w:pPr>
              <w:pStyle w:val="7"/>
              <w:rPr>
                <w:color w:val="auto"/>
              </w:rPr>
            </w:pPr>
            <w:r>
              <w:rPr>
                <w:rFonts w:hint="eastAsia"/>
                <w:color w:val="auto"/>
              </w:rPr>
              <w:t>5、生态环境</w:t>
            </w:r>
          </w:p>
          <w:p w14:paraId="0CEC9ADD">
            <w:pPr>
              <w:pStyle w:val="3"/>
              <w:ind w:firstLine="480"/>
              <w:rPr>
                <w:color w:val="auto"/>
              </w:rPr>
            </w:pPr>
            <w:r>
              <w:rPr>
                <w:rFonts w:hint="eastAsia"/>
                <w:color w:val="auto"/>
              </w:rPr>
              <w:t>项目所在地生态环境质量现状一般，生态系统敏感程度一般。</w:t>
            </w:r>
          </w:p>
        </w:tc>
      </w:tr>
      <w:tr w14:paraId="111C6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40" w:type="pct"/>
            <w:vAlign w:val="center"/>
          </w:tcPr>
          <w:p w14:paraId="02AA91BD">
            <w:pPr>
              <w:snapToGrid w:val="0"/>
              <w:jc w:val="center"/>
              <w:rPr>
                <w:rFonts w:cs="宋体"/>
                <w:color w:val="auto"/>
                <w:sz w:val="24"/>
              </w:rPr>
            </w:pPr>
            <w:r>
              <w:rPr>
                <w:rFonts w:hint="eastAsia" w:cs="宋体"/>
                <w:color w:val="auto"/>
                <w:sz w:val="24"/>
              </w:rPr>
              <w:t>环境</w:t>
            </w:r>
          </w:p>
          <w:p w14:paraId="64A5AEA3">
            <w:pPr>
              <w:snapToGrid w:val="0"/>
              <w:jc w:val="center"/>
              <w:rPr>
                <w:rFonts w:cs="宋体"/>
                <w:color w:val="auto"/>
                <w:sz w:val="24"/>
              </w:rPr>
            </w:pPr>
            <w:r>
              <w:rPr>
                <w:rFonts w:hint="eastAsia" w:cs="宋体"/>
                <w:color w:val="auto"/>
                <w:sz w:val="24"/>
              </w:rPr>
              <w:t>保护</w:t>
            </w:r>
          </w:p>
          <w:p w14:paraId="43299F26">
            <w:pPr>
              <w:snapToGrid w:val="0"/>
              <w:jc w:val="center"/>
              <w:rPr>
                <w:rFonts w:cs="宋体"/>
                <w:color w:val="auto"/>
                <w:sz w:val="24"/>
              </w:rPr>
            </w:pPr>
            <w:r>
              <w:rPr>
                <w:rFonts w:hint="eastAsia" w:cs="宋体"/>
                <w:color w:val="auto"/>
                <w:sz w:val="24"/>
              </w:rPr>
              <w:t>目标</w:t>
            </w:r>
          </w:p>
        </w:tc>
        <w:tc>
          <w:tcPr>
            <w:tcW w:w="4560" w:type="pct"/>
            <w:vAlign w:val="center"/>
          </w:tcPr>
          <w:p w14:paraId="63A34613">
            <w:pPr>
              <w:pStyle w:val="3"/>
              <w:ind w:firstLine="480"/>
              <w:rPr>
                <w:color w:val="auto"/>
              </w:rPr>
            </w:pPr>
            <w:r>
              <w:rPr>
                <w:rFonts w:hint="eastAsia"/>
                <w:color w:val="auto"/>
              </w:rPr>
              <w:t>1、大气环境：厂界外500m范围无自然保护区、风景名胜区、居住区、文化区和农村地区中人群较集中的区域等保护目标。</w:t>
            </w:r>
          </w:p>
          <w:p w14:paraId="09C444EF">
            <w:pPr>
              <w:pStyle w:val="3"/>
              <w:ind w:firstLine="480"/>
              <w:rPr>
                <w:color w:val="auto"/>
              </w:rPr>
            </w:pPr>
            <w:r>
              <w:rPr>
                <w:rFonts w:hint="eastAsia"/>
                <w:color w:val="auto"/>
              </w:rPr>
              <w:t>2、声环境：厂界外50m范围内无声环境保护目标。</w:t>
            </w:r>
          </w:p>
          <w:p w14:paraId="49954C3B">
            <w:pPr>
              <w:pStyle w:val="3"/>
              <w:ind w:firstLine="480"/>
              <w:rPr>
                <w:color w:val="auto"/>
              </w:rPr>
            </w:pPr>
            <w:r>
              <w:rPr>
                <w:rFonts w:hint="eastAsia"/>
                <w:color w:val="auto"/>
              </w:rPr>
              <w:t>3、地下水环境：厂界外500m范围内无地下水集中式饮用水水源和热水、矿泉水、温泉等特殊地下水资源。</w:t>
            </w:r>
          </w:p>
          <w:p w14:paraId="4DAA160A">
            <w:pPr>
              <w:pStyle w:val="3"/>
              <w:ind w:firstLine="480"/>
              <w:rPr>
                <w:color w:val="auto"/>
              </w:rPr>
            </w:pPr>
            <w:r>
              <w:rPr>
                <w:rFonts w:hint="eastAsia"/>
                <w:color w:val="auto"/>
              </w:rPr>
              <w:t>4、生态环境：本项目周边无生态环境保护目标。</w:t>
            </w:r>
          </w:p>
        </w:tc>
      </w:tr>
      <w:tr w14:paraId="68DE7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40" w:type="pct"/>
            <w:tcMar>
              <w:left w:w="28" w:type="dxa"/>
              <w:right w:w="28" w:type="dxa"/>
            </w:tcMar>
            <w:vAlign w:val="center"/>
          </w:tcPr>
          <w:p w14:paraId="0AC706EE">
            <w:pPr>
              <w:snapToGrid w:val="0"/>
              <w:jc w:val="center"/>
              <w:rPr>
                <w:rFonts w:cs="宋体"/>
                <w:color w:val="auto"/>
                <w:sz w:val="24"/>
              </w:rPr>
            </w:pPr>
            <w:r>
              <w:rPr>
                <w:rFonts w:hint="eastAsia" w:cs="宋体"/>
                <w:color w:val="auto"/>
                <w:sz w:val="24"/>
              </w:rPr>
              <w:t>污染</w:t>
            </w:r>
          </w:p>
          <w:p w14:paraId="10618C51">
            <w:pPr>
              <w:snapToGrid w:val="0"/>
              <w:jc w:val="center"/>
              <w:rPr>
                <w:rFonts w:cs="宋体"/>
                <w:color w:val="auto"/>
                <w:sz w:val="24"/>
              </w:rPr>
            </w:pPr>
            <w:r>
              <w:rPr>
                <w:rFonts w:hint="eastAsia" w:cs="宋体"/>
                <w:color w:val="auto"/>
                <w:sz w:val="24"/>
              </w:rPr>
              <w:t>物排</w:t>
            </w:r>
          </w:p>
          <w:p w14:paraId="0950A737">
            <w:pPr>
              <w:snapToGrid w:val="0"/>
              <w:jc w:val="center"/>
              <w:rPr>
                <w:rFonts w:cs="宋体"/>
                <w:color w:val="auto"/>
                <w:sz w:val="24"/>
              </w:rPr>
            </w:pPr>
            <w:r>
              <w:rPr>
                <w:rFonts w:hint="eastAsia" w:cs="宋体"/>
                <w:color w:val="auto"/>
                <w:sz w:val="24"/>
              </w:rPr>
              <w:t>放控</w:t>
            </w:r>
          </w:p>
          <w:p w14:paraId="762BADC3">
            <w:pPr>
              <w:snapToGrid w:val="0"/>
              <w:jc w:val="center"/>
              <w:rPr>
                <w:rFonts w:cs="宋体"/>
                <w:color w:val="auto"/>
                <w:sz w:val="24"/>
              </w:rPr>
            </w:pPr>
            <w:r>
              <w:rPr>
                <w:rFonts w:hint="eastAsia" w:cs="宋体"/>
                <w:color w:val="auto"/>
                <w:sz w:val="24"/>
              </w:rPr>
              <w:t>制标</w:t>
            </w:r>
          </w:p>
          <w:p w14:paraId="04B6084E">
            <w:pPr>
              <w:snapToGrid w:val="0"/>
              <w:jc w:val="center"/>
              <w:rPr>
                <w:rFonts w:cs="宋体"/>
                <w:color w:val="auto"/>
                <w:sz w:val="24"/>
              </w:rPr>
            </w:pPr>
            <w:r>
              <w:rPr>
                <w:rFonts w:hint="eastAsia" w:cs="宋体"/>
                <w:color w:val="auto"/>
                <w:sz w:val="24"/>
              </w:rPr>
              <w:t>准</w:t>
            </w:r>
          </w:p>
        </w:tc>
        <w:tc>
          <w:tcPr>
            <w:tcW w:w="4560" w:type="pct"/>
            <w:vAlign w:val="center"/>
          </w:tcPr>
          <w:p w14:paraId="5669528E">
            <w:pPr>
              <w:pStyle w:val="7"/>
              <w:rPr>
                <w:color w:val="auto"/>
              </w:rPr>
            </w:pPr>
            <w:r>
              <w:rPr>
                <w:rFonts w:hint="eastAsia"/>
                <w:color w:val="auto"/>
              </w:rPr>
              <w:t>1、大气污染物排放标准</w:t>
            </w:r>
          </w:p>
          <w:p w14:paraId="546FE6A8">
            <w:pPr>
              <w:pStyle w:val="3"/>
              <w:ind w:firstLine="480"/>
              <w:rPr>
                <w:color w:val="auto"/>
              </w:rPr>
            </w:pPr>
            <w:bookmarkStart w:id="28" w:name="_Ref175251662"/>
            <w:bookmarkStart w:id="29" w:name="_Ref175251665"/>
            <w:r>
              <w:rPr>
                <w:rFonts w:hint="eastAsia"/>
                <w:color w:val="auto"/>
              </w:rPr>
              <w:t>厂界颗粒物的排放执行《煤炭工业污染物排放标准》（GB20426-2006）中规定的煤炭工业作业场所无组织排放限值要求，详见下表。</w:t>
            </w:r>
          </w:p>
          <w:p w14:paraId="40579AB8">
            <w:pPr>
              <w:pStyle w:val="49"/>
              <w:rPr>
                <w:color w:val="auto"/>
              </w:rPr>
            </w:pPr>
            <w:r>
              <w:rPr>
                <w:rFonts w:hint="eastAsia"/>
                <w:color w:val="auto"/>
              </w:rPr>
              <w:t xml:space="preserve">表3- </w:t>
            </w:r>
            <w:r>
              <w:rPr>
                <w:color w:val="auto"/>
              </w:rPr>
              <w:t>5</w:t>
            </w:r>
            <w:bookmarkEnd w:id="28"/>
            <w:r>
              <w:rPr>
                <w:rFonts w:hint="eastAsia"/>
                <w:color w:val="auto"/>
              </w:rPr>
              <w:t>：煤炭工业污染物排放标准（GB20426-2006）</w:t>
            </w:r>
            <w:bookmarkEnd w:id="29"/>
            <w:r>
              <w:rPr>
                <w:rFonts w:hint="eastAsia"/>
                <w:color w:val="auto"/>
              </w:rPr>
              <w:t>（节选）</w:t>
            </w:r>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873"/>
              <w:gridCol w:w="1115"/>
              <w:gridCol w:w="2096"/>
              <w:gridCol w:w="2598"/>
              <w:gridCol w:w="1611"/>
            </w:tblGrid>
            <w:tr w14:paraId="675CAC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restar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2339AF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无组织</w:t>
                  </w:r>
                </w:p>
              </w:tc>
              <w:tc>
                <w:tcPr>
                  <w:tcW w:w="0" w:type="auto"/>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0CBE80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污染物</w:t>
                  </w:r>
                </w:p>
              </w:tc>
              <w:tc>
                <w:tcPr>
                  <w:tcW w:w="0" w:type="auto"/>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991B55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监控点</w:t>
                  </w:r>
                </w:p>
              </w:tc>
              <w:tc>
                <w:tcPr>
                  <w:tcW w:w="0" w:type="auto"/>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5E6455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煤炭工业所属装卸场所</w:t>
                  </w:r>
                </w:p>
              </w:tc>
              <w:tc>
                <w:tcPr>
                  <w:tcW w:w="0" w:type="auto"/>
                  <w:tcBorders>
                    <w:top w:val="single" w:color="auto" w:sz="12" w:space="0"/>
                    <w:bottom w:val="single" w:color="auto" w:sz="12" w:space="0"/>
                    <w:right w:val="nil"/>
                    <w:insideH w:val="single" w:sz="12" w:space="0"/>
                    <w:insideV w:val="single" w:sz="4" w:space="0"/>
                    <w:tl2br w:val="nil"/>
                    <w:tr2bl w:val="nil"/>
                  </w:tcBorders>
                  <w:vAlign w:val="center"/>
                </w:tcPr>
                <w:p w14:paraId="4DFFBF5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煤炭贮存场所</w:t>
                  </w:r>
                </w:p>
              </w:tc>
            </w:tr>
            <w:tr w14:paraId="6A205C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vAlign w:val="center"/>
                </w:tcPr>
                <w:p w14:paraId="6960C44C">
                  <w:pPr>
                    <w:widowControl w:val="0"/>
                    <w:overflowPunct w:val="0"/>
                    <w:autoSpaceDE w:val="0"/>
                    <w:autoSpaceDN w:val="0"/>
                    <w:snapToGrid w:val="0"/>
                    <w:jc w:val="center"/>
                    <w:rPr>
                      <w:b/>
                      <w:color w:val="auto"/>
                      <w14:ligatures w14:val="standardContextual"/>
                    </w:rPr>
                  </w:pPr>
                </w:p>
              </w:tc>
              <w:tc>
                <w:tcPr>
                  <w:tcW w:w="0" w:type="auto"/>
                  <w:vMerge w:val="continue"/>
                  <w:vAlign w:val="center"/>
                </w:tcPr>
                <w:p w14:paraId="405776EB">
                  <w:pPr>
                    <w:widowControl w:val="0"/>
                    <w:overflowPunct w:val="0"/>
                    <w:autoSpaceDE w:val="0"/>
                    <w:autoSpaceDN w:val="0"/>
                    <w:snapToGrid w:val="0"/>
                    <w:jc w:val="center"/>
                    <w:rPr>
                      <w:color w:val="auto"/>
                      <w14:ligatures w14:val="standardContextual"/>
                    </w:rPr>
                  </w:pPr>
                </w:p>
              </w:tc>
              <w:tc>
                <w:tcPr>
                  <w:tcW w:w="0" w:type="auto"/>
                  <w:vMerge w:val="continue"/>
                  <w:vAlign w:val="center"/>
                </w:tcPr>
                <w:p w14:paraId="7679F101">
                  <w:pPr>
                    <w:widowControl w:val="0"/>
                    <w:overflowPunct w:val="0"/>
                    <w:autoSpaceDE w:val="0"/>
                    <w:autoSpaceDN w:val="0"/>
                    <w:snapToGrid w:val="0"/>
                    <w:jc w:val="center"/>
                    <w:rPr>
                      <w:color w:val="auto"/>
                      <w14:ligatures w14:val="standardContextual"/>
                    </w:rPr>
                  </w:pPr>
                </w:p>
              </w:tc>
              <w:tc>
                <w:tcPr>
                  <w:tcW w:w="0" w:type="auto"/>
                  <w:gridSpan w:val="2"/>
                  <w:vAlign w:val="center"/>
                </w:tcPr>
                <w:p w14:paraId="3F1FB930">
                  <w:pPr>
                    <w:widowControl w:val="0"/>
                    <w:overflowPunct w:val="0"/>
                    <w:autoSpaceDE w:val="0"/>
                    <w:autoSpaceDN w:val="0"/>
                    <w:snapToGrid w:val="0"/>
                    <w:jc w:val="center"/>
                    <w:rPr>
                      <w:color w:val="auto"/>
                      <w14:ligatures w14:val="standardContextual"/>
                    </w:rPr>
                  </w:pPr>
                  <w:r>
                    <w:rPr>
                      <w:rFonts w:hint="eastAsia"/>
                      <w:color w:val="auto"/>
                      <w14:ligatures w14:val="standardContextual"/>
                    </w:rPr>
                    <w:t>无组织排放限值（mg/Nm</w:t>
                  </w:r>
                  <w:r>
                    <w:rPr>
                      <w:rFonts w:hint="eastAsia"/>
                      <w:color w:val="auto"/>
                      <w:vertAlign w:val="superscript"/>
                      <w14:ligatures w14:val="standardContextual"/>
                    </w:rPr>
                    <w:t>3</w:t>
                  </w:r>
                  <w:r>
                    <w:rPr>
                      <w:rFonts w:hint="eastAsia"/>
                      <w:color w:val="auto"/>
                      <w14:ligatures w14:val="standardContextual"/>
                    </w:rPr>
                    <w:t>）</w:t>
                  </w:r>
                </w:p>
                <w:p w14:paraId="3F1029CC">
                  <w:pPr>
                    <w:widowControl w:val="0"/>
                    <w:overflowPunct w:val="0"/>
                    <w:autoSpaceDE w:val="0"/>
                    <w:autoSpaceDN w:val="0"/>
                    <w:snapToGrid w:val="0"/>
                    <w:jc w:val="center"/>
                    <w:rPr>
                      <w:color w:val="auto"/>
                      <w14:ligatures w14:val="standardContextual"/>
                    </w:rPr>
                  </w:pPr>
                  <w:r>
                    <w:rPr>
                      <w:rFonts w:hint="eastAsia"/>
                      <w:color w:val="auto"/>
                      <w14:ligatures w14:val="standardContextual"/>
                    </w:rPr>
                    <w:t>（监控点与参考点浓度差值）</w:t>
                  </w:r>
                </w:p>
              </w:tc>
            </w:tr>
            <w:tr w14:paraId="163CB7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vAlign w:val="center"/>
                </w:tcPr>
                <w:p w14:paraId="7680586B">
                  <w:pPr>
                    <w:widowControl w:val="0"/>
                    <w:overflowPunct w:val="0"/>
                    <w:autoSpaceDE w:val="0"/>
                    <w:autoSpaceDN w:val="0"/>
                    <w:snapToGrid w:val="0"/>
                    <w:jc w:val="center"/>
                    <w:rPr>
                      <w:b/>
                      <w:color w:val="auto"/>
                      <w14:ligatures w14:val="standardContextual"/>
                    </w:rPr>
                  </w:pPr>
                </w:p>
              </w:tc>
              <w:tc>
                <w:tcPr>
                  <w:tcW w:w="0" w:type="auto"/>
                  <w:vAlign w:val="center"/>
                </w:tcPr>
                <w:p w14:paraId="34CCF828">
                  <w:pPr>
                    <w:widowControl w:val="0"/>
                    <w:overflowPunct w:val="0"/>
                    <w:autoSpaceDE w:val="0"/>
                    <w:autoSpaceDN w:val="0"/>
                    <w:snapToGrid w:val="0"/>
                    <w:jc w:val="center"/>
                    <w:rPr>
                      <w:color w:val="auto"/>
                      <w14:ligatures w14:val="standardContextual"/>
                    </w:rPr>
                  </w:pPr>
                  <w:r>
                    <w:rPr>
                      <w:rFonts w:hint="eastAsia"/>
                      <w:color w:val="auto"/>
                      <w14:ligatures w14:val="standardContextual"/>
                    </w:rPr>
                    <w:t>颗粒物</w:t>
                  </w:r>
                </w:p>
              </w:tc>
              <w:tc>
                <w:tcPr>
                  <w:tcW w:w="0" w:type="auto"/>
                  <w:vMerge w:val="restart"/>
                  <w:vAlign w:val="center"/>
                </w:tcPr>
                <w:p w14:paraId="3658F6F7">
                  <w:pPr>
                    <w:widowControl w:val="0"/>
                    <w:overflowPunct w:val="0"/>
                    <w:autoSpaceDE w:val="0"/>
                    <w:autoSpaceDN w:val="0"/>
                    <w:snapToGrid w:val="0"/>
                    <w:jc w:val="center"/>
                    <w:rPr>
                      <w:color w:val="auto"/>
                      <w14:ligatures w14:val="standardContextual"/>
                    </w:rPr>
                  </w:pPr>
                  <w:r>
                    <w:rPr>
                      <w:rFonts w:hint="eastAsia"/>
                      <w:color w:val="auto"/>
                      <w14:ligatures w14:val="standardContextual"/>
                    </w:rPr>
                    <w:t>周界外浓度最高点</w:t>
                  </w:r>
                </w:p>
              </w:tc>
              <w:tc>
                <w:tcPr>
                  <w:tcW w:w="0" w:type="auto"/>
                  <w:vAlign w:val="center"/>
                </w:tcPr>
                <w:p w14:paraId="0E0732CE">
                  <w:pPr>
                    <w:widowControl w:val="0"/>
                    <w:overflowPunct w:val="0"/>
                    <w:autoSpaceDE w:val="0"/>
                    <w:autoSpaceDN w:val="0"/>
                    <w:snapToGrid w:val="0"/>
                    <w:jc w:val="center"/>
                    <w:rPr>
                      <w:color w:val="auto"/>
                      <w14:ligatures w14:val="standardContextual"/>
                    </w:rPr>
                  </w:pPr>
                  <w:r>
                    <w:rPr>
                      <w:rFonts w:hint="eastAsia"/>
                      <w:color w:val="auto"/>
                      <w14:ligatures w14:val="standardContextual"/>
                    </w:rPr>
                    <w:t>1.0</w:t>
                  </w:r>
                </w:p>
              </w:tc>
              <w:tc>
                <w:tcPr>
                  <w:tcW w:w="0" w:type="auto"/>
                  <w:vAlign w:val="center"/>
                </w:tcPr>
                <w:p w14:paraId="4534D0D8">
                  <w:pPr>
                    <w:widowControl w:val="0"/>
                    <w:overflowPunct w:val="0"/>
                    <w:autoSpaceDE w:val="0"/>
                    <w:autoSpaceDN w:val="0"/>
                    <w:snapToGrid w:val="0"/>
                    <w:jc w:val="center"/>
                    <w:rPr>
                      <w:color w:val="auto"/>
                      <w14:ligatures w14:val="standardContextual"/>
                    </w:rPr>
                  </w:pPr>
                  <w:r>
                    <w:rPr>
                      <w:rFonts w:hint="eastAsia"/>
                      <w:color w:val="auto"/>
                      <w14:ligatures w14:val="standardContextual"/>
                    </w:rPr>
                    <w:t>1.0</w:t>
                  </w:r>
                </w:p>
              </w:tc>
            </w:tr>
            <w:tr w14:paraId="1C2764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vAlign w:val="center"/>
                </w:tcPr>
                <w:p w14:paraId="3250CDBB">
                  <w:pPr>
                    <w:widowControl w:val="0"/>
                    <w:overflowPunct w:val="0"/>
                    <w:autoSpaceDE w:val="0"/>
                    <w:autoSpaceDN w:val="0"/>
                    <w:snapToGrid w:val="0"/>
                    <w:jc w:val="center"/>
                    <w:rPr>
                      <w:b/>
                      <w:color w:val="auto"/>
                      <w14:ligatures w14:val="standardContextual"/>
                    </w:rPr>
                  </w:pPr>
                </w:p>
              </w:tc>
              <w:tc>
                <w:tcPr>
                  <w:tcW w:w="0" w:type="auto"/>
                  <w:vAlign w:val="center"/>
                </w:tcPr>
                <w:p w14:paraId="60F140B8">
                  <w:pPr>
                    <w:widowControl w:val="0"/>
                    <w:overflowPunct w:val="0"/>
                    <w:autoSpaceDE w:val="0"/>
                    <w:autoSpaceDN w:val="0"/>
                    <w:snapToGrid w:val="0"/>
                    <w:jc w:val="center"/>
                    <w:rPr>
                      <w:color w:val="auto"/>
                      <w14:ligatures w14:val="standardContextual"/>
                    </w:rPr>
                  </w:pPr>
                  <w:r>
                    <w:rPr>
                      <w:rFonts w:hint="eastAsia"/>
                      <w:color w:val="auto"/>
                      <w14:ligatures w14:val="standardContextual"/>
                    </w:rPr>
                    <w:t>二氧化硫</w:t>
                  </w:r>
                </w:p>
              </w:tc>
              <w:tc>
                <w:tcPr>
                  <w:tcW w:w="0" w:type="auto"/>
                  <w:vMerge w:val="continue"/>
                  <w:vAlign w:val="center"/>
                </w:tcPr>
                <w:p w14:paraId="224CBF1E">
                  <w:pPr>
                    <w:widowControl w:val="0"/>
                    <w:overflowPunct w:val="0"/>
                    <w:autoSpaceDE w:val="0"/>
                    <w:autoSpaceDN w:val="0"/>
                    <w:snapToGrid w:val="0"/>
                    <w:jc w:val="center"/>
                    <w:rPr>
                      <w:color w:val="auto"/>
                      <w14:ligatures w14:val="standardContextual"/>
                    </w:rPr>
                  </w:pPr>
                </w:p>
              </w:tc>
              <w:tc>
                <w:tcPr>
                  <w:tcW w:w="0" w:type="auto"/>
                  <w:vAlign w:val="center"/>
                </w:tcPr>
                <w:p w14:paraId="754CA76E">
                  <w:pPr>
                    <w:widowControl w:val="0"/>
                    <w:overflowPunct w:val="0"/>
                    <w:autoSpaceDE w:val="0"/>
                    <w:autoSpaceDN w:val="0"/>
                    <w:snapToGrid w:val="0"/>
                    <w:jc w:val="center"/>
                    <w:rPr>
                      <w:color w:val="auto"/>
                      <w14:ligatures w14:val="standardContextual"/>
                    </w:rPr>
                  </w:pPr>
                  <w:r>
                    <w:rPr>
                      <w:rFonts w:hint="eastAsia"/>
                      <w:color w:val="auto"/>
                      <w14:ligatures w14:val="standardContextual"/>
                    </w:rPr>
                    <w:t>-</w:t>
                  </w:r>
                </w:p>
              </w:tc>
              <w:tc>
                <w:tcPr>
                  <w:tcW w:w="0" w:type="auto"/>
                  <w:vAlign w:val="center"/>
                </w:tcPr>
                <w:p w14:paraId="18C01662">
                  <w:pPr>
                    <w:widowControl w:val="0"/>
                    <w:overflowPunct w:val="0"/>
                    <w:autoSpaceDE w:val="0"/>
                    <w:autoSpaceDN w:val="0"/>
                    <w:snapToGrid w:val="0"/>
                    <w:jc w:val="center"/>
                    <w:rPr>
                      <w:color w:val="auto"/>
                      <w14:ligatures w14:val="standardContextual"/>
                    </w:rPr>
                  </w:pPr>
                  <w:r>
                    <w:rPr>
                      <w:rFonts w:hint="eastAsia"/>
                      <w:color w:val="auto"/>
                      <w14:ligatures w14:val="standardContextual"/>
                    </w:rPr>
                    <w:t>0.4</w:t>
                  </w:r>
                </w:p>
              </w:tc>
            </w:tr>
          </w:tbl>
          <w:p w14:paraId="42E52B3B">
            <w:pPr>
              <w:pStyle w:val="7"/>
              <w:rPr>
                <w:color w:val="auto"/>
              </w:rPr>
            </w:pPr>
          </w:p>
          <w:p w14:paraId="7ECECB6C">
            <w:pPr>
              <w:pStyle w:val="7"/>
              <w:rPr>
                <w:color w:val="auto"/>
              </w:rPr>
            </w:pPr>
            <w:r>
              <w:rPr>
                <w:rFonts w:hint="eastAsia"/>
                <w:color w:val="auto"/>
              </w:rPr>
              <w:t>2、水污染物排放标准</w:t>
            </w:r>
          </w:p>
          <w:p w14:paraId="5E5EEEA9">
            <w:pPr>
              <w:pStyle w:val="3"/>
              <w:ind w:firstLine="480"/>
              <w:rPr>
                <w:color w:val="auto"/>
              </w:rPr>
            </w:pPr>
            <w:r>
              <w:rPr>
                <w:rFonts w:hint="eastAsia"/>
                <w:color w:val="auto"/>
              </w:rPr>
              <w:t>项目主要废水为生活污水，排入</w:t>
            </w:r>
            <w:r>
              <w:rPr>
                <w:rFonts w:hint="eastAsia"/>
                <w:b/>
                <w:bCs/>
                <w:color w:val="auto"/>
              </w:rPr>
              <w:t>地埋式一体化污水处理设施</w:t>
            </w:r>
            <w:r>
              <w:rPr>
                <w:rFonts w:hint="eastAsia"/>
                <w:color w:val="auto"/>
              </w:rPr>
              <w:t>预处理后定期清运至鄯善县污水处理厂，故执行《污水综合排放标准》（GB8978-1996）表4 中的三级排放标准。</w:t>
            </w:r>
          </w:p>
          <w:p w14:paraId="49355E65">
            <w:pPr>
              <w:pStyle w:val="49"/>
              <w:rPr>
                <w:color w:val="auto"/>
              </w:rPr>
            </w:pPr>
            <w:r>
              <w:rPr>
                <w:rFonts w:hint="eastAsia"/>
                <w:color w:val="auto"/>
              </w:rPr>
              <w:t xml:space="preserve">表3- </w:t>
            </w:r>
            <w:r>
              <w:rPr>
                <w:color w:val="auto"/>
              </w:rPr>
              <w:t>5</w:t>
            </w:r>
            <w:r>
              <w:rPr>
                <w:rFonts w:hint="eastAsia"/>
                <w:color w:val="auto"/>
              </w:rPr>
              <w:t>：《污水综合排放标准》（GB8978-1996）</w:t>
            </w:r>
          </w:p>
          <w:tbl>
            <w:tblPr>
              <w:tblStyle w:val="50"/>
              <w:tblW w:w="829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2370"/>
              <w:gridCol w:w="3110"/>
              <w:gridCol w:w="2813"/>
            </w:tblGrid>
            <w:tr w14:paraId="508323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370"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5560BD9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序号</w:t>
                  </w:r>
                </w:p>
              </w:tc>
              <w:tc>
                <w:tcPr>
                  <w:tcW w:w="3110"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B5680D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污染物</w:t>
                  </w:r>
                </w:p>
              </w:tc>
              <w:tc>
                <w:tcPr>
                  <w:tcW w:w="2813" w:type="dxa"/>
                  <w:tcBorders>
                    <w:top w:val="single" w:color="auto" w:sz="12" w:space="0"/>
                    <w:bottom w:val="single" w:color="auto" w:sz="12" w:space="0"/>
                    <w:right w:val="nil"/>
                    <w:insideH w:val="single" w:sz="12" w:space="0"/>
                    <w:insideV w:val="single" w:sz="4" w:space="0"/>
                    <w:tl2br w:val="nil"/>
                    <w:tr2bl w:val="nil"/>
                  </w:tcBorders>
                  <w:vAlign w:val="center"/>
                </w:tcPr>
                <w:p w14:paraId="4099349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三级标准</w:t>
                  </w:r>
                </w:p>
              </w:tc>
            </w:tr>
            <w:tr w14:paraId="3C18FB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370" w:type="dxa"/>
                  <w:vAlign w:val="center"/>
                </w:tcPr>
                <w:p w14:paraId="520149FC">
                  <w:pPr>
                    <w:widowControl w:val="0"/>
                    <w:overflowPunct w:val="0"/>
                    <w:autoSpaceDE w:val="0"/>
                    <w:autoSpaceDN w:val="0"/>
                    <w:snapToGrid w:val="0"/>
                    <w:jc w:val="center"/>
                    <w:rPr>
                      <w:color w:val="auto"/>
                      <w14:ligatures w14:val="standardContextual"/>
                    </w:rPr>
                  </w:pPr>
                  <w:r>
                    <w:rPr>
                      <w:color w:val="auto"/>
                      <w14:ligatures w14:val="standardContextual"/>
                    </w:rPr>
                    <w:t>1</w:t>
                  </w:r>
                </w:p>
              </w:tc>
              <w:tc>
                <w:tcPr>
                  <w:tcW w:w="3110" w:type="dxa"/>
                  <w:vAlign w:val="center"/>
                </w:tcPr>
                <w:p w14:paraId="16803293">
                  <w:pPr>
                    <w:widowControl w:val="0"/>
                    <w:overflowPunct w:val="0"/>
                    <w:autoSpaceDE w:val="0"/>
                    <w:autoSpaceDN w:val="0"/>
                    <w:snapToGrid w:val="0"/>
                    <w:jc w:val="center"/>
                    <w:rPr>
                      <w:color w:val="auto"/>
                      <w14:ligatures w14:val="standardContextual"/>
                    </w:rPr>
                  </w:pPr>
                  <w:r>
                    <w:rPr>
                      <w:rFonts w:hint="eastAsia"/>
                      <w:color w:val="auto"/>
                      <w14:ligatures w14:val="standardContextual"/>
                    </w:rPr>
                    <w:t>pH值</w:t>
                  </w:r>
                </w:p>
              </w:tc>
              <w:tc>
                <w:tcPr>
                  <w:tcW w:w="2813" w:type="dxa"/>
                  <w:vAlign w:val="center"/>
                </w:tcPr>
                <w:p w14:paraId="4F20E5B4">
                  <w:pPr>
                    <w:widowControl w:val="0"/>
                    <w:overflowPunct w:val="0"/>
                    <w:autoSpaceDE w:val="0"/>
                    <w:autoSpaceDN w:val="0"/>
                    <w:snapToGrid w:val="0"/>
                    <w:jc w:val="center"/>
                    <w:rPr>
                      <w:color w:val="auto"/>
                      <w14:ligatures w14:val="standardContextual"/>
                    </w:rPr>
                  </w:pPr>
                  <w:r>
                    <w:rPr>
                      <w:rFonts w:hint="eastAsia"/>
                      <w:color w:val="auto"/>
                      <w14:ligatures w14:val="standardContextual"/>
                    </w:rPr>
                    <w:t>6~9</w:t>
                  </w:r>
                </w:p>
              </w:tc>
            </w:tr>
            <w:tr w14:paraId="1537F5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65" w:hRule="atLeast"/>
                <w:jc w:val="center"/>
              </w:trPr>
              <w:tc>
                <w:tcPr>
                  <w:tcW w:w="2370" w:type="dxa"/>
                  <w:vAlign w:val="center"/>
                </w:tcPr>
                <w:p w14:paraId="2587EB55">
                  <w:pPr>
                    <w:widowControl w:val="0"/>
                    <w:overflowPunct w:val="0"/>
                    <w:autoSpaceDE w:val="0"/>
                    <w:autoSpaceDN w:val="0"/>
                    <w:snapToGrid w:val="0"/>
                    <w:jc w:val="center"/>
                    <w:rPr>
                      <w:color w:val="auto"/>
                      <w14:ligatures w14:val="standardContextual"/>
                    </w:rPr>
                  </w:pPr>
                  <w:r>
                    <w:rPr>
                      <w:color w:val="auto"/>
                      <w14:ligatures w14:val="standardContextual"/>
                    </w:rPr>
                    <w:t>2</w:t>
                  </w:r>
                </w:p>
              </w:tc>
              <w:tc>
                <w:tcPr>
                  <w:tcW w:w="3110" w:type="dxa"/>
                  <w:vAlign w:val="center"/>
                </w:tcPr>
                <w:p w14:paraId="6A5BEE39">
                  <w:pPr>
                    <w:widowControl w:val="0"/>
                    <w:overflowPunct w:val="0"/>
                    <w:autoSpaceDE w:val="0"/>
                    <w:autoSpaceDN w:val="0"/>
                    <w:snapToGrid w:val="0"/>
                    <w:jc w:val="center"/>
                    <w:rPr>
                      <w:color w:val="auto"/>
                      <w14:ligatures w14:val="standardContextual"/>
                    </w:rPr>
                  </w:pPr>
                  <w:r>
                    <w:rPr>
                      <w:rFonts w:hint="eastAsia"/>
                      <w:color w:val="auto"/>
                      <w14:ligatures w14:val="standardContextual"/>
                    </w:rPr>
                    <w:t>COD</w:t>
                  </w:r>
                </w:p>
              </w:tc>
              <w:tc>
                <w:tcPr>
                  <w:tcW w:w="2813" w:type="dxa"/>
                  <w:vAlign w:val="center"/>
                </w:tcPr>
                <w:p w14:paraId="63CEF272">
                  <w:pPr>
                    <w:widowControl w:val="0"/>
                    <w:overflowPunct w:val="0"/>
                    <w:autoSpaceDE w:val="0"/>
                    <w:autoSpaceDN w:val="0"/>
                    <w:snapToGrid w:val="0"/>
                    <w:jc w:val="center"/>
                    <w:rPr>
                      <w:color w:val="auto"/>
                      <w14:ligatures w14:val="standardContextual"/>
                    </w:rPr>
                  </w:pPr>
                  <w:r>
                    <w:rPr>
                      <w:rFonts w:hint="eastAsia"/>
                      <w:color w:val="auto"/>
                      <w14:ligatures w14:val="standardContextual"/>
                    </w:rPr>
                    <w:t>500mg/L</w:t>
                  </w:r>
                </w:p>
              </w:tc>
            </w:tr>
            <w:tr w14:paraId="7AF077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370" w:type="dxa"/>
                  <w:vAlign w:val="center"/>
                </w:tcPr>
                <w:p w14:paraId="1EC973EB">
                  <w:pPr>
                    <w:widowControl w:val="0"/>
                    <w:overflowPunct w:val="0"/>
                    <w:autoSpaceDE w:val="0"/>
                    <w:autoSpaceDN w:val="0"/>
                    <w:snapToGrid w:val="0"/>
                    <w:jc w:val="center"/>
                    <w:rPr>
                      <w:color w:val="auto"/>
                      <w14:ligatures w14:val="standardContextual"/>
                    </w:rPr>
                  </w:pPr>
                  <w:r>
                    <w:rPr>
                      <w:color w:val="auto"/>
                      <w14:ligatures w14:val="standardContextual"/>
                    </w:rPr>
                    <w:t>3</w:t>
                  </w:r>
                </w:p>
              </w:tc>
              <w:tc>
                <w:tcPr>
                  <w:tcW w:w="3110" w:type="dxa"/>
                  <w:vAlign w:val="center"/>
                </w:tcPr>
                <w:p w14:paraId="3170D105">
                  <w:pPr>
                    <w:widowControl w:val="0"/>
                    <w:overflowPunct w:val="0"/>
                    <w:autoSpaceDE w:val="0"/>
                    <w:autoSpaceDN w:val="0"/>
                    <w:snapToGrid w:val="0"/>
                    <w:jc w:val="center"/>
                    <w:rPr>
                      <w:color w:val="auto"/>
                      <w14:ligatures w14:val="standardContextual"/>
                    </w:rPr>
                  </w:pPr>
                  <w:r>
                    <w:rPr>
                      <w:rFonts w:hint="eastAsia"/>
                      <w:color w:val="auto"/>
                      <w14:ligatures w14:val="standardContextual"/>
                    </w:rPr>
                    <w:t>SS</w:t>
                  </w:r>
                </w:p>
              </w:tc>
              <w:tc>
                <w:tcPr>
                  <w:tcW w:w="2813" w:type="dxa"/>
                  <w:vAlign w:val="center"/>
                </w:tcPr>
                <w:p w14:paraId="500F6DB4">
                  <w:pPr>
                    <w:widowControl w:val="0"/>
                    <w:overflowPunct w:val="0"/>
                    <w:autoSpaceDE w:val="0"/>
                    <w:autoSpaceDN w:val="0"/>
                    <w:snapToGrid w:val="0"/>
                    <w:jc w:val="center"/>
                    <w:rPr>
                      <w:color w:val="auto"/>
                      <w14:ligatures w14:val="standardContextual"/>
                    </w:rPr>
                  </w:pPr>
                  <w:r>
                    <w:rPr>
                      <w:rFonts w:hint="eastAsia"/>
                      <w:color w:val="auto"/>
                      <w14:ligatures w14:val="standardContextual"/>
                    </w:rPr>
                    <w:t>400mg/L</w:t>
                  </w:r>
                </w:p>
              </w:tc>
            </w:tr>
            <w:tr w14:paraId="63CCD6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370" w:type="dxa"/>
                  <w:vAlign w:val="center"/>
                </w:tcPr>
                <w:p w14:paraId="762F9130">
                  <w:pPr>
                    <w:widowControl w:val="0"/>
                    <w:overflowPunct w:val="0"/>
                    <w:autoSpaceDE w:val="0"/>
                    <w:autoSpaceDN w:val="0"/>
                    <w:snapToGrid w:val="0"/>
                    <w:jc w:val="center"/>
                    <w:rPr>
                      <w:color w:val="auto"/>
                      <w14:ligatures w14:val="standardContextual"/>
                    </w:rPr>
                  </w:pPr>
                  <w:r>
                    <w:rPr>
                      <w:color w:val="auto"/>
                      <w14:ligatures w14:val="standardContextual"/>
                    </w:rPr>
                    <w:t>4</w:t>
                  </w:r>
                </w:p>
              </w:tc>
              <w:tc>
                <w:tcPr>
                  <w:tcW w:w="3110" w:type="dxa"/>
                  <w:vAlign w:val="center"/>
                </w:tcPr>
                <w:p w14:paraId="19E1C95D">
                  <w:pPr>
                    <w:widowControl w:val="0"/>
                    <w:overflowPunct w:val="0"/>
                    <w:autoSpaceDE w:val="0"/>
                    <w:autoSpaceDN w:val="0"/>
                    <w:snapToGrid w:val="0"/>
                    <w:jc w:val="center"/>
                    <w:rPr>
                      <w:color w:val="auto"/>
                      <w14:ligatures w14:val="standardContextual"/>
                    </w:rPr>
                  </w:pPr>
                  <w:r>
                    <w:rPr>
                      <w:rFonts w:hint="eastAsia"/>
                      <w:color w:val="auto"/>
                      <w14:ligatures w14:val="standardContextual"/>
                    </w:rPr>
                    <w:t>BOD</w:t>
                  </w:r>
                  <w:r>
                    <w:rPr>
                      <w:rFonts w:hint="eastAsia"/>
                      <w:color w:val="auto"/>
                      <w:vertAlign w:val="subscript"/>
                      <w14:ligatures w14:val="standardContextual"/>
                    </w:rPr>
                    <w:t>5</w:t>
                  </w:r>
                </w:p>
              </w:tc>
              <w:tc>
                <w:tcPr>
                  <w:tcW w:w="2813" w:type="dxa"/>
                  <w:vAlign w:val="center"/>
                </w:tcPr>
                <w:p w14:paraId="05F6B00F">
                  <w:pPr>
                    <w:widowControl w:val="0"/>
                    <w:overflowPunct w:val="0"/>
                    <w:autoSpaceDE w:val="0"/>
                    <w:autoSpaceDN w:val="0"/>
                    <w:snapToGrid w:val="0"/>
                    <w:jc w:val="center"/>
                    <w:rPr>
                      <w:color w:val="auto"/>
                      <w14:ligatures w14:val="standardContextual"/>
                    </w:rPr>
                  </w:pPr>
                  <w:r>
                    <w:rPr>
                      <w:rFonts w:hint="eastAsia"/>
                      <w:color w:val="auto"/>
                      <w14:ligatures w14:val="standardContextual"/>
                    </w:rPr>
                    <w:t>300mg/L</w:t>
                  </w:r>
                </w:p>
              </w:tc>
            </w:tr>
            <w:tr w14:paraId="505C1D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370" w:type="dxa"/>
                  <w:vAlign w:val="center"/>
                </w:tcPr>
                <w:p w14:paraId="4450251C">
                  <w:pPr>
                    <w:widowControl w:val="0"/>
                    <w:overflowPunct w:val="0"/>
                    <w:autoSpaceDE w:val="0"/>
                    <w:autoSpaceDN w:val="0"/>
                    <w:snapToGrid w:val="0"/>
                    <w:jc w:val="center"/>
                    <w:rPr>
                      <w:color w:val="auto"/>
                      <w14:ligatures w14:val="standardContextual"/>
                    </w:rPr>
                  </w:pPr>
                  <w:r>
                    <w:rPr>
                      <w:rFonts w:hint="eastAsia"/>
                      <w:color w:val="auto"/>
                      <w14:ligatures w14:val="standardContextual"/>
                    </w:rPr>
                    <w:t>5</w:t>
                  </w:r>
                </w:p>
              </w:tc>
              <w:tc>
                <w:tcPr>
                  <w:tcW w:w="3110" w:type="dxa"/>
                  <w:vAlign w:val="center"/>
                </w:tcPr>
                <w:p w14:paraId="51AC71FF">
                  <w:pPr>
                    <w:widowControl w:val="0"/>
                    <w:overflowPunct w:val="0"/>
                    <w:autoSpaceDE w:val="0"/>
                    <w:autoSpaceDN w:val="0"/>
                    <w:snapToGrid w:val="0"/>
                    <w:jc w:val="center"/>
                    <w:rPr>
                      <w:color w:val="auto"/>
                      <w14:ligatures w14:val="standardContextual"/>
                    </w:rPr>
                  </w:pPr>
                  <w:r>
                    <w:rPr>
                      <w:rFonts w:hint="eastAsia"/>
                      <w:color w:val="auto"/>
                      <w14:ligatures w14:val="standardContextual"/>
                    </w:rPr>
                    <w:t>动植物油</w:t>
                  </w:r>
                </w:p>
              </w:tc>
              <w:tc>
                <w:tcPr>
                  <w:tcW w:w="2813" w:type="dxa"/>
                  <w:vAlign w:val="center"/>
                </w:tcPr>
                <w:p w14:paraId="5F9E20C5">
                  <w:pPr>
                    <w:widowControl w:val="0"/>
                    <w:overflowPunct w:val="0"/>
                    <w:autoSpaceDE w:val="0"/>
                    <w:autoSpaceDN w:val="0"/>
                    <w:snapToGrid w:val="0"/>
                    <w:jc w:val="center"/>
                    <w:rPr>
                      <w:color w:val="auto"/>
                      <w14:ligatures w14:val="standardContextual"/>
                    </w:rPr>
                  </w:pPr>
                  <w:r>
                    <w:rPr>
                      <w:rFonts w:hint="eastAsia"/>
                      <w:color w:val="auto"/>
                      <w14:ligatures w14:val="standardContextual"/>
                    </w:rPr>
                    <w:t>100mg/L</w:t>
                  </w:r>
                </w:p>
              </w:tc>
            </w:tr>
            <w:tr w14:paraId="74E256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2370" w:type="dxa"/>
                  <w:vAlign w:val="center"/>
                </w:tcPr>
                <w:p w14:paraId="78DCF6D9">
                  <w:pPr>
                    <w:widowControl w:val="0"/>
                    <w:overflowPunct w:val="0"/>
                    <w:autoSpaceDE w:val="0"/>
                    <w:autoSpaceDN w:val="0"/>
                    <w:snapToGrid w:val="0"/>
                    <w:jc w:val="center"/>
                    <w:rPr>
                      <w:color w:val="auto"/>
                      <w14:ligatures w14:val="standardContextual"/>
                    </w:rPr>
                  </w:pPr>
                  <w:r>
                    <w:rPr>
                      <w:rFonts w:hint="eastAsia"/>
                      <w:color w:val="auto"/>
                      <w14:ligatures w14:val="standardContextual"/>
                    </w:rPr>
                    <w:t>6</w:t>
                  </w:r>
                </w:p>
              </w:tc>
              <w:tc>
                <w:tcPr>
                  <w:tcW w:w="3110" w:type="dxa"/>
                  <w:vAlign w:val="center"/>
                </w:tcPr>
                <w:p w14:paraId="4FF6E7E7">
                  <w:pPr>
                    <w:widowControl w:val="0"/>
                    <w:overflowPunct w:val="0"/>
                    <w:autoSpaceDE w:val="0"/>
                    <w:autoSpaceDN w:val="0"/>
                    <w:snapToGrid w:val="0"/>
                    <w:jc w:val="center"/>
                    <w:rPr>
                      <w:color w:val="auto"/>
                      <w14:ligatures w14:val="standardContextual"/>
                    </w:rPr>
                  </w:pPr>
                  <w:r>
                    <w:rPr>
                      <w:rFonts w:hint="eastAsia"/>
                      <w:color w:val="auto"/>
                      <w14:ligatures w14:val="standardContextual"/>
                    </w:rPr>
                    <w:t>氨氮</w:t>
                  </w:r>
                </w:p>
              </w:tc>
              <w:tc>
                <w:tcPr>
                  <w:tcW w:w="2813" w:type="dxa"/>
                  <w:vAlign w:val="center"/>
                </w:tcPr>
                <w:p w14:paraId="4E2B7989">
                  <w:pPr>
                    <w:widowControl w:val="0"/>
                    <w:overflowPunct w:val="0"/>
                    <w:autoSpaceDE w:val="0"/>
                    <w:autoSpaceDN w:val="0"/>
                    <w:snapToGrid w:val="0"/>
                    <w:jc w:val="center"/>
                    <w:rPr>
                      <w:color w:val="auto"/>
                      <w14:ligatures w14:val="standardContextual"/>
                    </w:rPr>
                  </w:pPr>
                  <w:r>
                    <w:rPr>
                      <w:rFonts w:hint="eastAsia"/>
                      <w:color w:val="auto"/>
                      <w14:ligatures w14:val="standardContextual"/>
                    </w:rPr>
                    <w:t>/</w:t>
                  </w:r>
                </w:p>
              </w:tc>
            </w:tr>
          </w:tbl>
          <w:p w14:paraId="140B2AB0">
            <w:pPr>
              <w:pStyle w:val="7"/>
              <w:rPr>
                <w:color w:val="auto"/>
              </w:rPr>
            </w:pPr>
            <w:r>
              <w:rPr>
                <w:rFonts w:hint="eastAsia"/>
                <w:color w:val="auto"/>
              </w:rPr>
              <w:t>3、噪声排放标准</w:t>
            </w:r>
          </w:p>
          <w:p w14:paraId="0B717051">
            <w:pPr>
              <w:pStyle w:val="3"/>
              <w:ind w:firstLine="480"/>
              <w:rPr>
                <w:color w:val="auto"/>
              </w:rPr>
            </w:pPr>
            <w:r>
              <w:rPr>
                <w:rFonts w:hint="eastAsia"/>
                <w:color w:val="auto"/>
              </w:rPr>
              <w:t>项目施工期场界噪声排放执行《建筑施工场界环境噪声排放标准》（GB12523-2011）中表1标准；</w:t>
            </w:r>
          </w:p>
          <w:p w14:paraId="19EE86C1">
            <w:pPr>
              <w:pStyle w:val="3"/>
              <w:ind w:firstLine="480"/>
              <w:rPr>
                <w:color w:val="auto"/>
              </w:rPr>
            </w:pPr>
            <w:r>
              <w:rPr>
                <w:rFonts w:hint="eastAsia"/>
                <w:color w:val="auto"/>
              </w:rPr>
              <w:t>项目运营期厂界噪声执行《工业企业厂界环境噪声排放标准》（GB12348-2008）中的3类标准值。</w:t>
            </w:r>
          </w:p>
          <w:p w14:paraId="6EB45DD9">
            <w:pPr>
              <w:pStyle w:val="3"/>
              <w:ind w:firstLine="480"/>
              <w:rPr>
                <w:color w:val="auto"/>
              </w:rPr>
            </w:pPr>
            <w:r>
              <w:rPr>
                <w:rFonts w:hint="eastAsia"/>
                <w:color w:val="auto"/>
              </w:rPr>
              <w:t>具体标准值见下表。</w:t>
            </w:r>
          </w:p>
          <w:p w14:paraId="18812F77">
            <w:pPr>
              <w:pStyle w:val="49"/>
              <w:rPr>
                <w:color w:val="auto"/>
              </w:rPr>
            </w:pPr>
            <w:r>
              <w:rPr>
                <w:rFonts w:hint="eastAsia"/>
                <w:color w:val="auto"/>
              </w:rPr>
              <w:t xml:space="preserve">表3- </w:t>
            </w:r>
            <w:r>
              <w:rPr>
                <w:color w:val="auto"/>
              </w:rPr>
              <w:t>10</w:t>
            </w:r>
            <w:r>
              <w:rPr>
                <w:rFonts w:hint="eastAsia"/>
                <w:color w:val="auto"/>
              </w:rPr>
              <w:t>：项目厂界噪声标准值</w:t>
            </w:r>
          </w:p>
          <w:tbl>
            <w:tblPr>
              <w:tblStyle w:val="20"/>
              <w:tblW w:w="7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715"/>
              <w:gridCol w:w="706"/>
              <w:gridCol w:w="706"/>
              <w:gridCol w:w="1272"/>
              <w:gridCol w:w="3539"/>
            </w:tblGrid>
            <w:tr w14:paraId="792404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0" w:type="pct"/>
                  <w:tcBorders>
                    <w:top w:val="single" w:color="auto" w:sz="12" w:space="0"/>
                    <w:left w:val="nil"/>
                    <w:bottom w:val="single" w:color="auto" w:sz="12" w:space="0"/>
                    <w:right w:val="single" w:color="auto" w:sz="4" w:space="0"/>
                    <w:tl2br w:val="nil"/>
                    <w:tr2bl w:val="nil"/>
                  </w:tcBorders>
                  <w:shd w:val="clear" w:color="auto" w:fill="auto"/>
                  <w:vAlign w:val="center"/>
                </w:tcPr>
                <w:p w14:paraId="2F06B5C8">
                  <w:pPr>
                    <w:widowControl w:val="0"/>
                    <w:overflowPunct w:val="0"/>
                    <w:autoSpaceDE w:val="0"/>
                    <w:autoSpaceDN w:val="0"/>
                    <w:snapToGrid w:val="0"/>
                    <w:jc w:val="center"/>
                    <w:rPr>
                      <w:b/>
                      <w:snapToGrid w:val="0"/>
                      <w:color w:val="auto"/>
                    </w:rPr>
                  </w:pPr>
                  <w:r>
                    <w:rPr>
                      <w:b/>
                      <w:snapToGrid w:val="0"/>
                      <w:color w:val="auto"/>
                    </w:rPr>
                    <w:t>类别</w:t>
                  </w:r>
                </w:p>
              </w:tc>
              <w:tc>
                <w:tcPr>
                  <w:tcW w:w="890" w:type="pct"/>
                  <w:gridSpan w:val="2"/>
                  <w:tcBorders>
                    <w:top w:val="single" w:color="auto" w:sz="12" w:space="0"/>
                    <w:left w:val="single" w:color="auto" w:sz="4" w:space="0"/>
                    <w:bottom w:val="single" w:color="auto" w:sz="12" w:space="0"/>
                    <w:right w:val="single" w:color="auto" w:sz="4" w:space="0"/>
                    <w:tl2br w:val="nil"/>
                    <w:tr2bl w:val="nil"/>
                  </w:tcBorders>
                  <w:shd w:val="clear" w:color="auto" w:fill="auto"/>
                  <w:vAlign w:val="center"/>
                </w:tcPr>
                <w:p w14:paraId="2F78936C">
                  <w:pPr>
                    <w:widowControl w:val="0"/>
                    <w:overflowPunct w:val="0"/>
                    <w:autoSpaceDE w:val="0"/>
                    <w:autoSpaceDN w:val="0"/>
                    <w:snapToGrid w:val="0"/>
                    <w:jc w:val="center"/>
                    <w:rPr>
                      <w:b/>
                      <w:snapToGrid w:val="0"/>
                      <w:color w:val="auto"/>
                    </w:rPr>
                  </w:pPr>
                  <w:r>
                    <w:rPr>
                      <w:b/>
                      <w:snapToGrid w:val="0"/>
                      <w:color w:val="auto"/>
                    </w:rPr>
                    <w:t>污染物名称</w:t>
                  </w:r>
                </w:p>
              </w:tc>
              <w:tc>
                <w:tcPr>
                  <w:tcW w:w="801" w:type="pct"/>
                  <w:tcBorders>
                    <w:top w:val="single" w:color="auto" w:sz="12" w:space="0"/>
                    <w:left w:val="single" w:color="auto" w:sz="4" w:space="0"/>
                    <w:bottom w:val="single" w:color="auto" w:sz="12" w:space="0"/>
                    <w:right w:val="single" w:color="auto" w:sz="4" w:space="0"/>
                    <w:tl2br w:val="nil"/>
                    <w:tr2bl w:val="nil"/>
                  </w:tcBorders>
                  <w:shd w:val="clear" w:color="auto" w:fill="auto"/>
                  <w:vAlign w:val="center"/>
                </w:tcPr>
                <w:p w14:paraId="3FBC60F0">
                  <w:pPr>
                    <w:widowControl w:val="0"/>
                    <w:overflowPunct w:val="0"/>
                    <w:autoSpaceDE w:val="0"/>
                    <w:autoSpaceDN w:val="0"/>
                    <w:snapToGrid w:val="0"/>
                    <w:jc w:val="center"/>
                    <w:rPr>
                      <w:b/>
                      <w:snapToGrid w:val="0"/>
                      <w:color w:val="auto"/>
                    </w:rPr>
                  </w:pPr>
                  <w:r>
                    <w:rPr>
                      <w:b/>
                      <w:snapToGrid w:val="0"/>
                      <w:color w:val="auto"/>
                    </w:rPr>
                    <w:t>标准限值</w:t>
                  </w:r>
                </w:p>
              </w:tc>
              <w:tc>
                <w:tcPr>
                  <w:tcW w:w="2229" w:type="pct"/>
                  <w:tcBorders>
                    <w:top w:val="single" w:color="auto" w:sz="12" w:space="0"/>
                    <w:left w:val="single" w:color="auto" w:sz="4" w:space="0"/>
                    <w:bottom w:val="single" w:color="auto" w:sz="12" w:space="0"/>
                    <w:right w:val="nil"/>
                    <w:tl2br w:val="nil"/>
                    <w:tr2bl w:val="nil"/>
                  </w:tcBorders>
                  <w:shd w:val="clear" w:color="auto" w:fill="auto"/>
                  <w:vAlign w:val="center"/>
                </w:tcPr>
                <w:p w14:paraId="38DFB4B3">
                  <w:pPr>
                    <w:widowControl w:val="0"/>
                    <w:overflowPunct w:val="0"/>
                    <w:autoSpaceDE w:val="0"/>
                    <w:autoSpaceDN w:val="0"/>
                    <w:snapToGrid w:val="0"/>
                    <w:jc w:val="center"/>
                    <w:rPr>
                      <w:b/>
                      <w:snapToGrid w:val="0"/>
                      <w:color w:val="auto"/>
                    </w:rPr>
                  </w:pPr>
                  <w:r>
                    <w:rPr>
                      <w:b/>
                      <w:snapToGrid w:val="0"/>
                      <w:color w:val="auto"/>
                    </w:rPr>
                    <w:t>来源</w:t>
                  </w:r>
                </w:p>
              </w:tc>
            </w:tr>
            <w:tr w14:paraId="1CF8F4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0" w:type="pct"/>
                  <w:vMerge w:val="restart"/>
                  <w:shd w:val="clear" w:color="auto" w:fill="auto"/>
                  <w:vAlign w:val="center"/>
                </w:tcPr>
                <w:p w14:paraId="75DBFB02">
                  <w:pPr>
                    <w:widowControl w:val="0"/>
                    <w:overflowPunct w:val="0"/>
                    <w:autoSpaceDE w:val="0"/>
                    <w:autoSpaceDN w:val="0"/>
                    <w:snapToGrid w:val="0"/>
                    <w:jc w:val="center"/>
                    <w:rPr>
                      <w:snapToGrid w:val="0"/>
                      <w:color w:val="auto"/>
                    </w:rPr>
                  </w:pPr>
                  <w:r>
                    <w:rPr>
                      <w:rFonts w:hint="eastAsia"/>
                      <w:snapToGrid w:val="0"/>
                      <w:color w:val="auto"/>
                    </w:rPr>
                    <w:t>施工期厂界噪声</w:t>
                  </w:r>
                </w:p>
              </w:tc>
              <w:tc>
                <w:tcPr>
                  <w:tcW w:w="445" w:type="pct"/>
                  <w:vMerge w:val="restart"/>
                  <w:shd w:val="clear" w:color="auto" w:fill="auto"/>
                  <w:vAlign w:val="center"/>
                </w:tcPr>
                <w:p w14:paraId="133982D3">
                  <w:pPr>
                    <w:widowControl w:val="0"/>
                    <w:overflowPunct w:val="0"/>
                    <w:autoSpaceDE w:val="0"/>
                    <w:autoSpaceDN w:val="0"/>
                    <w:snapToGrid w:val="0"/>
                    <w:jc w:val="center"/>
                    <w:rPr>
                      <w:color w:val="auto"/>
                    </w:rPr>
                  </w:pPr>
                  <w:r>
                    <w:rPr>
                      <w:color w:val="auto"/>
                    </w:rPr>
                    <w:t>等效A声级</w:t>
                  </w:r>
                </w:p>
              </w:tc>
              <w:tc>
                <w:tcPr>
                  <w:tcW w:w="445" w:type="pct"/>
                  <w:shd w:val="clear" w:color="auto" w:fill="auto"/>
                  <w:vAlign w:val="center"/>
                </w:tcPr>
                <w:p w14:paraId="205C9F50">
                  <w:pPr>
                    <w:widowControl w:val="0"/>
                    <w:overflowPunct w:val="0"/>
                    <w:autoSpaceDE w:val="0"/>
                    <w:autoSpaceDN w:val="0"/>
                    <w:snapToGrid w:val="0"/>
                    <w:jc w:val="center"/>
                    <w:rPr>
                      <w:color w:val="auto"/>
                    </w:rPr>
                  </w:pPr>
                  <w:r>
                    <w:rPr>
                      <w:color w:val="auto"/>
                    </w:rPr>
                    <w:t>昼间</w:t>
                  </w:r>
                </w:p>
              </w:tc>
              <w:tc>
                <w:tcPr>
                  <w:tcW w:w="801" w:type="pct"/>
                  <w:shd w:val="clear" w:color="auto" w:fill="auto"/>
                  <w:vAlign w:val="center"/>
                </w:tcPr>
                <w:p w14:paraId="1C587E8E">
                  <w:pPr>
                    <w:widowControl w:val="0"/>
                    <w:overflowPunct w:val="0"/>
                    <w:autoSpaceDE w:val="0"/>
                    <w:autoSpaceDN w:val="0"/>
                    <w:snapToGrid w:val="0"/>
                    <w:jc w:val="center"/>
                    <w:rPr>
                      <w:color w:val="auto"/>
                    </w:rPr>
                  </w:pPr>
                  <w:r>
                    <w:rPr>
                      <w:rFonts w:hint="eastAsia"/>
                      <w:color w:val="auto"/>
                    </w:rPr>
                    <w:t>70</w:t>
                  </w:r>
                </w:p>
              </w:tc>
              <w:tc>
                <w:tcPr>
                  <w:tcW w:w="2229" w:type="pct"/>
                  <w:vMerge w:val="restart"/>
                  <w:shd w:val="clear" w:color="auto" w:fill="auto"/>
                  <w:vAlign w:val="center"/>
                </w:tcPr>
                <w:p w14:paraId="09FBD3CC">
                  <w:pPr>
                    <w:widowControl w:val="0"/>
                    <w:overflowPunct w:val="0"/>
                    <w:autoSpaceDE w:val="0"/>
                    <w:autoSpaceDN w:val="0"/>
                    <w:snapToGrid w:val="0"/>
                    <w:jc w:val="center"/>
                    <w:rPr>
                      <w:snapToGrid w:val="0"/>
                      <w:color w:val="auto"/>
                    </w:rPr>
                  </w:pPr>
                  <w:r>
                    <w:rPr>
                      <w:rFonts w:hint="eastAsia"/>
                      <w:snapToGrid w:val="0"/>
                      <w:color w:val="auto"/>
                    </w:rPr>
                    <w:t>《建筑施工场界环境噪声排放标准》（GB12523-2011）中表1</w:t>
                  </w:r>
                </w:p>
              </w:tc>
            </w:tr>
            <w:tr w14:paraId="4179D2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0" w:type="pct"/>
                  <w:vMerge w:val="continue"/>
                  <w:shd w:val="clear" w:color="auto" w:fill="auto"/>
                  <w:vAlign w:val="center"/>
                </w:tcPr>
                <w:p w14:paraId="15BB5B1B">
                  <w:pPr>
                    <w:widowControl w:val="0"/>
                    <w:overflowPunct w:val="0"/>
                    <w:autoSpaceDE w:val="0"/>
                    <w:autoSpaceDN w:val="0"/>
                    <w:snapToGrid w:val="0"/>
                    <w:jc w:val="center"/>
                    <w:rPr>
                      <w:snapToGrid w:val="0"/>
                      <w:color w:val="auto"/>
                    </w:rPr>
                  </w:pPr>
                </w:p>
              </w:tc>
              <w:tc>
                <w:tcPr>
                  <w:tcW w:w="445" w:type="pct"/>
                  <w:vMerge w:val="continue"/>
                  <w:shd w:val="clear" w:color="auto" w:fill="auto"/>
                  <w:vAlign w:val="center"/>
                </w:tcPr>
                <w:p w14:paraId="4FA2D39B">
                  <w:pPr>
                    <w:widowControl w:val="0"/>
                    <w:overflowPunct w:val="0"/>
                    <w:autoSpaceDE w:val="0"/>
                    <w:autoSpaceDN w:val="0"/>
                    <w:snapToGrid w:val="0"/>
                    <w:jc w:val="center"/>
                    <w:rPr>
                      <w:color w:val="auto"/>
                    </w:rPr>
                  </w:pPr>
                </w:p>
              </w:tc>
              <w:tc>
                <w:tcPr>
                  <w:tcW w:w="445" w:type="pct"/>
                  <w:shd w:val="clear" w:color="auto" w:fill="auto"/>
                  <w:vAlign w:val="center"/>
                </w:tcPr>
                <w:p w14:paraId="349CAF03">
                  <w:pPr>
                    <w:widowControl w:val="0"/>
                    <w:overflowPunct w:val="0"/>
                    <w:autoSpaceDE w:val="0"/>
                    <w:autoSpaceDN w:val="0"/>
                    <w:snapToGrid w:val="0"/>
                    <w:jc w:val="center"/>
                    <w:rPr>
                      <w:color w:val="auto"/>
                    </w:rPr>
                  </w:pPr>
                  <w:r>
                    <w:rPr>
                      <w:color w:val="auto"/>
                    </w:rPr>
                    <w:t>夜间</w:t>
                  </w:r>
                </w:p>
              </w:tc>
              <w:tc>
                <w:tcPr>
                  <w:tcW w:w="801" w:type="pct"/>
                  <w:shd w:val="clear" w:color="auto" w:fill="auto"/>
                  <w:vAlign w:val="center"/>
                </w:tcPr>
                <w:p w14:paraId="79F2C76D">
                  <w:pPr>
                    <w:widowControl w:val="0"/>
                    <w:overflowPunct w:val="0"/>
                    <w:autoSpaceDE w:val="0"/>
                    <w:autoSpaceDN w:val="0"/>
                    <w:snapToGrid w:val="0"/>
                    <w:jc w:val="center"/>
                    <w:rPr>
                      <w:color w:val="auto"/>
                    </w:rPr>
                  </w:pPr>
                  <w:r>
                    <w:rPr>
                      <w:rFonts w:hint="eastAsia"/>
                      <w:color w:val="auto"/>
                    </w:rPr>
                    <w:t>55</w:t>
                  </w:r>
                </w:p>
              </w:tc>
              <w:tc>
                <w:tcPr>
                  <w:tcW w:w="2229" w:type="pct"/>
                  <w:vMerge w:val="continue"/>
                  <w:shd w:val="clear" w:color="auto" w:fill="auto"/>
                  <w:vAlign w:val="center"/>
                </w:tcPr>
                <w:p w14:paraId="71D9896B">
                  <w:pPr>
                    <w:widowControl w:val="0"/>
                    <w:overflowPunct w:val="0"/>
                    <w:autoSpaceDE w:val="0"/>
                    <w:autoSpaceDN w:val="0"/>
                    <w:snapToGrid w:val="0"/>
                    <w:jc w:val="center"/>
                    <w:rPr>
                      <w:snapToGrid w:val="0"/>
                      <w:color w:val="auto"/>
                    </w:rPr>
                  </w:pPr>
                </w:p>
              </w:tc>
            </w:tr>
            <w:tr w14:paraId="63E284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0" w:type="pct"/>
                  <w:vMerge w:val="restart"/>
                  <w:shd w:val="clear" w:color="auto" w:fill="auto"/>
                  <w:vAlign w:val="center"/>
                </w:tcPr>
                <w:p w14:paraId="798FF8E3">
                  <w:pPr>
                    <w:widowControl w:val="0"/>
                    <w:overflowPunct w:val="0"/>
                    <w:autoSpaceDE w:val="0"/>
                    <w:autoSpaceDN w:val="0"/>
                    <w:snapToGrid w:val="0"/>
                    <w:jc w:val="center"/>
                    <w:rPr>
                      <w:snapToGrid w:val="0"/>
                      <w:color w:val="auto"/>
                    </w:rPr>
                  </w:pPr>
                  <w:r>
                    <w:rPr>
                      <w:rFonts w:hint="eastAsia"/>
                      <w:snapToGrid w:val="0"/>
                      <w:color w:val="auto"/>
                    </w:rPr>
                    <w:t>运营期</w:t>
                  </w:r>
                  <w:r>
                    <w:rPr>
                      <w:snapToGrid w:val="0"/>
                      <w:color w:val="auto"/>
                    </w:rPr>
                    <w:t>厂界噪声</w:t>
                  </w:r>
                </w:p>
              </w:tc>
              <w:tc>
                <w:tcPr>
                  <w:tcW w:w="445" w:type="pct"/>
                  <w:vMerge w:val="restart"/>
                  <w:shd w:val="clear" w:color="auto" w:fill="auto"/>
                  <w:vAlign w:val="center"/>
                </w:tcPr>
                <w:p w14:paraId="234C121B">
                  <w:pPr>
                    <w:widowControl w:val="0"/>
                    <w:overflowPunct w:val="0"/>
                    <w:autoSpaceDE w:val="0"/>
                    <w:autoSpaceDN w:val="0"/>
                    <w:snapToGrid w:val="0"/>
                    <w:jc w:val="center"/>
                    <w:rPr>
                      <w:color w:val="auto"/>
                    </w:rPr>
                  </w:pPr>
                  <w:r>
                    <w:rPr>
                      <w:color w:val="auto"/>
                    </w:rPr>
                    <w:t>等效A声级</w:t>
                  </w:r>
                </w:p>
              </w:tc>
              <w:tc>
                <w:tcPr>
                  <w:tcW w:w="445" w:type="pct"/>
                  <w:shd w:val="clear" w:color="auto" w:fill="auto"/>
                  <w:vAlign w:val="center"/>
                </w:tcPr>
                <w:p w14:paraId="385F502E">
                  <w:pPr>
                    <w:widowControl w:val="0"/>
                    <w:overflowPunct w:val="0"/>
                    <w:autoSpaceDE w:val="0"/>
                    <w:autoSpaceDN w:val="0"/>
                    <w:snapToGrid w:val="0"/>
                    <w:jc w:val="center"/>
                    <w:rPr>
                      <w:snapToGrid w:val="0"/>
                      <w:color w:val="auto"/>
                    </w:rPr>
                  </w:pPr>
                  <w:r>
                    <w:rPr>
                      <w:color w:val="auto"/>
                    </w:rPr>
                    <w:t>昼间</w:t>
                  </w:r>
                </w:p>
              </w:tc>
              <w:tc>
                <w:tcPr>
                  <w:tcW w:w="801" w:type="pct"/>
                  <w:shd w:val="clear" w:color="auto" w:fill="auto"/>
                  <w:vAlign w:val="center"/>
                </w:tcPr>
                <w:p w14:paraId="3B93BB4B">
                  <w:pPr>
                    <w:widowControl w:val="0"/>
                    <w:overflowPunct w:val="0"/>
                    <w:autoSpaceDE w:val="0"/>
                    <w:autoSpaceDN w:val="0"/>
                    <w:snapToGrid w:val="0"/>
                    <w:jc w:val="center"/>
                    <w:rPr>
                      <w:snapToGrid w:val="0"/>
                      <w:color w:val="auto"/>
                    </w:rPr>
                  </w:pPr>
                  <w:r>
                    <w:rPr>
                      <w:rFonts w:hint="eastAsia"/>
                      <w:color w:val="auto"/>
                    </w:rPr>
                    <w:t>65</w:t>
                  </w:r>
                  <w:r>
                    <w:rPr>
                      <w:color w:val="auto"/>
                    </w:rPr>
                    <w:t>dB（A）</w:t>
                  </w:r>
                </w:p>
              </w:tc>
              <w:tc>
                <w:tcPr>
                  <w:tcW w:w="2229" w:type="pct"/>
                  <w:vMerge w:val="restart"/>
                  <w:shd w:val="clear" w:color="auto" w:fill="auto"/>
                  <w:vAlign w:val="center"/>
                </w:tcPr>
                <w:p w14:paraId="2D850A22">
                  <w:pPr>
                    <w:widowControl w:val="0"/>
                    <w:overflowPunct w:val="0"/>
                    <w:autoSpaceDE w:val="0"/>
                    <w:autoSpaceDN w:val="0"/>
                    <w:snapToGrid w:val="0"/>
                    <w:jc w:val="center"/>
                    <w:rPr>
                      <w:snapToGrid w:val="0"/>
                      <w:color w:val="auto"/>
                    </w:rPr>
                  </w:pPr>
                  <w:r>
                    <w:rPr>
                      <w:snapToGrid w:val="0"/>
                      <w:color w:val="auto"/>
                    </w:rPr>
                    <w:t>《工业企业厂界环境噪声排放标准》（GB12348-2008）</w:t>
                  </w:r>
                  <w:r>
                    <w:rPr>
                      <w:rFonts w:hint="eastAsia"/>
                      <w:snapToGrid w:val="0"/>
                      <w:color w:val="auto"/>
                    </w:rPr>
                    <w:t>3</w:t>
                  </w:r>
                  <w:r>
                    <w:rPr>
                      <w:snapToGrid w:val="0"/>
                      <w:color w:val="auto"/>
                    </w:rPr>
                    <w:t>类标准</w:t>
                  </w:r>
                </w:p>
              </w:tc>
            </w:tr>
            <w:tr w14:paraId="0908F1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80" w:type="pct"/>
                  <w:vMerge w:val="continue"/>
                  <w:shd w:val="clear" w:color="auto" w:fill="auto"/>
                  <w:vAlign w:val="center"/>
                </w:tcPr>
                <w:p w14:paraId="0408E83F">
                  <w:pPr>
                    <w:widowControl w:val="0"/>
                    <w:overflowPunct w:val="0"/>
                    <w:autoSpaceDE w:val="0"/>
                    <w:autoSpaceDN w:val="0"/>
                    <w:snapToGrid w:val="0"/>
                    <w:jc w:val="center"/>
                    <w:rPr>
                      <w:snapToGrid w:val="0"/>
                      <w:color w:val="auto"/>
                    </w:rPr>
                  </w:pPr>
                </w:p>
              </w:tc>
              <w:tc>
                <w:tcPr>
                  <w:tcW w:w="445" w:type="pct"/>
                  <w:vMerge w:val="continue"/>
                  <w:shd w:val="clear" w:color="auto" w:fill="auto"/>
                  <w:vAlign w:val="center"/>
                </w:tcPr>
                <w:p w14:paraId="64C274FA">
                  <w:pPr>
                    <w:widowControl w:val="0"/>
                    <w:overflowPunct w:val="0"/>
                    <w:autoSpaceDE w:val="0"/>
                    <w:autoSpaceDN w:val="0"/>
                    <w:snapToGrid w:val="0"/>
                    <w:jc w:val="center"/>
                    <w:rPr>
                      <w:color w:val="auto"/>
                    </w:rPr>
                  </w:pPr>
                </w:p>
              </w:tc>
              <w:tc>
                <w:tcPr>
                  <w:tcW w:w="445" w:type="pct"/>
                  <w:shd w:val="clear" w:color="auto" w:fill="auto"/>
                  <w:vAlign w:val="center"/>
                </w:tcPr>
                <w:p w14:paraId="130E8E96">
                  <w:pPr>
                    <w:widowControl w:val="0"/>
                    <w:overflowPunct w:val="0"/>
                    <w:autoSpaceDE w:val="0"/>
                    <w:autoSpaceDN w:val="0"/>
                    <w:snapToGrid w:val="0"/>
                    <w:jc w:val="center"/>
                    <w:rPr>
                      <w:snapToGrid w:val="0"/>
                      <w:color w:val="auto"/>
                    </w:rPr>
                  </w:pPr>
                  <w:r>
                    <w:rPr>
                      <w:color w:val="auto"/>
                    </w:rPr>
                    <w:t>夜间</w:t>
                  </w:r>
                </w:p>
              </w:tc>
              <w:tc>
                <w:tcPr>
                  <w:tcW w:w="801" w:type="pct"/>
                  <w:shd w:val="clear" w:color="auto" w:fill="auto"/>
                  <w:vAlign w:val="center"/>
                </w:tcPr>
                <w:p w14:paraId="3080DC52">
                  <w:pPr>
                    <w:widowControl w:val="0"/>
                    <w:overflowPunct w:val="0"/>
                    <w:autoSpaceDE w:val="0"/>
                    <w:autoSpaceDN w:val="0"/>
                    <w:snapToGrid w:val="0"/>
                    <w:jc w:val="center"/>
                    <w:rPr>
                      <w:snapToGrid w:val="0"/>
                      <w:color w:val="auto"/>
                    </w:rPr>
                  </w:pPr>
                  <w:r>
                    <w:rPr>
                      <w:rFonts w:hint="eastAsia"/>
                      <w:color w:val="auto"/>
                    </w:rPr>
                    <w:t>55</w:t>
                  </w:r>
                  <w:r>
                    <w:rPr>
                      <w:color w:val="auto"/>
                    </w:rPr>
                    <w:t>dB（A）</w:t>
                  </w:r>
                </w:p>
              </w:tc>
              <w:tc>
                <w:tcPr>
                  <w:tcW w:w="2229" w:type="pct"/>
                  <w:vMerge w:val="continue"/>
                  <w:shd w:val="clear" w:color="auto" w:fill="auto"/>
                  <w:vAlign w:val="center"/>
                </w:tcPr>
                <w:p w14:paraId="5A9108BC">
                  <w:pPr>
                    <w:widowControl w:val="0"/>
                    <w:overflowPunct w:val="0"/>
                    <w:autoSpaceDE w:val="0"/>
                    <w:autoSpaceDN w:val="0"/>
                    <w:snapToGrid w:val="0"/>
                    <w:jc w:val="center"/>
                    <w:rPr>
                      <w:snapToGrid w:val="0"/>
                      <w:color w:val="auto"/>
                    </w:rPr>
                  </w:pPr>
                </w:p>
              </w:tc>
            </w:tr>
          </w:tbl>
          <w:p w14:paraId="3714A158">
            <w:pPr>
              <w:pStyle w:val="7"/>
              <w:rPr>
                <w:color w:val="auto"/>
              </w:rPr>
            </w:pPr>
            <w:r>
              <w:rPr>
                <w:rFonts w:hint="eastAsia"/>
                <w:color w:val="auto"/>
              </w:rPr>
              <w:t>4、固体废物污染控制标准</w:t>
            </w:r>
          </w:p>
          <w:p w14:paraId="2D7E7F17">
            <w:pPr>
              <w:pStyle w:val="3"/>
              <w:ind w:firstLine="480"/>
              <w:rPr>
                <w:color w:val="auto"/>
              </w:rPr>
            </w:pPr>
            <w:r>
              <w:rPr>
                <w:rFonts w:hint="eastAsia"/>
                <w:color w:val="auto"/>
              </w:rPr>
              <w:t>项目一般工业固体废物其贮存过程应满足相应防渗漏、防雨淋、防扬尘等环境保护要求。危险废物按《危险废物贮存污染控制标准》（GB18597-2023）要求处置，转移执行《危险废物转移管理办法》。</w:t>
            </w:r>
          </w:p>
        </w:tc>
      </w:tr>
      <w:tr w14:paraId="5E212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40" w:type="pct"/>
            <w:vAlign w:val="center"/>
          </w:tcPr>
          <w:p w14:paraId="38CF9DAA">
            <w:pPr>
              <w:snapToGrid w:val="0"/>
              <w:jc w:val="center"/>
              <w:rPr>
                <w:rFonts w:cs="宋体"/>
                <w:color w:val="auto"/>
                <w:sz w:val="24"/>
              </w:rPr>
            </w:pPr>
            <w:r>
              <w:rPr>
                <w:rFonts w:hint="eastAsia" w:cs="宋体"/>
                <w:color w:val="auto"/>
                <w:sz w:val="24"/>
              </w:rPr>
              <w:t>总量</w:t>
            </w:r>
          </w:p>
          <w:p w14:paraId="0FE050C3">
            <w:pPr>
              <w:snapToGrid w:val="0"/>
              <w:jc w:val="center"/>
              <w:rPr>
                <w:rFonts w:cs="宋体"/>
                <w:color w:val="auto"/>
                <w:sz w:val="24"/>
              </w:rPr>
            </w:pPr>
            <w:r>
              <w:rPr>
                <w:rFonts w:hint="eastAsia" w:cs="宋体"/>
                <w:color w:val="auto"/>
                <w:sz w:val="24"/>
              </w:rPr>
              <w:t>控制</w:t>
            </w:r>
          </w:p>
          <w:p w14:paraId="2B86FFB0">
            <w:pPr>
              <w:snapToGrid w:val="0"/>
              <w:jc w:val="center"/>
              <w:rPr>
                <w:rFonts w:cs="宋体"/>
                <w:color w:val="auto"/>
                <w:sz w:val="24"/>
              </w:rPr>
            </w:pPr>
            <w:r>
              <w:rPr>
                <w:rFonts w:hint="eastAsia" w:cs="宋体"/>
                <w:color w:val="auto"/>
                <w:sz w:val="24"/>
              </w:rPr>
              <w:t>指标</w:t>
            </w:r>
          </w:p>
        </w:tc>
        <w:tc>
          <w:tcPr>
            <w:tcW w:w="4560" w:type="pct"/>
            <w:vAlign w:val="center"/>
          </w:tcPr>
          <w:p w14:paraId="2193BD02">
            <w:pPr>
              <w:pStyle w:val="3"/>
              <w:ind w:firstLine="480"/>
              <w:rPr>
                <w:color w:val="auto"/>
              </w:rPr>
            </w:pPr>
            <w:r>
              <w:rPr>
                <w:rFonts w:hint="eastAsia"/>
                <w:color w:val="auto"/>
              </w:rPr>
              <w:t>一、废气</w:t>
            </w:r>
          </w:p>
          <w:p w14:paraId="446414A0">
            <w:pPr>
              <w:pStyle w:val="3"/>
              <w:ind w:firstLine="480"/>
              <w:rPr>
                <w:color w:val="auto"/>
              </w:rPr>
            </w:pPr>
            <w:r>
              <w:rPr>
                <w:rFonts w:hint="eastAsia"/>
                <w:color w:val="auto"/>
              </w:rPr>
              <w:t>本项目不涉及废气总量控制指标。</w:t>
            </w:r>
          </w:p>
          <w:p w14:paraId="34F23057">
            <w:pPr>
              <w:pStyle w:val="3"/>
              <w:ind w:firstLine="480"/>
              <w:rPr>
                <w:color w:val="auto"/>
              </w:rPr>
            </w:pPr>
            <w:r>
              <w:rPr>
                <w:rFonts w:hint="eastAsia"/>
                <w:color w:val="auto"/>
              </w:rPr>
              <w:t>二、废水</w:t>
            </w:r>
          </w:p>
          <w:p w14:paraId="24795792">
            <w:pPr>
              <w:pStyle w:val="3"/>
              <w:ind w:firstLine="480"/>
              <w:rPr>
                <w:color w:val="auto"/>
              </w:rPr>
            </w:pPr>
            <w:r>
              <w:rPr>
                <w:rFonts w:hint="eastAsia"/>
                <w:color w:val="auto"/>
              </w:rPr>
              <w:t>本项目无生产废水。项目生活污水排入</w:t>
            </w:r>
            <w:r>
              <w:rPr>
                <w:rFonts w:hint="eastAsia"/>
                <w:b/>
                <w:bCs/>
                <w:color w:val="auto"/>
              </w:rPr>
              <w:t>地埋式一体化污水处理设施</w:t>
            </w:r>
            <w:r>
              <w:rPr>
                <w:rFonts w:hint="eastAsia"/>
                <w:color w:val="auto"/>
              </w:rPr>
              <w:t>预处理后定期清运至鄯善县污水处理厂，不涉及废水总量控制指标。</w:t>
            </w:r>
          </w:p>
        </w:tc>
      </w:tr>
    </w:tbl>
    <w:p w14:paraId="7025C34F">
      <w:pPr>
        <w:pStyle w:val="2"/>
        <w:rPr>
          <w:snapToGrid w:val="0"/>
          <w:color w:val="auto"/>
        </w:rPr>
      </w:pPr>
      <w:r>
        <w:rPr>
          <w:rFonts w:hint="eastAsia"/>
          <w:snapToGrid w:val="0"/>
          <w:color w:val="auto"/>
        </w:rPr>
        <w:t>主要环境影响和保护措施</w:t>
      </w:r>
      <w:bookmarkEnd w:id="25"/>
      <w:bookmarkEnd w:id="26"/>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99"/>
        <w:gridCol w:w="8126"/>
      </w:tblGrid>
      <w:tr w14:paraId="10BC3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749" w:hRule="atLeast"/>
          <w:jc w:val="center"/>
        </w:trPr>
        <w:tc>
          <w:tcPr>
            <w:tcW w:w="699" w:type="dxa"/>
            <w:tcMar>
              <w:left w:w="28" w:type="dxa"/>
              <w:right w:w="28" w:type="dxa"/>
            </w:tcMar>
            <w:vAlign w:val="center"/>
          </w:tcPr>
          <w:p w14:paraId="0BD7FB30">
            <w:pPr>
              <w:pStyle w:val="67"/>
              <w:rPr>
                <w:rFonts w:hint="eastAsia"/>
                <w:color w:val="auto"/>
              </w:rPr>
            </w:pPr>
            <w:bookmarkStart w:id="30" w:name="_Toc175609275"/>
            <w:r>
              <w:rPr>
                <w:rFonts w:hint="eastAsia"/>
                <w:color w:val="auto"/>
              </w:rPr>
              <w:t>施工期环境保护措施</w:t>
            </w:r>
            <w:bookmarkEnd w:id="30"/>
          </w:p>
        </w:tc>
        <w:tc>
          <w:tcPr>
            <w:tcW w:w="8126" w:type="dxa"/>
            <w:vAlign w:val="center"/>
          </w:tcPr>
          <w:p w14:paraId="42A43B87">
            <w:pPr>
              <w:pStyle w:val="3"/>
              <w:ind w:firstLine="480"/>
              <w:rPr>
                <w:color w:val="auto"/>
              </w:rPr>
            </w:pPr>
            <w:r>
              <w:rPr>
                <w:rFonts w:hint="eastAsia"/>
                <w:color w:val="auto"/>
              </w:rPr>
              <w:t>一、大气环境保护措施</w:t>
            </w:r>
          </w:p>
          <w:p w14:paraId="318C927F">
            <w:pPr>
              <w:pStyle w:val="3"/>
              <w:ind w:firstLine="480"/>
              <w:rPr>
                <w:color w:val="auto"/>
              </w:rPr>
            </w:pPr>
            <w:r>
              <w:rPr>
                <w:rFonts w:hint="eastAsia"/>
                <w:color w:val="auto"/>
              </w:rPr>
              <w:t>本项目施工期大气污染物主要是施工扬尘和施工设备及车辆排放尾气。</w:t>
            </w:r>
          </w:p>
          <w:p w14:paraId="78DCCD8D">
            <w:pPr>
              <w:pStyle w:val="3"/>
              <w:ind w:firstLine="480"/>
              <w:rPr>
                <w:color w:val="auto"/>
              </w:rPr>
            </w:pPr>
            <w:r>
              <w:rPr>
                <w:rFonts w:hint="eastAsia"/>
                <w:color w:val="auto"/>
              </w:rPr>
              <w:t>针对施工扬尘，拟采取污染防治措施如下：</w:t>
            </w:r>
          </w:p>
          <w:p w14:paraId="49C69C00">
            <w:pPr>
              <w:pStyle w:val="3"/>
              <w:ind w:firstLine="480"/>
              <w:rPr>
                <w:color w:val="auto"/>
              </w:rPr>
            </w:pPr>
            <w:r>
              <w:rPr>
                <w:rFonts w:hint="eastAsia"/>
                <w:color w:val="auto"/>
              </w:rPr>
              <w:t>（1）建设单位应指定专人负责施工现场扬尘污染措施的实施和监督，所有施工场地出入口必须设立环境保护监督牌，需注明项目名称、建设单位、施工单位、防治扬尘污染现场监督员姓名和联系电话、项目工期、环保措施、举报电话等内容。</w:t>
            </w:r>
          </w:p>
          <w:p w14:paraId="635B768D">
            <w:pPr>
              <w:pStyle w:val="3"/>
              <w:ind w:firstLine="480"/>
              <w:rPr>
                <w:color w:val="auto"/>
              </w:rPr>
            </w:pPr>
            <w:r>
              <w:rPr>
                <w:rFonts w:hint="eastAsia"/>
                <w:color w:val="auto"/>
              </w:rPr>
              <w:t>（2）施工场地周边设围挡，严禁敞开式作业。围挡地段应设置防溢座，围挡之间以及围挡与防溢之间无缝隙，对围挡落尘应当定期进行清理。</w:t>
            </w:r>
          </w:p>
          <w:p w14:paraId="46DFF529">
            <w:pPr>
              <w:pStyle w:val="3"/>
              <w:ind w:firstLine="480"/>
              <w:rPr>
                <w:color w:val="auto"/>
              </w:rPr>
            </w:pPr>
            <w:r>
              <w:rPr>
                <w:rFonts w:hint="eastAsia"/>
                <w:color w:val="auto"/>
              </w:rPr>
              <w:t>（3）物料堆放百分百覆盖，出入车辆百分之百冲洗。</w:t>
            </w:r>
          </w:p>
          <w:p w14:paraId="18CCFBFD">
            <w:pPr>
              <w:pStyle w:val="3"/>
              <w:ind w:firstLine="480"/>
              <w:rPr>
                <w:color w:val="auto"/>
              </w:rPr>
            </w:pPr>
            <w:r>
              <w:rPr>
                <w:rFonts w:hint="eastAsia"/>
                <w:color w:val="auto"/>
              </w:rPr>
              <w:t>（4）施工现场地面硬化。施工现场主要道路建议铺设混凝土路面，场地内其它地面应进行绿化或硬化处理，并辅以洒水等降尘措施。</w:t>
            </w:r>
          </w:p>
          <w:p w14:paraId="0AEBE770">
            <w:pPr>
              <w:pStyle w:val="3"/>
              <w:ind w:firstLine="480"/>
              <w:rPr>
                <w:color w:val="auto"/>
              </w:rPr>
            </w:pPr>
            <w:r>
              <w:rPr>
                <w:rFonts w:hint="eastAsia"/>
                <w:color w:val="auto"/>
              </w:rPr>
              <w:t>（5）工程项目竣工后，施工单位必须平整施工场地，并清除积土、堆物。</w:t>
            </w:r>
          </w:p>
          <w:p w14:paraId="171A74F4">
            <w:pPr>
              <w:pStyle w:val="3"/>
              <w:ind w:firstLine="480"/>
              <w:rPr>
                <w:color w:val="auto"/>
              </w:rPr>
            </w:pPr>
            <w:r>
              <w:rPr>
                <w:rFonts w:hint="eastAsia"/>
                <w:color w:val="auto"/>
              </w:rPr>
              <w:t>（6）出现五级以上大风天气时，禁止进行土方等易产生扬尘的施工作业。</w:t>
            </w:r>
          </w:p>
          <w:p w14:paraId="6D057022">
            <w:pPr>
              <w:pStyle w:val="3"/>
              <w:ind w:firstLine="480"/>
              <w:rPr>
                <w:color w:val="auto"/>
              </w:rPr>
            </w:pPr>
            <w:r>
              <w:rPr>
                <w:rFonts w:hint="eastAsia"/>
                <w:color w:val="auto"/>
              </w:rPr>
              <w:t>针对施工设备及车辆排放的尾气，拟采取污染防治措施如下：</w:t>
            </w:r>
          </w:p>
          <w:p w14:paraId="04ABAABD">
            <w:pPr>
              <w:pStyle w:val="3"/>
              <w:ind w:firstLine="480"/>
              <w:rPr>
                <w:color w:val="auto"/>
              </w:rPr>
            </w:pPr>
            <w:r>
              <w:rPr>
                <w:rFonts w:hint="eastAsia"/>
                <w:color w:val="auto"/>
              </w:rPr>
              <w:t>（1）使用符合国家标准的工程车辆及施工机械。</w:t>
            </w:r>
          </w:p>
          <w:p w14:paraId="48C1B4CE">
            <w:pPr>
              <w:pStyle w:val="3"/>
              <w:ind w:firstLine="480"/>
              <w:rPr>
                <w:color w:val="auto"/>
              </w:rPr>
            </w:pPr>
            <w:r>
              <w:rPr>
                <w:rFonts w:hint="eastAsia"/>
                <w:color w:val="auto"/>
              </w:rPr>
              <w:t>（2）定期对机械设备及车辆进行维修、保养。</w:t>
            </w:r>
          </w:p>
          <w:p w14:paraId="4A4219C1">
            <w:pPr>
              <w:pStyle w:val="3"/>
              <w:ind w:firstLine="480"/>
              <w:rPr>
                <w:color w:val="auto"/>
              </w:rPr>
            </w:pPr>
            <w:r>
              <w:rPr>
                <w:rFonts w:hint="eastAsia"/>
                <w:color w:val="auto"/>
              </w:rPr>
              <w:t>本项目施工期车辆及设备数量少，尾气排放量小，影响范围小，加之在施工阶段中，场地开阔，大气扩散条件比较好，故对区域大气环境影响不大。</w:t>
            </w:r>
          </w:p>
          <w:p w14:paraId="64E2CF90">
            <w:pPr>
              <w:pStyle w:val="3"/>
              <w:ind w:firstLine="480"/>
              <w:rPr>
                <w:color w:val="auto"/>
              </w:rPr>
            </w:pPr>
            <w:r>
              <w:rPr>
                <w:rFonts w:hint="eastAsia"/>
                <w:color w:val="auto"/>
              </w:rPr>
              <w:t>在采取上述废气污染防治措施后，施工期对区域环境空气影响较小。</w:t>
            </w:r>
          </w:p>
          <w:p w14:paraId="6C41A7F8">
            <w:pPr>
              <w:pStyle w:val="3"/>
              <w:ind w:firstLine="480"/>
              <w:rPr>
                <w:color w:val="auto"/>
              </w:rPr>
            </w:pPr>
            <w:r>
              <w:rPr>
                <w:rFonts w:hint="eastAsia"/>
                <w:color w:val="auto"/>
              </w:rPr>
              <w:t>二、水环境保护措施</w:t>
            </w:r>
          </w:p>
          <w:p w14:paraId="2DD5BB13">
            <w:pPr>
              <w:pStyle w:val="3"/>
              <w:ind w:firstLine="480"/>
              <w:rPr>
                <w:color w:val="auto"/>
              </w:rPr>
            </w:pPr>
            <w:r>
              <w:rPr>
                <w:rFonts w:hint="eastAsia"/>
                <w:color w:val="auto"/>
              </w:rPr>
              <w:t>（1）拟在施工现场设置临时沉淀池，收集施工中排放的各类施工废水，经沉淀处理后作为施工用水重复使用或用于场地洒水抑尘，不外排。</w:t>
            </w:r>
          </w:p>
          <w:p w14:paraId="7B76839E">
            <w:pPr>
              <w:pStyle w:val="3"/>
              <w:ind w:firstLine="480"/>
              <w:rPr>
                <w:color w:val="auto"/>
              </w:rPr>
            </w:pPr>
            <w:r>
              <w:rPr>
                <w:rFonts w:hint="eastAsia"/>
                <w:color w:val="auto"/>
              </w:rPr>
              <w:t>（2）施工人员少量生活污水排入厂区内现有污水收集池暂存，定期由吸污车清运至鄯善县污水处理厂。</w:t>
            </w:r>
          </w:p>
          <w:p w14:paraId="0CA43BB0">
            <w:pPr>
              <w:pStyle w:val="3"/>
              <w:ind w:firstLine="480"/>
              <w:rPr>
                <w:color w:val="auto"/>
              </w:rPr>
            </w:pPr>
            <w:r>
              <w:rPr>
                <w:rFonts w:hint="eastAsia"/>
                <w:color w:val="auto"/>
              </w:rPr>
              <w:t>经上述污染控制措施后，可将施工期废水影响降至最低程度，措施可行。</w:t>
            </w:r>
          </w:p>
          <w:p w14:paraId="13928903">
            <w:pPr>
              <w:pStyle w:val="3"/>
              <w:ind w:firstLine="480"/>
              <w:rPr>
                <w:color w:val="auto"/>
              </w:rPr>
            </w:pPr>
            <w:r>
              <w:rPr>
                <w:rFonts w:hint="eastAsia"/>
                <w:color w:val="auto"/>
              </w:rPr>
              <w:t>三、声环境保护措施</w:t>
            </w:r>
          </w:p>
          <w:p w14:paraId="779EE2CC">
            <w:pPr>
              <w:pStyle w:val="3"/>
              <w:ind w:firstLine="480"/>
              <w:rPr>
                <w:color w:val="auto"/>
              </w:rPr>
            </w:pPr>
            <w:r>
              <w:rPr>
                <w:rFonts w:hint="eastAsia"/>
                <w:color w:val="auto"/>
              </w:rPr>
              <w:t>本项目施工过程中噪声主要来源于施工机械、车辆等噪声，对周围声环境产生一定的影响，应采取以下噪声污染防治措施：</w:t>
            </w:r>
          </w:p>
          <w:p w14:paraId="256F9A7B">
            <w:pPr>
              <w:pStyle w:val="3"/>
              <w:ind w:firstLine="480"/>
              <w:rPr>
                <w:color w:val="auto"/>
              </w:rPr>
            </w:pPr>
            <w:r>
              <w:rPr>
                <w:rFonts w:hint="eastAsia"/>
                <w:color w:val="auto"/>
              </w:rPr>
              <w:t>（1）施工单位对施工场地应合理布设，在区域边界设施工围挡等设施。</w:t>
            </w:r>
          </w:p>
          <w:p w14:paraId="45862997">
            <w:pPr>
              <w:pStyle w:val="3"/>
              <w:ind w:firstLine="480"/>
              <w:rPr>
                <w:color w:val="auto"/>
              </w:rPr>
            </w:pPr>
            <w:r>
              <w:rPr>
                <w:rFonts w:hint="eastAsia"/>
                <w:color w:val="auto"/>
              </w:rPr>
              <w:t>（2）施工单位应合理安排施工时间，避免长时间使用高噪声设备，使施工期造成的噪声污染降到最低，夜间不安排施工作业。</w:t>
            </w:r>
          </w:p>
          <w:p w14:paraId="46F65594">
            <w:pPr>
              <w:pStyle w:val="3"/>
              <w:ind w:firstLine="480"/>
              <w:rPr>
                <w:color w:val="auto"/>
              </w:rPr>
            </w:pPr>
            <w:r>
              <w:rPr>
                <w:rFonts w:hint="eastAsia"/>
                <w:color w:val="auto"/>
              </w:rPr>
              <w:t>（3）施工设备选型时，在满足施工需要的前提下，尽可能选取噪声低、振动小、能耗小的先进设备。加强施工机械的维护保养，避免由于设备性能差而使机械噪声增大的现象发生。</w:t>
            </w:r>
          </w:p>
          <w:p w14:paraId="733DF2CB">
            <w:pPr>
              <w:pStyle w:val="3"/>
              <w:ind w:firstLine="480"/>
              <w:rPr>
                <w:color w:val="auto"/>
              </w:rPr>
            </w:pPr>
            <w:r>
              <w:rPr>
                <w:rFonts w:hint="eastAsia"/>
                <w:color w:val="auto"/>
              </w:rPr>
              <w:t>（4）场外运输作业安排在白天进行，夜间禁止施工作业及运输。</w:t>
            </w:r>
          </w:p>
          <w:p w14:paraId="2A984265">
            <w:pPr>
              <w:pStyle w:val="3"/>
              <w:ind w:firstLine="480"/>
              <w:rPr>
                <w:color w:val="auto"/>
              </w:rPr>
            </w:pPr>
            <w:r>
              <w:rPr>
                <w:rFonts w:hint="eastAsia"/>
                <w:color w:val="auto"/>
              </w:rPr>
              <w:t>（5）提高施工人员特别是现场施工负责人员的环保意识，施工部门负责人应学习国家相关环保法律、法规，增强环保意识，明确认识噪声对人体的危害。</w:t>
            </w:r>
          </w:p>
          <w:p w14:paraId="2E37DEDB">
            <w:pPr>
              <w:pStyle w:val="3"/>
              <w:ind w:firstLine="480"/>
              <w:rPr>
                <w:color w:val="auto"/>
              </w:rPr>
            </w:pPr>
            <w:r>
              <w:rPr>
                <w:rFonts w:hint="eastAsia"/>
                <w:color w:val="auto"/>
              </w:rPr>
              <w:t>（6）严格按照国家和地方环境保护法律法规的要求，建筑施工场界噪声不得超过《建筑施工场界环境噪声排放标准》（GB12523-2011）中排放限值。</w:t>
            </w:r>
          </w:p>
          <w:p w14:paraId="306D39F2">
            <w:pPr>
              <w:pStyle w:val="3"/>
              <w:ind w:firstLine="480"/>
              <w:rPr>
                <w:color w:val="auto"/>
              </w:rPr>
            </w:pPr>
            <w:r>
              <w:rPr>
                <w:rFonts w:hint="eastAsia"/>
                <w:color w:val="auto"/>
              </w:rPr>
              <w:t>经上述污染控制措施后，可将施工期噪声影响降至最低程度，措施可行。</w:t>
            </w:r>
          </w:p>
          <w:p w14:paraId="6954D034">
            <w:pPr>
              <w:pStyle w:val="3"/>
              <w:ind w:firstLine="480"/>
              <w:rPr>
                <w:color w:val="auto"/>
              </w:rPr>
            </w:pPr>
            <w:r>
              <w:rPr>
                <w:rFonts w:hint="eastAsia"/>
                <w:color w:val="auto"/>
              </w:rPr>
              <w:t>四、固体废物环境保护措施</w:t>
            </w:r>
          </w:p>
          <w:p w14:paraId="75C44C2E">
            <w:pPr>
              <w:pStyle w:val="3"/>
              <w:ind w:firstLine="480"/>
              <w:rPr>
                <w:color w:val="auto"/>
              </w:rPr>
            </w:pPr>
            <w:r>
              <w:rPr>
                <w:rFonts w:hint="eastAsia"/>
                <w:color w:val="auto"/>
              </w:rPr>
              <w:t>本项目施工过程中会产生少量的建筑垃圾和生活垃圾。建设单位和施工单位要重视和加强固体废物的管理，采取积极措施防止对环境的污染。</w:t>
            </w:r>
          </w:p>
          <w:p w14:paraId="06AB7321">
            <w:pPr>
              <w:pStyle w:val="3"/>
              <w:ind w:firstLine="480"/>
              <w:rPr>
                <w:color w:val="auto"/>
              </w:rPr>
            </w:pPr>
            <w:r>
              <w:rPr>
                <w:rFonts w:hint="eastAsia"/>
                <w:color w:val="auto"/>
              </w:rPr>
              <w:t>（1）施工期间产生少量的建筑垃圾进行分类收集，能够回收利用的回收综合利用；不能回收利用的，由建设单位缴纳建筑垃圾处理费，由鄯善县建设局统一负责收集清运处置。</w:t>
            </w:r>
          </w:p>
          <w:p w14:paraId="7A6C7A8C">
            <w:pPr>
              <w:pStyle w:val="3"/>
              <w:ind w:firstLine="480"/>
              <w:rPr>
                <w:color w:val="auto"/>
              </w:rPr>
            </w:pPr>
            <w:r>
              <w:rPr>
                <w:rFonts w:hint="eastAsia"/>
                <w:color w:val="auto"/>
              </w:rPr>
              <w:t>（2）本项目施工场地设置生活垃圾桶，施工人员产生少量生活垃圾集中收集后委托当地环卫部门清运处置。</w:t>
            </w:r>
          </w:p>
          <w:p w14:paraId="2EA64A97">
            <w:pPr>
              <w:pStyle w:val="3"/>
              <w:ind w:firstLine="480"/>
              <w:rPr>
                <w:color w:val="auto"/>
              </w:rPr>
            </w:pPr>
            <w:r>
              <w:rPr>
                <w:rFonts w:hint="eastAsia"/>
                <w:color w:val="auto"/>
              </w:rPr>
              <w:t>通过加强施工期间的卫生管理，严禁乱堆、乱倒垃圾，可以减轻施工期固体废物对环境的影响。只要加强管理，采取切实可行的措施，这些固体废物不会给环境带来较大影响。</w:t>
            </w:r>
          </w:p>
          <w:p w14:paraId="6CFF1457">
            <w:pPr>
              <w:pStyle w:val="3"/>
              <w:ind w:firstLine="480"/>
              <w:rPr>
                <w:color w:val="auto"/>
              </w:rPr>
            </w:pPr>
            <w:r>
              <w:rPr>
                <w:rFonts w:hint="eastAsia"/>
                <w:color w:val="auto"/>
              </w:rPr>
              <w:t>综上，本项目施工期废气、噪声、废水和固体废物将会对环境产生一定的影响。由于施工期持续时间短，施工影响范围小，施工期污染在施工结束后污染源即可消除。只要施工单位做好施工准备工作，文明施工，切实落实本次环评提出的各项污染防治措施，施工期不会对环境产生明显的不利影响。</w:t>
            </w:r>
          </w:p>
        </w:tc>
      </w:tr>
    </w:tbl>
    <w:p w14:paraId="4D0C79F1">
      <w:pPr>
        <w:rPr>
          <w:color w:val="auto"/>
        </w:rPr>
        <w:sectPr>
          <w:pgSz w:w="11907" w:h="16840"/>
          <w:pgMar w:top="1701" w:right="1531" w:bottom="2127" w:left="1531" w:header="851" w:footer="851" w:gutter="0"/>
          <w:cols w:space="720" w:num="1"/>
          <w:docGrid w:linePitch="312" w:charSpace="0"/>
        </w:sect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555"/>
      </w:tblGrid>
      <w:tr w14:paraId="12B0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2FE5DA4B">
            <w:pPr>
              <w:snapToGrid w:val="0"/>
              <w:rPr>
                <w:rFonts w:cs="宋体"/>
                <w:bCs/>
                <w:color w:val="auto"/>
                <w:sz w:val="24"/>
              </w:rPr>
            </w:pPr>
            <w:r>
              <w:rPr>
                <w:rFonts w:hint="eastAsia" w:cs="宋体"/>
                <w:bCs/>
                <w:color w:val="auto"/>
                <w:sz w:val="24"/>
              </w:rPr>
              <w:t>运营期环境影响和保护措施</w:t>
            </w:r>
          </w:p>
        </w:tc>
        <w:tc>
          <w:tcPr>
            <w:tcW w:w="12555" w:type="dxa"/>
            <w:vAlign w:val="center"/>
          </w:tcPr>
          <w:p w14:paraId="1FF43575">
            <w:pPr>
              <w:pStyle w:val="3"/>
              <w:ind w:firstLine="482"/>
              <w:rPr>
                <w:b/>
                <w:bCs/>
                <w:color w:val="auto"/>
              </w:rPr>
            </w:pPr>
            <w:r>
              <w:rPr>
                <w:rFonts w:hint="eastAsia"/>
                <w:b/>
                <w:bCs/>
                <w:color w:val="auto"/>
              </w:rPr>
              <w:t>一、废气</w:t>
            </w:r>
          </w:p>
          <w:p w14:paraId="0D69FE18">
            <w:pPr>
              <w:pStyle w:val="3"/>
              <w:ind w:firstLine="482"/>
              <w:rPr>
                <w:b/>
                <w:bCs/>
                <w:color w:val="auto"/>
              </w:rPr>
            </w:pPr>
            <w:r>
              <w:rPr>
                <w:rFonts w:hint="eastAsia"/>
                <w:b/>
                <w:bCs/>
                <w:color w:val="auto"/>
              </w:rPr>
              <w:t>1、废气污染物产排情况</w:t>
            </w:r>
          </w:p>
          <w:p w14:paraId="0E84895C">
            <w:pPr>
              <w:pStyle w:val="49"/>
              <w:rPr>
                <w:color w:val="auto"/>
              </w:rPr>
            </w:pPr>
            <w:bookmarkStart w:id="31" w:name="_Ref175518954"/>
            <w:bookmarkStart w:id="32" w:name="_Ref176880438"/>
            <w:r>
              <w:rPr>
                <w:rFonts w:hint="eastAsia"/>
                <w:color w:val="auto"/>
              </w:rPr>
              <w:t xml:space="preserve">表4- </w:t>
            </w:r>
            <w:r>
              <w:rPr>
                <w:color w:val="auto"/>
              </w:rPr>
              <w:t>1</w:t>
            </w:r>
            <w:bookmarkEnd w:id="31"/>
            <w:r>
              <w:rPr>
                <w:rFonts w:hint="eastAsia"/>
                <w:color w:val="auto"/>
              </w:rPr>
              <w:t>：废气产生治理排放情况一览表</w:t>
            </w:r>
            <w:bookmarkEnd w:id="32"/>
          </w:p>
          <w:tbl>
            <w:tblPr>
              <w:tblStyle w:val="50"/>
              <w:tblW w:w="123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96"/>
              <w:gridCol w:w="809"/>
              <w:gridCol w:w="992"/>
              <w:gridCol w:w="776"/>
              <w:gridCol w:w="781"/>
              <w:gridCol w:w="778"/>
              <w:gridCol w:w="709"/>
              <w:gridCol w:w="709"/>
              <w:gridCol w:w="709"/>
              <w:gridCol w:w="2618"/>
              <w:gridCol w:w="959"/>
              <w:gridCol w:w="728"/>
              <w:gridCol w:w="728"/>
              <w:gridCol w:w="568"/>
            </w:tblGrid>
            <w:tr w14:paraId="2AD17D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496" w:type="dxa"/>
                  <w:vMerge w:val="restar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4985FCE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default" w:ascii="Times New Roman" w:hAnsi="Times New Roman" w:eastAsia="宋体" w:cs="Times New Roman"/>
                      <w:b/>
                      <w:i w:val="0"/>
                      <w:color w:val="auto"/>
                      <w:sz w:val="18"/>
                      <w:szCs w:val="18"/>
                      <w14:ligatures w14:val="standardContextual"/>
                    </w:rPr>
                    <w:t>产污环节</w:t>
                  </w:r>
                </w:p>
              </w:tc>
              <w:tc>
                <w:tcPr>
                  <w:tcW w:w="809" w:type="dxa"/>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44393A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default" w:ascii="Times New Roman" w:hAnsi="Times New Roman" w:eastAsia="宋体" w:cs="Times New Roman"/>
                      <w:b/>
                      <w:i w:val="0"/>
                      <w:color w:val="auto"/>
                      <w:sz w:val="18"/>
                      <w:szCs w:val="18"/>
                      <w14:ligatures w14:val="standardContextual"/>
                    </w:rPr>
                    <w:t>污染物</w:t>
                  </w:r>
                </w:p>
                <w:p w14:paraId="1F84BC9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default" w:ascii="Times New Roman" w:hAnsi="Times New Roman" w:eastAsia="宋体" w:cs="Times New Roman"/>
                      <w:b/>
                      <w:i w:val="0"/>
                      <w:color w:val="auto"/>
                      <w:sz w:val="18"/>
                      <w:szCs w:val="18"/>
                      <w14:ligatures w14:val="standardContextual"/>
                    </w:rPr>
                    <w:t>种</w:t>
                  </w:r>
                </w:p>
              </w:tc>
              <w:tc>
                <w:tcPr>
                  <w:tcW w:w="1768" w:type="dxa"/>
                  <w:gridSpan w:val="2"/>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244EDC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default" w:ascii="Times New Roman" w:hAnsi="Times New Roman" w:eastAsia="宋体" w:cs="Times New Roman"/>
                      <w:b/>
                      <w:i w:val="0"/>
                      <w:color w:val="auto"/>
                      <w:sz w:val="18"/>
                      <w:szCs w:val="18"/>
                      <w14:ligatures w14:val="standardContextual"/>
                    </w:rPr>
                    <w:t>产生情况</w:t>
                  </w:r>
                </w:p>
              </w:tc>
              <w:tc>
                <w:tcPr>
                  <w:tcW w:w="781" w:type="dxa"/>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9622F0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default" w:ascii="Times New Roman" w:hAnsi="Times New Roman" w:eastAsia="宋体" w:cs="Times New Roman"/>
                      <w:b/>
                      <w:i w:val="0"/>
                      <w:color w:val="auto"/>
                      <w:sz w:val="18"/>
                      <w:szCs w:val="18"/>
                      <w14:ligatures w14:val="standardContextual"/>
                    </w:rPr>
                    <w:t>排放</w:t>
                  </w:r>
                </w:p>
                <w:p w14:paraId="76B3DE0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default" w:ascii="Times New Roman" w:hAnsi="Times New Roman" w:eastAsia="宋体" w:cs="Times New Roman"/>
                      <w:b/>
                      <w:i w:val="0"/>
                      <w:color w:val="auto"/>
                      <w:sz w:val="18"/>
                      <w:szCs w:val="18"/>
                      <w14:ligatures w14:val="standardContextual"/>
                    </w:rPr>
                    <w:t>形式</w:t>
                  </w:r>
                </w:p>
              </w:tc>
              <w:tc>
                <w:tcPr>
                  <w:tcW w:w="5523" w:type="dxa"/>
                  <w:gridSpan w:val="5"/>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D5AEB9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default" w:ascii="Times New Roman" w:hAnsi="Times New Roman" w:eastAsia="宋体" w:cs="Times New Roman"/>
                      <w:b/>
                      <w:i w:val="0"/>
                      <w:color w:val="auto"/>
                      <w:sz w:val="18"/>
                      <w:szCs w:val="18"/>
                      <w14:ligatures w14:val="standardContextual"/>
                    </w:rPr>
                    <w:t>污染治理设施</w:t>
                  </w:r>
                </w:p>
              </w:tc>
              <w:tc>
                <w:tcPr>
                  <w:tcW w:w="1687" w:type="dxa"/>
                  <w:gridSpan w:val="2"/>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40C1F4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default" w:ascii="Times New Roman" w:hAnsi="Times New Roman" w:eastAsia="宋体" w:cs="Times New Roman"/>
                      <w:b/>
                      <w:i w:val="0"/>
                      <w:color w:val="auto"/>
                      <w:sz w:val="18"/>
                      <w:szCs w:val="18"/>
                      <w14:ligatures w14:val="standardContextual"/>
                    </w:rPr>
                    <w:t>排放情况</w:t>
                  </w:r>
                </w:p>
              </w:tc>
              <w:tc>
                <w:tcPr>
                  <w:tcW w:w="1296" w:type="dxa"/>
                  <w:gridSpan w:val="2"/>
                  <w:tcBorders>
                    <w:top w:val="single" w:color="auto" w:sz="12" w:space="0"/>
                    <w:bottom w:val="single" w:color="auto" w:sz="12" w:space="0"/>
                    <w:right w:val="nil"/>
                    <w:insideH w:val="single" w:sz="12" w:space="0"/>
                    <w:insideV w:val="single" w:sz="4" w:space="0"/>
                    <w:tl2br w:val="nil"/>
                    <w:tr2bl w:val="nil"/>
                  </w:tcBorders>
                  <w:vAlign w:val="center"/>
                </w:tcPr>
                <w:p w14:paraId="7A1FA38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default" w:ascii="Times New Roman" w:hAnsi="Times New Roman" w:eastAsia="宋体" w:cs="Times New Roman"/>
                      <w:b/>
                      <w:i w:val="0"/>
                      <w:color w:val="auto"/>
                      <w:sz w:val="18"/>
                      <w:szCs w:val="18"/>
                      <w14:ligatures w14:val="standardContextual"/>
                    </w:rPr>
                    <w:t>排放标准</w:t>
                  </w:r>
                </w:p>
              </w:tc>
            </w:tr>
            <w:tr w14:paraId="457E4B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26" w:hRule="atLeast"/>
                <w:jc w:val="center"/>
              </w:trPr>
              <w:tc>
                <w:tcPr>
                  <w:tcW w:w="496" w:type="dxa"/>
                  <w:vMerge w:val="continue"/>
                  <w:vAlign w:val="center"/>
                </w:tcPr>
                <w:p w14:paraId="41CD98FA">
                  <w:pPr>
                    <w:widowControl w:val="0"/>
                    <w:overflowPunct w:val="0"/>
                    <w:autoSpaceDE w:val="0"/>
                    <w:autoSpaceDN w:val="0"/>
                    <w:snapToGrid w:val="0"/>
                    <w:jc w:val="center"/>
                    <w:rPr>
                      <w:color w:val="auto"/>
                      <w:sz w:val="18"/>
                      <w:szCs w:val="18"/>
                      <w14:ligatures w14:val="standardContextual"/>
                    </w:rPr>
                  </w:pPr>
                </w:p>
              </w:tc>
              <w:tc>
                <w:tcPr>
                  <w:tcW w:w="809" w:type="dxa"/>
                  <w:vMerge w:val="continue"/>
                  <w:vAlign w:val="center"/>
                </w:tcPr>
                <w:p w14:paraId="07728298">
                  <w:pPr>
                    <w:widowControl w:val="0"/>
                    <w:overflowPunct w:val="0"/>
                    <w:autoSpaceDE w:val="0"/>
                    <w:autoSpaceDN w:val="0"/>
                    <w:snapToGrid w:val="0"/>
                    <w:jc w:val="center"/>
                    <w:rPr>
                      <w:color w:val="auto"/>
                      <w:sz w:val="18"/>
                      <w:szCs w:val="18"/>
                      <w14:ligatures w14:val="standardContextual"/>
                    </w:rPr>
                  </w:pPr>
                </w:p>
              </w:tc>
              <w:tc>
                <w:tcPr>
                  <w:tcW w:w="992" w:type="dxa"/>
                  <w:vAlign w:val="center"/>
                </w:tcPr>
                <w:p w14:paraId="4F08B78B">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产生量</w:t>
                  </w:r>
                </w:p>
                <w:p w14:paraId="1C761D6D">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速率</w:t>
                  </w:r>
                </w:p>
              </w:tc>
              <w:tc>
                <w:tcPr>
                  <w:tcW w:w="776" w:type="dxa"/>
                  <w:vAlign w:val="center"/>
                </w:tcPr>
                <w:p w14:paraId="7A538E79">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产生</w:t>
                  </w:r>
                </w:p>
                <w:p w14:paraId="728DBAC7">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浓度</w:t>
                  </w:r>
                  <w:r>
                    <w:rPr>
                      <w:bCs/>
                      <w:color w:val="auto"/>
                      <w:sz w:val="18"/>
                      <w:szCs w:val="18"/>
                      <w14:ligatures w14:val="standardContextual"/>
                    </w:rPr>
                    <w:t>mg/m</w:t>
                  </w:r>
                  <w:r>
                    <w:rPr>
                      <w:bCs/>
                      <w:color w:val="auto"/>
                      <w:sz w:val="18"/>
                      <w:szCs w:val="18"/>
                      <w:vertAlign w:val="superscript"/>
                      <w14:ligatures w14:val="standardContextual"/>
                    </w:rPr>
                    <w:t>3</w:t>
                  </w:r>
                </w:p>
              </w:tc>
              <w:tc>
                <w:tcPr>
                  <w:tcW w:w="781" w:type="dxa"/>
                  <w:vMerge w:val="continue"/>
                  <w:vAlign w:val="center"/>
                </w:tcPr>
                <w:p w14:paraId="42436A31">
                  <w:pPr>
                    <w:widowControl w:val="0"/>
                    <w:overflowPunct w:val="0"/>
                    <w:autoSpaceDE w:val="0"/>
                    <w:autoSpaceDN w:val="0"/>
                    <w:snapToGrid w:val="0"/>
                    <w:jc w:val="center"/>
                    <w:rPr>
                      <w:color w:val="auto"/>
                      <w:sz w:val="18"/>
                      <w:szCs w:val="18"/>
                      <w14:ligatures w14:val="standardContextual"/>
                    </w:rPr>
                  </w:pPr>
                </w:p>
              </w:tc>
              <w:tc>
                <w:tcPr>
                  <w:tcW w:w="778" w:type="dxa"/>
                  <w:vAlign w:val="center"/>
                </w:tcPr>
                <w:p w14:paraId="2F4DA40E">
                  <w:pPr>
                    <w:widowControl w:val="0"/>
                    <w:overflowPunct w:val="0"/>
                    <w:autoSpaceDE w:val="0"/>
                    <w:autoSpaceDN w:val="0"/>
                    <w:snapToGrid w:val="0"/>
                    <w:jc w:val="center"/>
                    <w:rPr>
                      <w:color w:val="auto"/>
                      <w:sz w:val="18"/>
                      <w:szCs w:val="18"/>
                      <w14:ligatures w14:val="standardContextual"/>
                    </w:rPr>
                  </w:pPr>
                  <w:r>
                    <w:rPr>
                      <w:rFonts w:hint="eastAsia"/>
                      <w:bCs/>
                      <w:color w:val="auto"/>
                      <w:sz w:val="18"/>
                      <w:szCs w:val="18"/>
                      <w14:ligatures w14:val="standardContextual"/>
                    </w:rPr>
                    <w:t>废气量</w:t>
                  </w:r>
                  <w:r>
                    <w:rPr>
                      <w:bCs/>
                      <w:color w:val="auto"/>
                      <w:sz w:val="18"/>
                      <w:szCs w:val="18"/>
                      <w14:ligatures w14:val="standardContextual"/>
                    </w:rPr>
                    <w:t>m</w:t>
                  </w:r>
                  <w:r>
                    <w:rPr>
                      <w:bCs/>
                      <w:color w:val="auto"/>
                      <w:sz w:val="18"/>
                      <w:szCs w:val="18"/>
                      <w:vertAlign w:val="superscript"/>
                      <w14:ligatures w14:val="standardContextual"/>
                    </w:rPr>
                    <w:t>3</w:t>
                  </w:r>
                  <w:r>
                    <w:rPr>
                      <w:bCs/>
                      <w:color w:val="auto"/>
                      <w:sz w:val="18"/>
                      <w:szCs w:val="18"/>
                      <w14:ligatures w14:val="standardContextual"/>
                    </w:rPr>
                    <w:t>/h</w:t>
                  </w:r>
                </w:p>
              </w:tc>
              <w:tc>
                <w:tcPr>
                  <w:tcW w:w="709" w:type="dxa"/>
                  <w:vAlign w:val="center"/>
                </w:tcPr>
                <w:p w14:paraId="509B8726">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收集效率</w:t>
                  </w:r>
                  <w:r>
                    <w:rPr>
                      <w:rFonts w:hint="eastAsia"/>
                      <w:color w:val="auto"/>
                      <w:sz w:val="18"/>
                      <w:szCs w:val="18"/>
                      <w14:ligatures w14:val="standardContextual"/>
                    </w:rPr>
                    <w:t>%</w:t>
                  </w:r>
                </w:p>
              </w:tc>
              <w:tc>
                <w:tcPr>
                  <w:tcW w:w="709" w:type="dxa"/>
                  <w:vAlign w:val="center"/>
                </w:tcPr>
                <w:p w14:paraId="799CA361">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去除效率</w:t>
                  </w:r>
                  <w:r>
                    <w:rPr>
                      <w:rFonts w:hint="eastAsia"/>
                      <w:color w:val="auto"/>
                      <w:sz w:val="18"/>
                      <w:szCs w:val="18"/>
                      <w14:ligatures w14:val="standardContextual"/>
                    </w:rPr>
                    <w:t>%</w:t>
                  </w:r>
                </w:p>
              </w:tc>
              <w:tc>
                <w:tcPr>
                  <w:tcW w:w="709" w:type="dxa"/>
                  <w:vAlign w:val="center"/>
                </w:tcPr>
                <w:p w14:paraId="0934B3A2">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是否可行技术</w:t>
                  </w:r>
                </w:p>
              </w:tc>
              <w:tc>
                <w:tcPr>
                  <w:tcW w:w="2618" w:type="dxa"/>
                  <w:vAlign w:val="center"/>
                </w:tcPr>
                <w:p w14:paraId="45DBF6D6">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处理</w:t>
                  </w:r>
                </w:p>
                <w:p w14:paraId="2299574C">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工艺</w:t>
                  </w:r>
                </w:p>
              </w:tc>
              <w:tc>
                <w:tcPr>
                  <w:tcW w:w="959" w:type="dxa"/>
                  <w:vAlign w:val="center"/>
                </w:tcPr>
                <w:p w14:paraId="6FB6B322">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排放量t/a</w:t>
                  </w:r>
                </w:p>
                <w:p w14:paraId="4F0305DA">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(速率kg/h)</w:t>
                  </w:r>
                </w:p>
              </w:tc>
              <w:tc>
                <w:tcPr>
                  <w:tcW w:w="728" w:type="dxa"/>
                  <w:vAlign w:val="center"/>
                </w:tcPr>
                <w:p w14:paraId="4204689E">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排放</w:t>
                  </w:r>
                </w:p>
                <w:p w14:paraId="3E2E48DE">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浓度</w:t>
                  </w:r>
                  <w:r>
                    <w:rPr>
                      <w:bCs/>
                      <w:color w:val="auto"/>
                      <w:sz w:val="18"/>
                      <w:szCs w:val="18"/>
                      <w14:ligatures w14:val="standardContextual"/>
                    </w:rPr>
                    <w:t>mg/m</w:t>
                  </w:r>
                  <w:r>
                    <w:rPr>
                      <w:bCs/>
                      <w:color w:val="auto"/>
                      <w:sz w:val="18"/>
                      <w:szCs w:val="18"/>
                      <w:vertAlign w:val="superscript"/>
                      <w14:ligatures w14:val="standardContextual"/>
                    </w:rPr>
                    <w:t>3</w:t>
                  </w:r>
                </w:p>
              </w:tc>
              <w:tc>
                <w:tcPr>
                  <w:tcW w:w="728" w:type="dxa"/>
                  <w:vAlign w:val="center"/>
                </w:tcPr>
                <w:p w14:paraId="17F59E13">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浓度</w:t>
                  </w:r>
                  <w:r>
                    <w:rPr>
                      <w:bCs/>
                      <w:color w:val="auto"/>
                      <w:sz w:val="18"/>
                      <w:szCs w:val="18"/>
                      <w14:ligatures w14:val="standardContextual"/>
                    </w:rPr>
                    <w:t>mg/m</w:t>
                  </w:r>
                  <w:r>
                    <w:rPr>
                      <w:bCs/>
                      <w:color w:val="auto"/>
                      <w:sz w:val="18"/>
                      <w:szCs w:val="18"/>
                      <w:vertAlign w:val="superscript"/>
                      <w14:ligatures w14:val="standardContextual"/>
                    </w:rPr>
                    <w:t>3</w:t>
                  </w:r>
                </w:p>
              </w:tc>
              <w:tc>
                <w:tcPr>
                  <w:tcW w:w="568" w:type="dxa"/>
                  <w:vAlign w:val="center"/>
                </w:tcPr>
                <w:p w14:paraId="44BDEEC8">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速率kg/h</w:t>
                  </w:r>
                </w:p>
              </w:tc>
            </w:tr>
            <w:tr w14:paraId="4CC9B3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96" w:type="dxa"/>
                  <w:vAlign w:val="center"/>
                </w:tcPr>
                <w:p w14:paraId="58A9F0EC">
                  <w:pPr>
                    <w:widowControl w:val="0"/>
                    <w:overflowPunct w:val="0"/>
                    <w:autoSpaceDE w:val="0"/>
                    <w:autoSpaceDN w:val="0"/>
                    <w:snapToGrid w:val="0"/>
                    <w:jc w:val="center"/>
                    <w:rPr>
                      <w:color w:val="auto"/>
                      <w:spacing w:val="-1"/>
                      <w:sz w:val="18"/>
                      <w:szCs w:val="18"/>
                      <w14:ligatures w14:val="standardContextual"/>
                    </w:rPr>
                  </w:pPr>
                  <w:r>
                    <w:rPr>
                      <w:rFonts w:hint="eastAsia"/>
                      <w:color w:val="auto"/>
                      <w:sz w:val="18"/>
                      <w:szCs w:val="18"/>
                      <w14:ligatures w14:val="standardContextual"/>
                    </w:rPr>
                    <w:t>车辆运输</w:t>
                  </w:r>
                </w:p>
              </w:tc>
              <w:tc>
                <w:tcPr>
                  <w:tcW w:w="809" w:type="dxa"/>
                  <w:vAlign w:val="center"/>
                </w:tcPr>
                <w:p w14:paraId="0A8C7C8F">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颗粒物</w:t>
                  </w:r>
                </w:p>
              </w:tc>
              <w:tc>
                <w:tcPr>
                  <w:tcW w:w="992" w:type="dxa"/>
                  <w:vAlign w:val="center"/>
                </w:tcPr>
                <w:p w14:paraId="4A931FDD">
                  <w:pPr>
                    <w:widowControl w:val="0"/>
                    <w:overflowPunct w:val="0"/>
                    <w:autoSpaceDE w:val="0"/>
                    <w:autoSpaceDN w:val="0"/>
                    <w:snapToGrid w:val="0"/>
                    <w:jc w:val="center"/>
                    <w:rPr>
                      <w:bCs/>
                      <w:color w:val="auto"/>
                      <w:sz w:val="18"/>
                      <w:szCs w:val="18"/>
                      <w14:ligatures w14:val="standardContextual"/>
                    </w:rPr>
                  </w:pPr>
                  <w:r>
                    <w:rPr>
                      <w:bCs/>
                      <w:color w:val="auto"/>
                      <w:sz w:val="18"/>
                      <w:szCs w:val="18"/>
                      <w14:ligatures w14:val="standardContextual"/>
                    </w:rPr>
                    <w:t>0.20kg/km</w:t>
                  </w:r>
                </w:p>
              </w:tc>
              <w:tc>
                <w:tcPr>
                  <w:tcW w:w="776" w:type="dxa"/>
                  <w:vAlign w:val="center"/>
                </w:tcPr>
                <w:p w14:paraId="093A37AE">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781" w:type="dxa"/>
                  <w:vAlign w:val="center"/>
                </w:tcPr>
                <w:p w14:paraId="1976D240">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无</w:t>
                  </w:r>
                  <w:r>
                    <w:rPr>
                      <w:bCs/>
                      <w:color w:val="auto"/>
                      <w:sz w:val="18"/>
                      <w:szCs w:val="18"/>
                      <w14:ligatures w14:val="standardContextual"/>
                    </w:rPr>
                    <w:t>组织</w:t>
                  </w:r>
                </w:p>
              </w:tc>
              <w:tc>
                <w:tcPr>
                  <w:tcW w:w="778" w:type="dxa"/>
                  <w:vAlign w:val="center"/>
                </w:tcPr>
                <w:p w14:paraId="7E6C9206">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709" w:type="dxa"/>
                  <w:vAlign w:val="center"/>
                </w:tcPr>
                <w:p w14:paraId="262AF9E6">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709" w:type="dxa"/>
                  <w:vAlign w:val="center"/>
                </w:tcPr>
                <w:p w14:paraId="59C1C0FF">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709" w:type="dxa"/>
                  <w:vAlign w:val="center"/>
                </w:tcPr>
                <w:p w14:paraId="7915EBAC">
                  <w:pPr>
                    <w:widowControl w:val="0"/>
                    <w:overflowPunct w:val="0"/>
                    <w:autoSpaceDE w:val="0"/>
                    <w:autoSpaceDN w:val="0"/>
                    <w:snapToGrid w:val="0"/>
                    <w:jc w:val="center"/>
                    <w:rPr>
                      <w:bCs/>
                      <w:color w:val="auto"/>
                      <w:sz w:val="18"/>
                      <w:szCs w:val="18"/>
                      <w14:ligatures w14:val="standardContextual"/>
                    </w:rPr>
                  </w:pPr>
                  <w:r>
                    <w:rPr>
                      <w:bCs/>
                      <w:color w:val="auto"/>
                      <w:sz w:val="18"/>
                      <w:szCs w:val="18"/>
                      <w14:ligatures w14:val="standardContextual"/>
                    </w:rPr>
                    <w:t>是</w:t>
                  </w:r>
                </w:p>
              </w:tc>
              <w:tc>
                <w:tcPr>
                  <w:tcW w:w="2618" w:type="dxa"/>
                  <w:vMerge w:val="restart"/>
                  <w:vAlign w:val="center"/>
                </w:tcPr>
                <w:p w14:paraId="58FF1B0C">
                  <w:pPr>
                    <w:widowControl w:val="0"/>
                    <w:overflowPunct w:val="0"/>
                    <w:autoSpaceDE w:val="0"/>
                    <w:autoSpaceDN w:val="0"/>
                    <w:snapToGrid w:val="0"/>
                    <w:jc w:val="center"/>
                    <w:rPr>
                      <w:color w:val="auto"/>
                      <w:spacing w:val="3"/>
                      <w:sz w:val="18"/>
                      <w:szCs w:val="18"/>
                      <w14:ligatures w14:val="standardContextual"/>
                    </w:rPr>
                  </w:pPr>
                  <w:r>
                    <w:rPr>
                      <w:rFonts w:hint="eastAsia"/>
                      <w:color w:val="auto"/>
                      <w:spacing w:val="3"/>
                      <w:sz w:val="18"/>
                      <w:szCs w:val="18"/>
                      <w14:ligatures w14:val="standardContextual"/>
                    </w:rPr>
                    <w:t>设有封闭煤棚，内设喷淋设施，皮带机上设封闭隔尘罩，地面硬化，道路定期洒水并采取清扫措施等</w:t>
                  </w:r>
                </w:p>
              </w:tc>
              <w:tc>
                <w:tcPr>
                  <w:tcW w:w="959" w:type="dxa"/>
                  <w:vAlign w:val="center"/>
                </w:tcPr>
                <w:p w14:paraId="4DBD750C">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可忽略</w:t>
                  </w:r>
                </w:p>
              </w:tc>
              <w:tc>
                <w:tcPr>
                  <w:tcW w:w="728" w:type="dxa"/>
                  <w:vAlign w:val="center"/>
                </w:tcPr>
                <w:p w14:paraId="78403774">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728" w:type="dxa"/>
                  <w:vAlign w:val="center"/>
                </w:tcPr>
                <w:p w14:paraId="529C6522">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568" w:type="dxa"/>
                  <w:vAlign w:val="center"/>
                </w:tcPr>
                <w:p w14:paraId="54E0BD44">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r>
            <w:tr w14:paraId="107B53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96" w:type="dxa"/>
                  <w:vAlign w:val="center"/>
                </w:tcPr>
                <w:p w14:paraId="682B465C">
                  <w:pPr>
                    <w:widowControl w:val="0"/>
                    <w:overflowPunct w:val="0"/>
                    <w:autoSpaceDE w:val="0"/>
                    <w:autoSpaceDN w:val="0"/>
                    <w:snapToGrid w:val="0"/>
                    <w:jc w:val="center"/>
                    <w:rPr>
                      <w:color w:val="auto"/>
                      <w:spacing w:val="-1"/>
                      <w:sz w:val="18"/>
                      <w:szCs w:val="18"/>
                      <w14:ligatures w14:val="standardContextual"/>
                    </w:rPr>
                  </w:pPr>
                  <w:r>
                    <w:rPr>
                      <w:rFonts w:hint="eastAsia"/>
                      <w:color w:val="auto"/>
                      <w:spacing w:val="-1"/>
                      <w:sz w:val="18"/>
                      <w:szCs w:val="18"/>
                      <w14:ligatures w14:val="standardContextual"/>
                    </w:rPr>
                    <w:t>堆存装卸</w:t>
                  </w:r>
                </w:p>
              </w:tc>
              <w:tc>
                <w:tcPr>
                  <w:tcW w:w="809" w:type="dxa"/>
                  <w:vAlign w:val="center"/>
                </w:tcPr>
                <w:p w14:paraId="5F37263E">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颗粒物</w:t>
                  </w:r>
                </w:p>
              </w:tc>
              <w:tc>
                <w:tcPr>
                  <w:tcW w:w="992" w:type="dxa"/>
                  <w:vAlign w:val="center"/>
                </w:tcPr>
                <w:p w14:paraId="71AFEEC9">
                  <w:pPr>
                    <w:widowControl w:val="0"/>
                    <w:overflowPunct w:val="0"/>
                    <w:autoSpaceDE w:val="0"/>
                    <w:autoSpaceDN w:val="0"/>
                    <w:snapToGrid w:val="0"/>
                    <w:jc w:val="center"/>
                    <w:rPr>
                      <w:bCs/>
                      <w:color w:val="auto"/>
                      <w:sz w:val="18"/>
                      <w:szCs w:val="18"/>
                      <w14:ligatures w14:val="standardContextual"/>
                    </w:rPr>
                  </w:pPr>
                  <w:r>
                    <w:rPr>
                      <w:rFonts w:hint="eastAsia"/>
                      <w:color w:val="auto"/>
                      <w:sz w:val="18"/>
                      <w:szCs w:val="18"/>
                      <w14:ligatures w14:val="standardContextual"/>
                    </w:rPr>
                    <w:t>3.145</w:t>
                  </w:r>
                  <w:r>
                    <w:rPr>
                      <w:bCs/>
                      <w:color w:val="auto"/>
                      <w:sz w:val="18"/>
                      <w:szCs w:val="18"/>
                      <w14:ligatures w14:val="standardContextual"/>
                    </w:rPr>
                    <w:t>t/a</w:t>
                  </w:r>
                </w:p>
                <w:p w14:paraId="61C2F043">
                  <w:pPr>
                    <w:widowControl w:val="0"/>
                    <w:overflowPunct w:val="0"/>
                    <w:autoSpaceDE w:val="0"/>
                    <w:autoSpaceDN w:val="0"/>
                    <w:snapToGrid w:val="0"/>
                    <w:jc w:val="center"/>
                    <w:rPr>
                      <w:bCs/>
                      <w:color w:val="auto"/>
                      <w:sz w:val="18"/>
                      <w:szCs w:val="18"/>
                      <w14:ligatures w14:val="standardContextual"/>
                    </w:rPr>
                  </w:pPr>
                  <w:r>
                    <w:rPr>
                      <w:rFonts w:hint="eastAsia"/>
                      <w:color w:val="auto"/>
                      <w:sz w:val="18"/>
                      <w:szCs w:val="18"/>
                      <w14:ligatures w14:val="standardContextual"/>
                    </w:rPr>
                    <w:t>1.191</w:t>
                  </w:r>
                  <w:r>
                    <w:rPr>
                      <w:bCs/>
                      <w:color w:val="auto"/>
                      <w:sz w:val="18"/>
                      <w:szCs w:val="18"/>
                      <w14:ligatures w14:val="standardContextual"/>
                    </w:rPr>
                    <w:t>kg/h</w:t>
                  </w:r>
                </w:p>
              </w:tc>
              <w:tc>
                <w:tcPr>
                  <w:tcW w:w="776" w:type="dxa"/>
                  <w:vAlign w:val="center"/>
                </w:tcPr>
                <w:p w14:paraId="0E882F15">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781" w:type="dxa"/>
                  <w:vAlign w:val="center"/>
                </w:tcPr>
                <w:p w14:paraId="1982EBF5">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无</w:t>
                  </w:r>
                  <w:r>
                    <w:rPr>
                      <w:bCs/>
                      <w:color w:val="auto"/>
                      <w:sz w:val="18"/>
                      <w:szCs w:val="18"/>
                      <w14:ligatures w14:val="standardContextual"/>
                    </w:rPr>
                    <w:t>组织</w:t>
                  </w:r>
                </w:p>
              </w:tc>
              <w:tc>
                <w:tcPr>
                  <w:tcW w:w="778" w:type="dxa"/>
                  <w:vAlign w:val="center"/>
                </w:tcPr>
                <w:p w14:paraId="4EA2D9BD">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709" w:type="dxa"/>
                  <w:vAlign w:val="center"/>
                </w:tcPr>
                <w:p w14:paraId="5888094A">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709" w:type="dxa"/>
                  <w:vAlign w:val="center"/>
                </w:tcPr>
                <w:p w14:paraId="75D94FB8">
                  <w:pPr>
                    <w:widowControl w:val="0"/>
                    <w:overflowPunct w:val="0"/>
                    <w:autoSpaceDE w:val="0"/>
                    <w:autoSpaceDN w:val="0"/>
                    <w:snapToGrid w:val="0"/>
                    <w:jc w:val="center"/>
                    <w:rPr>
                      <w:bCs/>
                      <w:color w:val="auto"/>
                      <w:sz w:val="18"/>
                      <w:szCs w:val="18"/>
                      <w14:ligatures w14:val="standardContextual"/>
                    </w:rPr>
                  </w:pPr>
                  <w:r>
                    <w:rPr>
                      <w:rFonts w:hint="eastAsia"/>
                      <w:color w:val="auto"/>
                      <w:sz w:val="18"/>
                      <w:szCs w:val="18"/>
                      <w14:ligatures w14:val="standardContextual"/>
                    </w:rPr>
                    <w:t>99.5%</w:t>
                  </w:r>
                </w:p>
              </w:tc>
              <w:tc>
                <w:tcPr>
                  <w:tcW w:w="709" w:type="dxa"/>
                  <w:vAlign w:val="center"/>
                </w:tcPr>
                <w:p w14:paraId="2CD43F01">
                  <w:pPr>
                    <w:widowControl w:val="0"/>
                    <w:overflowPunct w:val="0"/>
                    <w:autoSpaceDE w:val="0"/>
                    <w:autoSpaceDN w:val="0"/>
                    <w:snapToGrid w:val="0"/>
                    <w:jc w:val="center"/>
                    <w:rPr>
                      <w:bCs/>
                      <w:color w:val="auto"/>
                      <w:sz w:val="18"/>
                      <w:szCs w:val="18"/>
                      <w14:ligatures w14:val="standardContextual"/>
                    </w:rPr>
                  </w:pPr>
                  <w:r>
                    <w:rPr>
                      <w:bCs/>
                      <w:color w:val="auto"/>
                      <w:sz w:val="18"/>
                      <w:szCs w:val="18"/>
                      <w14:ligatures w14:val="standardContextual"/>
                    </w:rPr>
                    <w:t>是</w:t>
                  </w:r>
                </w:p>
              </w:tc>
              <w:tc>
                <w:tcPr>
                  <w:tcW w:w="2618" w:type="dxa"/>
                  <w:vMerge w:val="continue"/>
                  <w:vAlign w:val="center"/>
                </w:tcPr>
                <w:p w14:paraId="6581D843">
                  <w:pPr>
                    <w:widowControl w:val="0"/>
                    <w:overflowPunct w:val="0"/>
                    <w:autoSpaceDE w:val="0"/>
                    <w:autoSpaceDN w:val="0"/>
                    <w:snapToGrid w:val="0"/>
                    <w:jc w:val="center"/>
                    <w:rPr>
                      <w:color w:val="auto"/>
                      <w:spacing w:val="3"/>
                      <w:sz w:val="18"/>
                      <w:szCs w:val="18"/>
                      <w14:ligatures w14:val="standardContextual"/>
                    </w:rPr>
                  </w:pPr>
                </w:p>
              </w:tc>
              <w:tc>
                <w:tcPr>
                  <w:tcW w:w="959" w:type="dxa"/>
                  <w:vAlign w:val="center"/>
                </w:tcPr>
                <w:p w14:paraId="41526672">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可忽略</w:t>
                  </w:r>
                </w:p>
              </w:tc>
              <w:tc>
                <w:tcPr>
                  <w:tcW w:w="728" w:type="dxa"/>
                  <w:vAlign w:val="center"/>
                </w:tcPr>
                <w:p w14:paraId="1130F0AB">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728" w:type="dxa"/>
                  <w:vAlign w:val="center"/>
                </w:tcPr>
                <w:p w14:paraId="1D8D8E04">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c>
                <w:tcPr>
                  <w:tcW w:w="568" w:type="dxa"/>
                  <w:vAlign w:val="center"/>
                </w:tcPr>
                <w:p w14:paraId="5A8DE447">
                  <w:pPr>
                    <w:widowControl w:val="0"/>
                    <w:overflowPunct w:val="0"/>
                    <w:autoSpaceDE w:val="0"/>
                    <w:autoSpaceDN w:val="0"/>
                    <w:snapToGrid w:val="0"/>
                    <w:jc w:val="center"/>
                    <w:rPr>
                      <w:bCs/>
                      <w:color w:val="auto"/>
                      <w:sz w:val="18"/>
                      <w:szCs w:val="18"/>
                      <w14:ligatures w14:val="standardContextual"/>
                    </w:rPr>
                  </w:pPr>
                  <w:r>
                    <w:rPr>
                      <w:rFonts w:hint="eastAsia"/>
                      <w:bCs/>
                      <w:color w:val="auto"/>
                      <w:sz w:val="18"/>
                      <w:szCs w:val="18"/>
                      <w14:ligatures w14:val="standardContextual"/>
                    </w:rPr>
                    <w:t>/</w:t>
                  </w:r>
                </w:p>
              </w:tc>
            </w:tr>
          </w:tbl>
          <w:p w14:paraId="05AD04AC">
            <w:pPr>
              <w:pStyle w:val="3"/>
              <w:ind w:firstLine="480"/>
              <w:rPr>
                <w:color w:val="auto"/>
              </w:rPr>
            </w:pPr>
          </w:p>
          <w:p w14:paraId="5A301093">
            <w:pPr>
              <w:pStyle w:val="3"/>
              <w:ind w:firstLine="480"/>
              <w:rPr>
                <w:color w:val="auto"/>
              </w:rPr>
            </w:pPr>
          </w:p>
          <w:p w14:paraId="4D32032E">
            <w:pPr>
              <w:pStyle w:val="3"/>
              <w:ind w:firstLine="480"/>
              <w:rPr>
                <w:color w:val="auto"/>
              </w:rPr>
            </w:pPr>
          </w:p>
        </w:tc>
      </w:tr>
    </w:tbl>
    <w:p w14:paraId="193547B1">
      <w:pPr>
        <w:rPr>
          <w:color w:val="auto"/>
        </w:rPr>
        <w:sectPr>
          <w:pgSz w:w="16840" w:h="11907" w:orient="landscape"/>
          <w:pgMar w:top="1531" w:right="2127" w:bottom="1531" w:left="1701" w:header="851" w:footer="851" w:gutter="0"/>
          <w:cols w:space="720" w:num="1"/>
          <w:docGrid w:linePitch="312" w:charSpace="0"/>
        </w:sect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8159"/>
      </w:tblGrid>
      <w:tr w14:paraId="2283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F1EA763">
            <w:pPr>
              <w:pStyle w:val="67"/>
              <w:rPr>
                <w:rFonts w:hint="eastAsia"/>
                <w:color w:val="auto"/>
              </w:rPr>
            </w:pPr>
            <w:bookmarkStart w:id="33" w:name="_Toc175609276"/>
            <w:r>
              <w:rPr>
                <w:rFonts w:hint="eastAsia"/>
                <w:color w:val="auto"/>
              </w:rPr>
              <w:t>运营期环境影响和保护措施</w:t>
            </w:r>
            <w:bookmarkEnd w:id="33"/>
          </w:p>
        </w:tc>
        <w:tc>
          <w:tcPr>
            <w:tcW w:w="8159" w:type="dxa"/>
            <w:vAlign w:val="center"/>
          </w:tcPr>
          <w:p w14:paraId="67B3B4FD">
            <w:pPr>
              <w:pStyle w:val="3"/>
              <w:ind w:firstLine="482"/>
              <w:rPr>
                <w:b/>
                <w:bCs/>
                <w:color w:val="auto"/>
              </w:rPr>
            </w:pPr>
            <w:r>
              <w:rPr>
                <w:rFonts w:hint="eastAsia"/>
                <w:b/>
                <w:bCs/>
                <w:color w:val="auto"/>
              </w:rPr>
              <w:t>2、污染源强核算过程</w:t>
            </w:r>
          </w:p>
          <w:p w14:paraId="73AFE4B7">
            <w:pPr>
              <w:pStyle w:val="3"/>
              <w:ind w:firstLine="482"/>
              <w:rPr>
                <w:b/>
                <w:bCs/>
                <w:color w:val="auto"/>
              </w:rPr>
            </w:pPr>
            <w:r>
              <w:rPr>
                <w:rFonts w:hint="eastAsia"/>
                <w:b/>
                <w:bCs/>
                <w:color w:val="auto"/>
              </w:rPr>
              <w:t>1）有组织废气</w:t>
            </w:r>
          </w:p>
          <w:p w14:paraId="172C1630">
            <w:pPr>
              <w:pStyle w:val="3"/>
              <w:ind w:firstLine="480"/>
              <w:rPr>
                <w:color w:val="auto"/>
              </w:rPr>
            </w:pPr>
            <w:r>
              <w:rPr>
                <w:rFonts w:hint="eastAsia"/>
                <w:color w:val="auto"/>
              </w:rPr>
              <w:t>本项目不涉及有组织废气。</w:t>
            </w:r>
          </w:p>
          <w:p w14:paraId="39BB6F26">
            <w:pPr>
              <w:pStyle w:val="3"/>
              <w:ind w:firstLine="482"/>
              <w:rPr>
                <w:b/>
                <w:bCs/>
                <w:color w:val="auto"/>
              </w:rPr>
            </w:pPr>
            <w:r>
              <w:rPr>
                <w:rFonts w:hint="eastAsia"/>
                <w:b/>
                <w:bCs/>
                <w:color w:val="auto"/>
              </w:rPr>
              <w:t>2）无组织废气</w:t>
            </w:r>
          </w:p>
          <w:p w14:paraId="51AD2709">
            <w:pPr>
              <w:pStyle w:val="3"/>
              <w:ind w:firstLine="480"/>
              <w:rPr>
                <w:color w:val="auto"/>
              </w:rPr>
            </w:pPr>
            <w:r>
              <w:rPr>
                <w:rFonts w:hint="eastAsia"/>
                <w:color w:val="auto"/>
              </w:rPr>
              <w:t>本项目无组织废气为运输车辆扬尘、原料煤炭储存装卸扬尘。</w:t>
            </w:r>
          </w:p>
          <w:p w14:paraId="542AF289">
            <w:pPr>
              <w:pStyle w:val="3"/>
              <w:ind w:firstLine="480"/>
              <w:rPr>
                <w:color w:val="auto"/>
              </w:rPr>
            </w:pPr>
            <w:r>
              <w:rPr>
                <w:rFonts w:hint="eastAsia"/>
                <w:color w:val="auto"/>
              </w:rPr>
              <w:t>①车辆运输扬尘</w:t>
            </w:r>
          </w:p>
          <w:p w14:paraId="09D84904">
            <w:pPr>
              <w:pStyle w:val="3"/>
              <w:ind w:firstLine="480"/>
              <w:rPr>
                <w:color w:val="auto"/>
              </w:rPr>
            </w:pPr>
            <w:r>
              <w:rPr>
                <w:rFonts w:hint="eastAsia"/>
                <w:color w:val="auto"/>
              </w:rPr>
              <w:t>汽车在运输原料煤炭至储库的过程、储库内储存的煤炭运输至集运站的过程中会产生一定的道路扬尘。计算公式如下：</w:t>
            </w:r>
          </w:p>
          <w:p w14:paraId="70119CD6">
            <w:pPr>
              <w:pStyle w:val="51"/>
              <w:rPr>
                <w:color w:val="auto"/>
              </w:rPr>
            </w:pPr>
            <w:r>
              <w:rPr>
                <w:color w:val="auto"/>
              </w:rPr>
              <w:drawing>
                <wp:inline distT="0" distB="0" distL="0" distR="0">
                  <wp:extent cx="1910080" cy="411480"/>
                  <wp:effectExtent l="0" t="0" r="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1911605" cy="412392"/>
                          </a:xfrm>
                          <a:prstGeom prst="rect">
                            <a:avLst/>
                          </a:prstGeom>
                        </pic:spPr>
                      </pic:pic>
                    </a:graphicData>
                  </a:graphic>
                </wp:inline>
              </w:drawing>
            </w:r>
          </w:p>
          <w:p w14:paraId="240F39C9">
            <w:pPr>
              <w:pStyle w:val="3"/>
              <w:ind w:firstLine="480"/>
              <w:rPr>
                <w:color w:val="auto"/>
              </w:rPr>
            </w:pPr>
            <w:r>
              <w:rPr>
                <w:rFonts w:hint="eastAsia"/>
                <w:color w:val="auto"/>
              </w:rPr>
              <w:t>式中：Qp——交通运输起尘量，kg/km辆；——运输途中起尘量，kg/a；V——车辆行驶速度；M——车辆载重；P——路面状况，以每平方米路面灰尘覆盖率表示。</w:t>
            </w:r>
          </w:p>
          <w:p w14:paraId="6CA5D97B">
            <w:pPr>
              <w:pStyle w:val="49"/>
              <w:rPr>
                <w:color w:val="auto"/>
              </w:rPr>
            </w:pPr>
            <w:r>
              <w:rPr>
                <w:rFonts w:hint="eastAsia"/>
                <w:color w:val="auto"/>
              </w:rPr>
              <w:t xml:space="preserve">表4- </w:t>
            </w:r>
            <w:r>
              <w:rPr>
                <w:color w:val="auto"/>
              </w:rPr>
              <w:t>3</w:t>
            </w:r>
            <w:r>
              <w:rPr>
                <w:rFonts w:hint="eastAsia"/>
                <w:color w:val="auto"/>
              </w:rPr>
              <w:t>：运输过程各路段起尘量估算</w:t>
            </w:r>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2237"/>
              <w:gridCol w:w="2076"/>
              <w:gridCol w:w="1994"/>
              <w:gridCol w:w="1636"/>
            </w:tblGrid>
            <w:tr w14:paraId="04EEFB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408"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49500B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参数</w:t>
                  </w:r>
                </w:p>
              </w:tc>
              <w:tc>
                <w:tcPr>
                  <w:tcW w:w="1307"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889C5C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P（kg/m</w:t>
                  </w:r>
                  <w:r>
                    <w:rPr>
                      <w:rFonts w:hint="default" w:ascii="Times New Roman" w:hAnsi="Times New Roman" w:eastAsia="宋体" w:cs="Times New Roman"/>
                      <w:b/>
                      <w:i w:val="0"/>
                      <w:color w:val="auto"/>
                      <w:sz w:val="21"/>
                      <w:szCs w:val="21"/>
                      <w:vertAlign w:val="superscript"/>
                      <w14:ligatures w14:val="standardContextual"/>
                    </w:rPr>
                    <w:t>2</w:t>
                  </w:r>
                  <w:r>
                    <w:rPr>
                      <w:rFonts w:hint="default" w:ascii="Times New Roman" w:hAnsi="Times New Roman" w:eastAsia="宋体" w:cs="Times New Roman"/>
                      <w:b/>
                      <w:i w:val="0"/>
                      <w:color w:val="auto"/>
                      <w:sz w:val="21"/>
                      <w:szCs w:val="21"/>
                      <w14:ligatures w14:val="standardContextual"/>
                    </w:rPr>
                    <w:t>）</w:t>
                  </w:r>
                </w:p>
              </w:tc>
              <w:tc>
                <w:tcPr>
                  <w:tcW w:w="1255"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87661F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V（km/h）</w:t>
                  </w:r>
                </w:p>
              </w:tc>
              <w:tc>
                <w:tcPr>
                  <w:tcW w:w="1030" w:type="pct"/>
                  <w:tcBorders>
                    <w:top w:val="single" w:color="auto" w:sz="12" w:space="0"/>
                    <w:bottom w:val="single" w:color="auto" w:sz="12" w:space="0"/>
                    <w:right w:val="nil"/>
                    <w:insideH w:val="single" w:sz="12" w:space="0"/>
                    <w:insideV w:val="single" w:sz="4" w:space="0"/>
                    <w:tl2br w:val="nil"/>
                    <w:tr2bl w:val="nil"/>
                  </w:tcBorders>
                  <w:vAlign w:val="center"/>
                </w:tcPr>
                <w:p w14:paraId="7098999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M（t/辆）</w:t>
                  </w:r>
                </w:p>
              </w:tc>
            </w:tr>
            <w:tr w14:paraId="5AF09C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408" w:type="pct"/>
                  <w:vAlign w:val="center"/>
                </w:tcPr>
                <w:p w14:paraId="5F24D3DD">
                  <w:pPr>
                    <w:widowControl w:val="0"/>
                    <w:overflowPunct w:val="0"/>
                    <w:autoSpaceDE w:val="0"/>
                    <w:autoSpaceDN w:val="0"/>
                    <w:snapToGrid w:val="0"/>
                    <w:jc w:val="center"/>
                    <w:rPr>
                      <w:color w:val="auto"/>
                      <w14:ligatures w14:val="standardContextual"/>
                    </w:rPr>
                  </w:pPr>
                  <w:r>
                    <w:rPr>
                      <w:rFonts w:hint="eastAsia"/>
                      <w:color w:val="auto"/>
                      <w14:ligatures w14:val="standardContextual"/>
                    </w:rPr>
                    <w:t>数值</w:t>
                  </w:r>
                </w:p>
              </w:tc>
              <w:tc>
                <w:tcPr>
                  <w:tcW w:w="1307" w:type="pct"/>
                  <w:vAlign w:val="center"/>
                </w:tcPr>
                <w:p w14:paraId="2030EA2F">
                  <w:pPr>
                    <w:widowControl w:val="0"/>
                    <w:overflowPunct w:val="0"/>
                    <w:autoSpaceDE w:val="0"/>
                    <w:autoSpaceDN w:val="0"/>
                    <w:snapToGrid w:val="0"/>
                    <w:jc w:val="center"/>
                    <w:rPr>
                      <w:color w:val="auto"/>
                      <w14:ligatures w14:val="standardContextual"/>
                    </w:rPr>
                  </w:pPr>
                  <w:r>
                    <w:rPr>
                      <w:color w:val="auto"/>
                      <w14:ligatures w14:val="standardContextual"/>
                    </w:rPr>
                    <w:t>0.05</w:t>
                  </w:r>
                </w:p>
              </w:tc>
              <w:tc>
                <w:tcPr>
                  <w:tcW w:w="1255" w:type="pct"/>
                  <w:vAlign w:val="center"/>
                </w:tcPr>
                <w:p w14:paraId="0F94D84E">
                  <w:pPr>
                    <w:widowControl w:val="0"/>
                    <w:overflowPunct w:val="0"/>
                    <w:autoSpaceDE w:val="0"/>
                    <w:autoSpaceDN w:val="0"/>
                    <w:snapToGrid w:val="0"/>
                    <w:jc w:val="center"/>
                    <w:rPr>
                      <w:color w:val="auto"/>
                      <w14:ligatures w14:val="standardContextual"/>
                    </w:rPr>
                  </w:pPr>
                  <w:r>
                    <w:rPr>
                      <w:color w:val="auto"/>
                      <w14:ligatures w14:val="standardContextual"/>
                    </w:rPr>
                    <w:t>20</w:t>
                  </w:r>
                </w:p>
              </w:tc>
              <w:tc>
                <w:tcPr>
                  <w:tcW w:w="1030" w:type="pct"/>
                  <w:vAlign w:val="center"/>
                </w:tcPr>
                <w:p w14:paraId="5C3AE9E6">
                  <w:pPr>
                    <w:widowControl w:val="0"/>
                    <w:overflowPunct w:val="0"/>
                    <w:autoSpaceDE w:val="0"/>
                    <w:autoSpaceDN w:val="0"/>
                    <w:snapToGrid w:val="0"/>
                    <w:jc w:val="center"/>
                    <w:rPr>
                      <w:color w:val="auto"/>
                      <w14:ligatures w14:val="standardContextual"/>
                    </w:rPr>
                  </w:pPr>
                  <w:r>
                    <w:rPr>
                      <w:rFonts w:hint="eastAsia"/>
                      <w:color w:val="auto"/>
                      <w14:ligatures w14:val="standardContextual"/>
                    </w:rPr>
                    <w:t>5</w:t>
                  </w:r>
                  <w:r>
                    <w:rPr>
                      <w:color w:val="auto"/>
                      <w14:ligatures w14:val="standardContextual"/>
                    </w:rPr>
                    <w:t>0</w:t>
                  </w:r>
                </w:p>
              </w:tc>
            </w:tr>
          </w:tbl>
          <w:p w14:paraId="77AAC198">
            <w:pPr>
              <w:pStyle w:val="3"/>
              <w:ind w:firstLine="480"/>
              <w:rPr>
                <w:color w:val="auto"/>
              </w:rPr>
            </w:pPr>
            <w:r>
              <w:rPr>
                <w:rFonts w:hint="eastAsia"/>
                <w:color w:val="auto"/>
              </w:rPr>
              <w:t>根据上述公式可计算，Qp=0.511kg/km。</w:t>
            </w:r>
          </w:p>
          <w:p w14:paraId="3E91DB1F">
            <w:pPr>
              <w:pStyle w:val="3"/>
              <w:ind w:firstLine="480"/>
              <w:rPr>
                <w:color w:val="auto"/>
              </w:rPr>
            </w:pPr>
            <w:r>
              <w:rPr>
                <w:rFonts w:hint="eastAsia"/>
                <w:color w:val="auto"/>
              </w:rPr>
              <w:t>为减少汽车运输过程产生的扬尘，环评要求采取以下措施：限制汽车超载，运输车辆采用清洁能源燃料箱式货车；路面保证清扫和洒水的频率，保持路面的湿度和清洁度；对厂区至集运站道路、厂区大门进出口道路两侧进行绿化并将道路硬化，硬化程度应满足运输要求，以减少起尘量；同时环评要求项目运输车辆驶离厂区时必须对车辆轮胎、车身进行冲洗，减少车辆扬尘污染。厂区内站台硬化，减少作业面物料洒落引起的扬尘，另外厂区配备一辆洒水车，定时对厂区内喷洒灭尘。</w:t>
            </w:r>
          </w:p>
          <w:p w14:paraId="3B2C87A1">
            <w:pPr>
              <w:pStyle w:val="3"/>
              <w:ind w:firstLine="480"/>
              <w:rPr>
                <w:color w:val="auto"/>
              </w:rPr>
            </w:pPr>
            <w:r>
              <w:rPr>
                <w:rFonts w:hint="eastAsia"/>
                <w:color w:val="auto"/>
              </w:rPr>
              <w:t>采取上述措施后，运输无组织道路扬尘排放量很小，可忽略不计。</w:t>
            </w:r>
          </w:p>
          <w:p w14:paraId="4316EF81">
            <w:pPr>
              <w:pStyle w:val="3"/>
              <w:ind w:firstLine="480"/>
              <w:rPr>
                <w:color w:val="auto"/>
              </w:rPr>
            </w:pPr>
            <w:r>
              <w:rPr>
                <w:rFonts w:hint="eastAsia"/>
                <w:color w:val="auto"/>
              </w:rPr>
              <w:t>②原料煤炭储库堆存、装卸扬尘</w:t>
            </w:r>
          </w:p>
          <w:p w14:paraId="7F3994B0">
            <w:pPr>
              <w:pStyle w:val="3"/>
              <w:ind w:firstLine="480"/>
              <w:rPr>
                <w:color w:val="auto"/>
              </w:rPr>
            </w:pPr>
            <w:r>
              <w:rPr>
                <w:rFonts w:hint="eastAsia"/>
                <w:color w:val="auto"/>
              </w:rPr>
              <w:t>原料煤炭在堆放时随风引起的扬尘、装卸时的扬尘。计算公式如下：</w:t>
            </w:r>
          </w:p>
          <w:p w14:paraId="0A0252D7">
            <w:pPr>
              <w:pStyle w:val="3"/>
              <w:ind w:firstLine="480"/>
              <w:rPr>
                <w:color w:val="auto"/>
                <w:vertAlign w:val="superscript"/>
              </w:rPr>
            </w:pPr>
            <w:r>
              <w:rPr>
                <w:color w:val="auto"/>
              </w:rPr>
              <w:t>堆存起尘：Q</w:t>
            </w:r>
            <w:r>
              <w:rPr>
                <w:color w:val="auto"/>
                <w:vertAlign w:val="subscript"/>
              </w:rPr>
              <w:t>m</w:t>
            </w:r>
            <w:r>
              <w:rPr>
                <w:color w:val="auto"/>
              </w:rPr>
              <w:t>=11.7U</w:t>
            </w:r>
            <w:r>
              <w:rPr>
                <w:color w:val="auto"/>
                <w:vertAlign w:val="superscript"/>
              </w:rPr>
              <w:t>2.45</w:t>
            </w:r>
            <w:r>
              <w:rPr>
                <w:color w:val="auto"/>
              </w:rPr>
              <w:t>·S</w:t>
            </w:r>
            <w:r>
              <w:rPr>
                <w:color w:val="auto"/>
                <w:vertAlign w:val="superscript"/>
              </w:rPr>
              <w:t>0.345</w:t>
            </w:r>
            <w:r>
              <w:rPr>
                <w:color w:val="auto"/>
              </w:rPr>
              <w:t>·e</w:t>
            </w:r>
            <w:r>
              <w:rPr>
                <w:color w:val="auto"/>
                <w:vertAlign w:val="superscript"/>
              </w:rPr>
              <w:t>-0.5w</w:t>
            </w:r>
          </w:p>
          <w:p w14:paraId="4DF83661">
            <w:pPr>
              <w:pStyle w:val="3"/>
              <w:ind w:firstLine="480"/>
              <w:rPr>
                <w:color w:val="auto"/>
                <w:vertAlign w:val="superscript"/>
              </w:rPr>
            </w:pPr>
            <w:r>
              <w:rPr>
                <w:color w:val="auto"/>
              </w:rPr>
              <w:t>装卸扬尘：Q</w:t>
            </w:r>
            <w:r>
              <w:rPr>
                <w:color w:val="auto"/>
                <w:vertAlign w:val="subscript"/>
              </w:rPr>
              <w:t>z</w:t>
            </w:r>
            <w:r>
              <w:rPr>
                <w:color w:val="auto"/>
              </w:rPr>
              <w:t>=98.8/6·M·e·</w:t>
            </w:r>
            <w:r>
              <w:rPr>
                <w:color w:val="auto"/>
                <w:vertAlign w:val="superscript"/>
              </w:rPr>
              <w:t>0.64u</w:t>
            </w:r>
            <w:r>
              <w:rPr>
                <w:color w:val="auto"/>
              </w:rPr>
              <w:t>·e</w:t>
            </w:r>
            <w:r>
              <w:rPr>
                <w:color w:val="auto"/>
                <w:vertAlign w:val="superscript"/>
              </w:rPr>
              <w:t>-0.27</w:t>
            </w:r>
            <w:r>
              <w:rPr>
                <w:color w:val="auto"/>
              </w:rPr>
              <w:t>·H</w:t>
            </w:r>
            <w:r>
              <w:rPr>
                <w:color w:val="auto"/>
                <w:vertAlign w:val="superscript"/>
              </w:rPr>
              <w:t>1.283</w:t>
            </w:r>
          </w:p>
          <w:p w14:paraId="2B8B5CE2">
            <w:pPr>
              <w:pStyle w:val="3"/>
              <w:ind w:firstLine="480"/>
              <w:rPr>
                <w:color w:val="auto"/>
              </w:rPr>
            </w:pPr>
            <w:r>
              <w:rPr>
                <w:rFonts w:hint="eastAsia"/>
                <w:color w:val="auto"/>
              </w:rPr>
              <w:t>式中：Qm—煤库起尘量，mg/s；Qz—装卸扬尘量，g/次；U—临界风速，m/s；S—煤库表面积，m</w:t>
            </w:r>
            <w:r>
              <w:rPr>
                <w:rFonts w:hint="eastAsia"/>
                <w:color w:val="auto"/>
                <w:vertAlign w:val="superscript"/>
              </w:rPr>
              <w:t>2</w:t>
            </w:r>
            <w:r>
              <w:rPr>
                <w:rFonts w:hint="eastAsia"/>
                <w:color w:val="auto"/>
              </w:rPr>
              <w:t>；（按本项目各储库面积计算）W—物料湿度；M—车辆吨位，取30t；H—装卸高度，取2m。</w:t>
            </w:r>
          </w:p>
          <w:p w14:paraId="1C770D77">
            <w:pPr>
              <w:pStyle w:val="3"/>
              <w:ind w:firstLine="480"/>
              <w:rPr>
                <w:color w:val="auto"/>
              </w:rPr>
            </w:pPr>
            <w:r>
              <w:rPr>
                <w:rFonts w:hint="eastAsia"/>
                <w:color w:val="auto"/>
              </w:rPr>
              <w:t>按以上公式进行计算：Qm=8.655mg/s=0.247t/a，Qz=1738.311g/次=2.898t/a，合计为3.145t/a。</w:t>
            </w:r>
          </w:p>
          <w:p w14:paraId="1E4C5886">
            <w:pPr>
              <w:pStyle w:val="3"/>
              <w:ind w:firstLine="480"/>
              <w:rPr>
                <w:color w:val="auto"/>
              </w:rPr>
            </w:pPr>
            <w:r>
              <w:rPr>
                <w:rFonts w:hint="eastAsia"/>
                <w:color w:val="auto"/>
              </w:rPr>
              <w:t>本扩建工程建设1座全封闭储煤库：储库占地</w:t>
            </w:r>
            <w:r>
              <w:rPr>
                <w:color w:val="auto"/>
              </w:rPr>
              <w:t>35712</w:t>
            </w:r>
            <w:r>
              <w:rPr>
                <w:rFonts w:hint="eastAsia"/>
                <w:color w:val="auto"/>
              </w:rPr>
              <w:t>m</w:t>
            </w:r>
            <w:r>
              <w:rPr>
                <w:rFonts w:hint="eastAsia"/>
                <w:color w:val="auto"/>
                <w:vertAlign w:val="superscript"/>
              </w:rPr>
              <w:t>2</w:t>
            </w:r>
            <w:r>
              <w:rPr>
                <w:rFonts w:hint="eastAsia"/>
                <w:color w:val="auto"/>
              </w:rPr>
              <w:t>，高16m。采用全封闭球形钢架结构，钢筋混凝土基础，库底部加固，库内地面硬化。设计储量为40万t煤炭。所有煤炭的储存、装卸等作业活动均在全封闭储库内进行，不露天储存或作业。</w:t>
            </w:r>
          </w:p>
          <w:p w14:paraId="71ECD70B">
            <w:pPr>
              <w:pStyle w:val="3"/>
              <w:ind w:firstLine="480"/>
              <w:rPr>
                <w:color w:val="auto"/>
              </w:rPr>
            </w:pPr>
            <w:r>
              <w:rPr>
                <w:rFonts w:hint="eastAsia"/>
                <w:color w:val="auto"/>
              </w:rPr>
              <w:t>同时要求煤炭在库内限制堆放高度，堆存高度不超过8m，非采暖期洒水降尘。运输车辆应在储煤库内固定地点装卸，并在装卸点设置1套喷淋洒水装置。库内设置足够覆盖工作面的喷雾灭尘装置，结合库内建设情况，环评要求采用库顶喷雾装置，每套装置灭尘作业半径约为30m，共4套，分布于库顶四个边角处，可覆盖整个储库堆存作业区。另外要求储库内地面硬化，减少堆存起尘。</w:t>
            </w:r>
          </w:p>
          <w:p w14:paraId="055C2D5C">
            <w:pPr>
              <w:pStyle w:val="3"/>
              <w:ind w:firstLine="480"/>
              <w:rPr>
                <w:color w:val="auto"/>
              </w:rPr>
            </w:pPr>
            <w:r>
              <w:rPr>
                <w:rFonts w:hint="eastAsia"/>
                <w:color w:val="auto"/>
              </w:rPr>
              <w:t>通过以上措施，库内储存、装卸等工序抑尘效率可达到98%以上，排放量较小，可忽略不计。</w:t>
            </w:r>
          </w:p>
          <w:p w14:paraId="2F8BF2B4">
            <w:pPr>
              <w:pStyle w:val="3"/>
              <w:ind w:firstLine="482"/>
              <w:rPr>
                <w:b/>
                <w:bCs/>
                <w:color w:val="auto"/>
              </w:rPr>
            </w:pPr>
            <w:r>
              <w:rPr>
                <w:rFonts w:hint="eastAsia"/>
                <w:b/>
                <w:bCs/>
                <w:color w:val="auto"/>
              </w:rPr>
              <w:t>3、非正常工况</w:t>
            </w:r>
          </w:p>
          <w:p w14:paraId="4F58187C">
            <w:pPr>
              <w:pStyle w:val="3"/>
              <w:ind w:firstLine="480"/>
              <w:rPr>
                <w:color w:val="auto"/>
              </w:rPr>
            </w:pPr>
            <w:r>
              <w:rPr>
                <w:rFonts w:hint="eastAsia"/>
                <w:color w:val="auto"/>
              </w:rPr>
              <w:t>本项目不涉及废气有组织排放，不存在非正常工况。</w:t>
            </w:r>
          </w:p>
          <w:p w14:paraId="422071A4">
            <w:pPr>
              <w:pStyle w:val="3"/>
              <w:ind w:firstLine="482"/>
              <w:rPr>
                <w:b/>
                <w:bCs/>
                <w:color w:val="auto"/>
              </w:rPr>
            </w:pPr>
            <w:r>
              <w:rPr>
                <w:rFonts w:hint="eastAsia"/>
                <w:b/>
                <w:bCs/>
                <w:color w:val="auto"/>
              </w:rPr>
              <w:t>4、废气污染防治措施</w:t>
            </w:r>
          </w:p>
          <w:p w14:paraId="56827F41">
            <w:pPr>
              <w:pStyle w:val="3"/>
              <w:ind w:firstLine="480"/>
              <w:rPr>
                <w:color w:val="auto"/>
              </w:rPr>
            </w:pPr>
            <w:r>
              <w:rPr>
                <w:rFonts w:hint="eastAsia"/>
                <w:color w:val="auto"/>
              </w:rPr>
              <w:t>1）废气治理措施</w:t>
            </w:r>
          </w:p>
          <w:p w14:paraId="51109011">
            <w:pPr>
              <w:pStyle w:val="3"/>
              <w:ind w:firstLine="480"/>
              <w:rPr>
                <w:color w:val="auto"/>
              </w:rPr>
            </w:pPr>
            <w:r>
              <w:rPr>
                <w:rFonts w:hint="eastAsia"/>
                <w:color w:val="auto"/>
              </w:rPr>
              <w:t>（1）设置雾化洒水喷头，对各起尘点进行干雾抑尘，保障煤炭湿度，减低装卸过程中的起尘量。该系统由水箱、加压泵、洒水管道、手动阀、电磁阀、止回阀、流量计、以及数组喷嘴组成，在司机室集中操作。</w:t>
            </w:r>
          </w:p>
          <w:p w14:paraId="08E6CB75">
            <w:pPr>
              <w:pStyle w:val="3"/>
              <w:ind w:firstLine="480"/>
              <w:rPr>
                <w:color w:val="auto"/>
              </w:rPr>
            </w:pPr>
            <w:r>
              <w:rPr>
                <w:rFonts w:hint="eastAsia"/>
                <w:color w:val="auto"/>
              </w:rPr>
              <w:t>（2）集装箱自动化系统采用密封输送，基本可避免皮带输送带来的煤尘污染。</w:t>
            </w:r>
          </w:p>
          <w:p w14:paraId="1917F7FC">
            <w:pPr>
              <w:pStyle w:val="3"/>
              <w:ind w:firstLine="480"/>
              <w:rPr>
                <w:color w:val="auto"/>
              </w:rPr>
            </w:pPr>
            <w:r>
              <w:rPr>
                <w:rFonts w:hint="eastAsia"/>
                <w:color w:val="auto"/>
              </w:rPr>
              <w:t>（3）在转运点处均设置干雾除尘喷嘴进行洒水抑尘。</w:t>
            </w:r>
          </w:p>
          <w:p w14:paraId="45683412">
            <w:pPr>
              <w:pStyle w:val="3"/>
              <w:ind w:firstLine="480"/>
              <w:rPr>
                <w:color w:val="auto"/>
              </w:rPr>
            </w:pPr>
            <w:r>
              <w:rPr>
                <w:rFonts w:hint="eastAsia"/>
                <w:color w:val="auto"/>
              </w:rPr>
              <w:t>（4）项目共有2个封闭式煤棚，内设喷淋设施，网架结构，1层，檐口高31.3m。封闭式煤棚是储煤场中常用存储煤的一种大型煤棚，即是把露天料场用大跨度结构遮挡起来，以防止煤炭在雨天时受淋而增大水分和刮风时污染环境。煤棚结构要求跨度大、净空高，其长度和宽度是根据储量来确定，而结构的高度则由煤场设备或堆煤的高度确定。四周封闭起来，以实现全部煤场的封闭。本项目煤棚主要有钢平板网架、曲面网壳和目前新兴的骨架膜一膜结构外围护煤棚。</w:t>
            </w:r>
          </w:p>
          <w:p w14:paraId="69CA5603">
            <w:pPr>
              <w:pStyle w:val="3"/>
              <w:ind w:firstLine="480"/>
              <w:rPr>
                <w:color w:val="auto"/>
              </w:rPr>
            </w:pPr>
            <w:r>
              <w:rPr>
                <w:rFonts w:hint="eastAsia"/>
                <w:color w:val="auto"/>
              </w:rPr>
              <w:t>经上述措施处理后，项目厂界无组织粉尘可以满足《煤炭工业污染物排放标准》（GB20426-2006）。</w:t>
            </w:r>
          </w:p>
          <w:p w14:paraId="2D59BABD">
            <w:pPr>
              <w:pStyle w:val="3"/>
              <w:ind w:firstLine="480"/>
              <w:rPr>
                <w:color w:val="auto"/>
              </w:rPr>
            </w:pPr>
            <w:r>
              <w:rPr>
                <w:rFonts w:hint="eastAsia"/>
                <w:color w:val="auto"/>
              </w:rPr>
              <w:t>2）治理措施可行性</w:t>
            </w:r>
          </w:p>
          <w:p w14:paraId="75A9A36C">
            <w:pPr>
              <w:pStyle w:val="3"/>
              <w:ind w:firstLine="480"/>
              <w:rPr>
                <w:color w:val="auto"/>
              </w:rPr>
            </w:pPr>
            <w:r>
              <w:rPr>
                <w:rFonts w:hint="eastAsia"/>
                <w:color w:val="auto"/>
              </w:rPr>
              <w:t>参考《排污许可证申请与核发技术规范 煤炭加工-合成气和液体燃料生产》HJ1101-2020中污染防治可行技术进行分析。</w:t>
            </w:r>
          </w:p>
          <w:p w14:paraId="50E5AC80">
            <w:pPr>
              <w:pStyle w:val="49"/>
              <w:rPr>
                <w:color w:val="auto"/>
              </w:rPr>
            </w:pPr>
            <w:r>
              <w:rPr>
                <w:rFonts w:hint="eastAsia"/>
                <w:color w:val="auto"/>
              </w:rPr>
              <w:t xml:space="preserve">表4- </w:t>
            </w:r>
            <w:r>
              <w:rPr>
                <w:color w:val="auto"/>
              </w:rPr>
              <w:t>3</w:t>
            </w:r>
            <w:r>
              <w:rPr>
                <w:rFonts w:hint="eastAsia"/>
                <w:color w:val="auto"/>
              </w:rPr>
              <w:t>：煤炭加工排污单位废气污染防治可行技术比对表</w:t>
            </w:r>
          </w:p>
          <w:tbl>
            <w:tblPr>
              <w:tblStyle w:val="5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373"/>
              <w:gridCol w:w="909"/>
              <w:gridCol w:w="1713"/>
              <w:gridCol w:w="1089"/>
              <w:gridCol w:w="1876"/>
              <w:gridCol w:w="956"/>
            </w:tblGrid>
            <w:tr w14:paraId="6B2AB6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995" w:type="dxa"/>
                  <w:gridSpan w:val="3"/>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189E1A8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参照《排污许可证申请与核发技术规范 工煤炭加工-合成气和液体燃料生产》HJ1101-2020可行技术要求</w:t>
                  </w:r>
                </w:p>
              </w:tc>
              <w:tc>
                <w:tcPr>
                  <w:tcW w:w="2965" w:type="dxa"/>
                  <w:gridSpan w:val="2"/>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46D806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本项目</w:t>
                  </w:r>
                </w:p>
              </w:tc>
              <w:tc>
                <w:tcPr>
                  <w:tcW w:w="956" w:type="dxa"/>
                  <w:tcBorders>
                    <w:top w:val="single" w:color="auto" w:sz="12" w:space="0"/>
                    <w:bottom w:val="single" w:color="auto" w:sz="12" w:space="0"/>
                    <w:right w:val="nil"/>
                    <w:insideH w:val="single" w:sz="12" w:space="0"/>
                    <w:insideV w:val="single" w:sz="4" w:space="0"/>
                    <w:tl2br w:val="nil"/>
                    <w:tr2bl w:val="nil"/>
                  </w:tcBorders>
                  <w:vAlign w:val="center"/>
                </w:tcPr>
                <w:p w14:paraId="77E36F1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可行性分析</w:t>
                  </w:r>
                </w:p>
              </w:tc>
            </w:tr>
            <w:tr w14:paraId="434B7D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373" w:type="dxa"/>
                  <w:vAlign w:val="center"/>
                </w:tcPr>
                <w:p w14:paraId="609DB14D">
                  <w:pPr>
                    <w:widowControl w:val="0"/>
                    <w:overflowPunct w:val="0"/>
                    <w:autoSpaceDE w:val="0"/>
                    <w:autoSpaceDN w:val="0"/>
                    <w:snapToGrid w:val="0"/>
                    <w:jc w:val="center"/>
                    <w:rPr>
                      <w:color w:val="auto"/>
                      <w14:ligatures w14:val="standardContextual"/>
                    </w:rPr>
                  </w:pPr>
                  <w:r>
                    <w:rPr>
                      <w:rFonts w:hint="eastAsia"/>
                      <w:color w:val="auto"/>
                      <w14:ligatures w14:val="standardContextual"/>
                    </w:rPr>
                    <w:t>生产</w:t>
                  </w:r>
                  <w:r>
                    <w:rPr>
                      <w:color w:val="auto"/>
                      <w14:ligatures w14:val="standardContextual"/>
                    </w:rPr>
                    <w:t>单元</w:t>
                  </w:r>
                </w:p>
              </w:tc>
              <w:tc>
                <w:tcPr>
                  <w:tcW w:w="2622" w:type="dxa"/>
                  <w:gridSpan w:val="2"/>
                  <w:vAlign w:val="center"/>
                </w:tcPr>
                <w:p w14:paraId="1CA7B5E9">
                  <w:pPr>
                    <w:widowControl w:val="0"/>
                    <w:overflowPunct w:val="0"/>
                    <w:autoSpaceDE w:val="0"/>
                    <w:autoSpaceDN w:val="0"/>
                    <w:snapToGrid w:val="0"/>
                    <w:jc w:val="center"/>
                    <w:rPr>
                      <w:color w:val="auto"/>
                      <w14:ligatures w14:val="standardContextual"/>
                    </w:rPr>
                  </w:pPr>
                  <w:r>
                    <w:rPr>
                      <w:color w:val="auto"/>
                      <w14:ligatures w14:val="standardContextual"/>
                    </w:rPr>
                    <w:t>原料煤储存系统</w:t>
                  </w:r>
                </w:p>
              </w:tc>
              <w:tc>
                <w:tcPr>
                  <w:tcW w:w="2965" w:type="dxa"/>
                  <w:gridSpan w:val="2"/>
                  <w:vAlign w:val="center"/>
                </w:tcPr>
                <w:p w14:paraId="68FA6470">
                  <w:pPr>
                    <w:widowControl w:val="0"/>
                    <w:overflowPunct w:val="0"/>
                    <w:autoSpaceDE w:val="0"/>
                    <w:autoSpaceDN w:val="0"/>
                    <w:snapToGrid w:val="0"/>
                    <w:jc w:val="center"/>
                    <w:rPr>
                      <w:color w:val="auto"/>
                      <w14:ligatures w14:val="standardContextual"/>
                    </w:rPr>
                  </w:pPr>
                  <w:r>
                    <w:rPr>
                      <w:rFonts w:hint="eastAsia"/>
                      <w:color w:val="auto"/>
                      <w14:ligatures w14:val="standardContextual"/>
                    </w:rPr>
                    <w:t>储煤库、筒仓</w:t>
                  </w:r>
                </w:p>
              </w:tc>
              <w:tc>
                <w:tcPr>
                  <w:tcW w:w="956" w:type="dxa"/>
                  <w:vAlign w:val="center"/>
                </w:tcPr>
                <w:p w14:paraId="68EC10C0">
                  <w:pPr>
                    <w:widowControl w:val="0"/>
                    <w:overflowPunct w:val="0"/>
                    <w:autoSpaceDE w:val="0"/>
                    <w:autoSpaceDN w:val="0"/>
                    <w:snapToGrid w:val="0"/>
                    <w:jc w:val="center"/>
                    <w:rPr>
                      <w:color w:val="auto"/>
                      <w14:ligatures w14:val="standardContextual"/>
                    </w:rPr>
                  </w:pPr>
                  <w:r>
                    <w:rPr>
                      <w:rFonts w:hint="eastAsia"/>
                      <w:color w:val="auto"/>
                      <w14:ligatures w14:val="standardContextual"/>
                    </w:rPr>
                    <w:t>-</w:t>
                  </w:r>
                </w:p>
              </w:tc>
            </w:tr>
            <w:tr w14:paraId="11AD81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373" w:type="dxa"/>
                  <w:vAlign w:val="center"/>
                </w:tcPr>
                <w:p w14:paraId="42188D9A">
                  <w:pPr>
                    <w:widowControl w:val="0"/>
                    <w:overflowPunct w:val="0"/>
                    <w:autoSpaceDE w:val="0"/>
                    <w:autoSpaceDN w:val="0"/>
                    <w:snapToGrid w:val="0"/>
                    <w:jc w:val="center"/>
                    <w:rPr>
                      <w:color w:val="auto"/>
                      <w14:ligatures w14:val="standardContextual"/>
                    </w:rPr>
                  </w:pPr>
                  <w:r>
                    <w:rPr>
                      <w:color w:val="auto"/>
                      <w14:ligatures w14:val="standardContextual"/>
                    </w:rPr>
                    <w:t>产污环节</w:t>
                  </w:r>
                </w:p>
              </w:tc>
              <w:tc>
                <w:tcPr>
                  <w:tcW w:w="2622" w:type="dxa"/>
                  <w:gridSpan w:val="2"/>
                  <w:vAlign w:val="center"/>
                </w:tcPr>
                <w:p w14:paraId="42FD2B35">
                  <w:pPr>
                    <w:widowControl w:val="0"/>
                    <w:overflowPunct w:val="0"/>
                    <w:autoSpaceDE w:val="0"/>
                    <w:autoSpaceDN w:val="0"/>
                    <w:snapToGrid w:val="0"/>
                    <w:jc w:val="center"/>
                    <w:rPr>
                      <w:color w:val="auto"/>
                      <w14:ligatures w14:val="standardContextual"/>
                    </w:rPr>
                  </w:pPr>
                  <w:r>
                    <w:rPr>
                      <w:rFonts w:hint="eastAsia"/>
                      <w:color w:val="auto"/>
                      <w14:ligatures w14:val="standardContextual"/>
                    </w:rPr>
                    <w:t>储存、装卸</w:t>
                  </w:r>
                </w:p>
              </w:tc>
              <w:tc>
                <w:tcPr>
                  <w:tcW w:w="2965" w:type="dxa"/>
                  <w:gridSpan w:val="2"/>
                  <w:vAlign w:val="center"/>
                </w:tcPr>
                <w:p w14:paraId="056F5711">
                  <w:pPr>
                    <w:widowControl w:val="0"/>
                    <w:overflowPunct w:val="0"/>
                    <w:autoSpaceDE w:val="0"/>
                    <w:autoSpaceDN w:val="0"/>
                    <w:snapToGrid w:val="0"/>
                    <w:jc w:val="center"/>
                    <w:rPr>
                      <w:color w:val="auto"/>
                      <w14:ligatures w14:val="standardContextual"/>
                    </w:rPr>
                  </w:pPr>
                  <w:r>
                    <w:rPr>
                      <w:rFonts w:hint="eastAsia"/>
                      <w:color w:val="auto"/>
                      <w14:ligatures w14:val="standardContextual"/>
                    </w:rPr>
                    <w:t>储存、装卸</w:t>
                  </w:r>
                </w:p>
              </w:tc>
              <w:tc>
                <w:tcPr>
                  <w:tcW w:w="956" w:type="dxa"/>
                  <w:vAlign w:val="center"/>
                </w:tcPr>
                <w:p w14:paraId="1B6BCD3E">
                  <w:pPr>
                    <w:widowControl w:val="0"/>
                    <w:overflowPunct w:val="0"/>
                    <w:autoSpaceDE w:val="0"/>
                    <w:autoSpaceDN w:val="0"/>
                    <w:snapToGrid w:val="0"/>
                    <w:jc w:val="center"/>
                    <w:rPr>
                      <w:color w:val="auto"/>
                      <w14:ligatures w14:val="standardContextual"/>
                    </w:rPr>
                  </w:pPr>
                  <w:r>
                    <w:rPr>
                      <w:rFonts w:hint="eastAsia"/>
                      <w:color w:val="auto"/>
                      <w14:ligatures w14:val="standardContextual"/>
                    </w:rPr>
                    <w:t>-</w:t>
                  </w:r>
                </w:p>
              </w:tc>
            </w:tr>
            <w:tr w14:paraId="617681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76" w:hRule="atLeast"/>
                <w:jc w:val="center"/>
              </w:trPr>
              <w:tc>
                <w:tcPr>
                  <w:tcW w:w="1373" w:type="dxa"/>
                  <w:vAlign w:val="center"/>
                </w:tcPr>
                <w:p w14:paraId="484D7A91">
                  <w:pPr>
                    <w:widowControl w:val="0"/>
                    <w:overflowPunct w:val="0"/>
                    <w:autoSpaceDE w:val="0"/>
                    <w:autoSpaceDN w:val="0"/>
                    <w:snapToGrid w:val="0"/>
                    <w:jc w:val="center"/>
                    <w:rPr>
                      <w:color w:val="auto"/>
                      <w14:ligatures w14:val="standardContextual"/>
                    </w:rPr>
                  </w:pPr>
                  <w:r>
                    <w:rPr>
                      <w:color w:val="auto"/>
                      <w14:ligatures w14:val="standardContextual"/>
                    </w:rPr>
                    <w:t>颗粒物</w:t>
                  </w:r>
                </w:p>
              </w:tc>
              <w:tc>
                <w:tcPr>
                  <w:tcW w:w="909" w:type="dxa"/>
                  <w:vAlign w:val="center"/>
                </w:tcPr>
                <w:p w14:paraId="5F63E491">
                  <w:pPr>
                    <w:widowControl w:val="0"/>
                    <w:overflowPunct w:val="0"/>
                    <w:autoSpaceDE w:val="0"/>
                    <w:autoSpaceDN w:val="0"/>
                    <w:snapToGrid w:val="0"/>
                    <w:jc w:val="center"/>
                    <w:rPr>
                      <w:color w:val="auto"/>
                      <w14:ligatures w14:val="standardContextual"/>
                    </w:rPr>
                  </w:pPr>
                  <w:r>
                    <w:rPr>
                      <w:rFonts w:hint="eastAsia"/>
                      <w:color w:val="auto"/>
                      <w14:ligatures w14:val="standardContextual"/>
                    </w:rPr>
                    <w:t>煤</w:t>
                  </w:r>
                  <w:r>
                    <w:rPr>
                      <w:color w:val="auto"/>
                      <w14:ligatures w14:val="standardContextual"/>
                    </w:rPr>
                    <w:t>堆场</w:t>
                  </w:r>
                </w:p>
              </w:tc>
              <w:tc>
                <w:tcPr>
                  <w:tcW w:w="1713" w:type="dxa"/>
                  <w:vAlign w:val="center"/>
                </w:tcPr>
                <w:p w14:paraId="16446AFE">
                  <w:pPr>
                    <w:widowControl w:val="0"/>
                    <w:overflowPunct w:val="0"/>
                    <w:autoSpaceDE w:val="0"/>
                    <w:autoSpaceDN w:val="0"/>
                    <w:snapToGrid w:val="0"/>
                    <w:jc w:val="center"/>
                    <w:rPr>
                      <w:color w:val="auto"/>
                      <w14:ligatures w14:val="standardContextual"/>
                    </w:rPr>
                  </w:pPr>
                  <w:r>
                    <w:rPr>
                      <w:color w:val="auto"/>
                      <w14:ligatures w14:val="standardContextual"/>
                    </w:rPr>
                    <w:t>封闭</w:t>
                  </w:r>
                </w:p>
              </w:tc>
              <w:tc>
                <w:tcPr>
                  <w:tcW w:w="1089" w:type="dxa"/>
                  <w:vAlign w:val="center"/>
                </w:tcPr>
                <w:p w14:paraId="59C93D5B">
                  <w:pPr>
                    <w:widowControl w:val="0"/>
                    <w:overflowPunct w:val="0"/>
                    <w:autoSpaceDE w:val="0"/>
                    <w:autoSpaceDN w:val="0"/>
                    <w:snapToGrid w:val="0"/>
                    <w:jc w:val="center"/>
                    <w:rPr>
                      <w:color w:val="auto"/>
                      <w14:ligatures w14:val="standardContextual"/>
                    </w:rPr>
                  </w:pPr>
                  <w:r>
                    <w:rPr>
                      <w:rFonts w:hint="eastAsia"/>
                      <w:color w:val="auto"/>
                      <w14:ligatures w14:val="standardContextual"/>
                    </w:rPr>
                    <w:t>煤棚</w:t>
                  </w:r>
                </w:p>
              </w:tc>
              <w:tc>
                <w:tcPr>
                  <w:tcW w:w="1876" w:type="dxa"/>
                  <w:vAlign w:val="center"/>
                </w:tcPr>
                <w:p w14:paraId="1843B6E9">
                  <w:pPr>
                    <w:widowControl w:val="0"/>
                    <w:overflowPunct w:val="0"/>
                    <w:autoSpaceDE w:val="0"/>
                    <w:autoSpaceDN w:val="0"/>
                    <w:snapToGrid w:val="0"/>
                    <w:jc w:val="center"/>
                    <w:rPr>
                      <w:color w:val="auto"/>
                      <w14:ligatures w14:val="standardContextual"/>
                    </w:rPr>
                  </w:pPr>
                  <w:r>
                    <w:rPr>
                      <w:color w:val="auto"/>
                      <w14:ligatures w14:val="standardContextual"/>
                    </w:rPr>
                    <w:t>全封闭</w:t>
                  </w:r>
                  <w:r>
                    <w:rPr>
                      <w:rFonts w:hint="eastAsia"/>
                      <w:color w:val="auto"/>
                      <w14:ligatures w14:val="standardContextual"/>
                    </w:rPr>
                    <w:t>+</w:t>
                  </w:r>
                  <w:r>
                    <w:rPr>
                      <w:color w:val="auto"/>
                      <w14:ligatures w14:val="standardContextual"/>
                    </w:rPr>
                    <w:t>喷雾降尘</w:t>
                  </w:r>
                </w:p>
              </w:tc>
              <w:tc>
                <w:tcPr>
                  <w:tcW w:w="956" w:type="dxa"/>
                  <w:vAlign w:val="center"/>
                </w:tcPr>
                <w:p w14:paraId="78CCBCDE">
                  <w:pPr>
                    <w:widowControl w:val="0"/>
                    <w:overflowPunct w:val="0"/>
                    <w:autoSpaceDE w:val="0"/>
                    <w:autoSpaceDN w:val="0"/>
                    <w:snapToGrid w:val="0"/>
                    <w:jc w:val="center"/>
                    <w:rPr>
                      <w:color w:val="auto"/>
                      <w14:ligatures w14:val="standardContextual"/>
                    </w:rPr>
                  </w:pPr>
                  <w:r>
                    <w:rPr>
                      <w:color w:val="auto"/>
                      <w14:ligatures w14:val="standardContextual"/>
                    </w:rPr>
                    <w:t>可行</w:t>
                  </w:r>
                </w:p>
              </w:tc>
            </w:tr>
          </w:tbl>
          <w:p w14:paraId="08D9D199">
            <w:pPr>
              <w:pStyle w:val="3"/>
              <w:ind w:firstLine="480"/>
              <w:rPr>
                <w:color w:val="auto"/>
              </w:rPr>
            </w:pPr>
            <w:r>
              <w:rPr>
                <w:rFonts w:hint="eastAsia"/>
                <w:color w:val="auto"/>
              </w:rPr>
              <w:t>综上所述，本项目拟选废气污染防治措施可行。</w:t>
            </w:r>
          </w:p>
          <w:p w14:paraId="581B3CB2">
            <w:pPr>
              <w:pStyle w:val="3"/>
              <w:ind w:firstLine="482"/>
              <w:rPr>
                <w:b/>
                <w:bCs/>
                <w:color w:val="auto"/>
              </w:rPr>
            </w:pPr>
            <w:r>
              <w:rPr>
                <w:rFonts w:hint="eastAsia"/>
                <w:b/>
                <w:bCs/>
                <w:color w:val="auto"/>
              </w:rPr>
              <w:t>5、跟踪监测要求</w:t>
            </w:r>
          </w:p>
          <w:p w14:paraId="65E80FAF">
            <w:pPr>
              <w:pStyle w:val="3"/>
              <w:ind w:firstLine="480"/>
              <w:rPr>
                <w:color w:val="auto"/>
              </w:rPr>
            </w:pPr>
            <w:r>
              <w:rPr>
                <w:rFonts w:hint="eastAsia"/>
                <w:color w:val="auto"/>
              </w:rPr>
              <w:t>参考《排污许可证申请与核发技术规范 煤炭加工-合成气和液体燃料生产》HJ1101-2020，运营期废气污染源监测计划，见下表：</w:t>
            </w:r>
          </w:p>
          <w:p w14:paraId="5F0CDA58">
            <w:pPr>
              <w:pStyle w:val="49"/>
              <w:rPr>
                <w:color w:val="auto"/>
              </w:rPr>
            </w:pPr>
            <w:r>
              <w:rPr>
                <w:rFonts w:hint="eastAsia"/>
                <w:color w:val="auto"/>
              </w:rPr>
              <w:t xml:space="preserve">表4- </w:t>
            </w:r>
            <w:r>
              <w:rPr>
                <w:color w:val="auto"/>
              </w:rPr>
              <w:t>7</w:t>
            </w:r>
            <w:r>
              <w:rPr>
                <w:rFonts w:hint="eastAsia"/>
                <w:color w:val="auto"/>
              </w:rPr>
              <w:t>：废气监测计划</w:t>
            </w:r>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342"/>
              <w:gridCol w:w="2126"/>
              <w:gridCol w:w="1419"/>
              <w:gridCol w:w="3056"/>
            </w:tblGrid>
            <w:tr w14:paraId="29E837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845"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61DC8B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排放形式</w:t>
                  </w:r>
                </w:p>
              </w:tc>
              <w:tc>
                <w:tcPr>
                  <w:tcW w:w="1338"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FA9F2D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监测项目</w:t>
                  </w:r>
                </w:p>
              </w:tc>
              <w:tc>
                <w:tcPr>
                  <w:tcW w:w="893"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5D509B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监测点位</w:t>
                  </w:r>
                </w:p>
              </w:tc>
              <w:tc>
                <w:tcPr>
                  <w:tcW w:w="1924" w:type="pct"/>
                  <w:tcBorders>
                    <w:top w:val="single" w:color="auto" w:sz="12" w:space="0"/>
                    <w:bottom w:val="single" w:color="auto" w:sz="12" w:space="0"/>
                    <w:right w:val="nil"/>
                    <w:insideH w:val="single" w:sz="12" w:space="0"/>
                    <w:insideV w:val="single" w:sz="4" w:space="0"/>
                    <w:tl2br w:val="nil"/>
                    <w:tr2bl w:val="nil"/>
                  </w:tcBorders>
                  <w:vAlign w:val="center"/>
                </w:tcPr>
                <w:p w14:paraId="08E206B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监测频次</w:t>
                  </w:r>
                </w:p>
              </w:tc>
            </w:tr>
            <w:tr w14:paraId="125CD6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845" w:type="pct"/>
                  <w:tcBorders>
                    <w:bottom w:val="single" w:color="auto" w:sz="12" w:space="0"/>
                    <w:insideH w:val="single" w:sz="12" w:space="0"/>
                  </w:tcBorders>
                  <w:vAlign w:val="center"/>
                </w:tcPr>
                <w:p w14:paraId="0214FAB0">
                  <w:pPr>
                    <w:widowControl w:val="0"/>
                    <w:overflowPunct w:val="0"/>
                    <w:autoSpaceDE w:val="0"/>
                    <w:autoSpaceDN w:val="0"/>
                    <w:snapToGrid w:val="0"/>
                    <w:jc w:val="center"/>
                    <w:rPr>
                      <w:color w:val="auto"/>
                      <w14:ligatures w14:val="standardContextual"/>
                    </w:rPr>
                  </w:pPr>
                  <w:r>
                    <w:rPr>
                      <w:rFonts w:hint="eastAsia"/>
                      <w:color w:val="auto"/>
                      <w14:ligatures w14:val="standardContextual"/>
                    </w:rPr>
                    <w:t>无组织</w:t>
                  </w:r>
                </w:p>
              </w:tc>
              <w:tc>
                <w:tcPr>
                  <w:tcW w:w="1338" w:type="pct"/>
                  <w:tcBorders>
                    <w:bottom w:val="single" w:color="auto" w:sz="12" w:space="0"/>
                    <w:insideH w:val="single" w:sz="12" w:space="0"/>
                  </w:tcBorders>
                  <w:vAlign w:val="center"/>
                </w:tcPr>
                <w:p w14:paraId="79E1D9CC">
                  <w:pPr>
                    <w:widowControl w:val="0"/>
                    <w:overflowPunct w:val="0"/>
                    <w:autoSpaceDE w:val="0"/>
                    <w:autoSpaceDN w:val="0"/>
                    <w:snapToGrid w:val="0"/>
                    <w:jc w:val="center"/>
                    <w:rPr>
                      <w:color w:val="auto"/>
                      <w14:ligatures w14:val="standardContextual"/>
                    </w:rPr>
                  </w:pPr>
                  <w:r>
                    <w:rPr>
                      <w:rFonts w:hint="eastAsia"/>
                      <w:color w:val="auto"/>
                      <w14:ligatures w14:val="standardContextual"/>
                    </w:rPr>
                    <w:t>颗粒物</w:t>
                  </w:r>
                </w:p>
              </w:tc>
              <w:tc>
                <w:tcPr>
                  <w:tcW w:w="893" w:type="pct"/>
                  <w:tcBorders>
                    <w:bottom w:val="single" w:color="auto" w:sz="12" w:space="0"/>
                    <w:insideH w:val="single" w:sz="12" w:space="0"/>
                  </w:tcBorders>
                  <w:vAlign w:val="center"/>
                </w:tcPr>
                <w:p w14:paraId="686D593A">
                  <w:pPr>
                    <w:widowControl w:val="0"/>
                    <w:overflowPunct w:val="0"/>
                    <w:autoSpaceDE w:val="0"/>
                    <w:autoSpaceDN w:val="0"/>
                    <w:snapToGrid w:val="0"/>
                    <w:jc w:val="center"/>
                    <w:rPr>
                      <w:color w:val="auto"/>
                      <w14:ligatures w14:val="standardContextual"/>
                    </w:rPr>
                  </w:pPr>
                  <w:r>
                    <w:rPr>
                      <w:rFonts w:hint="eastAsia"/>
                      <w:color w:val="auto"/>
                      <w14:ligatures w14:val="standardContextual"/>
                    </w:rPr>
                    <w:t>厂界</w:t>
                  </w:r>
                </w:p>
              </w:tc>
              <w:tc>
                <w:tcPr>
                  <w:tcW w:w="1924" w:type="pct"/>
                  <w:tcBorders>
                    <w:bottom w:val="single" w:color="auto" w:sz="12" w:space="0"/>
                    <w:insideH w:val="single" w:sz="12" w:space="0"/>
                  </w:tcBorders>
                  <w:vAlign w:val="center"/>
                </w:tcPr>
                <w:p w14:paraId="4604E90D">
                  <w:pPr>
                    <w:widowControl w:val="0"/>
                    <w:overflowPunct w:val="0"/>
                    <w:autoSpaceDE w:val="0"/>
                    <w:autoSpaceDN w:val="0"/>
                    <w:snapToGrid w:val="0"/>
                    <w:jc w:val="center"/>
                    <w:rPr>
                      <w:color w:val="auto"/>
                      <w14:ligatures w14:val="standardContextual"/>
                    </w:rPr>
                  </w:pPr>
                  <w:r>
                    <w:rPr>
                      <w:rFonts w:hint="eastAsia"/>
                      <w:color w:val="auto"/>
                      <w14:ligatures w14:val="standardContextual"/>
                    </w:rPr>
                    <w:t>每季度1次</w:t>
                  </w:r>
                </w:p>
              </w:tc>
            </w:tr>
          </w:tbl>
          <w:p w14:paraId="6EAB7381">
            <w:pPr>
              <w:pStyle w:val="3"/>
              <w:ind w:firstLine="482"/>
              <w:rPr>
                <w:b/>
                <w:bCs/>
                <w:color w:val="auto"/>
              </w:rPr>
            </w:pPr>
            <w:r>
              <w:rPr>
                <w:rFonts w:hint="eastAsia"/>
                <w:b/>
                <w:bCs/>
                <w:color w:val="auto"/>
              </w:rPr>
              <w:t>6、大气环境影响评价结论</w:t>
            </w:r>
          </w:p>
          <w:p w14:paraId="5072339F">
            <w:pPr>
              <w:pStyle w:val="3"/>
              <w:ind w:firstLine="480"/>
              <w:rPr>
                <w:color w:val="auto"/>
              </w:rPr>
            </w:pPr>
            <w:r>
              <w:rPr>
                <w:rFonts w:hint="eastAsia"/>
                <w:color w:val="auto"/>
              </w:rPr>
              <w:t>本项目营运期废气主要为煤炭堆存、装卸、运输等产生的无组织扬尘。经过本文提出的要求，对煤炭入库堆存、装卸，洒水降尘、库内地面硬化等措施；运输道路地面硬化，加强厂区绿化、洒水抑尘，另外要求厂区作业加强管理，提高从业人员技术水平等多项措施进行防治大气污染。此措施在大多数同类型煤炭储运项目使用较为普遍，实用性较高，防治效果明显，合理可行，因此本项目废气排放对周边环境影响可接受。</w:t>
            </w:r>
          </w:p>
          <w:p w14:paraId="30F4D48A">
            <w:pPr>
              <w:pStyle w:val="7"/>
              <w:rPr>
                <w:color w:val="auto"/>
              </w:rPr>
            </w:pPr>
            <w:r>
              <w:rPr>
                <w:rFonts w:hint="eastAsia"/>
                <w:color w:val="auto"/>
              </w:rPr>
              <w:t>二、废水</w:t>
            </w:r>
          </w:p>
          <w:p w14:paraId="6076292C">
            <w:pPr>
              <w:pStyle w:val="3"/>
              <w:ind w:firstLine="482"/>
              <w:rPr>
                <w:b/>
                <w:bCs/>
                <w:color w:val="auto"/>
              </w:rPr>
            </w:pPr>
            <w:r>
              <w:rPr>
                <w:rFonts w:hint="eastAsia"/>
                <w:b/>
                <w:bCs/>
                <w:color w:val="auto"/>
              </w:rPr>
              <w:t>1、废水产生及治理情况</w:t>
            </w:r>
          </w:p>
          <w:p w14:paraId="22E256B6">
            <w:pPr>
              <w:pStyle w:val="3"/>
              <w:ind w:firstLine="480"/>
              <w:rPr>
                <w:color w:val="auto"/>
              </w:rPr>
            </w:pPr>
            <w:r>
              <w:rPr>
                <w:rFonts w:hint="eastAsia"/>
                <w:color w:val="auto"/>
              </w:rPr>
              <w:t>根据建设项目工程分析章节水平衡分析可知：项目运营期主要的废水污染为生活污水。</w:t>
            </w:r>
          </w:p>
          <w:p w14:paraId="3A0A6168">
            <w:pPr>
              <w:pStyle w:val="49"/>
              <w:rPr>
                <w:color w:val="auto"/>
              </w:rPr>
            </w:pPr>
            <w:bookmarkStart w:id="34" w:name="_Ref173003040"/>
            <w:bookmarkStart w:id="35" w:name="_Ref176946665"/>
            <w:r>
              <w:rPr>
                <w:rFonts w:hint="eastAsia"/>
                <w:color w:val="auto"/>
              </w:rPr>
              <w:t xml:space="preserve">表4- </w:t>
            </w:r>
            <w:r>
              <w:rPr>
                <w:color w:val="auto"/>
              </w:rPr>
              <w:t>8</w:t>
            </w:r>
            <w:bookmarkEnd w:id="34"/>
            <w:r>
              <w:rPr>
                <w:rFonts w:hint="eastAsia"/>
                <w:color w:val="auto"/>
              </w:rPr>
              <w:t>：废水产生治理排放情况一览表</w:t>
            </w:r>
            <w:bookmarkEnd w:id="35"/>
          </w:p>
          <w:tbl>
            <w:tblPr>
              <w:tblStyle w:val="50"/>
              <w:tblW w:w="7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55"/>
              <w:gridCol w:w="1169"/>
              <w:gridCol w:w="968"/>
              <w:gridCol w:w="854"/>
              <w:gridCol w:w="1471"/>
              <w:gridCol w:w="1014"/>
              <w:gridCol w:w="1021"/>
              <w:gridCol w:w="886"/>
            </w:tblGrid>
            <w:tr w14:paraId="4EDCF3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089" w:hRule="atLeast"/>
                <w:jc w:val="center"/>
              </w:trPr>
              <w:tc>
                <w:tcPr>
                  <w:tcW w:w="555" w:type="dxa"/>
                  <w:tcBorders>
                    <w:top w:val="single" w:color="auto" w:sz="12" w:space="0"/>
                    <w:left w:val="nil"/>
                    <w:bottom w:val="single" w:color="auto" w:sz="12" w:space="0"/>
                    <w:right w:val="single" w:color="auto" w:sz="4" w:space="0"/>
                    <w:insideH w:val="single" w:sz="12" w:space="0"/>
                    <w:insideV w:val="single" w:sz="4" w:space="0"/>
                    <w:tl2br w:val="nil"/>
                    <w:tr2bl w:val="nil"/>
                  </w:tcBorders>
                  <w:noWrap/>
                  <w:vAlign w:val="center"/>
                </w:tcPr>
                <w:p w14:paraId="57DD272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bookmarkStart w:id="36" w:name="_Hlk178502912"/>
                  <w:r>
                    <w:rPr>
                      <w:rFonts w:hint="eastAsia" w:ascii="Times New Roman" w:hAnsi="Times New Roman" w:eastAsia="宋体" w:cs="Times New Roman"/>
                      <w:b/>
                      <w:i w:val="0"/>
                      <w:color w:val="auto"/>
                      <w:sz w:val="21"/>
                      <w:szCs w:val="21"/>
                      <w14:ligatures w14:val="standardContextual"/>
                    </w:rPr>
                    <w:t>类别</w:t>
                  </w:r>
                </w:p>
              </w:tc>
              <w:tc>
                <w:tcPr>
                  <w:tcW w:w="1169" w:type="dxa"/>
                  <w:tcBorders>
                    <w:top w:val="single" w:color="auto" w:sz="12" w:space="0"/>
                    <w:bottom w:val="single" w:color="auto" w:sz="12" w:space="0"/>
                    <w:right w:val="single" w:color="auto" w:sz="4" w:space="0"/>
                    <w:insideH w:val="single" w:sz="12" w:space="0"/>
                    <w:insideV w:val="single" w:sz="4" w:space="0"/>
                    <w:tl2br w:val="nil"/>
                    <w:tr2bl w:val="nil"/>
                  </w:tcBorders>
                  <w:noWrap/>
                  <w:vAlign w:val="center"/>
                </w:tcPr>
                <w:p w14:paraId="5A33D9B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污染物种类</w:t>
                  </w:r>
                </w:p>
              </w:tc>
              <w:tc>
                <w:tcPr>
                  <w:tcW w:w="968" w:type="dxa"/>
                  <w:tcBorders>
                    <w:top w:val="single" w:color="auto" w:sz="12" w:space="0"/>
                    <w:bottom w:val="single" w:color="auto" w:sz="12" w:space="0"/>
                    <w:right w:val="single" w:color="auto" w:sz="4" w:space="0"/>
                    <w:insideH w:val="single" w:sz="12" w:space="0"/>
                    <w:insideV w:val="single" w:sz="4" w:space="0"/>
                    <w:tl2br w:val="nil"/>
                    <w:tr2bl w:val="nil"/>
                  </w:tcBorders>
                  <w:noWrap/>
                  <w:vAlign w:val="center"/>
                </w:tcPr>
                <w:p w14:paraId="1233ED1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产生浓度(</w:t>
                  </w:r>
                  <w:r>
                    <w:rPr>
                      <w:rFonts w:hint="default" w:ascii="Times New Roman" w:hAnsi="Times New Roman" w:eastAsia="宋体" w:cs="Times New Roman"/>
                      <w:b/>
                      <w:i w:val="0"/>
                      <w:color w:val="auto"/>
                      <w:sz w:val="21"/>
                      <w:szCs w:val="21"/>
                      <w14:ligatures w14:val="standardContextual"/>
                    </w:rPr>
                    <w:t>mg/</w:t>
                  </w:r>
                  <w:r>
                    <w:rPr>
                      <w:rFonts w:hint="eastAsia" w:ascii="Times New Roman" w:hAnsi="Times New Roman" w:eastAsia="宋体" w:cs="Times New Roman"/>
                      <w:b/>
                      <w:i w:val="0"/>
                      <w:color w:val="auto"/>
                      <w:sz w:val="21"/>
                      <w:szCs w:val="21"/>
                      <w14:ligatures w14:val="standardContextual"/>
                    </w:rPr>
                    <w:t>L)</w:t>
                  </w:r>
                </w:p>
              </w:tc>
              <w:tc>
                <w:tcPr>
                  <w:tcW w:w="854"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D1B5A4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产生量（</w:t>
                  </w:r>
                  <w:r>
                    <w:rPr>
                      <w:rFonts w:hint="default" w:ascii="Times New Roman" w:hAnsi="Times New Roman" w:eastAsia="宋体" w:cs="Times New Roman"/>
                      <w:b/>
                      <w:i w:val="0"/>
                      <w:color w:val="auto"/>
                      <w:sz w:val="21"/>
                      <w:szCs w:val="21"/>
                      <w14:ligatures w14:val="standardContextual"/>
                    </w:rPr>
                    <w:t>t/a</w:t>
                  </w:r>
                  <w:r>
                    <w:rPr>
                      <w:rFonts w:hint="eastAsia" w:ascii="Times New Roman" w:hAnsi="Times New Roman" w:eastAsia="宋体" w:cs="Times New Roman"/>
                      <w:b/>
                      <w:i w:val="0"/>
                      <w:color w:val="auto"/>
                      <w:sz w:val="21"/>
                      <w:szCs w:val="21"/>
                      <w14:ligatures w14:val="standardContextual"/>
                    </w:rPr>
                    <w:t>）</w:t>
                  </w:r>
                </w:p>
              </w:tc>
              <w:tc>
                <w:tcPr>
                  <w:tcW w:w="1471"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D6253B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治理设施及效率</w:t>
                  </w:r>
                </w:p>
              </w:tc>
              <w:tc>
                <w:tcPr>
                  <w:tcW w:w="927"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D7587F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排放浓度（</w:t>
                  </w:r>
                  <w:r>
                    <w:rPr>
                      <w:rFonts w:hint="default" w:ascii="Times New Roman" w:hAnsi="Times New Roman" w:eastAsia="宋体" w:cs="Times New Roman"/>
                      <w:b/>
                      <w:i w:val="0"/>
                      <w:color w:val="auto"/>
                      <w:sz w:val="21"/>
                      <w:szCs w:val="21"/>
                      <w14:ligatures w14:val="standardContextual"/>
                    </w:rPr>
                    <w:t>mg/</w:t>
                  </w:r>
                  <w:r>
                    <w:rPr>
                      <w:rFonts w:hint="eastAsia" w:ascii="Times New Roman" w:hAnsi="Times New Roman" w:eastAsia="宋体" w:cs="Times New Roman"/>
                      <w:b/>
                      <w:i w:val="0"/>
                      <w:color w:val="auto"/>
                      <w:sz w:val="21"/>
                      <w:szCs w:val="21"/>
                      <w14:ligatures w14:val="standardContextual"/>
                    </w:rPr>
                    <w:t>L）</w:t>
                  </w:r>
                </w:p>
              </w:tc>
              <w:tc>
                <w:tcPr>
                  <w:tcW w:w="1048"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0EE36A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排放量（</w:t>
                  </w:r>
                  <w:r>
                    <w:rPr>
                      <w:rFonts w:hint="default" w:ascii="Times New Roman" w:hAnsi="Times New Roman" w:eastAsia="宋体" w:cs="Times New Roman"/>
                      <w:b/>
                      <w:i w:val="0"/>
                      <w:color w:val="auto"/>
                      <w:sz w:val="21"/>
                      <w:szCs w:val="21"/>
                      <w14:ligatures w14:val="standardContextual"/>
                    </w:rPr>
                    <w:t>t/a</w:t>
                  </w:r>
                  <w:r>
                    <w:rPr>
                      <w:rFonts w:hint="eastAsia" w:ascii="Times New Roman" w:hAnsi="Times New Roman" w:eastAsia="宋体" w:cs="Times New Roman"/>
                      <w:b/>
                      <w:i w:val="0"/>
                      <w:color w:val="auto"/>
                      <w:sz w:val="21"/>
                      <w:szCs w:val="21"/>
                      <w14:ligatures w14:val="standardContextual"/>
                    </w:rPr>
                    <w:t>）</w:t>
                  </w:r>
                </w:p>
              </w:tc>
              <w:tc>
                <w:tcPr>
                  <w:tcW w:w="946" w:type="dxa"/>
                  <w:tcBorders>
                    <w:top w:val="single" w:color="auto" w:sz="12" w:space="0"/>
                    <w:bottom w:val="single" w:color="auto" w:sz="12" w:space="0"/>
                    <w:right w:val="nil"/>
                    <w:insideH w:val="single" w:sz="12" w:space="0"/>
                    <w:insideV w:val="single" w:sz="4" w:space="0"/>
                    <w:tl2br w:val="nil"/>
                    <w:tr2bl w:val="nil"/>
                  </w:tcBorders>
                  <w:vAlign w:val="center"/>
                </w:tcPr>
                <w:p w14:paraId="2DB333F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排放标准</w:t>
                  </w:r>
                </w:p>
              </w:tc>
            </w:tr>
            <w:tr w14:paraId="2192E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5" w:type="dxa"/>
                  <w:vMerge w:val="restart"/>
                  <w:noWrap/>
                  <w:vAlign w:val="center"/>
                </w:tcPr>
                <w:p w14:paraId="3B22D548">
                  <w:pPr>
                    <w:widowControl w:val="0"/>
                    <w:overflowPunct w:val="0"/>
                    <w:autoSpaceDE w:val="0"/>
                    <w:autoSpaceDN w:val="0"/>
                    <w:snapToGrid w:val="0"/>
                    <w:jc w:val="center"/>
                    <w:rPr>
                      <w:color w:val="auto"/>
                      <w14:ligatures w14:val="standardContextual"/>
                    </w:rPr>
                  </w:pPr>
                  <w:r>
                    <w:rPr>
                      <w:rFonts w:hint="eastAsia"/>
                      <w:color w:val="auto"/>
                      <w14:ligatures w14:val="standardContextual"/>
                    </w:rPr>
                    <w:t>生活污水</w:t>
                  </w:r>
                </w:p>
              </w:tc>
              <w:tc>
                <w:tcPr>
                  <w:tcW w:w="1169" w:type="dxa"/>
                  <w:noWrap/>
                  <w:vAlign w:val="center"/>
                </w:tcPr>
                <w:p w14:paraId="425CFDCD">
                  <w:pPr>
                    <w:widowControl w:val="0"/>
                    <w:overflowPunct w:val="0"/>
                    <w:autoSpaceDE w:val="0"/>
                    <w:autoSpaceDN w:val="0"/>
                    <w:snapToGrid w:val="0"/>
                    <w:jc w:val="center"/>
                    <w:rPr>
                      <w:color w:val="auto"/>
                      <w14:ligatures w14:val="standardContextual"/>
                    </w:rPr>
                  </w:pPr>
                  <w:r>
                    <w:rPr>
                      <w:rFonts w:hint="eastAsia"/>
                      <w:color w:val="auto"/>
                      <w14:ligatures w14:val="standardContextual"/>
                    </w:rPr>
                    <w:t>水量</w:t>
                  </w:r>
                </w:p>
              </w:tc>
              <w:tc>
                <w:tcPr>
                  <w:tcW w:w="968" w:type="dxa"/>
                  <w:noWrap/>
                  <w:vAlign w:val="center"/>
                </w:tcPr>
                <w:p w14:paraId="048188BA">
                  <w:pPr>
                    <w:widowControl w:val="0"/>
                    <w:overflowPunct w:val="0"/>
                    <w:autoSpaceDE w:val="0"/>
                    <w:autoSpaceDN w:val="0"/>
                    <w:snapToGrid w:val="0"/>
                    <w:jc w:val="center"/>
                    <w:rPr>
                      <w:color w:val="auto"/>
                      <w14:ligatures w14:val="standardContextual"/>
                    </w:rPr>
                  </w:pPr>
                  <w:r>
                    <w:rPr>
                      <w:color w:val="auto"/>
                      <w14:ligatures w14:val="standardContextual"/>
                    </w:rPr>
                    <w:t>/</w:t>
                  </w:r>
                </w:p>
              </w:tc>
              <w:tc>
                <w:tcPr>
                  <w:tcW w:w="854" w:type="dxa"/>
                  <w:noWrap/>
                  <w:vAlign w:val="center"/>
                </w:tcPr>
                <w:p w14:paraId="78670695">
                  <w:pPr>
                    <w:widowControl w:val="0"/>
                    <w:overflowPunct w:val="0"/>
                    <w:autoSpaceDE w:val="0"/>
                    <w:autoSpaceDN w:val="0"/>
                    <w:snapToGrid w:val="0"/>
                    <w:jc w:val="center"/>
                    <w:rPr>
                      <w:color w:val="auto"/>
                      <w14:ligatures w14:val="standardContextual"/>
                    </w:rPr>
                  </w:pPr>
                  <w:r>
                    <w:rPr>
                      <w:color w:val="auto"/>
                      <w14:ligatures w14:val="standardContextual"/>
                    </w:rPr>
                    <w:t>184.8</w:t>
                  </w:r>
                </w:p>
              </w:tc>
              <w:tc>
                <w:tcPr>
                  <w:tcW w:w="1471" w:type="dxa"/>
                  <w:noWrap/>
                  <w:vAlign w:val="center"/>
                </w:tcPr>
                <w:p w14:paraId="2374791E">
                  <w:pPr>
                    <w:widowControl w:val="0"/>
                    <w:overflowPunct w:val="0"/>
                    <w:autoSpaceDE w:val="0"/>
                    <w:autoSpaceDN w:val="0"/>
                    <w:snapToGrid w:val="0"/>
                    <w:jc w:val="center"/>
                    <w:rPr>
                      <w:color w:val="auto"/>
                      <w14:ligatures w14:val="standardContextual"/>
                    </w:rPr>
                  </w:pPr>
                  <w:r>
                    <w:rPr>
                      <w:rFonts w:hint="eastAsia"/>
                      <w:b/>
                      <w:bCs/>
                      <w:color w:val="auto"/>
                      <w14:ligatures w14:val="standardContextual"/>
                    </w:rPr>
                    <w:t>地埋式一体化污水处理设施</w:t>
                  </w:r>
                  <w:r>
                    <w:rPr>
                      <w:rFonts w:hint="eastAsia"/>
                      <w:color w:val="auto"/>
                      <w14:ligatures w14:val="standardContextual"/>
                    </w:rPr>
                    <w:t>（2m</w:t>
                  </w:r>
                  <w:r>
                    <w:rPr>
                      <w:rFonts w:hint="eastAsia"/>
                      <w:color w:val="auto"/>
                      <w:vertAlign w:val="superscript"/>
                      <w14:ligatures w14:val="standardContextual"/>
                    </w:rPr>
                    <w:t>3</w:t>
                  </w:r>
                  <w:r>
                    <w:rPr>
                      <w:rFonts w:hint="eastAsia"/>
                      <w:color w:val="auto"/>
                      <w14:ligatures w14:val="standardContextual"/>
                    </w:rPr>
                    <w:t>/d）</w:t>
                  </w:r>
                </w:p>
              </w:tc>
              <w:tc>
                <w:tcPr>
                  <w:tcW w:w="927" w:type="dxa"/>
                  <w:vAlign w:val="center"/>
                </w:tcPr>
                <w:p w14:paraId="1B1DC210">
                  <w:pPr>
                    <w:widowControl w:val="0"/>
                    <w:overflowPunct w:val="0"/>
                    <w:autoSpaceDE w:val="0"/>
                    <w:autoSpaceDN w:val="0"/>
                    <w:snapToGrid w:val="0"/>
                    <w:jc w:val="center"/>
                    <w:rPr>
                      <w:color w:val="auto"/>
                      <w14:ligatures w14:val="standardContextual"/>
                    </w:rPr>
                  </w:pPr>
                  <w:r>
                    <w:rPr>
                      <w:color w:val="auto"/>
                      <w14:ligatures w14:val="standardContextual"/>
                    </w:rPr>
                    <w:t>/</w:t>
                  </w:r>
                </w:p>
              </w:tc>
              <w:tc>
                <w:tcPr>
                  <w:tcW w:w="1048" w:type="dxa"/>
                  <w:vAlign w:val="center"/>
                </w:tcPr>
                <w:p w14:paraId="5FAAA652">
                  <w:pPr>
                    <w:widowControl w:val="0"/>
                    <w:overflowPunct w:val="0"/>
                    <w:autoSpaceDE w:val="0"/>
                    <w:autoSpaceDN w:val="0"/>
                    <w:snapToGrid w:val="0"/>
                    <w:jc w:val="center"/>
                    <w:rPr>
                      <w:color w:val="auto"/>
                      <w14:ligatures w14:val="standardContextual"/>
                    </w:rPr>
                  </w:pPr>
                  <w:r>
                    <w:rPr>
                      <w:color w:val="auto"/>
                      <w14:ligatures w14:val="standardContextual"/>
                    </w:rPr>
                    <w:t>184.8</w:t>
                  </w:r>
                </w:p>
              </w:tc>
              <w:tc>
                <w:tcPr>
                  <w:tcW w:w="946" w:type="dxa"/>
                  <w:vAlign w:val="center"/>
                </w:tcPr>
                <w:p w14:paraId="30BB6EB5">
                  <w:pPr>
                    <w:widowControl w:val="0"/>
                    <w:overflowPunct w:val="0"/>
                    <w:autoSpaceDE w:val="0"/>
                    <w:autoSpaceDN w:val="0"/>
                    <w:snapToGrid w:val="0"/>
                    <w:jc w:val="center"/>
                    <w:rPr>
                      <w:color w:val="auto"/>
                      <w14:ligatures w14:val="standardContextual"/>
                    </w:rPr>
                  </w:pPr>
                  <w:r>
                    <w:rPr>
                      <w:color w:val="auto"/>
                      <w14:ligatures w14:val="standardContextual"/>
                    </w:rPr>
                    <w:t>/</w:t>
                  </w:r>
                </w:p>
              </w:tc>
            </w:tr>
            <w:tr w14:paraId="11BCB4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5" w:type="dxa"/>
                  <w:vMerge w:val="continue"/>
                  <w:vAlign w:val="center"/>
                </w:tcPr>
                <w:p w14:paraId="6DAF03D6">
                  <w:pPr>
                    <w:widowControl w:val="0"/>
                    <w:overflowPunct w:val="0"/>
                    <w:autoSpaceDE w:val="0"/>
                    <w:autoSpaceDN w:val="0"/>
                    <w:snapToGrid w:val="0"/>
                    <w:jc w:val="center"/>
                    <w:rPr>
                      <w:color w:val="auto"/>
                      <w14:ligatures w14:val="standardContextual"/>
                    </w:rPr>
                  </w:pPr>
                </w:p>
              </w:tc>
              <w:tc>
                <w:tcPr>
                  <w:tcW w:w="1169" w:type="dxa"/>
                  <w:noWrap/>
                  <w:vAlign w:val="center"/>
                </w:tcPr>
                <w:p w14:paraId="6E330ABF">
                  <w:pPr>
                    <w:widowControl w:val="0"/>
                    <w:overflowPunct w:val="0"/>
                    <w:autoSpaceDE w:val="0"/>
                    <w:autoSpaceDN w:val="0"/>
                    <w:snapToGrid w:val="0"/>
                    <w:jc w:val="center"/>
                    <w:rPr>
                      <w:color w:val="auto"/>
                      <w14:ligatures w14:val="standardContextual"/>
                    </w:rPr>
                  </w:pPr>
                  <w:r>
                    <w:rPr>
                      <w:color w:val="auto"/>
                      <w14:ligatures w14:val="standardContextual"/>
                    </w:rPr>
                    <w:t>COD</w:t>
                  </w:r>
                </w:p>
              </w:tc>
              <w:tc>
                <w:tcPr>
                  <w:tcW w:w="968" w:type="dxa"/>
                  <w:noWrap/>
                  <w:vAlign w:val="center"/>
                </w:tcPr>
                <w:p w14:paraId="373031B5">
                  <w:pPr>
                    <w:widowControl w:val="0"/>
                    <w:overflowPunct w:val="0"/>
                    <w:autoSpaceDE w:val="0"/>
                    <w:autoSpaceDN w:val="0"/>
                    <w:snapToGrid w:val="0"/>
                    <w:jc w:val="center"/>
                    <w:rPr>
                      <w:color w:val="auto"/>
                      <w14:ligatures w14:val="standardContextual"/>
                    </w:rPr>
                  </w:pPr>
                  <w:r>
                    <w:rPr>
                      <w:color w:val="auto"/>
                      <w14:ligatures w14:val="standardContextual"/>
                    </w:rPr>
                    <w:t>250</w:t>
                  </w:r>
                </w:p>
              </w:tc>
              <w:tc>
                <w:tcPr>
                  <w:tcW w:w="854" w:type="dxa"/>
                  <w:noWrap/>
                  <w:vAlign w:val="center"/>
                </w:tcPr>
                <w:p w14:paraId="4EEFAB05">
                  <w:pPr>
                    <w:widowControl w:val="0"/>
                    <w:overflowPunct w:val="0"/>
                    <w:autoSpaceDE w:val="0"/>
                    <w:autoSpaceDN w:val="0"/>
                    <w:snapToGrid w:val="0"/>
                    <w:jc w:val="center"/>
                    <w:rPr>
                      <w:color w:val="auto"/>
                      <w14:ligatures w14:val="standardContextual"/>
                    </w:rPr>
                  </w:pPr>
                  <w:r>
                    <w:rPr>
                      <w:color w:val="auto"/>
                      <w14:ligatures w14:val="standardContextual"/>
                    </w:rPr>
                    <w:t>0.046</w:t>
                  </w:r>
                </w:p>
              </w:tc>
              <w:tc>
                <w:tcPr>
                  <w:tcW w:w="1471" w:type="dxa"/>
                  <w:noWrap/>
                  <w:vAlign w:val="center"/>
                </w:tcPr>
                <w:p w14:paraId="5B80B67B">
                  <w:pPr>
                    <w:widowControl w:val="0"/>
                    <w:overflowPunct w:val="0"/>
                    <w:autoSpaceDE w:val="0"/>
                    <w:autoSpaceDN w:val="0"/>
                    <w:snapToGrid w:val="0"/>
                    <w:jc w:val="center"/>
                    <w:rPr>
                      <w:color w:val="auto"/>
                      <w14:ligatures w14:val="standardContextual"/>
                    </w:rPr>
                  </w:pPr>
                  <w:r>
                    <w:rPr>
                      <w:rFonts w:hint="eastAsia"/>
                      <w:color w:val="auto"/>
                      <w14:ligatures w14:val="standardContextual"/>
                    </w:rPr>
                    <w:t>43%</w:t>
                  </w:r>
                </w:p>
              </w:tc>
              <w:tc>
                <w:tcPr>
                  <w:tcW w:w="927" w:type="dxa"/>
                  <w:vAlign w:val="center"/>
                </w:tcPr>
                <w:p w14:paraId="459791F3">
                  <w:pPr>
                    <w:widowControl w:val="0"/>
                    <w:overflowPunct w:val="0"/>
                    <w:autoSpaceDE w:val="0"/>
                    <w:autoSpaceDN w:val="0"/>
                    <w:snapToGrid w:val="0"/>
                    <w:jc w:val="center"/>
                    <w:rPr>
                      <w:color w:val="auto"/>
                      <w14:ligatures w14:val="standardContextual"/>
                    </w:rPr>
                  </w:pPr>
                  <w:r>
                    <w:rPr>
                      <w:color w:val="auto"/>
                      <w14:ligatures w14:val="standardContextual"/>
                    </w:rPr>
                    <w:t>142.5</w:t>
                  </w:r>
                </w:p>
              </w:tc>
              <w:tc>
                <w:tcPr>
                  <w:tcW w:w="1048" w:type="dxa"/>
                  <w:vAlign w:val="center"/>
                </w:tcPr>
                <w:p w14:paraId="62C70100">
                  <w:pPr>
                    <w:widowControl w:val="0"/>
                    <w:overflowPunct w:val="0"/>
                    <w:autoSpaceDE w:val="0"/>
                    <w:autoSpaceDN w:val="0"/>
                    <w:snapToGrid w:val="0"/>
                    <w:jc w:val="center"/>
                    <w:rPr>
                      <w:color w:val="auto"/>
                      <w14:ligatures w14:val="standardContextual"/>
                    </w:rPr>
                  </w:pPr>
                  <w:r>
                    <w:rPr>
                      <w:color w:val="auto"/>
                      <w14:ligatures w14:val="standardContextual"/>
                    </w:rPr>
                    <w:t>0.026</w:t>
                  </w:r>
                </w:p>
              </w:tc>
              <w:tc>
                <w:tcPr>
                  <w:tcW w:w="946" w:type="dxa"/>
                  <w:vAlign w:val="center"/>
                </w:tcPr>
                <w:p w14:paraId="077E4228">
                  <w:pPr>
                    <w:widowControl w:val="0"/>
                    <w:overflowPunct w:val="0"/>
                    <w:autoSpaceDE w:val="0"/>
                    <w:autoSpaceDN w:val="0"/>
                    <w:snapToGrid w:val="0"/>
                    <w:jc w:val="center"/>
                    <w:rPr>
                      <w:color w:val="auto"/>
                      <w14:ligatures w14:val="standardContextual"/>
                    </w:rPr>
                  </w:pPr>
                  <w:r>
                    <w:rPr>
                      <w:color w:val="auto"/>
                      <w14:ligatures w14:val="standardContextual"/>
                    </w:rPr>
                    <w:t>/</w:t>
                  </w:r>
                </w:p>
              </w:tc>
            </w:tr>
            <w:tr w14:paraId="125C26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5" w:type="dxa"/>
                  <w:vMerge w:val="continue"/>
                  <w:vAlign w:val="center"/>
                </w:tcPr>
                <w:p w14:paraId="4FB4946B">
                  <w:pPr>
                    <w:widowControl w:val="0"/>
                    <w:overflowPunct w:val="0"/>
                    <w:autoSpaceDE w:val="0"/>
                    <w:autoSpaceDN w:val="0"/>
                    <w:snapToGrid w:val="0"/>
                    <w:jc w:val="center"/>
                    <w:rPr>
                      <w:color w:val="auto"/>
                      <w14:ligatures w14:val="standardContextual"/>
                    </w:rPr>
                  </w:pPr>
                </w:p>
              </w:tc>
              <w:tc>
                <w:tcPr>
                  <w:tcW w:w="1169" w:type="dxa"/>
                  <w:noWrap/>
                  <w:vAlign w:val="center"/>
                </w:tcPr>
                <w:p w14:paraId="5DAE9DF1">
                  <w:pPr>
                    <w:widowControl w:val="0"/>
                    <w:overflowPunct w:val="0"/>
                    <w:autoSpaceDE w:val="0"/>
                    <w:autoSpaceDN w:val="0"/>
                    <w:snapToGrid w:val="0"/>
                    <w:jc w:val="center"/>
                    <w:rPr>
                      <w:color w:val="auto"/>
                      <w14:ligatures w14:val="standardContextual"/>
                    </w:rPr>
                  </w:pPr>
                  <w:r>
                    <w:rPr>
                      <w:color w:val="auto"/>
                      <w14:ligatures w14:val="standardContextual"/>
                    </w:rPr>
                    <w:t>BOD</w:t>
                  </w:r>
                  <w:r>
                    <w:rPr>
                      <w:color w:val="auto"/>
                      <w:vertAlign w:val="subscript"/>
                      <w14:ligatures w14:val="standardContextual"/>
                    </w:rPr>
                    <w:t>5</w:t>
                  </w:r>
                </w:p>
              </w:tc>
              <w:tc>
                <w:tcPr>
                  <w:tcW w:w="968" w:type="dxa"/>
                  <w:noWrap/>
                  <w:vAlign w:val="center"/>
                </w:tcPr>
                <w:p w14:paraId="0EEE14EC">
                  <w:pPr>
                    <w:widowControl w:val="0"/>
                    <w:overflowPunct w:val="0"/>
                    <w:autoSpaceDE w:val="0"/>
                    <w:autoSpaceDN w:val="0"/>
                    <w:snapToGrid w:val="0"/>
                    <w:jc w:val="center"/>
                    <w:rPr>
                      <w:color w:val="auto"/>
                      <w14:ligatures w14:val="standardContextual"/>
                    </w:rPr>
                  </w:pPr>
                  <w:r>
                    <w:rPr>
                      <w:color w:val="auto"/>
                      <w14:ligatures w14:val="standardContextual"/>
                    </w:rPr>
                    <w:t>100</w:t>
                  </w:r>
                </w:p>
              </w:tc>
              <w:tc>
                <w:tcPr>
                  <w:tcW w:w="854" w:type="dxa"/>
                  <w:noWrap/>
                  <w:vAlign w:val="center"/>
                </w:tcPr>
                <w:p w14:paraId="5EA56A90">
                  <w:pPr>
                    <w:widowControl w:val="0"/>
                    <w:overflowPunct w:val="0"/>
                    <w:autoSpaceDE w:val="0"/>
                    <w:autoSpaceDN w:val="0"/>
                    <w:snapToGrid w:val="0"/>
                    <w:jc w:val="center"/>
                    <w:rPr>
                      <w:color w:val="auto"/>
                      <w14:ligatures w14:val="standardContextual"/>
                    </w:rPr>
                  </w:pPr>
                  <w:r>
                    <w:rPr>
                      <w:color w:val="auto"/>
                      <w14:ligatures w14:val="standardContextual"/>
                    </w:rPr>
                    <w:t>0.018</w:t>
                  </w:r>
                </w:p>
              </w:tc>
              <w:tc>
                <w:tcPr>
                  <w:tcW w:w="1471" w:type="dxa"/>
                  <w:noWrap/>
                  <w:vAlign w:val="center"/>
                </w:tcPr>
                <w:p w14:paraId="0AF6056F">
                  <w:pPr>
                    <w:widowControl w:val="0"/>
                    <w:overflowPunct w:val="0"/>
                    <w:autoSpaceDE w:val="0"/>
                    <w:autoSpaceDN w:val="0"/>
                    <w:snapToGrid w:val="0"/>
                    <w:jc w:val="center"/>
                    <w:rPr>
                      <w:color w:val="auto"/>
                      <w14:ligatures w14:val="standardContextual"/>
                    </w:rPr>
                  </w:pPr>
                  <w:r>
                    <w:rPr>
                      <w:rFonts w:hint="eastAsia"/>
                      <w:color w:val="auto"/>
                      <w14:ligatures w14:val="standardContextual"/>
                    </w:rPr>
                    <w:t>50%</w:t>
                  </w:r>
                </w:p>
              </w:tc>
              <w:tc>
                <w:tcPr>
                  <w:tcW w:w="927" w:type="dxa"/>
                  <w:vAlign w:val="center"/>
                </w:tcPr>
                <w:p w14:paraId="49715F71">
                  <w:pPr>
                    <w:widowControl w:val="0"/>
                    <w:overflowPunct w:val="0"/>
                    <w:autoSpaceDE w:val="0"/>
                    <w:autoSpaceDN w:val="0"/>
                    <w:snapToGrid w:val="0"/>
                    <w:jc w:val="center"/>
                    <w:rPr>
                      <w:color w:val="auto"/>
                      <w14:ligatures w14:val="standardContextual"/>
                    </w:rPr>
                  </w:pPr>
                  <w:r>
                    <w:rPr>
                      <w:color w:val="auto"/>
                      <w14:ligatures w14:val="standardContextual"/>
                    </w:rPr>
                    <w:t>50.0</w:t>
                  </w:r>
                </w:p>
              </w:tc>
              <w:tc>
                <w:tcPr>
                  <w:tcW w:w="1048" w:type="dxa"/>
                  <w:vAlign w:val="center"/>
                </w:tcPr>
                <w:p w14:paraId="1D675DF3">
                  <w:pPr>
                    <w:widowControl w:val="0"/>
                    <w:overflowPunct w:val="0"/>
                    <w:autoSpaceDE w:val="0"/>
                    <w:autoSpaceDN w:val="0"/>
                    <w:snapToGrid w:val="0"/>
                    <w:jc w:val="center"/>
                    <w:rPr>
                      <w:color w:val="auto"/>
                      <w14:ligatures w14:val="standardContextual"/>
                    </w:rPr>
                  </w:pPr>
                  <w:r>
                    <w:rPr>
                      <w:color w:val="auto"/>
                      <w14:ligatures w14:val="standardContextual"/>
                    </w:rPr>
                    <w:t>0.009</w:t>
                  </w:r>
                </w:p>
              </w:tc>
              <w:tc>
                <w:tcPr>
                  <w:tcW w:w="946" w:type="dxa"/>
                  <w:vAlign w:val="center"/>
                </w:tcPr>
                <w:p w14:paraId="218BFC56">
                  <w:pPr>
                    <w:widowControl w:val="0"/>
                    <w:overflowPunct w:val="0"/>
                    <w:autoSpaceDE w:val="0"/>
                    <w:autoSpaceDN w:val="0"/>
                    <w:snapToGrid w:val="0"/>
                    <w:jc w:val="center"/>
                    <w:rPr>
                      <w:color w:val="auto"/>
                      <w14:ligatures w14:val="standardContextual"/>
                    </w:rPr>
                  </w:pPr>
                  <w:r>
                    <w:rPr>
                      <w:color w:val="auto"/>
                      <w14:ligatures w14:val="standardContextual"/>
                    </w:rPr>
                    <w:t>/</w:t>
                  </w:r>
                </w:p>
              </w:tc>
            </w:tr>
            <w:tr w14:paraId="361F32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5" w:type="dxa"/>
                  <w:vMerge w:val="continue"/>
                  <w:vAlign w:val="center"/>
                </w:tcPr>
                <w:p w14:paraId="3D1CBFC4">
                  <w:pPr>
                    <w:widowControl w:val="0"/>
                    <w:overflowPunct w:val="0"/>
                    <w:autoSpaceDE w:val="0"/>
                    <w:autoSpaceDN w:val="0"/>
                    <w:snapToGrid w:val="0"/>
                    <w:jc w:val="center"/>
                    <w:rPr>
                      <w:color w:val="auto"/>
                      <w14:ligatures w14:val="standardContextual"/>
                    </w:rPr>
                  </w:pPr>
                </w:p>
              </w:tc>
              <w:tc>
                <w:tcPr>
                  <w:tcW w:w="1169" w:type="dxa"/>
                  <w:noWrap/>
                  <w:vAlign w:val="center"/>
                </w:tcPr>
                <w:p w14:paraId="12F5A38A">
                  <w:pPr>
                    <w:widowControl w:val="0"/>
                    <w:overflowPunct w:val="0"/>
                    <w:autoSpaceDE w:val="0"/>
                    <w:autoSpaceDN w:val="0"/>
                    <w:snapToGrid w:val="0"/>
                    <w:jc w:val="center"/>
                    <w:rPr>
                      <w:color w:val="auto"/>
                      <w14:ligatures w14:val="standardContextual"/>
                    </w:rPr>
                  </w:pPr>
                  <w:r>
                    <w:rPr>
                      <w:color w:val="auto"/>
                      <w14:ligatures w14:val="standardContextual"/>
                    </w:rPr>
                    <w:t>SS</w:t>
                  </w:r>
                </w:p>
              </w:tc>
              <w:tc>
                <w:tcPr>
                  <w:tcW w:w="968" w:type="dxa"/>
                  <w:noWrap/>
                  <w:vAlign w:val="center"/>
                </w:tcPr>
                <w:p w14:paraId="748F96BC">
                  <w:pPr>
                    <w:widowControl w:val="0"/>
                    <w:overflowPunct w:val="0"/>
                    <w:autoSpaceDE w:val="0"/>
                    <w:autoSpaceDN w:val="0"/>
                    <w:snapToGrid w:val="0"/>
                    <w:jc w:val="center"/>
                    <w:rPr>
                      <w:color w:val="auto"/>
                      <w14:ligatures w14:val="standardContextual"/>
                    </w:rPr>
                  </w:pPr>
                  <w:r>
                    <w:rPr>
                      <w:color w:val="auto"/>
                      <w14:ligatures w14:val="standardContextual"/>
                    </w:rPr>
                    <w:t>150</w:t>
                  </w:r>
                </w:p>
              </w:tc>
              <w:tc>
                <w:tcPr>
                  <w:tcW w:w="854" w:type="dxa"/>
                  <w:noWrap/>
                  <w:vAlign w:val="center"/>
                </w:tcPr>
                <w:p w14:paraId="43968D94">
                  <w:pPr>
                    <w:widowControl w:val="0"/>
                    <w:overflowPunct w:val="0"/>
                    <w:autoSpaceDE w:val="0"/>
                    <w:autoSpaceDN w:val="0"/>
                    <w:snapToGrid w:val="0"/>
                    <w:jc w:val="center"/>
                    <w:rPr>
                      <w:color w:val="auto"/>
                      <w14:ligatures w14:val="standardContextual"/>
                    </w:rPr>
                  </w:pPr>
                  <w:r>
                    <w:rPr>
                      <w:color w:val="auto"/>
                      <w14:ligatures w14:val="standardContextual"/>
                    </w:rPr>
                    <w:t>0.028</w:t>
                  </w:r>
                </w:p>
              </w:tc>
              <w:tc>
                <w:tcPr>
                  <w:tcW w:w="1471" w:type="dxa"/>
                  <w:noWrap/>
                  <w:vAlign w:val="center"/>
                </w:tcPr>
                <w:p w14:paraId="01C2342C">
                  <w:pPr>
                    <w:widowControl w:val="0"/>
                    <w:overflowPunct w:val="0"/>
                    <w:autoSpaceDE w:val="0"/>
                    <w:autoSpaceDN w:val="0"/>
                    <w:snapToGrid w:val="0"/>
                    <w:jc w:val="center"/>
                    <w:rPr>
                      <w:color w:val="auto"/>
                      <w14:ligatures w14:val="standardContextual"/>
                    </w:rPr>
                  </w:pPr>
                  <w:r>
                    <w:rPr>
                      <w:rFonts w:hint="eastAsia"/>
                      <w:color w:val="auto"/>
                      <w14:ligatures w14:val="standardContextual"/>
                    </w:rPr>
                    <w:t>55%</w:t>
                  </w:r>
                </w:p>
              </w:tc>
              <w:tc>
                <w:tcPr>
                  <w:tcW w:w="927" w:type="dxa"/>
                  <w:vAlign w:val="center"/>
                </w:tcPr>
                <w:p w14:paraId="5A080BB9">
                  <w:pPr>
                    <w:widowControl w:val="0"/>
                    <w:overflowPunct w:val="0"/>
                    <w:autoSpaceDE w:val="0"/>
                    <w:autoSpaceDN w:val="0"/>
                    <w:snapToGrid w:val="0"/>
                    <w:jc w:val="center"/>
                    <w:rPr>
                      <w:color w:val="auto"/>
                      <w14:ligatures w14:val="standardContextual"/>
                    </w:rPr>
                  </w:pPr>
                  <w:r>
                    <w:rPr>
                      <w:color w:val="auto"/>
                      <w14:ligatures w14:val="standardContextual"/>
                    </w:rPr>
                    <w:t>67.5</w:t>
                  </w:r>
                </w:p>
              </w:tc>
              <w:tc>
                <w:tcPr>
                  <w:tcW w:w="1048" w:type="dxa"/>
                  <w:vAlign w:val="center"/>
                </w:tcPr>
                <w:p w14:paraId="01B6ABFA">
                  <w:pPr>
                    <w:widowControl w:val="0"/>
                    <w:overflowPunct w:val="0"/>
                    <w:autoSpaceDE w:val="0"/>
                    <w:autoSpaceDN w:val="0"/>
                    <w:snapToGrid w:val="0"/>
                    <w:jc w:val="center"/>
                    <w:rPr>
                      <w:color w:val="auto"/>
                      <w14:ligatures w14:val="standardContextual"/>
                    </w:rPr>
                  </w:pPr>
                  <w:r>
                    <w:rPr>
                      <w:color w:val="auto"/>
                      <w14:ligatures w14:val="standardContextual"/>
                    </w:rPr>
                    <w:t>0.012</w:t>
                  </w:r>
                </w:p>
              </w:tc>
              <w:tc>
                <w:tcPr>
                  <w:tcW w:w="946" w:type="dxa"/>
                  <w:vAlign w:val="center"/>
                </w:tcPr>
                <w:p w14:paraId="57F03B49">
                  <w:pPr>
                    <w:widowControl w:val="0"/>
                    <w:overflowPunct w:val="0"/>
                    <w:autoSpaceDE w:val="0"/>
                    <w:autoSpaceDN w:val="0"/>
                    <w:snapToGrid w:val="0"/>
                    <w:jc w:val="center"/>
                    <w:rPr>
                      <w:color w:val="auto"/>
                      <w14:ligatures w14:val="standardContextual"/>
                    </w:rPr>
                  </w:pPr>
                  <w:r>
                    <w:rPr>
                      <w:color w:val="auto"/>
                      <w14:ligatures w14:val="standardContextual"/>
                    </w:rPr>
                    <w:t>/</w:t>
                  </w:r>
                </w:p>
              </w:tc>
            </w:tr>
            <w:tr w14:paraId="1B2578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5" w:type="dxa"/>
                  <w:vMerge w:val="continue"/>
                  <w:vAlign w:val="center"/>
                </w:tcPr>
                <w:p w14:paraId="5B79EC76">
                  <w:pPr>
                    <w:widowControl w:val="0"/>
                    <w:overflowPunct w:val="0"/>
                    <w:autoSpaceDE w:val="0"/>
                    <w:autoSpaceDN w:val="0"/>
                    <w:snapToGrid w:val="0"/>
                    <w:jc w:val="center"/>
                    <w:rPr>
                      <w:color w:val="auto"/>
                      <w14:ligatures w14:val="standardContextual"/>
                    </w:rPr>
                  </w:pPr>
                </w:p>
              </w:tc>
              <w:tc>
                <w:tcPr>
                  <w:tcW w:w="1169" w:type="dxa"/>
                  <w:noWrap/>
                  <w:vAlign w:val="center"/>
                </w:tcPr>
                <w:p w14:paraId="6F71642C">
                  <w:pPr>
                    <w:widowControl w:val="0"/>
                    <w:overflowPunct w:val="0"/>
                    <w:autoSpaceDE w:val="0"/>
                    <w:autoSpaceDN w:val="0"/>
                    <w:snapToGrid w:val="0"/>
                    <w:jc w:val="center"/>
                    <w:rPr>
                      <w:color w:val="auto"/>
                      <w14:ligatures w14:val="standardContextual"/>
                    </w:rPr>
                  </w:pPr>
                  <w:r>
                    <w:rPr>
                      <w:rFonts w:hint="eastAsia"/>
                      <w:color w:val="auto"/>
                      <w14:ligatures w14:val="standardContextual"/>
                    </w:rPr>
                    <w:t>氨氮</w:t>
                  </w:r>
                </w:p>
              </w:tc>
              <w:tc>
                <w:tcPr>
                  <w:tcW w:w="968" w:type="dxa"/>
                  <w:noWrap/>
                  <w:vAlign w:val="center"/>
                </w:tcPr>
                <w:p w14:paraId="6C1CEF1B">
                  <w:pPr>
                    <w:widowControl w:val="0"/>
                    <w:overflowPunct w:val="0"/>
                    <w:autoSpaceDE w:val="0"/>
                    <w:autoSpaceDN w:val="0"/>
                    <w:snapToGrid w:val="0"/>
                    <w:jc w:val="center"/>
                    <w:rPr>
                      <w:color w:val="auto"/>
                      <w14:ligatures w14:val="standardContextual"/>
                    </w:rPr>
                  </w:pPr>
                  <w:r>
                    <w:rPr>
                      <w:color w:val="auto"/>
                      <w14:ligatures w14:val="standardContextual"/>
                    </w:rPr>
                    <w:t>12</w:t>
                  </w:r>
                </w:p>
              </w:tc>
              <w:tc>
                <w:tcPr>
                  <w:tcW w:w="854" w:type="dxa"/>
                  <w:noWrap/>
                  <w:vAlign w:val="center"/>
                </w:tcPr>
                <w:p w14:paraId="2D0DDA38">
                  <w:pPr>
                    <w:widowControl w:val="0"/>
                    <w:overflowPunct w:val="0"/>
                    <w:autoSpaceDE w:val="0"/>
                    <w:autoSpaceDN w:val="0"/>
                    <w:snapToGrid w:val="0"/>
                    <w:jc w:val="center"/>
                    <w:rPr>
                      <w:color w:val="auto"/>
                      <w14:ligatures w14:val="standardContextual"/>
                    </w:rPr>
                  </w:pPr>
                  <w:r>
                    <w:rPr>
                      <w:color w:val="auto"/>
                      <w14:ligatures w14:val="standardContextual"/>
                    </w:rPr>
                    <w:t>0.002</w:t>
                  </w:r>
                </w:p>
              </w:tc>
              <w:tc>
                <w:tcPr>
                  <w:tcW w:w="1471" w:type="dxa"/>
                  <w:noWrap/>
                  <w:vAlign w:val="center"/>
                </w:tcPr>
                <w:p w14:paraId="0779501E">
                  <w:pPr>
                    <w:widowControl w:val="0"/>
                    <w:overflowPunct w:val="0"/>
                    <w:autoSpaceDE w:val="0"/>
                    <w:autoSpaceDN w:val="0"/>
                    <w:snapToGrid w:val="0"/>
                    <w:jc w:val="center"/>
                    <w:rPr>
                      <w:color w:val="auto"/>
                      <w14:ligatures w14:val="standardContextual"/>
                    </w:rPr>
                  </w:pPr>
                  <w:r>
                    <w:rPr>
                      <w:rFonts w:hint="eastAsia"/>
                      <w:color w:val="auto"/>
                      <w14:ligatures w14:val="standardContextual"/>
                    </w:rPr>
                    <w:t>27.50%</w:t>
                  </w:r>
                </w:p>
              </w:tc>
              <w:tc>
                <w:tcPr>
                  <w:tcW w:w="927" w:type="dxa"/>
                  <w:vAlign w:val="center"/>
                </w:tcPr>
                <w:p w14:paraId="1C584B93">
                  <w:pPr>
                    <w:widowControl w:val="0"/>
                    <w:overflowPunct w:val="0"/>
                    <w:autoSpaceDE w:val="0"/>
                    <w:autoSpaceDN w:val="0"/>
                    <w:snapToGrid w:val="0"/>
                    <w:jc w:val="center"/>
                    <w:rPr>
                      <w:color w:val="auto"/>
                      <w14:ligatures w14:val="standardContextual"/>
                    </w:rPr>
                  </w:pPr>
                  <w:r>
                    <w:rPr>
                      <w:color w:val="auto"/>
                      <w14:ligatures w14:val="standardContextual"/>
                    </w:rPr>
                    <w:t>8.7</w:t>
                  </w:r>
                </w:p>
              </w:tc>
              <w:tc>
                <w:tcPr>
                  <w:tcW w:w="1048" w:type="dxa"/>
                  <w:vAlign w:val="center"/>
                </w:tcPr>
                <w:p w14:paraId="02580DBD">
                  <w:pPr>
                    <w:widowControl w:val="0"/>
                    <w:overflowPunct w:val="0"/>
                    <w:autoSpaceDE w:val="0"/>
                    <w:autoSpaceDN w:val="0"/>
                    <w:snapToGrid w:val="0"/>
                    <w:jc w:val="center"/>
                    <w:rPr>
                      <w:color w:val="auto"/>
                      <w14:ligatures w14:val="standardContextual"/>
                    </w:rPr>
                  </w:pPr>
                  <w:r>
                    <w:rPr>
                      <w:color w:val="auto"/>
                      <w14:ligatures w14:val="standardContextual"/>
                    </w:rPr>
                    <w:t>0.002</w:t>
                  </w:r>
                </w:p>
              </w:tc>
              <w:tc>
                <w:tcPr>
                  <w:tcW w:w="946" w:type="dxa"/>
                  <w:vAlign w:val="center"/>
                </w:tcPr>
                <w:p w14:paraId="0713BC24">
                  <w:pPr>
                    <w:widowControl w:val="0"/>
                    <w:overflowPunct w:val="0"/>
                    <w:autoSpaceDE w:val="0"/>
                    <w:autoSpaceDN w:val="0"/>
                    <w:snapToGrid w:val="0"/>
                    <w:jc w:val="center"/>
                    <w:rPr>
                      <w:color w:val="auto"/>
                      <w14:ligatures w14:val="standardContextual"/>
                    </w:rPr>
                  </w:pPr>
                  <w:r>
                    <w:rPr>
                      <w:color w:val="auto"/>
                      <w14:ligatures w14:val="standardContextual"/>
                    </w:rPr>
                    <w:t>/</w:t>
                  </w:r>
                </w:p>
              </w:tc>
            </w:tr>
            <w:tr w14:paraId="08F1FD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5" w:type="dxa"/>
                  <w:vMerge w:val="continue"/>
                  <w:vAlign w:val="center"/>
                </w:tcPr>
                <w:p w14:paraId="1441E380">
                  <w:pPr>
                    <w:widowControl w:val="0"/>
                    <w:overflowPunct w:val="0"/>
                    <w:autoSpaceDE w:val="0"/>
                    <w:autoSpaceDN w:val="0"/>
                    <w:snapToGrid w:val="0"/>
                    <w:jc w:val="center"/>
                    <w:rPr>
                      <w:color w:val="auto"/>
                      <w14:ligatures w14:val="standardContextual"/>
                    </w:rPr>
                  </w:pPr>
                </w:p>
              </w:tc>
              <w:tc>
                <w:tcPr>
                  <w:tcW w:w="1169" w:type="dxa"/>
                  <w:noWrap/>
                  <w:vAlign w:val="center"/>
                </w:tcPr>
                <w:p w14:paraId="3EC153B2">
                  <w:pPr>
                    <w:widowControl w:val="0"/>
                    <w:overflowPunct w:val="0"/>
                    <w:autoSpaceDE w:val="0"/>
                    <w:autoSpaceDN w:val="0"/>
                    <w:snapToGrid w:val="0"/>
                    <w:jc w:val="center"/>
                    <w:rPr>
                      <w:color w:val="auto"/>
                      <w14:ligatures w14:val="standardContextual"/>
                    </w:rPr>
                  </w:pPr>
                  <w:r>
                    <w:rPr>
                      <w:rFonts w:hint="eastAsia"/>
                      <w:color w:val="auto"/>
                      <w14:ligatures w14:val="standardContextual"/>
                    </w:rPr>
                    <w:t>总磷</w:t>
                  </w:r>
                </w:p>
              </w:tc>
              <w:tc>
                <w:tcPr>
                  <w:tcW w:w="968" w:type="dxa"/>
                  <w:noWrap/>
                  <w:vAlign w:val="center"/>
                </w:tcPr>
                <w:p w14:paraId="19B4999D">
                  <w:pPr>
                    <w:widowControl w:val="0"/>
                    <w:overflowPunct w:val="0"/>
                    <w:autoSpaceDE w:val="0"/>
                    <w:autoSpaceDN w:val="0"/>
                    <w:snapToGrid w:val="0"/>
                    <w:jc w:val="center"/>
                    <w:rPr>
                      <w:color w:val="auto"/>
                      <w14:ligatures w14:val="standardContextual"/>
                    </w:rPr>
                  </w:pPr>
                  <w:r>
                    <w:rPr>
                      <w:color w:val="auto"/>
                      <w14:ligatures w14:val="standardContextual"/>
                    </w:rPr>
                    <w:t>1</w:t>
                  </w:r>
                </w:p>
              </w:tc>
              <w:tc>
                <w:tcPr>
                  <w:tcW w:w="854" w:type="dxa"/>
                  <w:noWrap/>
                  <w:vAlign w:val="center"/>
                </w:tcPr>
                <w:p w14:paraId="4075D1D5">
                  <w:pPr>
                    <w:widowControl w:val="0"/>
                    <w:overflowPunct w:val="0"/>
                    <w:autoSpaceDE w:val="0"/>
                    <w:autoSpaceDN w:val="0"/>
                    <w:snapToGrid w:val="0"/>
                    <w:jc w:val="center"/>
                    <w:rPr>
                      <w:color w:val="auto"/>
                      <w14:ligatures w14:val="standardContextual"/>
                    </w:rPr>
                  </w:pPr>
                  <w:r>
                    <w:rPr>
                      <w:color w:val="auto"/>
                      <w14:ligatures w14:val="standardContextual"/>
                    </w:rPr>
                    <w:t>0</w:t>
                  </w:r>
                </w:p>
              </w:tc>
              <w:tc>
                <w:tcPr>
                  <w:tcW w:w="1471" w:type="dxa"/>
                  <w:noWrap/>
                  <w:vAlign w:val="center"/>
                </w:tcPr>
                <w:p w14:paraId="02FFC242">
                  <w:pPr>
                    <w:widowControl w:val="0"/>
                    <w:overflowPunct w:val="0"/>
                    <w:autoSpaceDE w:val="0"/>
                    <w:autoSpaceDN w:val="0"/>
                    <w:snapToGrid w:val="0"/>
                    <w:jc w:val="center"/>
                    <w:rPr>
                      <w:color w:val="auto"/>
                      <w14:ligatures w14:val="standardContextual"/>
                    </w:rPr>
                  </w:pPr>
                  <w:r>
                    <w:rPr>
                      <w:rFonts w:hint="eastAsia"/>
                      <w:color w:val="auto"/>
                      <w14:ligatures w14:val="standardContextual"/>
                    </w:rPr>
                    <w:t>15%</w:t>
                  </w:r>
                </w:p>
              </w:tc>
              <w:tc>
                <w:tcPr>
                  <w:tcW w:w="927" w:type="dxa"/>
                  <w:vAlign w:val="center"/>
                </w:tcPr>
                <w:p w14:paraId="35CF5773">
                  <w:pPr>
                    <w:widowControl w:val="0"/>
                    <w:overflowPunct w:val="0"/>
                    <w:autoSpaceDE w:val="0"/>
                    <w:autoSpaceDN w:val="0"/>
                    <w:snapToGrid w:val="0"/>
                    <w:jc w:val="center"/>
                    <w:rPr>
                      <w:color w:val="auto"/>
                      <w14:ligatures w14:val="standardContextual"/>
                    </w:rPr>
                  </w:pPr>
                  <w:r>
                    <w:rPr>
                      <w:color w:val="auto"/>
                      <w14:ligatures w14:val="standardContextual"/>
                    </w:rPr>
                    <w:t>0.9</w:t>
                  </w:r>
                </w:p>
              </w:tc>
              <w:tc>
                <w:tcPr>
                  <w:tcW w:w="1048" w:type="dxa"/>
                  <w:vAlign w:val="center"/>
                </w:tcPr>
                <w:p w14:paraId="6E5A9916">
                  <w:pPr>
                    <w:widowControl w:val="0"/>
                    <w:overflowPunct w:val="0"/>
                    <w:autoSpaceDE w:val="0"/>
                    <w:autoSpaceDN w:val="0"/>
                    <w:snapToGrid w:val="0"/>
                    <w:jc w:val="center"/>
                    <w:rPr>
                      <w:color w:val="auto"/>
                      <w14:ligatures w14:val="standardContextual"/>
                    </w:rPr>
                  </w:pPr>
                  <w:r>
                    <w:rPr>
                      <w:color w:val="auto"/>
                      <w14:ligatures w14:val="standardContextual"/>
                    </w:rPr>
                    <w:t>0</w:t>
                  </w:r>
                </w:p>
              </w:tc>
              <w:tc>
                <w:tcPr>
                  <w:tcW w:w="946" w:type="dxa"/>
                  <w:vAlign w:val="center"/>
                </w:tcPr>
                <w:p w14:paraId="24AFD7AE">
                  <w:pPr>
                    <w:widowControl w:val="0"/>
                    <w:overflowPunct w:val="0"/>
                    <w:autoSpaceDE w:val="0"/>
                    <w:autoSpaceDN w:val="0"/>
                    <w:snapToGrid w:val="0"/>
                    <w:jc w:val="center"/>
                    <w:rPr>
                      <w:color w:val="auto"/>
                      <w14:ligatures w14:val="standardContextual"/>
                    </w:rPr>
                  </w:pPr>
                  <w:r>
                    <w:rPr>
                      <w:color w:val="auto"/>
                      <w14:ligatures w14:val="standardContextual"/>
                    </w:rPr>
                    <w:t>/</w:t>
                  </w:r>
                </w:p>
              </w:tc>
            </w:tr>
            <w:tr w14:paraId="2F1572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5" w:type="dxa"/>
                  <w:vMerge w:val="continue"/>
                  <w:vAlign w:val="center"/>
                </w:tcPr>
                <w:p w14:paraId="5487B86E">
                  <w:pPr>
                    <w:widowControl w:val="0"/>
                    <w:overflowPunct w:val="0"/>
                    <w:autoSpaceDE w:val="0"/>
                    <w:autoSpaceDN w:val="0"/>
                    <w:snapToGrid w:val="0"/>
                    <w:jc w:val="center"/>
                    <w:rPr>
                      <w:color w:val="auto"/>
                      <w14:ligatures w14:val="standardContextual"/>
                    </w:rPr>
                  </w:pPr>
                </w:p>
              </w:tc>
              <w:tc>
                <w:tcPr>
                  <w:tcW w:w="1169" w:type="dxa"/>
                  <w:noWrap/>
                  <w:vAlign w:val="center"/>
                </w:tcPr>
                <w:p w14:paraId="75BB4733">
                  <w:pPr>
                    <w:widowControl w:val="0"/>
                    <w:overflowPunct w:val="0"/>
                    <w:autoSpaceDE w:val="0"/>
                    <w:autoSpaceDN w:val="0"/>
                    <w:snapToGrid w:val="0"/>
                    <w:jc w:val="center"/>
                    <w:rPr>
                      <w:color w:val="auto"/>
                      <w14:ligatures w14:val="standardContextual"/>
                    </w:rPr>
                  </w:pPr>
                  <w:r>
                    <w:rPr>
                      <w:rFonts w:hint="eastAsia"/>
                      <w:color w:val="auto"/>
                      <w14:ligatures w14:val="standardContextual"/>
                    </w:rPr>
                    <w:t>总氮</w:t>
                  </w:r>
                </w:p>
              </w:tc>
              <w:tc>
                <w:tcPr>
                  <w:tcW w:w="968" w:type="dxa"/>
                  <w:noWrap/>
                  <w:vAlign w:val="center"/>
                </w:tcPr>
                <w:p w14:paraId="2CA7574E">
                  <w:pPr>
                    <w:widowControl w:val="0"/>
                    <w:overflowPunct w:val="0"/>
                    <w:autoSpaceDE w:val="0"/>
                    <w:autoSpaceDN w:val="0"/>
                    <w:snapToGrid w:val="0"/>
                    <w:jc w:val="center"/>
                    <w:rPr>
                      <w:color w:val="auto"/>
                      <w14:ligatures w14:val="standardContextual"/>
                    </w:rPr>
                  </w:pPr>
                  <w:r>
                    <w:rPr>
                      <w:color w:val="auto"/>
                      <w14:ligatures w14:val="standardContextual"/>
                    </w:rPr>
                    <w:t>20</w:t>
                  </w:r>
                </w:p>
              </w:tc>
              <w:tc>
                <w:tcPr>
                  <w:tcW w:w="854" w:type="dxa"/>
                  <w:noWrap/>
                  <w:vAlign w:val="center"/>
                </w:tcPr>
                <w:p w14:paraId="2ACD14D8">
                  <w:pPr>
                    <w:widowControl w:val="0"/>
                    <w:overflowPunct w:val="0"/>
                    <w:autoSpaceDE w:val="0"/>
                    <w:autoSpaceDN w:val="0"/>
                    <w:snapToGrid w:val="0"/>
                    <w:jc w:val="center"/>
                    <w:rPr>
                      <w:color w:val="auto"/>
                      <w14:ligatures w14:val="standardContextual"/>
                    </w:rPr>
                  </w:pPr>
                  <w:r>
                    <w:rPr>
                      <w:color w:val="auto"/>
                      <w14:ligatures w14:val="standardContextual"/>
                    </w:rPr>
                    <w:t>0.004</w:t>
                  </w:r>
                </w:p>
              </w:tc>
              <w:tc>
                <w:tcPr>
                  <w:tcW w:w="1471" w:type="dxa"/>
                  <w:noWrap/>
                  <w:vAlign w:val="center"/>
                </w:tcPr>
                <w:p w14:paraId="18A55D37">
                  <w:pPr>
                    <w:widowControl w:val="0"/>
                    <w:overflowPunct w:val="0"/>
                    <w:autoSpaceDE w:val="0"/>
                    <w:autoSpaceDN w:val="0"/>
                    <w:snapToGrid w:val="0"/>
                    <w:jc w:val="center"/>
                    <w:rPr>
                      <w:color w:val="auto"/>
                      <w14:ligatures w14:val="standardContextual"/>
                    </w:rPr>
                  </w:pPr>
                  <w:r>
                    <w:rPr>
                      <w:rFonts w:hint="eastAsia"/>
                      <w:color w:val="auto"/>
                      <w14:ligatures w14:val="standardContextual"/>
                    </w:rPr>
                    <w:t>27.50%</w:t>
                  </w:r>
                </w:p>
              </w:tc>
              <w:tc>
                <w:tcPr>
                  <w:tcW w:w="927" w:type="dxa"/>
                  <w:vAlign w:val="center"/>
                </w:tcPr>
                <w:p w14:paraId="1AF5CA0B">
                  <w:pPr>
                    <w:widowControl w:val="0"/>
                    <w:overflowPunct w:val="0"/>
                    <w:autoSpaceDE w:val="0"/>
                    <w:autoSpaceDN w:val="0"/>
                    <w:snapToGrid w:val="0"/>
                    <w:jc w:val="center"/>
                    <w:rPr>
                      <w:color w:val="auto"/>
                      <w14:ligatures w14:val="standardContextual"/>
                    </w:rPr>
                  </w:pPr>
                  <w:r>
                    <w:rPr>
                      <w:color w:val="auto"/>
                      <w14:ligatures w14:val="standardContextual"/>
                    </w:rPr>
                    <w:t>14.5</w:t>
                  </w:r>
                </w:p>
              </w:tc>
              <w:tc>
                <w:tcPr>
                  <w:tcW w:w="1048" w:type="dxa"/>
                  <w:vAlign w:val="center"/>
                </w:tcPr>
                <w:p w14:paraId="6254D146">
                  <w:pPr>
                    <w:widowControl w:val="0"/>
                    <w:overflowPunct w:val="0"/>
                    <w:autoSpaceDE w:val="0"/>
                    <w:autoSpaceDN w:val="0"/>
                    <w:snapToGrid w:val="0"/>
                    <w:jc w:val="center"/>
                    <w:rPr>
                      <w:color w:val="auto"/>
                      <w14:ligatures w14:val="standardContextual"/>
                    </w:rPr>
                  </w:pPr>
                  <w:r>
                    <w:rPr>
                      <w:color w:val="auto"/>
                      <w14:ligatures w14:val="standardContextual"/>
                    </w:rPr>
                    <w:t>0.003</w:t>
                  </w:r>
                </w:p>
              </w:tc>
              <w:tc>
                <w:tcPr>
                  <w:tcW w:w="946" w:type="dxa"/>
                  <w:vAlign w:val="center"/>
                </w:tcPr>
                <w:p w14:paraId="6AED5CFE">
                  <w:pPr>
                    <w:widowControl w:val="0"/>
                    <w:overflowPunct w:val="0"/>
                    <w:autoSpaceDE w:val="0"/>
                    <w:autoSpaceDN w:val="0"/>
                    <w:snapToGrid w:val="0"/>
                    <w:jc w:val="center"/>
                    <w:rPr>
                      <w:color w:val="auto"/>
                      <w14:ligatures w14:val="standardContextual"/>
                    </w:rPr>
                  </w:pPr>
                  <w:r>
                    <w:rPr>
                      <w:color w:val="auto"/>
                      <w14:ligatures w14:val="standardContextual"/>
                    </w:rPr>
                    <w:t>/</w:t>
                  </w:r>
                </w:p>
              </w:tc>
            </w:tr>
            <w:bookmarkEnd w:id="36"/>
          </w:tbl>
          <w:p w14:paraId="690D804F">
            <w:pPr>
              <w:pStyle w:val="3"/>
              <w:ind w:firstLine="482"/>
              <w:rPr>
                <w:color w:val="auto"/>
              </w:rPr>
            </w:pPr>
            <w:r>
              <w:rPr>
                <w:rFonts w:hint="eastAsia"/>
                <w:b/>
                <w:bCs/>
                <w:color w:val="auto"/>
              </w:rPr>
              <w:t>2、污染源强核算过程</w:t>
            </w:r>
          </w:p>
          <w:p w14:paraId="1008730A">
            <w:pPr>
              <w:pStyle w:val="3"/>
              <w:ind w:firstLine="480"/>
              <w:rPr>
                <w:color w:val="auto"/>
              </w:rPr>
            </w:pPr>
            <w:r>
              <w:rPr>
                <w:rFonts w:hint="eastAsia"/>
                <w:color w:val="auto"/>
              </w:rPr>
              <w:t>1）生活污水</w:t>
            </w:r>
          </w:p>
          <w:p w14:paraId="10EB48F4">
            <w:pPr>
              <w:pStyle w:val="3"/>
              <w:ind w:firstLine="480"/>
              <w:rPr>
                <w:color w:val="auto"/>
              </w:rPr>
            </w:pPr>
            <w:r>
              <w:rPr>
                <w:rFonts w:hint="eastAsia"/>
                <w:color w:val="auto"/>
              </w:rPr>
              <w:t>项目生活污水量为184.8t/a，0.56t/d。生活污水中各污染物浓度参考《城市污水处理技术及工程实例》（化学工业出版社）典型生活污水水质指标，其主要污染物COD、BOD</w:t>
            </w:r>
            <w:r>
              <w:rPr>
                <w:rFonts w:hint="eastAsia"/>
                <w:color w:val="auto"/>
                <w:vertAlign w:val="subscript"/>
              </w:rPr>
              <w:t>5</w:t>
            </w:r>
            <w:r>
              <w:rPr>
                <w:rFonts w:hint="eastAsia"/>
                <w:color w:val="auto"/>
              </w:rPr>
              <w:t>、SS、氨氮、TP、TN，浓度依次为250mg/L、100mg/L、150mg/L、12mg/L、1mg/L、20mg/L。</w:t>
            </w:r>
          </w:p>
          <w:p w14:paraId="2F6AEC9D">
            <w:pPr>
              <w:pStyle w:val="3"/>
              <w:ind w:firstLine="480"/>
              <w:rPr>
                <w:color w:val="auto"/>
              </w:rPr>
            </w:pPr>
            <w:r>
              <w:rPr>
                <w:rFonts w:hint="eastAsia"/>
                <w:color w:val="auto"/>
              </w:rPr>
              <w:t>参考国内三级化粪池的处理效率，本项目地埋式一体化污水处理设施对COD、BOD</w:t>
            </w:r>
            <w:r>
              <w:rPr>
                <w:rFonts w:hint="eastAsia"/>
                <w:color w:val="auto"/>
                <w:vertAlign w:val="subscript"/>
              </w:rPr>
              <w:t>5</w:t>
            </w:r>
            <w:r>
              <w:rPr>
                <w:rFonts w:hint="eastAsia"/>
                <w:color w:val="auto"/>
              </w:rPr>
              <w:t>、SS、氨氮、总磷、总氮的去除效率分别取43%、50%、55%、27.5%、15%、27.5%。</w:t>
            </w:r>
          </w:p>
          <w:p w14:paraId="02A4990C">
            <w:pPr>
              <w:pStyle w:val="3"/>
              <w:ind w:firstLine="480"/>
              <w:rPr>
                <w:color w:val="auto"/>
              </w:rPr>
            </w:pPr>
            <w:r>
              <w:rPr>
                <w:rFonts w:hint="eastAsia"/>
                <w:color w:val="auto"/>
              </w:rPr>
              <w:t>职工生活污水产生量较小，且水质较为简单，排入</w:t>
            </w:r>
            <w:r>
              <w:rPr>
                <w:rFonts w:hint="eastAsia"/>
                <w:b/>
                <w:bCs/>
                <w:color w:val="auto"/>
              </w:rPr>
              <w:t>地埋式一体化污水处理设施</w:t>
            </w:r>
            <w:r>
              <w:rPr>
                <w:rFonts w:hint="eastAsia"/>
                <w:color w:val="auto"/>
              </w:rPr>
              <w:t>预处理后定期清运至鄯善县污水处理厂。</w:t>
            </w:r>
          </w:p>
          <w:p w14:paraId="542616CE">
            <w:pPr>
              <w:pStyle w:val="3"/>
              <w:ind w:firstLine="480"/>
              <w:rPr>
                <w:color w:val="auto"/>
              </w:rPr>
            </w:pPr>
            <w:r>
              <w:rPr>
                <w:rFonts w:hint="eastAsia"/>
                <w:color w:val="auto"/>
              </w:rPr>
              <w:t>2）生产废水</w:t>
            </w:r>
          </w:p>
          <w:p w14:paraId="668E8721">
            <w:pPr>
              <w:pStyle w:val="3"/>
              <w:ind w:firstLine="480"/>
              <w:rPr>
                <w:color w:val="auto"/>
              </w:rPr>
            </w:pPr>
            <w:r>
              <w:rPr>
                <w:rFonts w:hint="eastAsia"/>
                <w:color w:val="auto"/>
              </w:rPr>
              <w:t>本项目无生产废水。企业建设一座车辆清洗平台及1座沉淀水池，总容积约为25m3，清洗废水循环使用、定期补充，不外排，定期清理沉淀池沉渣。</w:t>
            </w:r>
          </w:p>
          <w:p w14:paraId="0EC28465">
            <w:pPr>
              <w:pStyle w:val="3"/>
              <w:ind w:firstLine="482"/>
              <w:rPr>
                <w:b/>
                <w:bCs/>
                <w:color w:val="auto"/>
              </w:rPr>
            </w:pPr>
            <w:r>
              <w:rPr>
                <w:rFonts w:hint="eastAsia"/>
                <w:b/>
                <w:bCs/>
                <w:color w:val="auto"/>
              </w:rPr>
              <w:t>3、废水治理设施可行性分析</w:t>
            </w:r>
          </w:p>
          <w:p w14:paraId="108E5530">
            <w:pPr>
              <w:pStyle w:val="3"/>
              <w:ind w:firstLine="480"/>
              <w:rPr>
                <w:color w:val="auto"/>
              </w:rPr>
            </w:pPr>
            <w:r>
              <w:rPr>
                <w:rFonts w:hint="eastAsia"/>
                <w:color w:val="auto"/>
              </w:rPr>
              <w:t>根据水平衡分析，本项目进入</w:t>
            </w:r>
            <w:r>
              <w:rPr>
                <w:rFonts w:hint="eastAsia"/>
                <w:b/>
                <w:bCs/>
                <w:color w:val="auto"/>
              </w:rPr>
              <w:t>地埋式一体化污水处理设施</w:t>
            </w:r>
            <w:r>
              <w:rPr>
                <w:rFonts w:hint="eastAsia"/>
                <w:color w:val="auto"/>
              </w:rPr>
              <w:t>的生活污水为184.8t/a（0.56t/d），本项目厂区设置</w:t>
            </w:r>
            <w:r>
              <w:rPr>
                <w:rFonts w:hint="eastAsia"/>
                <w:b/>
                <w:bCs/>
                <w:color w:val="auto"/>
              </w:rPr>
              <w:t>地埋式一体化污水处理设施</w:t>
            </w:r>
            <w:r>
              <w:rPr>
                <w:rFonts w:hint="eastAsia"/>
                <w:color w:val="auto"/>
              </w:rPr>
              <w:t>处理规模为2m</w:t>
            </w:r>
            <w:r>
              <w:rPr>
                <w:rFonts w:hint="eastAsia"/>
                <w:color w:val="auto"/>
                <w:vertAlign w:val="superscript"/>
              </w:rPr>
              <w:t>3</w:t>
            </w:r>
            <w:r>
              <w:rPr>
                <w:rFonts w:hint="eastAsia"/>
                <w:color w:val="auto"/>
              </w:rPr>
              <w:t>/d，可满足生活污水处理需求。</w:t>
            </w:r>
          </w:p>
          <w:p w14:paraId="4EDBDBF5">
            <w:pPr>
              <w:pStyle w:val="3"/>
              <w:ind w:firstLine="482"/>
              <w:rPr>
                <w:b/>
                <w:bCs/>
                <w:color w:val="auto"/>
              </w:rPr>
            </w:pPr>
            <w:r>
              <w:rPr>
                <w:rFonts w:hint="eastAsia"/>
                <w:b/>
                <w:bCs/>
                <w:color w:val="auto"/>
              </w:rPr>
              <w:t>4、污水处理厂依托可行性分析</w:t>
            </w:r>
          </w:p>
          <w:p w14:paraId="79C58393">
            <w:pPr>
              <w:pStyle w:val="3"/>
              <w:ind w:firstLine="480"/>
              <w:rPr>
                <w:color w:val="auto"/>
              </w:rPr>
            </w:pPr>
            <w:r>
              <w:rPr>
                <w:rFonts w:hint="eastAsia"/>
                <w:color w:val="auto"/>
              </w:rPr>
              <w:t>鄯善县污水处理厂于2022年建设，采用“AAO+深度处理工艺（高效沉淀池+反消化深床滤池）”工艺，其设计规模为1万m</w:t>
            </w:r>
            <w:r>
              <w:rPr>
                <w:rFonts w:hint="eastAsia"/>
                <w:color w:val="auto"/>
                <w:vertAlign w:val="superscript"/>
              </w:rPr>
              <w:t>3</w:t>
            </w:r>
            <w:r>
              <w:rPr>
                <w:rFonts w:hint="eastAsia"/>
                <w:color w:val="auto"/>
              </w:rPr>
              <w:t>/d，出水水质为《城镇污水处理厂污染物排放标准》（GB18919-2002）中的一级A标准限值。本项目生活污水排放量为0.56t/d，为鄯善县污水处理厂处理规模的0.000056%，不会对鄯善县污水处理厂造成影响，完全可以接纳和处置本项目的生活污水。</w:t>
            </w:r>
          </w:p>
          <w:p w14:paraId="7A506444">
            <w:pPr>
              <w:pStyle w:val="3"/>
              <w:ind w:firstLine="482"/>
              <w:rPr>
                <w:b/>
                <w:bCs/>
                <w:color w:val="auto"/>
              </w:rPr>
            </w:pPr>
            <w:r>
              <w:rPr>
                <w:rFonts w:hint="eastAsia"/>
                <w:b/>
                <w:bCs/>
                <w:color w:val="auto"/>
              </w:rPr>
              <w:t>5、废水环境影响结论</w:t>
            </w:r>
          </w:p>
          <w:p w14:paraId="6FDEB955">
            <w:pPr>
              <w:pStyle w:val="3"/>
              <w:ind w:firstLine="480"/>
              <w:rPr>
                <w:color w:val="auto"/>
              </w:rPr>
            </w:pPr>
            <w:r>
              <w:rPr>
                <w:rFonts w:hint="eastAsia"/>
                <w:color w:val="auto"/>
              </w:rPr>
              <w:t>本项目污水采用上述措施进行处理是可行的，保证厂区污水不私排乱排，废水环境影响可接受。</w:t>
            </w:r>
          </w:p>
          <w:p w14:paraId="29911795">
            <w:pPr>
              <w:pStyle w:val="7"/>
              <w:rPr>
                <w:color w:val="auto"/>
              </w:rPr>
            </w:pPr>
            <w:r>
              <w:rPr>
                <w:rFonts w:hint="eastAsia"/>
                <w:color w:val="auto"/>
              </w:rPr>
              <w:t>三、噪声</w:t>
            </w:r>
          </w:p>
          <w:p w14:paraId="3E4283CC">
            <w:pPr>
              <w:pStyle w:val="52"/>
              <w:rPr>
                <w:color w:val="auto"/>
              </w:rPr>
            </w:pPr>
            <w:r>
              <w:rPr>
                <w:rFonts w:hint="eastAsia"/>
                <w:color w:val="auto"/>
              </w:rPr>
              <w:t>1、声源情况</w:t>
            </w:r>
          </w:p>
          <w:p w14:paraId="45B3096D">
            <w:pPr>
              <w:pStyle w:val="3"/>
              <w:ind w:firstLine="480"/>
              <w:rPr>
                <w:color w:val="auto"/>
              </w:rPr>
            </w:pPr>
            <w:r>
              <w:rPr>
                <w:rFonts w:hint="eastAsia"/>
                <w:color w:val="auto"/>
              </w:rPr>
              <w:t>运营期噪声主要来源于车间内的装载机、叉车、挖掘机等各类机械设备，类比同类型企业，主要设备噪声值约80~95dB(A)。项目噪声源较高，但都安置在厂房内。为减轻噪声对环境的影响，本环评要求选用低噪声动力设备与机械设备，高噪声设备安装减震垫；运行时对设备进行维护，确保设备运转正常，避免故障运行的情况。</w:t>
            </w:r>
          </w:p>
          <w:p w14:paraId="07616676">
            <w:pPr>
              <w:pStyle w:val="49"/>
              <w:rPr>
                <w:color w:val="auto"/>
              </w:rPr>
            </w:pPr>
            <w:bookmarkStart w:id="37" w:name="_Ref176952915"/>
            <w:r>
              <w:rPr>
                <w:rFonts w:hint="eastAsia"/>
                <w:color w:val="auto"/>
              </w:rPr>
              <w:t xml:space="preserve">表4- </w:t>
            </w:r>
            <w:r>
              <w:rPr>
                <w:color w:val="auto"/>
              </w:rPr>
              <w:t>11</w:t>
            </w:r>
            <w:r>
              <w:rPr>
                <w:rFonts w:hint="eastAsia"/>
                <w:color w:val="auto"/>
              </w:rPr>
              <w:t>：工业企业噪声源强调查清单（室内声源）</w:t>
            </w:r>
            <w:bookmarkEnd w:id="37"/>
          </w:p>
          <w:tbl>
            <w:tblPr>
              <w:tblStyle w:val="50"/>
              <w:tblW w:w="7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301"/>
              <w:gridCol w:w="321"/>
              <w:gridCol w:w="1418"/>
              <w:gridCol w:w="604"/>
              <w:gridCol w:w="708"/>
              <w:gridCol w:w="566"/>
              <w:gridCol w:w="549"/>
              <w:gridCol w:w="377"/>
              <w:gridCol w:w="319"/>
              <w:gridCol w:w="319"/>
              <w:gridCol w:w="675"/>
              <w:gridCol w:w="486"/>
              <w:gridCol w:w="585"/>
              <w:gridCol w:w="710"/>
            </w:tblGrid>
            <w:tr w14:paraId="1F0C5F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01" w:type="dxa"/>
                  <w:vMerge w:val="restar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74CFE2F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序号</w:t>
                  </w:r>
                </w:p>
              </w:tc>
              <w:tc>
                <w:tcPr>
                  <w:tcW w:w="321" w:type="dxa"/>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6427DA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建筑物名称</w:t>
                  </w:r>
                </w:p>
              </w:tc>
              <w:tc>
                <w:tcPr>
                  <w:tcW w:w="1418" w:type="dxa"/>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FDBA02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声源名称</w:t>
                  </w:r>
                </w:p>
              </w:tc>
              <w:tc>
                <w:tcPr>
                  <w:tcW w:w="604"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79ABC6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声源源强</w:t>
                  </w:r>
                </w:p>
              </w:tc>
              <w:tc>
                <w:tcPr>
                  <w:tcW w:w="708" w:type="dxa"/>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63A678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声源控制措施</w:t>
                  </w:r>
                </w:p>
              </w:tc>
              <w:tc>
                <w:tcPr>
                  <w:tcW w:w="1492" w:type="dxa"/>
                  <w:gridSpan w:val="3"/>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9A3658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空间相对位置</w:t>
                  </w:r>
                  <w:r>
                    <w:rPr>
                      <w:rFonts w:hint="default" w:ascii="Times New Roman" w:hAnsi="Times New Roman" w:eastAsia="宋体" w:cs="Times New Roman"/>
                      <w:b/>
                      <w:i w:val="0"/>
                      <w:color w:val="auto"/>
                      <w:sz w:val="18"/>
                      <w:szCs w:val="18"/>
                      <w14:ligatures w14:val="standardContextual"/>
                    </w:rPr>
                    <w:t>/m</w:t>
                  </w:r>
                </w:p>
              </w:tc>
              <w:tc>
                <w:tcPr>
                  <w:tcW w:w="638" w:type="dxa"/>
                  <w:gridSpan w:val="2"/>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C7B266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距室内边界最近距离</w:t>
                  </w:r>
                  <w:r>
                    <w:rPr>
                      <w:rFonts w:hint="default" w:ascii="Times New Roman" w:hAnsi="Times New Roman" w:eastAsia="宋体" w:cs="Times New Roman"/>
                      <w:b/>
                      <w:i w:val="0"/>
                      <w:color w:val="auto"/>
                      <w:sz w:val="18"/>
                      <w:szCs w:val="18"/>
                      <w14:ligatures w14:val="standardContextual"/>
                    </w:rPr>
                    <w:t>/m</w:t>
                  </w:r>
                </w:p>
              </w:tc>
              <w:tc>
                <w:tcPr>
                  <w:tcW w:w="675" w:type="dxa"/>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B7C9A3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室内边界声级</w:t>
                  </w:r>
                  <w:r>
                    <w:rPr>
                      <w:rFonts w:hint="default" w:ascii="Times New Roman" w:hAnsi="Times New Roman" w:eastAsia="宋体" w:cs="Times New Roman"/>
                      <w:b/>
                      <w:i w:val="0"/>
                      <w:color w:val="auto"/>
                      <w:sz w:val="18"/>
                      <w:szCs w:val="18"/>
                      <w14:ligatures w14:val="standardContextual"/>
                    </w:rPr>
                    <w:t>/dB(A)</w:t>
                  </w:r>
                </w:p>
              </w:tc>
              <w:tc>
                <w:tcPr>
                  <w:tcW w:w="486" w:type="dxa"/>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63488A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运行时段</w:t>
                  </w:r>
                </w:p>
              </w:tc>
              <w:tc>
                <w:tcPr>
                  <w:tcW w:w="585" w:type="dxa"/>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86AEDE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建筑物插入损失</w:t>
                  </w:r>
                  <w:r>
                    <w:rPr>
                      <w:rFonts w:hint="default" w:ascii="Times New Roman" w:hAnsi="Times New Roman" w:eastAsia="宋体" w:cs="Times New Roman"/>
                      <w:b/>
                      <w:i w:val="0"/>
                      <w:color w:val="auto"/>
                      <w:sz w:val="18"/>
                      <w:szCs w:val="18"/>
                      <w14:ligatures w14:val="standardContextual"/>
                    </w:rPr>
                    <w:t>dB(A)</w:t>
                  </w:r>
                </w:p>
              </w:tc>
              <w:tc>
                <w:tcPr>
                  <w:tcW w:w="710" w:type="dxa"/>
                  <w:vMerge w:val="restart"/>
                  <w:tcBorders>
                    <w:top w:val="single" w:color="auto" w:sz="12" w:space="0"/>
                    <w:bottom w:val="single" w:color="auto" w:sz="12" w:space="0"/>
                    <w:right w:val="nil"/>
                    <w:insideH w:val="single" w:sz="12" w:space="0"/>
                    <w:insideV w:val="single" w:sz="4" w:space="0"/>
                    <w:tl2br w:val="nil"/>
                    <w:tr2bl w:val="nil"/>
                  </w:tcBorders>
                  <w:vAlign w:val="center"/>
                </w:tcPr>
                <w:p w14:paraId="2936314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14:ligatures w14:val="standardContextual"/>
                    </w:rPr>
                  </w:pPr>
                  <w:r>
                    <w:rPr>
                      <w:rFonts w:hint="eastAsia" w:ascii="Times New Roman" w:hAnsi="Times New Roman" w:eastAsia="宋体" w:cs="Times New Roman"/>
                      <w:b/>
                      <w:i w:val="0"/>
                      <w:color w:val="auto"/>
                      <w:sz w:val="18"/>
                      <w:szCs w:val="18"/>
                      <w14:ligatures w14:val="standardContextual"/>
                    </w:rPr>
                    <w:t>建筑物外</w:t>
                  </w:r>
                  <w:r>
                    <w:rPr>
                      <w:rFonts w:hint="default" w:ascii="Times New Roman" w:hAnsi="Times New Roman" w:eastAsia="宋体" w:cs="Times New Roman"/>
                      <w:b/>
                      <w:i w:val="0"/>
                      <w:color w:val="auto"/>
                      <w:sz w:val="18"/>
                      <w:szCs w:val="18"/>
                      <w14:ligatures w14:val="standardContextual"/>
                    </w:rPr>
                    <w:t>1m</w:t>
                  </w:r>
                  <w:r>
                    <w:rPr>
                      <w:rFonts w:hint="eastAsia" w:ascii="Times New Roman" w:hAnsi="Times New Roman" w:eastAsia="宋体" w:cs="Times New Roman"/>
                      <w:b/>
                      <w:i w:val="0"/>
                      <w:color w:val="auto"/>
                      <w:sz w:val="18"/>
                      <w:szCs w:val="18"/>
                      <w14:ligatures w14:val="standardContextual"/>
                    </w:rPr>
                    <w:t>处噪声声压级</w:t>
                  </w:r>
                  <w:r>
                    <w:rPr>
                      <w:rFonts w:hint="default" w:ascii="Times New Roman" w:hAnsi="Times New Roman" w:eastAsia="宋体" w:cs="Times New Roman"/>
                      <w:b/>
                      <w:i w:val="0"/>
                      <w:color w:val="auto"/>
                      <w:sz w:val="18"/>
                      <w:szCs w:val="18"/>
                      <w14:ligatures w14:val="standardContextual"/>
                    </w:rPr>
                    <w:t>/dB(A)</w:t>
                  </w:r>
                </w:p>
              </w:tc>
            </w:tr>
            <w:tr w14:paraId="44841F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41" w:hRule="atLeast"/>
                <w:jc w:val="center"/>
              </w:trPr>
              <w:tc>
                <w:tcPr>
                  <w:tcW w:w="301" w:type="dxa"/>
                  <w:vMerge w:val="continue"/>
                  <w:vAlign w:val="center"/>
                </w:tcPr>
                <w:p w14:paraId="38AA70FF">
                  <w:pPr>
                    <w:widowControl w:val="0"/>
                    <w:overflowPunct w:val="0"/>
                    <w:autoSpaceDE w:val="0"/>
                    <w:autoSpaceDN w:val="0"/>
                    <w:snapToGrid w:val="0"/>
                    <w:jc w:val="center"/>
                    <w:rPr>
                      <w:color w:val="auto"/>
                      <w:sz w:val="18"/>
                      <w:szCs w:val="18"/>
                      <w14:ligatures w14:val="standardContextual"/>
                    </w:rPr>
                  </w:pPr>
                </w:p>
              </w:tc>
              <w:tc>
                <w:tcPr>
                  <w:tcW w:w="321" w:type="dxa"/>
                  <w:vMerge w:val="continue"/>
                  <w:vAlign w:val="center"/>
                </w:tcPr>
                <w:p w14:paraId="7DBDB1B6">
                  <w:pPr>
                    <w:widowControl w:val="0"/>
                    <w:overflowPunct w:val="0"/>
                    <w:autoSpaceDE w:val="0"/>
                    <w:autoSpaceDN w:val="0"/>
                    <w:snapToGrid w:val="0"/>
                    <w:jc w:val="center"/>
                    <w:rPr>
                      <w:color w:val="auto"/>
                      <w:sz w:val="18"/>
                      <w:szCs w:val="18"/>
                      <w14:ligatures w14:val="standardContextual"/>
                    </w:rPr>
                  </w:pPr>
                </w:p>
              </w:tc>
              <w:tc>
                <w:tcPr>
                  <w:tcW w:w="1418" w:type="dxa"/>
                  <w:vMerge w:val="continue"/>
                  <w:vAlign w:val="center"/>
                </w:tcPr>
                <w:p w14:paraId="71579377">
                  <w:pPr>
                    <w:widowControl w:val="0"/>
                    <w:overflowPunct w:val="0"/>
                    <w:autoSpaceDE w:val="0"/>
                    <w:autoSpaceDN w:val="0"/>
                    <w:snapToGrid w:val="0"/>
                    <w:jc w:val="center"/>
                    <w:rPr>
                      <w:color w:val="auto"/>
                      <w:sz w:val="18"/>
                      <w:szCs w:val="18"/>
                      <w14:ligatures w14:val="standardContextual"/>
                    </w:rPr>
                  </w:pPr>
                </w:p>
              </w:tc>
              <w:tc>
                <w:tcPr>
                  <w:tcW w:w="604" w:type="dxa"/>
                  <w:vMerge w:val="restart"/>
                  <w:vAlign w:val="center"/>
                </w:tcPr>
                <w:p w14:paraId="47C14247">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声功率级</w:t>
                  </w:r>
                  <w:r>
                    <w:rPr>
                      <w:color w:val="auto"/>
                      <w:sz w:val="18"/>
                      <w:szCs w:val="18"/>
                      <w14:ligatures w14:val="standardContextual"/>
                    </w:rPr>
                    <w:t>dB</w:t>
                  </w:r>
                  <w:r>
                    <w:rPr>
                      <w:rFonts w:hint="eastAsia"/>
                      <w:color w:val="auto"/>
                      <w:sz w:val="18"/>
                      <w:szCs w:val="18"/>
                      <w14:ligatures w14:val="standardContextual"/>
                    </w:rPr>
                    <w:t>（</w:t>
                  </w:r>
                  <w:r>
                    <w:rPr>
                      <w:color w:val="auto"/>
                      <w:sz w:val="18"/>
                      <w:szCs w:val="18"/>
                      <w14:ligatures w14:val="standardContextual"/>
                    </w:rPr>
                    <w:t>A</w:t>
                  </w:r>
                  <w:r>
                    <w:rPr>
                      <w:rFonts w:hint="eastAsia"/>
                      <w:color w:val="auto"/>
                      <w:sz w:val="18"/>
                      <w:szCs w:val="18"/>
                      <w14:ligatures w14:val="standardContextual"/>
                    </w:rPr>
                    <w:t>）</w:t>
                  </w:r>
                </w:p>
              </w:tc>
              <w:tc>
                <w:tcPr>
                  <w:tcW w:w="708" w:type="dxa"/>
                  <w:vMerge w:val="continue"/>
                  <w:vAlign w:val="center"/>
                </w:tcPr>
                <w:p w14:paraId="5C1875FB">
                  <w:pPr>
                    <w:widowControl w:val="0"/>
                    <w:overflowPunct w:val="0"/>
                    <w:autoSpaceDE w:val="0"/>
                    <w:autoSpaceDN w:val="0"/>
                    <w:snapToGrid w:val="0"/>
                    <w:jc w:val="center"/>
                    <w:rPr>
                      <w:color w:val="auto"/>
                      <w:sz w:val="18"/>
                      <w:szCs w:val="18"/>
                      <w14:ligatures w14:val="standardContextual"/>
                    </w:rPr>
                  </w:pPr>
                </w:p>
              </w:tc>
              <w:tc>
                <w:tcPr>
                  <w:tcW w:w="1492" w:type="dxa"/>
                  <w:gridSpan w:val="3"/>
                  <w:vMerge w:val="continue"/>
                  <w:vAlign w:val="center"/>
                </w:tcPr>
                <w:p w14:paraId="3173165F">
                  <w:pPr>
                    <w:widowControl w:val="0"/>
                    <w:overflowPunct w:val="0"/>
                    <w:autoSpaceDE w:val="0"/>
                    <w:autoSpaceDN w:val="0"/>
                    <w:snapToGrid w:val="0"/>
                    <w:jc w:val="center"/>
                    <w:rPr>
                      <w:color w:val="auto"/>
                      <w:sz w:val="18"/>
                      <w:szCs w:val="18"/>
                      <w14:ligatures w14:val="standardContextual"/>
                    </w:rPr>
                  </w:pPr>
                </w:p>
              </w:tc>
              <w:tc>
                <w:tcPr>
                  <w:tcW w:w="638" w:type="dxa"/>
                  <w:gridSpan w:val="2"/>
                  <w:vMerge w:val="continue"/>
                  <w:vAlign w:val="center"/>
                </w:tcPr>
                <w:p w14:paraId="272DFB7A">
                  <w:pPr>
                    <w:widowControl w:val="0"/>
                    <w:overflowPunct w:val="0"/>
                    <w:autoSpaceDE w:val="0"/>
                    <w:autoSpaceDN w:val="0"/>
                    <w:snapToGrid w:val="0"/>
                    <w:jc w:val="center"/>
                    <w:rPr>
                      <w:color w:val="auto"/>
                      <w:sz w:val="18"/>
                      <w:szCs w:val="18"/>
                      <w14:ligatures w14:val="standardContextual"/>
                    </w:rPr>
                  </w:pPr>
                </w:p>
              </w:tc>
              <w:tc>
                <w:tcPr>
                  <w:tcW w:w="675" w:type="dxa"/>
                  <w:vMerge w:val="continue"/>
                  <w:vAlign w:val="center"/>
                </w:tcPr>
                <w:p w14:paraId="2A153D4E">
                  <w:pPr>
                    <w:widowControl w:val="0"/>
                    <w:overflowPunct w:val="0"/>
                    <w:autoSpaceDE w:val="0"/>
                    <w:autoSpaceDN w:val="0"/>
                    <w:snapToGrid w:val="0"/>
                    <w:jc w:val="center"/>
                    <w:rPr>
                      <w:color w:val="auto"/>
                      <w:sz w:val="18"/>
                      <w:szCs w:val="18"/>
                      <w14:ligatures w14:val="standardContextual"/>
                    </w:rPr>
                  </w:pPr>
                </w:p>
              </w:tc>
              <w:tc>
                <w:tcPr>
                  <w:tcW w:w="486" w:type="dxa"/>
                  <w:vMerge w:val="continue"/>
                  <w:vAlign w:val="center"/>
                </w:tcPr>
                <w:p w14:paraId="0BDDA5D7">
                  <w:pPr>
                    <w:widowControl w:val="0"/>
                    <w:overflowPunct w:val="0"/>
                    <w:autoSpaceDE w:val="0"/>
                    <w:autoSpaceDN w:val="0"/>
                    <w:snapToGrid w:val="0"/>
                    <w:jc w:val="center"/>
                    <w:rPr>
                      <w:color w:val="auto"/>
                      <w:sz w:val="18"/>
                      <w:szCs w:val="18"/>
                      <w14:ligatures w14:val="standardContextual"/>
                    </w:rPr>
                  </w:pPr>
                </w:p>
              </w:tc>
              <w:tc>
                <w:tcPr>
                  <w:tcW w:w="585" w:type="dxa"/>
                  <w:vMerge w:val="continue"/>
                  <w:vAlign w:val="center"/>
                </w:tcPr>
                <w:p w14:paraId="512FEE0A">
                  <w:pPr>
                    <w:widowControl w:val="0"/>
                    <w:overflowPunct w:val="0"/>
                    <w:autoSpaceDE w:val="0"/>
                    <w:autoSpaceDN w:val="0"/>
                    <w:snapToGrid w:val="0"/>
                    <w:jc w:val="center"/>
                    <w:rPr>
                      <w:color w:val="auto"/>
                      <w:sz w:val="18"/>
                      <w:szCs w:val="18"/>
                      <w14:ligatures w14:val="standardContextual"/>
                    </w:rPr>
                  </w:pPr>
                </w:p>
              </w:tc>
              <w:tc>
                <w:tcPr>
                  <w:tcW w:w="710" w:type="dxa"/>
                  <w:vMerge w:val="continue"/>
                  <w:vAlign w:val="center"/>
                </w:tcPr>
                <w:p w14:paraId="36CBD3AB">
                  <w:pPr>
                    <w:widowControl w:val="0"/>
                    <w:overflowPunct w:val="0"/>
                    <w:autoSpaceDE w:val="0"/>
                    <w:autoSpaceDN w:val="0"/>
                    <w:snapToGrid w:val="0"/>
                    <w:jc w:val="center"/>
                    <w:rPr>
                      <w:color w:val="auto"/>
                      <w:sz w:val="18"/>
                      <w:szCs w:val="18"/>
                      <w14:ligatures w14:val="standardContextual"/>
                    </w:rPr>
                  </w:pPr>
                </w:p>
              </w:tc>
            </w:tr>
            <w:tr w14:paraId="4C1554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01" w:type="dxa"/>
                  <w:vMerge w:val="continue"/>
                  <w:vAlign w:val="center"/>
                </w:tcPr>
                <w:p w14:paraId="1BB4F1C2">
                  <w:pPr>
                    <w:widowControl w:val="0"/>
                    <w:overflowPunct w:val="0"/>
                    <w:autoSpaceDE w:val="0"/>
                    <w:autoSpaceDN w:val="0"/>
                    <w:snapToGrid w:val="0"/>
                    <w:jc w:val="center"/>
                    <w:rPr>
                      <w:color w:val="auto"/>
                      <w:sz w:val="18"/>
                      <w:szCs w:val="18"/>
                      <w14:ligatures w14:val="standardContextual"/>
                    </w:rPr>
                  </w:pPr>
                </w:p>
              </w:tc>
              <w:tc>
                <w:tcPr>
                  <w:tcW w:w="321" w:type="dxa"/>
                  <w:vMerge w:val="continue"/>
                  <w:vAlign w:val="center"/>
                </w:tcPr>
                <w:p w14:paraId="07AB5C52">
                  <w:pPr>
                    <w:widowControl w:val="0"/>
                    <w:overflowPunct w:val="0"/>
                    <w:autoSpaceDE w:val="0"/>
                    <w:autoSpaceDN w:val="0"/>
                    <w:snapToGrid w:val="0"/>
                    <w:jc w:val="center"/>
                    <w:rPr>
                      <w:color w:val="auto"/>
                      <w:sz w:val="18"/>
                      <w:szCs w:val="18"/>
                      <w14:ligatures w14:val="standardContextual"/>
                    </w:rPr>
                  </w:pPr>
                </w:p>
              </w:tc>
              <w:tc>
                <w:tcPr>
                  <w:tcW w:w="1418" w:type="dxa"/>
                  <w:vMerge w:val="continue"/>
                  <w:vAlign w:val="center"/>
                </w:tcPr>
                <w:p w14:paraId="54017C25">
                  <w:pPr>
                    <w:widowControl w:val="0"/>
                    <w:overflowPunct w:val="0"/>
                    <w:autoSpaceDE w:val="0"/>
                    <w:autoSpaceDN w:val="0"/>
                    <w:snapToGrid w:val="0"/>
                    <w:jc w:val="center"/>
                    <w:rPr>
                      <w:color w:val="auto"/>
                      <w:sz w:val="18"/>
                      <w:szCs w:val="18"/>
                      <w14:ligatures w14:val="standardContextual"/>
                    </w:rPr>
                  </w:pPr>
                </w:p>
              </w:tc>
              <w:tc>
                <w:tcPr>
                  <w:tcW w:w="604" w:type="dxa"/>
                  <w:vMerge w:val="continue"/>
                  <w:vAlign w:val="center"/>
                </w:tcPr>
                <w:p w14:paraId="580486C9">
                  <w:pPr>
                    <w:widowControl w:val="0"/>
                    <w:overflowPunct w:val="0"/>
                    <w:autoSpaceDE w:val="0"/>
                    <w:autoSpaceDN w:val="0"/>
                    <w:snapToGrid w:val="0"/>
                    <w:jc w:val="center"/>
                    <w:rPr>
                      <w:color w:val="auto"/>
                      <w:sz w:val="18"/>
                      <w:szCs w:val="18"/>
                      <w14:ligatures w14:val="standardContextual"/>
                    </w:rPr>
                  </w:pPr>
                </w:p>
              </w:tc>
              <w:tc>
                <w:tcPr>
                  <w:tcW w:w="708" w:type="dxa"/>
                  <w:vMerge w:val="continue"/>
                  <w:vAlign w:val="center"/>
                </w:tcPr>
                <w:p w14:paraId="40B3A3B6">
                  <w:pPr>
                    <w:widowControl w:val="0"/>
                    <w:overflowPunct w:val="0"/>
                    <w:autoSpaceDE w:val="0"/>
                    <w:autoSpaceDN w:val="0"/>
                    <w:snapToGrid w:val="0"/>
                    <w:jc w:val="center"/>
                    <w:rPr>
                      <w:color w:val="auto"/>
                      <w:sz w:val="18"/>
                      <w:szCs w:val="18"/>
                      <w14:ligatures w14:val="standardContextual"/>
                    </w:rPr>
                  </w:pPr>
                </w:p>
              </w:tc>
              <w:tc>
                <w:tcPr>
                  <w:tcW w:w="566" w:type="dxa"/>
                  <w:vAlign w:val="center"/>
                </w:tcPr>
                <w:p w14:paraId="469C5D06">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X</w:t>
                  </w:r>
                </w:p>
              </w:tc>
              <w:tc>
                <w:tcPr>
                  <w:tcW w:w="549" w:type="dxa"/>
                  <w:vAlign w:val="center"/>
                </w:tcPr>
                <w:p w14:paraId="77A99C33">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Y</w:t>
                  </w:r>
                </w:p>
              </w:tc>
              <w:tc>
                <w:tcPr>
                  <w:tcW w:w="377" w:type="dxa"/>
                  <w:vAlign w:val="center"/>
                </w:tcPr>
                <w:p w14:paraId="40DA3562">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Z</w:t>
                  </w:r>
                </w:p>
              </w:tc>
              <w:tc>
                <w:tcPr>
                  <w:tcW w:w="319" w:type="dxa"/>
                  <w:vAlign w:val="center"/>
                </w:tcPr>
                <w:p w14:paraId="0E3EB6F6">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方位</w:t>
                  </w:r>
                </w:p>
              </w:tc>
              <w:tc>
                <w:tcPr>
                  <w:tcW w:w="319" w:type="dxa"/>
                  <w:vAlign w:val="center"/>
                </w:tcPr>
                <w:p w14:paraId="16FDC45A">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距离</w:t>
                  </w:r>
                </w:p>
              </w:tc>
              <w:tc>
                <w:tcPr>
                  <w:tcW w:w="675" w:type="dxa"/>
                  <w:vMerge w:val="continue"/>
                  <w:vAlign w:val="center"/>
                </w:tcPr>
                <w:p w14:paraId="20626107">
                  <w:pPr>
                    <w:widowControl w:val="0"/>
                    <w:overflowPunct w:val="0"/>
                    <w:autoSpaceDE w:val="0"/>
                    <w:autoSpaceDN w:val="0"/>
                    <w:snapToGrid w:val="0"/>
                    <w:jc w:val="center"/>
                    <w:rPr>
                      <w:color w:val="auto"/>
                      <w:sz w:val="18"/>
                      <w:szCs w:val="18"/>
                      <w14:ligatures w14:val="standardContextual"/>
                    </w:rPr>
                  </w:pPr>
                </w:p>
              </w:tc>
              <w:tc>
                <w:tcPr>
                  <w:tcW w:w="486" w:type="dxa"/>
                  <w:vMerge w:val="continue"/>
                  <w:vAlign w:val="center"/>
                </w:tcPr>
                <w:p w14:paraId="79310316">
                  <w:pPr>
                    <w:widowControl w:val="0"/>
                    <w:overflowPunct w:val="0"/>
                    <w:autoSpaceDE w:val="0"/>
                    <w:autoSpaceDN w:val="0"/>
                    <w:snapToGrid w:val="0"/>
                    <w:jc w:val="center"/>
                    <w:rPr>
                      <w:color w:val="auto"/>
                      <w:sz w:val="18"/>
                      <w:szCs w:val="18"/>
                      <w14:ligatures w14:val="standardContextual"/>
                    </w:rPr>
                  </w:pPr>
                </w:p>
              </w:tc>
              <w:tc>
                <w:tcPr>
                  <w:tcW w:w="585" w:type="dxa"/>
                  <w:vMerge w:val="continue"/>
                  <w:vAlign w:val="center"/>
                </w:tcPr>
                <w:p w14:paraId="68505003">
                  <w:pPr>
                    <w:widowControl w:val="0"/>
                    <w:overflowPunct w:val="0"/>
                    <w:autoSpaceDE w:val="0"/>
                    <w:autoSpaceDN w:val="0"/>
                    <w:snapToGrid w:val="0"/>
                    <w:jc w:val="center"/>
                    <w:rPr>
                      <w:color w:val="auto"/>
                      <w:sz w:val="18"/>
                      <w:szCs w:val="18"/>
                      <w14:ligatures w14:val="standardContextual"/>
                    </w:rPr>
                  </w:pPr>
                </w:p>
              </w:tc>
              <w:tc>
                <w:tcPr>
                  <w:tcW w:w="710" w:type="dxa"/>
                  <w:vMerge w:val="continue"/>
                  <w:vAlign w:val="center"/>
                </w:tcPr>
                <w:p w14:paraId="6C1A6804">
                  <w:pPr>
                    <w:widowControl w:val="0"/>
                    <w:overflowPunct w:val="0"/>
                    <w:autoSpaceDE w:val="0"/>
                    <w:autoSpaceDN w:val="0"/>
                    <w:snapToGrid w:val="0"/>
                    <w:jc w:val="center"/>
                    <w:rPr>
                      <w:color w:val="auto"/>
                      <w:sz w:val="18"/>
                      <w:szCs w:val="18"/>
                      <w14:ligatures w14:val="standardContextual"/>
                    </w:rPr>
                  </w:pPr>
                </w:p>
              </w:tc>
            </w:tr>
            <w:tr w14:paraId="3CFCB6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01" w:type="dxa"/>
                  <w:vAlign w:val="center"/>
                </w:tcPr>
                <w:p w14:paraId="696A71B5">
                  <w:pPr>
                    <w:pStyle w:val="68"/>
                    <w:widowControl w:val="0"/>
                    <w:numPr>
                      <w:ilvl w:val="0"/>
                      <w:numId w:val="2"/>
                    </w:numPr>
                    <w:overflowPunct w:val="0"/>
                    <w:autoSpaceDE w:val="0"/>
                    <w:autoSpaceDN w:val="0"/>
                    <w:snapToGrid w:val="0"/>
                    <w:ind w:firstLineChars="0"/>
                    <w:jc w:val="center"/>
                    <w:rPr>
                      <w:color w:val="auto"/>
                      <w:sz w:val="18"/>
                      <w:szCs w:val="18"/>
                      <w14:ligatures w14:val="standardContextual"/>
                    </w:rPr>
                  </w:pPr>
                </w:p>
              </w:tc>
              <w:tc>
                <w:tcPr>
                  <w:tcW w:w="321" w:type="dxa"/>
                  <w:vMerge w:val="restart"/>
                  <w:vAlign w:val="center"/>
                </w:tcPr>
                <w:p w14:paraId="33991A00">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煤棚内</w:t>
                  </w:r>
                </w:p>
              </w:tc>
              <w:tc>
                <w:tcPr>
                  <w:tcW w:w="1418" w:type="dxa"/>
                  <w:noWrap/>
                  <w:vAlign w:val="top"/>
                </w:tcPr>
                <w:p w14:paraId="13874566">
                  <w:pPr>
                    <w:widowControl w:val="0"/>
                    <w:overflowPunct w:val="0"/>
                    <w:autoSpaceDE w:val="0"/>
                    <w:autoSpaceDN w:val="0"/>
                    <w:snapToGrid w:val="0"/>
                    <w:jc w:val="center"/>
                    <w:rPr>
                      <w:color w:val="auto"/>
                      <w:sz w:val="18"/>
                      <w:szCs w:val="18"/>
                      <w14:ligatures w14:val="standardContextual"/>
                    </w:rPr>
                  </w:pPr>
                  <w:r>
                    <w:rPr>
                      <w:rFonts w:hint="eastAsia"/>
                      <w:color w:val="auto"/>
                      <w14:ligatures w14:val="standardContextual"/>
                    </w:rPr>
                    <w:t>装载机1</w:t>
                  </w:r>
                </w:p>
              </w:tc>
              <w:tc>
                <w:tcPr>
                  <w:tcW w:w="604" w:type="dxa"/>
                  <w:vAlign w:val="center"/>
                </w:tcPr>
                <w:p w14:paraId="477E13E6">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95</w:t>
                  </w:r>
                </w:p>
              </w:tc>
              <w:tc>
                <w:tcPr>
                  <w:tcW w:w="708" w:type="dxa"/>
                  <w:vMerge w:val="restart"/>
                  <w:vAlign w:val="center"/>
                </w:tcPr>
                <w:p w14:paraId="4ACE4116">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消声、吸声、隔声、减震等</w:t>
                  </w:r>
                </w:p>
              </w:tc>
              <w:tc>
                <w:tcPr>
                  <w:tcW w:w="566" w:type="dxa"/>
                  <w:vAlign w:val="center"/>
                </w:tcPr>
                <w:p w14:paraId="65A3BD5C">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16</w:t>
                  </w:r>
                </w:p>
              </w:tc>
              <w:tc>
                <w:tcPr>
                  <w:tcW w:w="549" w:type="dxa"/>
                  <w:vAlign w:val="center"/>
                </w:tcPr>
                <w:p w14:paraId="55A4607E">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81</w:t>
                  </w:r>
                </w:p>
              </w:tc>
              <w:tc>
                <w:tcPr>
                  <w:tcW w:w="377" w:type="dxa"/>
                  <w:vAlign w:val="center"/>
                </w:tcPr>
                <w:p w14:paraId="1E169519">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1.2</w:t>
                  </w:r>
                </w:p>
              </w:tc>
              <w:tc>
                <w:tcPr>
                  <w:tcW w:w="319" w:type="dxa"/>
                  <w:vAlign w:val="center"/>
                </w:tcPr>
                <w:p w14:paraId="636292F5">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N</w:t>
                  </w:r>
                </w:p>
              </w:tc>
              <w:tc>
                <w:tcPr>
                  <w:tcW w:w="319" w:type="dxa"/>
                  <w:vAlign w:val="center"/>
                </w:tcPr>
                <w:p w14:paraId="57ACA7A8">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5</w:t>
                  </w:r>
                </w:p>
              </w:tc>
              <w:tc>
                <w:tcPr>
                  <w:tcW w:w="675" w:type="dxa"/>
                  <w:vAlign w:val="top"/>
                </w:tcPr>
                <w:p w14:paraId="15A8AC07">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79.0</w:t>
                  </w:r>
                </w:p>
              </w:tc>
              <w:tc>
                <w:tcPr>
                  <w:tcW w:w="486" w:type="dxa"/>
                  <w:vAlign w:val="center"/>
                </w:tcPr>
                <w:p w14:paraId="02DC53C6">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全天</w:t>
                  </w:r>
                </w:p>
              </w:tc>
              <w:tc>
                <w:tcPr>
                  <w:tcW w:w="585" w:type="dxa"/>
                  <w:vAlign w:val="center"/>
                </w:tcPr>
                <w:p w14:paraId="5986947E">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30</w:t>
                  </w:r>
                </w:p>
              </w:tc>
              <w:tc>
                <w:tcPr>
                  <w:tcW w:w="710" w:type="dxa"/>
                  <w:vAlign w:val="top"/>
                </w:tcPr>
                <w:p w14:paraId="1AFB7D25">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 xml:space="preserve">59 </w:t>
                  </w:r>
                </w:p>
              </w:tc>
            </w:tr>
            <w:tr w14:paraId="211764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01" w:type="dxa"/>
                  <w:vAlign w:val="center"/>
                </w:tcPr>
                <w:p w14:paraId="337279BE">
                  <w:pPr>
                    <w:pStyle w:val="68"/>
                    <w:widowControl w:val="0"/>
                    <w:numPr>
                      <w:ilvl w:val="0"/>
                      <w:numId w:val="2"/>
                    </w:numPr>
                    <w:overflowPunct w:val="0"/>
                    <w:autoSpaceDE w:val="0"/>
                    <w:autoSpaceDN w:val="0"/>
                    <w:snapToGrid w:val="0"/>
                    <w:ind w:firstLineChars="0"/>
                    <w:jc w:val="center"/>
                    <w:rPr>
                      <w:color w:val="auto"/>
                      <w:sz w:val="18"/>
                      <w:szCs w:val="18"/>
                      <w14:ligatures w14:val="standardContextual"/>
                    </w:rPr>
                  </w:pPr>
                </w:p>
              </w:tc>
              <w:tc>
                <w:tcPr>
                  <w:tcW w:w="321" w:type="dxa"/>
                  <w:vMerge w:val="continue"/>
                  <w:vAlign w:val="center"/>
                </w:tcPr>
                <w:p w14:paraId="49B54F6E">
                  <w:pPr>
                    <w:widowControl w:val="0"/>
                    <w:overflowPunct w:val="0"/>
                    <w:autoSpaceDE w:val="0"/>
                    <w:autoSpaceDN w:val="0"/>
                    <w:snapToGrid w:val="0"/>
                    <w:jc w:val="center"/>
                    <w:rPr>
                      <w:color w:val="auto"/>
                      <w:sz w:val="18"/>
                      <w:szCs w:val="18"/>
                      <w14:ligatures w14:val="standardContextual"/>
                    </w:rPr>
                  </w:pPr>
                </w:p>
              </w:tc>
              <w:tc>
                <w:tcPr>
                  <w:tcW w:w="1418" w:type="dxa"/>
                  <w:noWrap/>
                  <w:vAlign w:val="top"/>
                </w:tcPr>
                <w:p w14:paraId="4BB50DE5">
                  <w:pPr>
                    <w:widowControl w:val="0"/>
                    <w:overflowPunct w:val="0"/>
                    <w:autoSpaceDE w:val="0"/>
                    <w:autoSpaceDN w:val="0"/>
                    <w:snapToGrid w:val="0"/>
                    <w:jc w:val="center"/>
                    <w:rPr>
                      <w:color w:val="auto"/>
                      <w:sz w:val="18"/>
                      <w:szCs w:val="18"/>
                      <w14:ligatures w14:val="standardContextual"/>
                    </w:rPr>
                  </w:pPr>
                  <w:r>
                    <w:rPr>
                      <w:rFonts w:hint="eastAsia"/>
                      <w:color w:val="auto"/>
                      <w14:ligatures w14:val="standardContextual"/>
                    </w:rPr>
                    <w:t>装载机2</w:t>
                  </w:r>
                </w:p>
              </w:tc>
              <w:tc>
                <w:tcPr>
                  <w:tcW w:w="604" w:type="dxa"/>
                  <w:vAlign w:val="center"/>
                </w:tcPr>
                <w:p w14:paraId="7BE2E959">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95</w:t>
                  </w:r>
                </w:p>
              </w:tc>
              <w:tc>
                <w:tcPr>
                  <w:tcW w:w="708" w:type="dxa"/>
                  <w:vMerge w:val="continue"/>
                  <w:vAlign w:val="center"/>
                </w:tcPr>
                <w:p w14:paraId="4B1EEF65">
                  <w:pPr>
                    <w:widowControl w:val="0"/>
                    <w:overflowPunct w:val="0"/>
                    <w:autoSpaceDE w:val="0"/>
                    <w:autoSpaceDN w:val="0"/>
                    <w:snapToGrid w:val="0"/>
                    <w:jc w:val="center"/>
                    <w:rPr>
                      <w:color w:val="auto"/>
                      <w:sz w:val="18"/>
                      <w:szCs w:val="18"/>
                      <w14:ligatures w14:val="standardContextual"/>
                    </w:rPr>
                  </w:pPr>
                </w:p>
              </w:tc>
              <w:tc>
                <w:tcPr>
                  <w:tcW w:w="566" w:type="dxa"/>
                  <w:vAlign w:val="center"/>
                </w:tcPr>
                <w:p w14:paraId="7CD2DD77">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43</w:t>
                  </w:r>
                </w:p>
              </w:tc>
              <w:tc>
                <w:tcPr>
                  <w:tcW w:w="549" w:type="dxa"/>
                  <w:vAlign w:val="center"/>
                </w:tcPr>
                <w:p w14:paraId="40870E06">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90</w:t>
                  </w:r>
                </w:p>
              </w:tc>
              <w:tc>
                <w:tcPr>
                  <w:tcW w:w="377" w:type="dxa"/>
                  <w:vAlign w:val="center"/>
                </w:tcPr>
                <w:p w14:paraId="1831D652">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1.2</w:t>
                  </w:r>
                </w:p>
              </w:tc>
              <w:tc>
                <w:tcPr>
                  <w:tcW w:w="319" w:type="dxa"/>
                  <w:vAlign w:val="center"/>
                </w:tcPr>
                <w:p w14:paraId="4AF7CEF8">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N</w:t>
                  </w:r>
                </w:p>
              </w:tc>
              <w:tc>
                <w:tcPr>
                  <w:tcW w:w="319" w:type="dxa"/>
                  <w:vAlign w:val="center"/>
                </w:tcPr>
                <w:p w14:paraId="1FCBEF5D">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5</w:t>
                  </w:r>
                </w:p>
              </w:tc>
              <w:tc>
                <w:tcPr>
                  <w:tcW w:w="675" w:type="dxa"/>
                  <w:vAlign w:val="top"/>
                </w:tcPr>
                <w:p w14:paraId="6DAA9282">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79.0</w:t>
                  </w:r>
                </w:p>
              </w:tc>
              <w:tc>
                <w:tcPr>
                  <w:tcW w:w="486" w:type="dxa"/>
                  <w:vAlign w:val="center"/>
                </w:tcPr>
                <w:p w14:paraId="43C36942">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全天</w:t>
                  </w:r>
                </w:p>
              </w:tc>
              <w:tc>
                <w:tcPr>
                  <w:tcW w:w="585" w:type="dxa"/>
                  <w:vAlign w:val="center"/>
                </w:tcPr>
                <w:p w14:paraId="3AA9CF56">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30</w:t>
                  </w:r>
                </w:p>
              </w:tc>
              <w:tc>
                <w:tcPr>
                  <w:tcW w:w="710" w:type="dxa"/>
                  <w:vAlign w:val="top"/>
                </w:tcPr>
                <w:p w14:paraId="1F83DF3A">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 xml:space="preserve">59 </w:t>
                  </w:r>
                </w:p>
              </w:tc>
            </w:tr>
            <w:tr w14:paraId="1F79D3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01" w:type="dxa"/>
                  <w:vAlign w:val="center"/>
                </w:tcPr>
                <w:p w14:paraId="46047A0C">
                  <w:pPr>
                    <w:pStyle w:val="68"/>
                    <w:widowControl w:val="0"/>
                    <w:numPr>
                      <w:ilvl w:val="0"/>
                      <w:numId w:val="2"/>
                    </w:numPr>
                    <w:overflowPunct w:val="0"/>
                    <w:autoSpaceDE w:val="0"/>
                    <w:autoSpaceDN w:val="0"/>
                    <w:snapToGrid w:val="0"/>
                    <w:ind w:firstLineChars="0"/>
                    <w:jc w:val="center"/>
                    <w:rPr>
                      <w:color w:val="auto"/>
                      <w:sz w:val="18"/>
                      <w:szCs w:val="18"/>
                      <w14:ligatures w14:val="standardContextual"/>
                    </w:rPr>
                  </w:pPr>
                </w:p>
              </w:tc>
              <w:tc>
                <w:tcPr>
                  <w:tcW w:w="321" w:type="dxa"/>
                  <w:vMerge w:val="continue"/>
                  <w:vAlign w:val="center"/>
                </w:tcPr>
                <w:p w14:paraId="34CB0769">
                  <w:pPr>
                    <w:widowControl w:val="0"/>
                    <w:overflowPunct w:val="0"/>
                    <w:autoSpaceDE w:val="0"/>
                    <w:autoSpaceDN w:val="0"/>
                    <w:snapToGrid w:val="0"/>
                    <w:jc w:val="center"/>
                    <w:rPr>
                      <w:color w:val="auto"/>
                      <w:sz w:val="18"/>
                      <w:szCs w:val="18"/>
                      <w14:ligatures w14:val="standardContextual"/>
                    </w:rPr>
                  </w:pPr>
                </w:p>
              </w:tc>
              <w:tc>
                <w:tcPr>
                  <w:tcW w:w="1418" w:type="dxa"/>
                  <w:noWrap/>
                  <w:vAlign w:val="top"/>
                </w:tcPr>
                <w:p w14:paraId="6BE813F2">
                  <w:pPr>
                    <w:widowControl w:val="0"/>
                    <w:overflowPunct w:val="0"/>
                    <w:autoSpaceDE w:val="0"/>
                    <w:autoSpaceDN w:val="0"/>
                    <w:snapToGrid w:val="0"/>
                    <w:jc w:val="center"/>
                    <w:rPr>
                      <w:color w:val="auto"/>
                      <w:sz w:val="18"/>
                      <w:szCs w:val="18"/>
                      <w14:ligatures w14:val="standardContextual"/>
                    </w:rPr>
                  </w:pPr>
                  <w:r>
                    <w:rPr>
                      <w:rFonts w:hint="eastAsia"/>
                      <w:color w:val="auto"/>
                      <w14:ligatures w14:val="standardContextual"/>
                    </w:rPr>
                    <w:t>叉车</w:t>
                  </w:r>
                </w:p>
              </w:tc>
              <w:tc>
                <w:tcPr>
                  <w:tcW w:w="604" w:type="dxa"/>
                  <w:vAlign w:val="center"/>
                </w:tcPr>
                <w:p w14:paraId="41520BB9">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80</w:t>
                  </w:r>
                </w:p>
              </w:tc>
              <w:tc>
                <w:tcPr>
                  <w:tcW w:w="708" w:type="dxa"/>
                  <w:vMerge w:val="continue"/>
                  <w:vAlign w:val="center"/>
                </w:tcPr>
                <w:p w14:paraId="039885C3">
                  <w:pPr>
                    <w:widowControl w:val="0"/>
                    <w:overflowPunct w:val="0"/>
                    <w:autoSpaceDE w:val="0"/>
                    <w:autoSpaceDN w:val="0"/>
                    <w:snapToGrid w:val="0"/>
                    <w:jc w:val="center"/>
                    <w:rPr>
                      <w:color w:val="auto"/>
                      <w:sz w:val="18"/>
                      <w:szCs w:val="18"/>
                      <w14:ligatures w14:val="standardContextual"/>
                    </w:rPr>
                  </w:pPr>
                </w:p>
              </w:tc>
              <w:tc>
                <w:tcPr>
                  <w:tcW w:w="566" w:type="dxa"/>
                  <w:vAlign w:val="center"/>
                </w:tcPr>
                <w:p w14:paraId="0D503D3E">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65</w:t>
                  </w:r>
                </w:p>
              </w:tc>
              <w:tc>
                <w:tcPr>
                  <w:tcW w:w="549" w:type="dxa"/>
                  <w:vAlign w:val="center"/>
                </w:tcPr>
                <w:p w14:paraId="5A4A3E3A">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84</w:t>
                  </w:r>
                </w:p>
              </w:tc>
              <w:tc>
                <w:tcPr>
                  <w:tcW w:w="377" w:type="dxa"/>
                  <w:vAlign w:val="center"/>
                </w:tcPr>
                <w:p w14:paraId="6D421494">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1.2</w:t>
                  </w:r>
                </w:p>
              </w:tc>
              <w:tc>
                <w:tcPr>
                  <w:tcW w:w="319" w:type="dxa"/>
                  <w:vAlign w:val="center"/>
                </w:tcPr>
                <w:p w14:paraId="1B1C65FB">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E</w:t>
                  </w:r>
                </w:p>
              </w:tc>
              <w:tc>
                <w:tcPr>
                  <w:tcW w:w="319" w:type="dxa"/>
                  <w:vAlign w:val="center"/>
                </w:tcPr>
                <w:p w14:paraId="2B811D89">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8</w:t>
                  </w:r>
                </w:p>
              </w:tc>
              <w:tc>
                <w:tcPr>
                  <w:tcW w:w="675" w:type="dxa"/>
                  <w:vAlign w:val="top"/>
                </w:tcPr>
                <w:p w14:paraId="1356D1F6">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59.9</w:t>
                  </w:r>
                </w:p>
              </w:tc>
              <w:tc>
                <w:tcPr>
                  <w:tcW w:w="486" w:type="dxa"/>
                  <w:vAlign w:val="center"/>
                </w:tcPr>
                <w:p w14:paraId="04C17EE5">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全天</w:t>
                  </w:r>
                </w:p>
              </w:tc>
              <w:tc>
                <w:tcPr>
                  <w:tcW w:w="585" w:type="dxa"/>
                  <w:vAlign w:val="center"/>
                </w:tcPr>
                <w:p w14:paraId="0E2DD755">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30</w:t>
                  </w:r>
                </w:p>
              </w:tc>
              <w:tc>
                <w:tcPr>
                  <w:tcW w:w="710" w:type="dxa"/>
                  <w:vAlign w:val="top"/>
                </w:tcPr>
                <w:p w14:paraId="0FAA9DF1">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 xml:space="preserve">40 </w:t>
                  </w:r>
                </w:p>
              </w:tc>
            </w:tr>
            <w:tr w14:paraId="0D530B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01" w:type="dxa"/>
                  <w:vAlign w:val="center"/>
                </w:tcPr>
                <w:p w14:paraId="55DFB19F">
                  <w:pPr>
                    <w:pStyle w:val="68"/>
                    <w:widowControl w:val="0"/>
                    <w:numPr>
                      <w:ilvl w:val="0"/>
                      <w:numId w:val="2"/>
                    </w:numPr>
                    <w:overflowPunct w:val="0"/>
                    <w:autoSpaceDE w:val="0"/>
                    <w:autoSpaceDN w:val="0"/>
                    <w:snapToGrid w:val="0"/>
                    <w:ind w:firstLineChars="0"/>
                    <w:jc w:val="center"/>
                    <w:rPr>
                      <w:color w:val="auto"/>
                      <w:sz w:val="18"/>
                      <w:szCs w:val="18"/>
                      <w14:ligatures w14:val="standardContextual"/>
                    </w:rPr>
                  </w:pPr>
                </w:p>
              </w:tc>
              <w:tc>
                <w:tcPr>
                  <w:tcW w:w="321" w:type="dxa"/>
                  <w:vMerge w:val="continue"/>
                  <w:vAlign w:val="center"/>
                </w:tcPr>
                <w:p w14:paraId="01AE03A9">
                  <w:pPr>
                    <w:widowControl w:val="0"/>
                    <w:overflowPunct w:val="0"/>
                    <w:autoSpaceDE w:val="0"/>
                    <w:autoSpaceDN w:val="0"/>
                    <w:snapToGrid w:val="0"/>
                    <w:jc w:val="center"/>
                    <w:rPr>
                      <w:color w:val="auto"/>
                      <w:sz w:val="18"/>
                      <w:szCs w:val="18"/>
                      <w14:ligatures w14:val="standardContextual"/>
                    </w:rPr>
                  </w:pPr>
                </w:p>
              </w:tc>
              <w:tc>
                <w:tcPr>
                  <w:tcW w:w="1418" w:type="dxa"/>
                  <w:noWrap/>
                  <w:vAlign w:val="top"/>
                </w:tcPr>
                <w:p w14:paraId="0BCF2BF6">
                  <w:pPr>
                    <w:widowControl w:val="0"/>
                    <w:overflowPunct w:val="0"/>
                    <w:autoSpaceDE w:val="0"/>
                    <w:autoSpaceDN w:val="0"/>
                    <w:snapToGrid w:val="0"/>
                    <w:jc w:val="center"/>
                    <w:rPr>
                      <w:color w:val="auto"/>
                      <w:sz w:val="18"/>
                      <w:szCs w:val="18"/>
                      <w14:ligatures w14:val="standardContextual"/>
                    </w:rPr>
                  </w:pPr>
                  <w:r>
                    <w:rPr>
                      <w:rFonts w:hint="eastAsia"/>
                      <w:color w:val="auto"/>
                      <w14:ligatures w14:val="standardContextual"/>
                    </w:rPr>
                    <w:t>轮式挖掘机</w:t>
                  </w:r>
                </w:p>
              </w:tc>
              <w:tc>
                <w:tcPr>
                  <w:tcW w:w="604" w:type="dxa"/>
                  <w:vAlign w:val="center"/>
                </w:tcPr>
                <w:p w14:paraId="25D62D60">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95</w:t>
                  </w:r>
                </w:p>
              </w:tc>
              <w:tc>
                <w:tcPr>
                  <w:tcW w:w="708" w:type="dxa"/>
                  <w:vMerge w:val="continue"/>
                  <w:vAlign w:val="center"/>
                </w:tcPr>
                <w:p w14:paraId="24977E67">
                  <w:pPr>
                    <w:widowControl w:val="0"/>
                    <w:overflowPunct w:val="0"/>
                    <w:autoSpaceDE w:val="0"/>
                    <w:autoSpaceDN w:val="0"/>
                    <w:snapToGrid w:val="0"/>
                    <w:jc w:val="center"/>
                    <w:rPr>
                      <w:color w:val="auto"/>
                      <w:sz w:val="18"/>
                      <w:szCs w:val="18"/>
                      <w14:ligatures w14:val="standardContextual"/>
                    </w:rPr>
                  </w:pPr>
                </w:p>
              </w:tc>
              <w:tc>
                <w:tcPr>
                  <w:tcW w:w="566" w:type="dxa"/>
                  <w:vAlign w:val="center"/>
                </w:tcPr>
                <w:p w14:paraId="62D90B65">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14</w:t>
                  </w:r>
                </w:p>
              </w:tc>
              <w:tc>
                <w:tcPr>
                  <w:tcW w:w="549" w:type="dxa"/>
                  <w:vAlign w:val="center"/>
                </w:tcPr>
                <w:p w14:paraId="3B971F4F">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59</w:t>
                  </w:r>
                </w:p>
              </w:tc>
              <w:tc>
                <w:tcPr>
                  <w:tcW w:w="377" w:type="dxa"/>
                  <w:vAlign w:val="center"/>
                </w:tcPr>
                <w:p w14:paraId="2F98F45D">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1.2</w:t>
                  </w:r>
                </w:p>
              </w:tc>
              <w:tc>
                <w:tcPr>
                  <w:tcW w:w="319" w:type="dxa"/>
                  <w:vAlign w:val="center"/>
                </w:tcPr>
                <w:p w14:paraId="19E36562">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W</w:t>
                  </w:r>
                </w:p>
              </w:tc>
              <w:tc>
                <w:tcPr>
                  <w:tcW w:w="319" w:type="dxa"/>
                  <w:vAlign w:val="center"/>
                </w:tcPr>
                <w:p w14:paraId="43B53306">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10</w:t>
                  </w:r>
                </w:p>
              </w:tc>
              <w:tc>
                <w:tcPr>
                  <w:tcW w:w="675" w:type="dxa"/>
                  <w:vAlign w:val="top"/>
                </w:tcPr>
                <w:p w14:paraId="19733F87">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73.0</w:t>
                  </w:r>
                </w:p>
              </w:tc>
              <w:tc>
                <w:tcPr>
                  <w:tcW w:w="486" w:type="dxa"/>
                  <w:vAlign w:val="center"/>
                </w:tcPr>
                <w:p w14:paraId="7558E96B">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全天</w:t>
                  </w:r>
                </w:p>
              </w:tc>
              <w:tc>
                <w:tcPr>
                  <w:tcW w:w="585" w:type="dxa"/>
                  <w:vAlign w:val="center"/>
                </w:tcPr>
                <w:p w14:paraId="6EFFA3BB">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30</w:t>
                  </w:r>
                </w:p>
              </w:tc>
              <w:tc>
                <w:tcPr>
                  <w:tcW w:w="710" w:type="dxa"/>
                  <w:vAlign w:val="top"/>
                </w:tcPr>
                <w:p w14:paraId="6039327F">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 xml:space="preserve">53 </w:t>
                  </w:r>
                </w:p>
              </w:tc>
            </w:tr>
            <w:tr w14:paraId="6E88F6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01" w:type="dxa"/>
                  <w:vAlign w:val="center"/>
                </w:tcPr>
                <w:p w14:paraId="45F987C0">
                  <w:pPr>
                    <w:pStyle w:val="68"/>
                    <w:widowControl w:val="0"/>
                    <w:numPr>
                      <w:ilvl w:val="0"/>
                      <w:numId w:val="2"/>
                    </w:numPr>
                    <w:overflowPunct w:val="0"/>
                    <w:autoSpaceDE w:val="0"/>
                    <w:autoSpaceDN w:val="0"/>
                    <w:snapToGrid w:val="0"/>
                    <w:ind w:firstLineChars="0"/>
                    <w:jc w:val="center"/>
                    <w:rPr>
                      <w:color w:val="auto"/>
                      <w:sz w:val="18"/>
                      <w:szCs w:val="18"/>
                      <w14:ligatures w14:val="standardContextual"/>
                    </w:rPr>
                  </w:pPr>
                </w:p>
              </w:tc>
              <w:tc>
                <w:tcPr>
                  <w:tcW w:w="321" w:type="dxa"/>
                  <w:vMerge w:val="continue"/>
                  <w:vAlign w:val="center"/>
                </w:tcPr>
                <w:p w14:paraId="10D9B263">
                  <w:pPr>
                    <w:widowControl w:val="0"/>
                    <w:overflowPunct w:val="0"/>
                    <w:autoSpaceDE w:val="0"/>
                    <w:autoSpaceDN w:val="0"/>
                    <w:snapToGrid w:val="0"/>
                    <w:jc w:val="center"/>
                    <w:rPr>
                      <w:color w:val="auto"/>
                      <w:sz w:val="18"/>
                      <w:szCs w:val="18"/>
                      <w14:ligatures w14:val="standardContextual"/>
                    </w:rPr>
                  </w:pPr>
                </w:p>
              </w:tc>
              <w:tc>
                <w:tcPr>
                  <w:tcW w:w="1418" w:type="dxa"/>
                  <w:noWrap/>
                  <w:vAlign w:val="top"/>
                </w:tcPr>
                <w:p w14:paraId="0A9D2715">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喷雾灭尘装置</w:t>
                  </w:r>
                </w:p>
              </w:tc>
              <w:tc>
                <w:tcPr>
                  <w:tcW w:w="604" w:type="dxa"/>
                  <w:vAlign w:val="center"/>
                </w:tcPr>
                <w:p w14:paraId="49F0FD10">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80</w:t>
                  </w:r>
                </w:p>
              </w:tc>
              <w:tc>
                <w:tcPr>
                  <w:tcW w:w="708" w:type="dxa"/>
                  <w:vMerge w:val="continue"/>
                  <w:vAlign w:val="center"/>
                </w:tcPr>
                <w:p w14:paraId="3D291DA3">
                  <w:pPr>
                    <w:widowControl w:val="0"/>
                    <w:overflowPunct w:val="0"/>
                    <w:autoSpaceDE w:val="0"/>
                    <w:autoSpaceDN w:val="0"/>
                    <w:snapToGrid w:val="0"/>
                    <w:jc w:val="center"/>
                    <w:rPr>
                      <w:bCs/>
                      <w:color w:val="auto"/>
                      <w:sz w:val="18"/>
                      <w:szCs w:val="18"/>
                      <w14:ligatures w14:val="standardContextual"/>
                    </w:rPr>
                  </w:pPr>
                </w:p>
              </w:tc>
              <w:tc>
                <w:tcPr>
                  <w:tcW w:w="566" w:type="dxa"/>
                  <w:vAlign w:val="center"/>
                </w:tcPr>
                <w:p w14:paraId="6D62D359">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44</w:t>
                  </w:r>
                </w:p>
              </w:tc>
              <w:tc>
                <w:tcPr>
                  <w:tcW w:w="549" w:type="dxa"/>
                  <w:vAlign w:val="center"/>
                </w:tcPr>
                <w:p w14:paraId="0352F512">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62</w:t>
                  </w:r>
                </w:p>
              </w:tc>
              <w:tc>
                <w:tcPr>
                  <w:tcW w:w="377" w:type="dxa"/>
                  <w:vAlign w:val="center"/>
                </w:tcPr>
                <w:p w14:paraId="20907135">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1.2</w:t>
                  </w:r>
                </w:p>
              </w:tc>
              <w:tc>
                <w:tcPr>
                  <w:tcW w:w="319" w:type="dxa"/>
                  <w:vAlign w:val="center"/>
                </w:tcPr>
                <w:p w14:paraId="6053C48A">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E</w:t>
                  </w:r>
                </w:p>
              </w:tc>
              <w:tc>
                <w:tcPr>
                  <w:tcW w:w="319" w:type="dxa"/>
                  <w:vAlign w:val="center"/>
                </w:tcPr>
                <w:p w14:paraId="08A7BB27">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3</w:t>
                  </w:r>
                </w:p>
              </w:tc>
              <w:tc>
                <w:tcPr>
                  <w:tcW w:w="675" w:type="dxa"/>
                  <w:vAlign w:val="top"/>
                </w:tcPr>
                <w:p w14:paraId="25C3728E">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68.5</w:t>
                  </w:r>
                </w:p>
              </w:tc>
              <w:tc>
                <w:tcPr>
                  <w:tcW w:w="486" w:type="dxa"/>
                  <w:vAlign w:val="center"/>
                </w:tcPr>
                <w:p w14:paraId="560E6B94">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全天</w:t>
                  </w:r>
                </w:p>
              </w:tc>
              <w:tc>
                <w:tcPr>
                  <w:tcW w:w="585" w:type="dxa"/>
                  <w:vAlign w:val="center"/>
                </w:tcPr>
                <w:p w14:paraId="0241FD3D">
                  <w:pPr>
                    <w:widowControl w:val="0"/>
                    <w:overflowPunct w:val="0"/>
                    <w:autoSpaceDE w:val="0"/>
                    <w:autoSpaceDN w:val="0"/>
                    <w:snapToGrid w:val="0"/>
                    <w:jc w:val="center"/>
                    <w:rPr>
                      <w:color w:val="auto"/>
                      <w:sz w:val="18"/>
                      <w:szCs w:val="18"/>
                      <w14:ligatures w14:val="standardContextual"/>
                    </w:rPr>
                  </w:pPr>
                  <w:r>
                    <w:rPr>
                      <w:rFonts w:hint="eastAsia"/>
                      <w:color w:val="auto"/>
                      <w:sz w:val="18"/>
                      <w:szCs w:val="18"/>
                      <w14:ligatures w14:val="standardContextual"/>
                    </w:rPr>
                    <w:t>30</w:t>
                  </w:r>
                </w:p>
              </w:tc>
              <w:tc>
                <w:tcPr>
                  <w:tcW w:w="710" w:type="dxa"/>
                  <w:vAlign w:val="top"/>
                </w:tcPr>
                <w:p w14:paraId="389CB2ED">
                  <w:pPr>
                    <w:widowControl w:val="0"/>
                    <w:overflowPunct w:val="0"/>
                    <w:autoSpaceDE w:val="0"/>
                    <w:autoSpaceDN w:val="0"/>
                    <w:snapToGrid w:val="0"/>
                    <w:jc w:val="center"/>
                    <w:rPr>
                      <w:color w:val="auto"/>
                      <w:sz w:val="18"/>
                      <w:szCs w:val="18"/>
                      <w14:ligatures w14:val="standardContextual"/>
                    </w:rPr>
                  </w:pPr>
                  <w:r>
                    <w:rPr>
                      <w:color w:val="auto"/>
                      <w:sz w:val="18"/>
                      <w:szCs w:val="18"/>
                      <w14:ligatures w14:val="standardContextual"/>
                    </w:rPr>
                    <w:t xml:space="preserve">48 </w:t>
                  </w:r>
                </w:p>
              </w:tc>
            </w:tr>
          </w:tbl>
          <w:p w14:paraId="78DFAB7C">
            <w:pPr>
              <w:pStyle w:val="3"/>
              <w:ind w:firstLine="480"/>
              <w:rPr>
                <w:color w:val="auto"/>
              </w:rPr>
            </w:pPr>
            <w:r>
              <w:rPr>
                <w:rFonts w:hint="eastAsia"/>
                <w:color w:val="auto"/>
              </w:rPr>
              <w:t>本项目选用低噪声设备、隔声、减震等措施，综合降噪效果按照30dB(A)计。</w:t>
            </w:r>
          </w:p>
          <w:p w14:paraId="424903A5">
            <w:pPr>
              <w:pStyle w:val="49"/>
              <w:rPr>
                <w:color w:val="auto"/>
              </w:rPr>
            </w:pPr>
            <w:r>
              <w:rPr>
                <w:rFonts w:hint="eastAsia"/>
                <w:color w:val="auto"/>
              </w:rPr>
              <w:t xml:space="preserve">表4- </w:t>
            </w:r>
            <w:r>
              <w:rPr>
                <w:color w:val="auto"/>
              </w:rPr>
              <w:t>12</w:t>
            </w:r>
            <w:r>
              <w:rPr>
                <w:rFonts w:hint="eastAsia"/>
                <w:color w:val="auto"/>
              </w:rPr>
              <w:t>：工业企业噪声防治措施及投资表</w:t>
            </w:r>
          </w:p>
          <w:tbl>
            <w:tblPr>
              <w:tblStyle w:val="50"/>
              <w:tblW w:w="7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944"/>
              <w:gridCol w:w="1964"/>
              <w:gridCol w:w="2418"/>
              <w:gridCol w:w="1612"/>
            </w:tblGrid>
            <w:tr w14:paraId="6445CE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42" w:hRule="atLeast"/>
                <w:jc w:val="center"/>
              </w:trPr>
              <w:tc>
                <w:tcPr>
                  <w:tcW w:w="2114"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10B8D95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噪声源</w:t>
                  </w:r>
                </w:p>
              </w:tc>
              <w:tc>
                <w:tcPr>
                  <w:tcW w:w="2114"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E77D76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噪声防治措施</w:t>
                  </w:r>
                </w:p>
              </w:tc>
              <w:tc>
                <w:tcPr>
                  <w:tcW w:w="2482"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6900FC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噪声防治措施效果</w:t>
                  </w:r>
                </w:p>
              </w:tc>
              <w:tc>
                <w:tcPr>
                  <w:tcW w:w="1747" w:type="dxa"/>
                  <w:tcBorders>
                    <w:top w:val="single" w:color="auto" w:sz="12" w:space="0"/>
                    <w:bottom w:val="single" w:color="auto" w:sz="12" w:space="0"/>
                    <w:right w:val="nil"/>
                    <w:insideH w:val="single" w:sz="12" w:space="0"/>
                    <w:insideV w:val="single" w:sz="4" w:space="0"/>
                    <w:tl2br w:val="nil"/>
                    <w:tr2bl w:val="nil"/>
                  </w:tcBorders>
                  <w:vAlign w:val="center"/>
                </w:tcPr>
                <w:p w14:paraId="0FB9C1A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噪声防治措施投资/万元</w:t>
                  </w:r>
                </w:p>
              </w:tc>
            </w:tr>
            <w:tr w14:paraId="763334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2114" w:type="dxa"/>
                  <w:vAlign w:val="center"/>
                </w:tcPr>
                <w:p w14:paraId="650FC0E4">
                  <w:pPr>
                    <w:widowControl w:val="0"/>
                    <w:overflowPunct w:val="0"/>
                    <w:autoSpaceDE w:val="0"/>
                    <w:autoSpaceDN w:val="0"/>
                    <w:snapToGrid w:val="0"/>
                    <w:jc w:val="center"/>
                    <w:rPr>
                      <w:color w:val="auto"/>
                      <w14:ligatures w14:val="standardContextual"/>
                    </w:rPr>
                  </w:pPr>
                  <w:r>
                    <w:rPr>
                      <w:rFonts w:hint="eastAsia"/>
                      <w:color w:val="auto"/>
                      <w14:ligatures w14:val="standardContextual"/>
                    </w:rPr>
                    <w:t>机械设施</w:t>
                  </w:r>
                </w:p>
              </w:tc>
              <w:tc>
                <w:tcPr>
                  <w:tcW w:w="2114" w:type="dxa"/>
                  <w:vAlign w:val="center"/>
                </w:tcPr>
                <w:p w14:paraId="2867D41B">
                  <w:pPr>
                    <w:widowControl w:val="0"/>
                    <w:overflowPunct w:val="0"/>
                    <w:autoSpaceDE w:val="0"/>
                    <w:autoSpaceDN w:val="0"/>
                    <w:snapToGrid w:val="0"/>
                    <w:jc w:val="center"/>
                    <w:rPr>
                      <w:color w:val="auto"/>
                      <w14:ligatures w14:val="standardContextual"/>
                    </w:rPr>
                  </w:pPr>
                  <w:r>
                    <w:rPr>
                      <w:rFonts w:hint="eastAsia"/>
                      <w:color w:val="auto"/>
                      <w14:ligatures w14:val="standardContextual"/>
                    </w:rPr>
                    <w:t>隔声、吸声、减震</w:t>
                  </w:r>
                </w:p>
              </w:tc>
              <w:tc>
                <w:tcPr>
                  <w:tcW w:w="2482" w:type="dxa"/>
                  <w:vAlign w:val="center"/>
                </w:tcPr>
                <w:p w14:paraId="3240CB27">
                  <w:pPr>
                    <w:widowControl w:val="0"/>
                    <w:overflowPunct w:val="0"/>
                    <w:autoSpaceDE w:val="0"/>
                    <w:autoSpaceDN w:val="0"/>
                    <w:snapToGrid w:val="0"/>
                    <w:jc w:val="center"/>
                    <w:rPr>
                      <w:color w:val="auto"/>
                      <w14:ligatures w14:val="standardContextual"/>
                    </w:rPr>
                  </w:pPr>
                  <w:r>
                    <w:rPr>
                      <w:color w:val="auto"/>
                      <w14:ligatures w14:val="standardContextual"/>
                    </w:rPr>
                    <w:t>(GB12348—2008)</w:t>
                  </w:r>
                  <w:r>
                    <w:rPr>
                      <w:rFonts w:hint="eastAsia"/>
                      <w:color w:val="auto"/>
                      <w14:ligatures w14:val="standardContextual"/>
                    </w:rPr>
                    <w:t>3</w:t>
                  </w:r>
                  <w:r>
                    <w:rPr>
                      <w:color w:val="auto"/>
                      <w14:ligatures w14:val="standardContextual"/>
                    </w:rPr>
                    <w:t>类</w:t>
                  </w:r>
                </w:p>
              </w:tc>
              <w:tc>
                <w:tcPr>
                  <w:tcW w:w="1747" w:type="dxa"/>
                  <w:vAlign w:val="center"/>
                </w:tcPr>
                <w:p w14:paraId="7ABE6B9C">
                  <w:pPr>
                    <w:widowControl w:val="0"/>
                    <w:overflowPunct w:val="0"/>
                    <w:autoSpaceDE w:val="0"/>
                    <w:autoSpaceDN w:val="0"/>
                    <w:snapToGrid w:val="0"/>
                    <w:jc w:val="center"/>
                    <w:rPr>
                      <w:color w:val="auto"/>
                      <w14:ligatures w14:val="standardContextual"/>
                    </w:rPr>
                  </w:pPr>
                  <w:r>
                    <w:rPr>
                      <w:color w:val="auto"/>
                      <w14:ligatures w14:val="standardContextual"/>
                    </w:rPr>
                    <w:t>5</w:t>
                  </w:r>
                </w:p>
              </w:tc>
            </w:tr>
          </w:tbl>
          <w:p w14:paraId="37C2A45D">
            <w:pPr>
              <w:pStyle w:val="52"/>
              <w:rPr>
                <w:color w:val="auto"/>
              </w:rPr>
            </w:pPr>
            <w:r>
              <w:rPr>
                <w:rFonts w:hint="eastAsia"/>
                <w:color w:val="auto"/>
              </w:rPr>
              <w:t>（2）预测模式</w:t>
            </w:r>
          </w:p>
          <w:p w14:paraId="4128686A">
            <w:pPr>
              <w:pStyle w:val="3"/>
              <w:ind w:firstLine="480"/>
              <w:rPr>
                <w:color w:val="auto"/>
              </w:rPr>
            </w:pPr>
            <w:r>
              <w:rPr>
                <w:rFonts w:hint="eastAsia"/>
                <w:color w:val="auto"/>
              </w:rPr>
              <w:t>依据声源的分布规律及预测点与声源之间的距离，把噪声源简化成点声源，依据已获得的声学数据，利用《环境影响的评价技术导则声环境》（HJ2.4-2021）中推荐的预测模式分别计算各声源对厂界的贡献值。</w:t>
            </w:r>
          </w:p>
          <w:p w14:paraId="463A822D">
            <w:pPr>
              <w:pStyle w:val="3"/>
              <w:ind w:firstLine="480"/>
              <w:rPr>
                <w:color w:val="auto"/>
              </w:rPr>
            </w:pPr>
            <w:r>
              <w:rPr>
                <w:rFonts w:hint="eastAsia"/>
                <w:color w:val="auto"/>
              </w:rPr>
              <w:t>1）声级计算</w:t>
            </w:r>
          </w:p>
          <w:p w14:paraId="4DA0BFC1">
            <w:pPr>
              <w:pStyle w:val="3"/>
              <w:ind w:firstLine="480"/>
              <w:rPr>
                <w:color w:val="auto"/>
              </w:rPr>
            </w:pPr>
            <w:r>
              <w:rPr>
                <w:rFonts w:hint="eastAsia"/>
                <w:color w:val="auto"/>
              </w:rPr>
              <w:t>建设项目声源在预测点产生的等效声级贡献值(L</w:t>
            </w:r>
            <w:r>
              <w:rPr>
                <w:rFonts w:hint="eastAsia"/>
                <w:color w:val="auto"/>
                <w:vertAlign w:val="subscript"/>
              </w:rPr>
              <w:t>eqg</w:t>
            </w:r>
            <w:r>
              <w:rPr>
                <w:rFonts w:hint="eastAsia"/>
                <w:color w:val="auto"/>
              </w:rPr>
              <w:t>）计算公式：</w:t>
            </w:r>
          </w:p>
          <w:p w14:paraId="2AE92CED">
            <w:pPr>
              <w:pStyle w:val="51"/>
              <w:rPr>
                <w:color w:val="auto"/>
              </w:rPr>
            </w:pPr>
            <w:r>
              <w:rPr>
                <w:color w:val="auto"/>
              </w:rPr>
              <w:drawing>
                <wp:inline distT="0" distB="0" distL="0" distR="0">
                  <wp:extent cx="1977390" cy="359410"/>
                  <wp:effectExtent l="0" t="0" r="3810" b="2540"/>
                  <wp:docPr id="164339065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90658"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77672" cy="360000"/>
                          </a:xfrm>
                          <a:prstGeom prst="rect">
                            <a:avLst/>
                          </a:prstGeom>
                          <a:noFill/>
                          <a:ln>
                            <a:noFill/>
                          </a:ln>
                        </pic:spPr>
                      </pic:pic>
                    </a:graphicData>
                  </a:graphic>
                </wp:inline>
              </w:drawing>
            </w:r>
          </w:p>
          <w:p w14:paraId="4E6D4375">
            <w:pPr>
              <w:pStyle w:val="3"/>
              <w:ind w:firstLine="480"/>
              <w:rPr>
                <w:color w:val="auto"/>
              </w:rPr>
            </w:pPr>
            <w:r>
              <w:rPr>
                <w:rFonts w:hint="eastAsia"/>
                <w:color w:val="auto"/>
              </w:rPr>
              <w:t>式中：</w:t>
            </w:r>
          </w:p>
          <w:p w14:paraId="50C1C4A8">
            <w:pPr>
              <w:pStyle w:val="3"/>
              <w:ind w:firstLine="480"/>
              <w:rPr>
                <w:color w:val="auto"/>
              </w:rPr>
            </w:pPr>
            <w:r>
              <w:rPr>
                <w:rFonts w:hint="eastAsia"/>
                <w:color w:val="auto"/>
              </w:rPr>
              <w:t>L</w:t>
            </w:r>
            <w:r>
              <w:rPr>
                <w:rFonts w:hint="eastAsia"/>
                <w:color w:val="auto"/>
                <w:vertAlign w:val="subscript"/>
              </w:rPr>
              <w:t>eqg</w:t>
            </w:r>
            <w:r>
              <w:rPr>
                <w:rFonts w:hint="eastAsia"/>
                <w:color w:val="auto"/>
              </w:rPr>
              <w:t>：建设项目声源在预测点的等效声级贡献值，dB(A）；</w:t>
            </w:r>
          </w:p>
          <w:p w14:paraId="34A2431D">
            <w:pPr>
              <w:pStyle w:val="3"/>
              <w:ind w:firstLine="480"/>
              <w:rPr>
                <w:color w:val="auto"/>
              </w:rPr>
            </w:pPr>
            <w:r>
              <w:rPr>
                <w:rFonts w:hint="eastAsia"/>
                <w:color w:val="auto"/>
              </w:rPr>
              <w:t>L</w:t>
            </w:r>
            <w:r>
              <w:rPr>
                <w:rFonts w:hint="eastAsia"/>
                <w:color w:val="auto"/>
                <w:vertAlign w:val="subscript"/>
              </w:rPr>
              <w:t>Ai</w:t>
            </w:r>
            <w:r>
              <w:rPr>
                <w:rFonts w:hint="eastAsia"/>
                <w:color w:val="auto"/>
              </w:rPr>
              <w:t>：i声源在预测点产生的A声级，dB(A）；</w:t>
            </w:r>
          </w:p>
          <w:p w14:paraId="4FF58075">
            <w:pPr>
              <w:pStyle w:val="3"/>
              <w:ind w:firstLine="480"/>
              <w:rPr>
                <w:color w:val="auto"/>
              </w:rPr>
            </w:pPr>
            <w:r>
              <w:rPr>
                <w:rFonts w:hint="eastAsia"/>
                <w:color w:val="auto"/>
              </w:rPr>
              <w:t>T：预测计算的时间段，s；</w:t>
            </w:r>
          </w:p>
          <w:p w14:paraId="184DE8F0">
            <w:pPr>
              <w:pStyle w:val="3"/>
              <w:ind w:firstLine="480"/>
              <w:rPr>
                <w:color w:val="auto"/>
              </w:rPr>
            </w:pPr>
            <w:r>
              <w:rPr>
                <w:rFonts w:hint="eastAsia"/>
                <w:color w:val="auto"/>
              </w:rPr>
              <w:t>t</w:t>
            </w:r>
            <w:r>
              <w:rPr>
                <w:rFonts w:hint="eastAsia"/>
                <w:color w:val="auto"/>
                <w:vertAlign w:val="subscript"/>
              </w:rPr>
              <w:t>i</w:t>
            </w:r>
            <w:r>
              <w:rPr>
                <w:rFonts w:hint="eastAsia"/>
                <w:color w:val="auto"/>
              </w:rPr>
              <w:t>：i声源在T时段内的运行时间，s。</w:t>
            </w:r>
          </w:p>
          <w:p w14:paraId="7FEE1042">
            <w:pPr>
              <w:pStyle w:val="3"/>
              <w:ind w:firstLine="480"/>
              <w:rPr>
                <w:color w:val="auto"/>
              </w:rPr>
            </w:pPr>
            <w:r>
              <w:rPr>
                <w:rFonts w:hint="eastAsia"/>
                <w:color w:val="auto"/>
              </w:rPr>
              <w:t>2）预测点的预测等效声级(Leq）计算公式</w:t>
            </w:r>
          </w:p>
          <w:p w14:paraId="6AF2A258">
            <w:pPr>
              <w:pStyle w:val="51"/>
              <w:rPr>
                <w:color w:val="auto"/>
              </w:rPr>
            </w:pPr>
            <w:r>
              <w:rPr>
                <w:color w:val="auto"/>
              </w:rPr>
              <w:drawing>
                <wp:inline distT="0" distB="0" distL="0" distR="0">
                  <wp:extent cx="2009140" cy="359410"/>
                  <wp:effectExtent l="0" t="0" r="0" b="2540"/>
                  <wp:docPr id="16524010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01019"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09402" cy="360000"/>
                          </a:xfrm>
                          <a:prstGeom prst="rect">
                            <a:avLst/>
                          </a:prstGeom>
                          <a:noFill/>
                          <a:ln>
                            <a:noFill/>
                          </a:ln>
                        </pic:spPr>
                      </pic:pic>
                    </a:graphicData>
                  </a:graphic>
                </wp:inline>
              </w:drawing>
            </w:r>
          </w:p>
          <w:p w14:paraId="794AF93C">
            <w:pPr>
              <w:pStyle w:val="3"/>
              <w:ind w:firstLine="480"/>
              <w:rPr>
                <w:color w:val="auto"/>
              </w:rPr>
            </w:pPr>
            <w:r>
              <w:rPr>
                <w:rFonts w:hint="eastAsia"/>
                <w:color w:val="auto"/>
              </w:rPr>
              <w:t>式中：</w:t>
            </w:r>
          </w:p>
          <w:p w14:paraId="4C4868F5">
            <w:pPr>
              <w:pStyle w:val="3"/>
              <w:ind w:firstLine="480"/>
              <w:rPr>
                <w:color w:val="auto"/>
              </w:rPr>
            </w:pPr>
            <w:r>
              <w:rPr>
                <w:rFonts w:hint="eastAsia"/>
                <w:color w:val="auto"/>
              </w:rPr>
              <w:t>L</w:t>
            </w:r>
            <w:r>
              <w:rPr>
                <w:rFonts w:hint="eastAsia"/>
                <w:color w:val="auto"/>
                <w:vertAlign w:val="subscript"/>
              </w:rPr>
              <w:t>eqg</w:t>
            </w:r>
            <w:r>
              <w:rPr>
                <w:rFonts w:hint="eastAsia"/>
                <w:color w:val="auto"/>
              </w:rPr>
              <w:t>：建设项目声源在预测点的等效声级贡献值，dB(A）；</w:t>
            </w:r>
          </w:p>
          <w:p w14:paraId="10EF6A14">
            <w:pPr>
              <w:pStyle w:val="3"/>
              <w:ind w:firstLine="480"/>
              <w:rPr>
                <w:color w:val="auto"/>
              </w:rPr>
            </w:pPr>
            <w:r>
              <w:rPr>
                <w:rFonts w:hint="eastAsia"/>
                <w:color w:val="auto"/>
              </w:rPr>
              <w:t>L</w:t>
            </w:r>
            <w:r>
              <w:rPr>
                <w:rFonts w:hint="eastAsia"/>
                <w:color w:val="auto"/>
                <w:vertAlign w:val="subscript"/>
              </w:rPr>
              <w:t>eqb</w:t>
            </w:r>
            <w:r>
              <w:rPr>
                <w:rFonts w:hint="eastAsia"/>
                <w:color w:val="auto"/>
              </w:rPr>
              <w:t>：预测点的背景值，dB(A）；</w:t>
            </w:r>
          </w:p>
          <w:p w14:paraId="4BC54A65">
            <w:pPr>
              <w:pStyle w:val="3"/>
              <w:ind w:firstLine="480"/>
              <w:rPr>
                <w:color w:val="auto"/>
              </w:rPr>
            </w:pPr>
            <w:r>
              <w:rPr>
                <w:rFonts w:hint="eastAsia"/>
                <w:color w:val="auto"/>
              </w:rPr>
              <w:t>3）户外声传播衰减计算公式；</w:t>
            </w:r>
          </w:p>
          <w:p w14:paraId="6AC3E951">
            <w:pPr>
              <w:pStyle w:val="3"/>
              <w:ind w:firstLine="480"/>
              <w:rPr>
                <w:color w:val="auto"/>
              </w:rPr>
            </w:pPr>
            <w:r>
              <w:rPr>
                <w:rFonts w:hint="eastAsia"/>
                <w:color w:val="auto"/>
              </w:rPr>
              <w:t>户外声传播衰减包括几何发散（A</w:t>
            </w:r>
            <w:r>
              <w:rPr>
                <w:rFonts w:hint="eastAsia"/>
                <w:color w:val="auto"/>
                <w:vertAlign w:val="subscript"/>
              </w:rPr>
              <w:t>div</w:t>
            </w:r>
            <w:r>
              <w:rPr>
                <w:rFonts w:hint="eastAsia"/>
                <w:color w:val="auto"/>
              </w:rPr>
              <w:t>）、大气吸收（A</w:t>
            </w:r>
            <w:r>
              <w:rPr>
                <w:rFonts w:hint="eastAsia"/>
                <w:color w:val="auto"/>
                <w:vertAlign w:val="subscript"/>
              </w:rPr>
              <w:t>atm</w:t>
            </w:r>
            <w:r>
              <w:rPr>
                <w:rFonts w:hint="eastAsia"/>
                <w:color w:val="auto"/>
              </w:rPr>
              <w:t>）、地面效应（A</w:t>
            </w:r>
            <w:r>
              <w:rPr>
                <w:rFonts w:hint="eastAsia"/>
                <w:color w:val="auto"/>
                <w:vertAlign w:val="subscript"/>
              </w:rPr>
              <w:t>gr</w:t>
            </w:r>
            <w:r>
              <w:rPr>
                <w:rFonts w:hint="eastAsia"/>
                <w:color w:val="auto"/>
              </w:rPr>
              <w:t>）、屏障屏蔽（A</w:t>
            </w:r>
            <w:r>
              <w:rPr>
                <w:rFonts w:hint="eastAsia"/>
                <w:color w:val="auto"/>
                <w:vertAlign w:val="subscript"/>
              </w:rPr>
              <w:t>bar</w:t>
            </w:r>
            <w:r>
              <w:rPr>
                <w:rFonts w:hint="eastAsia"/>
                <w:color w:val="auto"/>
              </w:rPr>
              <w:t>）、其他多方面效应（A</w:t>
            </w:r>
            <w:r>
              <w:rPr>
                <w:rFonts w:hint="eastAsia"/>
                <w:color w:val="auto"/>
                <w:vertAlign w:val="subscript"/>
              </w:rPr>
              <w:t>misc</w:t>
            </w:r>
            <w:r>
              <w:rPr>
                <w:rFonts w:hint="eastAsia"/>
                <w:color w:val="auto"/>
              </w:rPr>
              <w:t>）引起的衰减。</w:t>
            </w:r>
          </w:p>
          <w:p w14:paraId="78DAC674">
            <w:pPr>
              <w:pStyle w:val="3"/>
              <w:ind w:firstLine="480"/>
              <w:rPr>
                <w:color w:val="auto"/>
              </w:rPr>
            </w:pPr>
            <w:r>
              <w:rPr>
                <w:rFonts w:hint="eastAsia"/>
                <w:color w:val="auto"/>
              </w:rPr>
              <w:t>距声源点r处的A声级按下式计算：</w:t>
            </w:r>
          </w:p>
          <w:p w14:paraId="7BFC3DE8">
            <w:pPr>
              <w:pStyle w:val="51"/>
              <w:rPr>
                <w:color w:val="auto"/>
              </w:rPr>
            </w:pPr>
            <w:r>
              <w:rPr>
                <w:color w:val="auto"/>
              </w:rPr>
              <w:drawing>
                <wp:inline distT="0" distB="0" distL="0" distR="0">
                  <wp:extent cx="2736850" cy="359410"/>
                  <wp:effectExtent l="0" t="0" r="0" b="2540"/>
                  <wp:docPr id="6460367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36728"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37434" cy="360000"/>
                          </a:xfrm>
                          <a:prstGeom prst="rect">
                            <a:avLst/>
                          </a:prstGeom>
                          <a:noFill/>
                          <a:ln>
                            <a:noFill/>
                          </a:ln>
                        </pic:spPr>
                      </pic:pic>
                    </a:graphicData>
                  </a:graphic>
                </wp:inline>
              </w:drawing>
            </w:r>
          </w:p>
          <w:p w14:paraId="16DFF188">
            <w:pPr>
              <w:pStyle w:val="3"/>
              <w:ind w:firstLine="480"/>
              <w:rPr>
                <w:color w:val="auto"/>
              </w:rPr>
            </w:pPr>
            <w:r>
              <w:rPr>
                <w:rFonts w:hint="eastAsia"/>
                <w:color w:val="auto"/>
              </w:rPr>
              <w:t>式中：L</w:t>
            </w:r>
            <w:r>
              <w:rPr>
                <w:rFonts w:hint="eastAsia"/>
                <w:color w:val="auto"/>
                <w:vertAlign w:val="subscript"/>
              </w:rPr>
              <w:t>p</w:t>
            </w:r>
            <w:r>
              <w:rPr>
                <w:rFonts w:hint="eastAsia"/>
                <w:color w:val="auto"/>
              </w:rPr>
              <w:t>(r）：预测点处声压级，dB；</w:t>
            </w:r>
          </w:p>
          <w:p w14:paraId="2841B8D0">
            <w:pPr>
              <w:pStyle w:val="3"/>
              <w:ind w:firstLine="480"/>
              <w:rPr>
                <w:color w:val="auto"/>
              </w:rPr>
            </w:pPr>
            <w:r>
              <w:rPr>
                <w:rFonts w:hint="eastAsia"/>
                <w:color w:val="auto"/>
              </w:rPr>
              <w:t>L</w:t>
            </w:r>
            <w:r>
              <w:rPr>
                <w:rFonts w:hint="eastAsia"/>
                <w:color w:val="auto"/>
                <w:vertAlign w:val="subscript"/>
              </w:rPr>
              <w:t>w</w:t>
            </w:r>
            <w:r>
              <w:rPr>
                <w:rFonts w:hint="eastAsia"/>
                <w:color w:val="auto"/>
              </w:rPr>
              <w:t>：由点声源产生的声功率级（A计权或倍频带），dB；</w:t>
            </w:r>
          </w:p>
          <w:p w14:paraId="7C5BC532">
            <w:pPr>
              <w:pStyle w:val="3"/>
              <w:ind w:firstLine="480"/>
              <w:rPr>
                <w:color w:val="auto"/>
              </w:rPr>
            </w:pPr>
            <w:r>
              <w:rPr>
                <w:rFonts w:hint="eastAsia"/>
                <w:color w:val="auto"/>
              </w:rPr>
              <w:t>D</w:t>
            </w:r>
            <w:r>
              <w:rPr>
                <w:rFonts w:hint="eastAsia"/>
                <w:color w:val="auto"/>
                <w:vertAlign w:val="subscript"/>
              </w:rPr>
              <w:t>C</w:t>
            </w:r>
            <w:r>
              <w:rPr>
                <w:rFonts w:hint="eastAsia"/>
                <w:color w:val="auto"/>
              </w:rPr>
              <w:t>：指向性校正，它描述点声源的等效连续声压级与产生声功率级Lw的全向点声源在规定方向的声级的偏差程度，dB；</w:t>
            </w:r>
          </w:p>
          <w:p w14:paraId="67A913DC">
            <w:pPr>
              <w:pStyle w:val="3"/>
              <w:ind w:firstLine="480"/>
              <w:rPr>
                <w:color w:val="auto"/>
              </w:rPr>
            </w:pPr>
            <w:r>
              <w:rPr>
                <w:rFonts w:hint="eastAsia"/>
                <w:color w:val="auto"/>
              </w:rPr>
              <w:t>A</w:t>
            </w:r>
            <w:r>
              <w:rPr>
                <w:rFonts w:hint="eastAsia"/>
                <w:color w:val="auto"/>
                <w:vertAlign w:val="subscript"/>
              </w:rPr>
              <w:t>div</w:t>
            </w:r>
            <w:r>
              <w:rPr>
                <w:rFonts w:hint="eastAsia"/>
                <w:color w:val="auto"/>
              </w:rPr>
              <w:t>：几何发散引起的衰减，dB；</w:t>
            </w:r>
          </w:p>
          <w:p w14:paraId="5C6BD322">
            <w:pPr>
              <w:pStyle w:val="3"/>
              <w:ind w:firstLine="480"/>
              <w:rPr>
                <w:color w:val="auto"/>
              </w:rPr>
            </w:pPr>
            <w:r>
              <w:rPr>
                <w:rFonts w:hint="eastAsia"/>
                <w:color w:val="auto"/>
              </w:rPr>
              <w:t>A</w:t>
            </w:r>
            <w:r>
              <w:rPr>
                <w:rFonts w:hint="eastAsia"/>
                <w:color w:val="auto"/>
                <w:vertAlign w:val="subscript"/>
              </w:rPr>
              <w:t>atm</w:t>
            </w:r>
            <w:r>
              <w:rPr>
                <w:rFonts w:hint="eastAsia"/>
                <w:color w:val="auto"/>
              </w:rPr>
              <w:t>：大气吸收引起的衰减，dB；</w:t>
            </w:r>
          </w:p>
          <w:p w14:paraId="2F8FB4FE">
            <w:pPr>
              <w:pStyle w:val="3"/>
              <w:ind w:firstLine="480"/>
              <w:rPr>
                <w:color w:val="auto"/>
              </w:rPr>
            </w:pPr>
            <w:r>
              <w:rPr>
                <w:rFonts w:hint="eastAsia"/>
                <w:color w:val="auto"/>
              </w:rPr>
              <w:t>A</w:t>
            </w:r>
            <w:r>
              <w:rPr>
                <w:rFonts w:hint="eastAsia"/>
                <w:color w:val="auto"/>
                <w:vertAlign w:val="subscript"/>
              </w:rPr>
              <w:t>gr</w:t>
            </w:r>
            <w:r>
              <w:rPr>
                <w:rFonts w:hint="eastAsia"/>
                <w:color w:val="auto"/>
              </w:rPr>
              <w:t>：地面效应引起的衰减，dB；</w:t>
            </w:r>
          </w:p>
          <w:p w14:paraId="371F2E7E">
            <w:pPr>
              <w:pStyle w:val="3"/>
              <w:ind w:firstLine="480"/>
              <w:rPr>
                <w:color w:val="auto"/>
              </w:rPr>
            </w:pPr>
            <w:r>
              <w:rPr>
                <w:rFonts w:hint="eastAsia"/>
                <w:color w:val="auto"/>
              </w:rPr>
              <w:t>A</w:t>
            </w:r>
            <w:r>
              <w:rPr>
                <w:rFonts w:hint="eastAsia"/>
                <w:color w:val="auto"/>
                <w:vertAlign w:val="subscript"/>
              </w:rPr>
              <w:t>bar</w:t>
            </w:r>
            <w:r>
              <w:rPr>
                <w:rFonts w:hint="eastAsia"/>
                <w:color w:val="auto"/>
              </w:rPr>
              <w:t>：障碍物屏蔽引起的衰减，dB；</w:t>
            </w:r>
          </w:p>
          <w:p w14:paraId="424776C8">
            <w:pPr>
              <w:pStyle w:val="3"/>
              <w:ind w:firstLine="480"/>
              <w:rPr>
                <w:color w:val="auto"/>
              </w:rPr>
            </w:pPr>
            <w:r>
              <w:rPr>
                <w:rFonts w:hint="eastAsia"/>
                <w:color w:val="auto"/>
              </w:rPr>
              <w:t>A</w:t>
            </w:r>
            <w:r>
              <w:rPr>
                <w:rFonts w:hint="eastAsia"/>
                <w:color w:val="auto"/>
                <w:vertAlign w:val="subscript"/>
              </w:rPr>
              <w:t>misc</w:t>
            </w:r>
            <w:r>
              <w:rPr>
                <w:rFonts w:hint="eastAsia"/>
                <w:color w:val="auto"/>
              </w:rPr>
              <w:t>：其他多方面效应引起的衰减，dB。</w:t>
            </w:r>
          </w:p>
          <w:p w14:paraId="4AA4BCC8">
            <w:pPr>
              <w:pStyle w:val="3"/>
              <w:ind w:firstLine="480"/>
              <w:rPr>
                <w:color w:val="auto"/>
              </w:rPr>
            </w:pPr>
            <w:r>
              <w:rPr>
                <w:rFonts w:hint="eastAsia"/>
                <w:color w:val="auto"/>
              </w:rPr>
              <w:t>4）噪声距离衰减公式</w:t>
            </w:r>
          </w:p>
          <w:p w14:paraId="2CEB349A">
            <w:pPr>
              <w:pStyle w:val="51"/>
              <w:rPr>
                <w:color w:val="auto"/>
              </w:rPr>
            </w:pPr>
            <w:r>
              <w:rPr>
                <w:color w:val="auto"/>
              </w:rPr>
              <w:drawing>
                <wp:inline distT="0" distB="0" distL="0" distR="0">
                  <wp:extent cx="1862455" cy="359410"/>
                  <wp:effectExtent l="0" t="0" r="4445" b="2540"/>
                  <wp:docPr id="11478118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1181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63033" cy="360000"/>
                          </a:xfrm>
                          <a:prstGeom prst="rect">
                            <a:avLst/>
                          </a:prstGeom>
                          <a:noFill/>
                          <a:ln>
                            <a:noFill/>
                          </a:ln>
                        </pic:spPr>
                      </pic:pic>
                    </a:graphicData>
                  </a:graphic>
                </wp:inline>
              </w:drawing>
            </w:r>
          </w:p>
          <w:p w14:paraId="564DB9A8">
            <w:pPr>
              <w:pStyle w:val="3"/>
              <w:ind w:firstLine="480"/>
              <w:rPr>
                <w:color w:val="auto"/>
              </w:rPr>
            </w:pPr>
            <w:r>
              <w:rPr>
                <w:rFonts w:hint="eastAsia"/>
                <w:color w:val="auto"/>
              </w:rPr>
              <w:t>式中：L</w:t>
            </w:r>
            <w:r>
              <w:rPr>
                <w:rFonts w:hint="eastAsia"/>
                <w:color w:val="auto"/>
                <w:vertAlign w:val="subscript"/>
              </w:rPr>
              <w:t>p</w:t>
            </w:r>
            <w:r>
              <w:rPr>
                <w:rFonts w:hint="eastAsia"/>
                <w:color w:val="auto"/>
              </w:rPr>
              <w:t>(r）：预测点处声压级，dB；</w:t>
            </w:r>
          </w:p>
          <w:p w14:paraId="7ED84755">
            <w:pPr>
              <w:pStyle w:val="3"/>
              <w:ind w:firstLine="480"/>
              <w:rPr>
                <w:color w:val="auto"/>
              </w:rPr>
            </w:pPr>
            <w:r>
              <w:rPr>
                <w:rFonts w:hint="eastAsia"/>
                <w:color w:val="auto"/>
              </w:rPr>
              <w:t>L</w:t>
            </w:r>
            <w:r>
              <w:rPr>
                <w:rFonts w:hint="eastAsia"/>
                <w:color w:val="auto"/>
                <w:vertAlign w:val="subscript"/>
              </w:rPr>
              <w:t>p</w:t>
            </w:r>
            <w:r>
              <w:rPr>
                <w:rFonts w:hint="eastAsia"/>
                <w:color w:val="auto"/>
              </w:rPr>
              <w:t>(r0）：参考位置r0处的声压级，dB；</w:t>
            </w:r>
          </w:p>
          <w:p w14:paraId="4A3577E5">
            <w:pPr>
              <w:pStyle w:val="3"/>
              <w:ind w:firstLine="480"/>
              <w:rPr>
                <w:color w:val="auto"/>
              </w:rPr>
            </w:pPr>
            <w:r>
              <w:rPr>
                <w:rFonts w:hint="eastAsia"/>
                <w:color w:val="auto"/>
              </w:rPr>
              <w:t>r：预测点距声源的距离；</w:t>
            </w:r>
          </w:p>
          <w:p w14:paraId="00457B50">
            <w:pPr>
              <w:pStyle w:val="3"/>
              <w:ind w:firstLine="480"/>
              <w:rPr>
                <w:color w:val="auto"/>
              </w:rPr>
            </w:pPr>
            <w:r>
              <w:rPr>
                <w:rFonts w:hint="eastAsia"/>
                <w:color w:val="auto"/>
              </w:rPr>
              <w:t>r</w:t>
            </w:r>
            <w:r>
              <w:rPr>
                <w:rFonts w:hint="eastAsia"/>
                <w:color w:val="auto"/>
                <w:vertAlign w:val="subscript"/>
              </w:rPr>
              <w:t>0</w:t>
            </w:r>
            <w:r>
              <w:rPr>
                <w:rFonts w:hint="eastAsia"/>
                <w:color w:val="auto"/>
              </w:rPr>
              <w:t>：参考位置距声源的距离。</w:t>
            </w:r>
          </w:p>
          <w:p w14:paraId="04986DDA">
            <w:pPr>
              <w:pStyle w:val="52"/>
              <w:rPr>
                <w:color w:val="auto"/>
              </w:rPr>
            </w:pPr>
            <w:r>
              <w:rPr>
                <w:rFonts w:hint="eastAsia"/>
                <w:color w:val="auto"/>
              </w:rPr>
              <w:t>（3）预测结果</w:t>
            </w:r>
          </w:p>
          <w:p w14:paraId="66BB0A1A">
            <w:pPr>
              <w:pStyle w:val="3"/>
              <w:ind w:firstLine="480"/>
              <w:rPr>
                <w:color w:val="auto"/>
              </w:rPr>
            </w:pPr>
            <w:r>
              <w:rPr>
                <w:rFonts w:hint="eastAsia"/>
                <w:color w:val="auto"/>
              </w:rPr>
              <w:t>为充分估算声源对周围环境的影响，对不满足计算条件的小额正衰减予以忽略，在此基础上进一步计算各预测点的声级。</w:t>
            </w:r>
          </w:p>
          <w:p w14:paraId="42D33008">
            <w:pPr>
              <w:pStyle w:val="3"/>
              <w:ind w:firstLine="480"/>
              <w:rPr>
                <w:color w:val="auto"/>
              </w:rPr>
            </w:pPr>
            <w:r>
              <w:rPr>
                <w:rFonts w:hint="eastAsia"/>
                <w:color w:val="auto"/>
              </w:rPr>
              <w:t>本次评价边界采用贡献值作为预测值，选取东西南北四个监测点位作为本项目对环境的影响预测点，预测、评价项目噪声对环境的影响。</w:t>
            </w:r>
          </w:p>
          <w:p w14:paraId="702F2638">
            <w:pPr>
              <w:pStyle w:val="49"/>
              <w:rPr>
                <w:color w:val="auto"/>
              </w:rPr>
            </w:pPr>
            <w:bookmarkStart w:id="38" w:name="_Ref176913475"/>
            <w:r>
              <w:rPr>
                <w:rFonts w:hint="eastAsia"/>
                <w:color w:val="auto"/>
              </w:rPr>
              <w:t xml:space="preserve">表4- </w:t>
            </w:r>
            <w:r>
              <w:rPr>
                <w:color w:val="auto"/>
              </w:rPr>
              <w:t>13</w:t>
            </w:r>
            <w:r>
              <w:rPr>
                <w:rFonts w:hint="eastAsia"/>
                <w:color w:val="auto"/>
              </w:rPr>
              <w:t>：项目噪声预测结果一览表</w:t>
            </w:r>
            <w:bookmarkEnd w:id="38"/>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74"/>
              <w:gridCol w:w="853"/>
              <w:gridCol w:w="842"/>
              <w:gridCol w:w="844"/>
              <w:gridCol w:w="723"/>
              <w:gridCol w:w="724"/>
              <w:gridCol w:w="723"/>
              <w:gridCol w:w="724"/>
              <w:gridCol w:w="723"/>
              <w:gridCol w:w="713"/>
            </w:tblGrid>
            <w:tr w14:paraId="09A83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76" w:type="pct"/>
                  <w:vMerge w:val="restart"/>
                  <w:tcBorders>
                    <w:top w:val="single" w:color="auto" w:sz="12" w:space="0"/>
                    <w:left w:val="nil"/>
                    <w:bottom w:val="single" w:color="auto" w:sz="12" w:space="0"/>
                    <w:right w:val="single" w:color="auto" w:sz="4" w:space="0"/>
                  </w:tcBorders>
                  <w:vAlign w:val="center"/>
                </w:tcPr>
                <w:p w14:paraId="5780A074">
                  <w:pPr>
                    <w:widowControl w:val="0"/>
                    <w:overflowPunct w:val="0"/>
                    <w:autoSpaceDE w:val="0"/>
                    <w:autoSpaceDN w:val="0"/>
                    <w:adjustRightInd w:val="0"/>
                    <w:snapToGrid w:val="0"/>
                    <w:jc w:val="center"/>
                    <w:rPr>
                      <w:b/>
                      <w:color w:val="auto"/>
                    </w:rPr>
                  </w:pPr>
                  <w:r>
                    <w:rPr>
                      <w:b/>
                      <w:color w:val="auto"/>
                    </w:rPr>
                    <w:t>预测点</w:t>
                  </w:r>
                </w:p>
              </w:tc>
              <w:tc>
                <w:tcPr>
                  <w:tcW w:w="1598" w:type="pct"/>
                  <w:gridSpan w:val="3"/>
                  <w:tcBorders>
                    <w:top w:val="single" w:color="auto" w:sz="12" w:space="0"/>
                    <w:left w:val="nil"/>
                    <w:bottom w:val="single" w:color="auto" w:sz="12" w:space="0"/>
                    <w:right w:val="single" w:color="auto" w:sz="4" w:space="0"/>
                  </w:tcBorders>
                  <w:vAlign w:val="center"/>
                </w:tcPr>
                <w:p w14:paraId="5BDA20F0">
                  <w:pPr>
                    <w:widowControl w:val="0"/>
                    <w:overflowPunct w:val="0"/>
                    <w:autoSpaceDE w:val="0"/>
                    <w:autoSpaceDN w:val="0"/>
                    <w:adjustRightInd w:val="0"/>
                    <w:snapToGrid w:val="0"/>
                    <w:jc w:val="center"/>
                    <w:rPr>
                      <w:b/>
                      <w:color w:val="auto"/>
                    </w:rPr>
                  </w:pPr>
                  <w:r>
                    <w:rPr>
                      <w:rFonts w:hint="eastAsia"/>
                      <w:b/>
                      <w:color w:val="auto"/>
                    </w:rPr>
                    <w:t>空间相对位置/m</w:t>
                  </w:r>
                </w:p>
              </w:tc>
              <w:tc>
                <w:tcPr>
                  <w:tcW w:w="911" w:type="pct"/>
                  <w:gridSpan w:val="2"/>
                  <w:tcBorders>
                    <w:top w:val="single" w:color="auto" w:sz="12" w:space="0"/>
                    <w:left w:val="single" w:color="auto" w:sz="4" w:space="0"/>
                    <w:bottom w:val="single" w:color="auto" w:sz="12" w:space="0"/>
                    <w:right w:val="single" w:color="auto" w:sz="4" w:space="0"/>
                  </w:tcBorders>
                  <w:vAlign w:val="center"/>
                </w:tcPr>
                <w:p w14:paraId="5A2E74EC">
                  <w:pPr>
                    <w:widowControl w:val="0"/>
                    <w:overflowPunct w:val="0"/>
                    <w:autoSpaceDE w:val="0"/>
                    <w:autoSpaceDN w:val="0"/>
                    <w:adjustRightInd w:val="0"/>
                    <w:snapToGrid w:val="0"/>
                    <w:jc w:val="center"/>
                    <w:rPr>
                      <w:b/>
                      <w:color w:val="auto"/>
                    </w:rPr>
                  </w:pPr>
                  <w:r>
                    <w:rPr>
                      <w:b/>
                      <w:color w:val="auto"/>
                    </w:rPr>
                    <w:t>贡献值</w:t>
                  </w:r>
                </w:p>
              </w:tc>
              <w:tc>
                <w:tcPr>
                  <w:tcW w:w="911" w:type="pct"/>
                  <w:gridSpan w:val="2"/>
                  <w:tcBorders>
                    <w:top w:val="single" w:color="auto" w:sz="12" w:space="0"/>
                    <w:left w:val="single" w:color="auto" w:sz="4" w:space="0"/>
                    <w:bottom w:val="single" w:color="auto" w:sz="12" w:space="0"/>
                    <w:right w:val="single" w:color="auto" w:sz="4" w:space="0"/>
                  </w:tcBorders>
                  <w:vAlign w:val="center"/>
                </w:tcPr>
                <w:p w14:paraId="4348647D">
                  <w:pPr>
                    <w:widowControl w:val="0"/>
                    <w:overflowPunct w:val="0"/>
                    <w:autoSpaceDE w:val="0"/>
                    <w:autoSpaceDN w:val="0"/>
                    <w:adjustRightInd w:val="0"/>
                    <w:snapToGrid w:val="0"/>
                    <w:jc w:val="center"/>
                    <w:rPr>
                      <w:b/>
                      <w:color w:val="auto"/>
                    </w:rPr>
                  </w:pPr>
                  <w:r>
                    <w:rPr>
                      <w:b/>
                      <w:color w:val="auto"/>
                    </w:rPr>
                    <w:t>标准值</w:t>
                  </w:r>
                </w:p>
              </w:tc>
              <w:tc>
                <w:tcPr>
                  <w:tcW w:w="904" w:type="pct"/>
                  <w:gridSpan w:val="2"/>
                  <w:tcBorders>
                    <w:top w:val="single" w:color="auto" w:sz="12" w:space="0"/>
                    <w:left w:val="single" w:color="auto" w:sz="4" w:space="0"/>
                    <w:bottom w:val="single" w:color="auto" w:sz="12" w:space="0"/>
                    <w:right w:val="nil"/>
                  </w:tcBorders>
                  <w:vAlign w:val="center"/>
                </w:tcPr>
                <w:p w14:paraId="4B43F8AF">
                  <w:pPr>
                    <w:widowControl w:val="0"/>
                    <w:overflowPunct w:val="0"/>
                    <w:autoSpaceDE w:val="0"/>
                    <w:autoSpaceDN w:val="0"/>
                    <w:adjustRightInd w:val="0"/>
                    <w:snapToGrid w:val="0"/>
                    <w:jc w:val="center"/>
                    <w:rPr>
                      <w:b/>
                      <w:color w:val="auto"/>
                    </w:rPr>
                  </w:pPr>
                  <w:r>
                    <w:rPr>
                      <w:b/>
                      <w:color w:val="auto"/>
                    </w:rPr>
                    <w:t>达标分析</w:t>
                  </w:r>
                </w:p>
              </w:tc>
            </w:tr>
            <w:tr w14:paraId="0FD79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76" w:type="pct"/>
                  <w:vMerge w:val="continue"/>
                  <w:vAlign w:val="center"/>
                </w:tcPr>
                <w:p w14:paraId="5CE3C2C3">
                  <w:pPr>
                    <w:widowControl w:val="0"/>
                    <w:overflowPunct w:val="0"/>
                    <w:autoSpaceDE w:val="0"/>
                    <w:autoSpaceDN w:val="0"/>
                    <w:jc w:val="center"/>
                    <w:rPr>
                      <w:color w:val="auto"/>
                    </w:rPr>
                  </w:pPr>
                </w:p>
              </w:tc>
              <w:tc>
                <w:tcPr>
                  <w:tcW w:w="537" w:type="pct"/>
                  <w:vAlign w:val="center"/>
                </w:tcPr>
                <w:p w14:paraId="28B388C9">
                  <w:pPr>
                    <w:widowControl w:val="0"/>
                    <w:overflowPunct w:val="0"/>
                    <w:autoSpaceDE w:val="0"/>
                    <w:autoSpaceDN w:val="0"/>
                    <w:jc w:val="center"/>
                    <w:rPr>
                      <w:color w:val="auto"/>
                    </w:rPr>
                  </w:pPr>
                  <w:r>
                    <w:rPr>
                      <w:rFonts w:hint="eastAsia"/>
                      <w:color w:val="auto"/>
                    </w:rPr>
                    <w:t>X</w:t>
                  </w:r>
                </w:p>
              </w:tc>
              <w:tc>
                <w:tcPr>
                  <w:tcW w:w="530" w:type="pct"/>
                  <w:vAlign w:val="center"/>
                </w:tcPr>
                <w:p w14:paraId="0A93479C">
                  <w:pPr>
                    <w:widowControl w:val="0"/>
                    <w:overflowPunct w:val="0"/>
                    <w:autoSpaceDE w:val="0"/>
                    <w:autoSpaceDN w:val="0"/>
                    <w:jc w:val="center"/>
                    <w:rPr>
                      <w:color w:val="auto"/>
                    </w:rPr>
                  </w:pPr>
                  <w:r>
                    <w:rPr>
                      <w:rFonts w:hint="eastAsia"/>
                      <w:color w:val="auto"/>
                    </w:rPr>
                    <w:t>Y</w:t>
                  </w:r>
                </w:p>
              </w:tc>
              <w:tc>
                <w:tcPr>
                  <w:tcW w:w="531" w:type="pct"/>
                  <w:vAlign w:val="center"/>
                </w:tcPr>
                <w:p w14:paraId="14C4259A">
                  <w:pPr>
                    <w:widowControl w:val="0"/>
                    <w:overflowPunct w:val="0"/>
                    <w:autoSpaceDE w:val="0"/>
                    <w:autoSpaceDN w:val="0"/>
                    <w:jc w:val="center"/>
                    <w:rPr>
                      <w:color w:val="auto"/>
                    </w:rPr>
                  </w:pPr>
                  <w:r>
                    <w:rPr>
                      <w:rFonts w:hint="eastAsia"/>
                      <w:color w:val="auto"/>
                    </w:rPr>
                    <w:t>Z</w:t>
                  </w:r>
                </w:p>
              </w:tc>
              <w:tc>
                <w:tcPr>
                  <w:tcW w:w="455" w:type="pct"/>
                  <w:vAlign w:val="center"/>
                </w:tcPr>
                <w:p w14:paraId="43E3539F">
                  <w:pPr>
                    <w:widowControl w:val="0"/>
                    <w:overflowPunct w:val="0"/>
                    <w:autoSpaceDE w:val="0"/>
                    <w:autoSpaceDN w:val="0"/>
                    <w:jc w:val="center"/>
                    <w:rPr>
                      <w:color w:val="auto"/>
                    </w:rPr>
                  </w:pPr>
                  <w:r>
                    <w:rPr>
                      <w:color w:val="auto"/>
                    </w:rPr>
                    <w:t>昼间</w:t>
                  </w:r>
                </w:p>
              </w:tc>
              <w:tc>
                <w:tcPr>
                  <w:tcW w:w="456" w:type="pct"/>
                  <w:vAlign w:val="center"/>
                </w:tcPr>
                <w:p w14:paraId="030BC9F7">
                  <w:pPr>
                    <w:widowControl w:val="0"/>
                    <w:overflowPunct w:val="0"/>
                    <w:autoSpaceDE w:val="0"/>
                    <w:autoSpaceDN w:val="0"/>
                    <w:jc w:val="center"/>
                    <w:rPr>
                      <w:color w:val="auto"/>
                    </w:rPr>
                  </w:pPr>
                  <w:r>
                    <w:rPr>
                      <w:color w:val="auto"/>
                    </w:rPr>
                    <w:t>夜间</w:t>
                  </w:r>
                </w:p>
              </w:tc>
              <w:tc>
                <w:tcPr>
                  <w:tcW w:w="455" w:type="pct"/>
                  <w:vAlign w:val="center"/>
                </w:tcPr>
                <w:p w14:paraId="764FBBFA">
                  <w:pPr>
                    <w:widowControl w:val="0"/>
                    <w:overflowPunct w:val="0"/>
                    <w:autoSpaceDE w:val="0"/>
                    <w:autoSpaceDN w:val="0"/>
                    <w:jc w:val="center"/>
                    <w:rPr>
                      <w:color w:val="auto"/>
                    </w:rPr>
                  </w:pPr>
                  <w:r>
                    <w:rPr>
                      <w:color w:val="auto"/>
                    </w:rPr>
                    <w:t>昼间</w:t>
                  </w:r>
                </w:p>
              </w:tc>
              <w:tc>
                <w:tcPr>
                  <w:tcW w:w="456" w:type="pct"/>
                  <w:vAlign w:val="center"/>
                </w:tcPr>
                <w:p w14:paraId="6BEB6F50">
                  <w:pPr>
                    <w:widowControl w:val="0"/>
                    <w:overflowPunct w:val="0"/>
                    <w:autoSpaceDE w:val="0"/>
                    <w:autoSpaceDN w:val="0"/>
                    <w:jc w:val="center"/>
                    <w:rPr>
                      <w:color w:val="auto"/>
                    </w:rPr>
                  </w:pPr>
                  <w:r>
                    <w:rPr>
                      <w:rFonts w:hint="eastAsia"/>
                      <w:color w:val="auto"/>
                    </w:rPr>
                    <w:t>夜间</w:t>
                  </w:r>
                </w:p>
              </w:tc>
              <w:tc>
                <w:tcPr>
                  <w:tcW w:w="455" w:type="pct"/>
                  <w:vAlign w:val="center"/>
                </w:tcPr>
                <w:p w14:paraId="421A4CD1">
                  <w:pPr>
                    <w:widowControl w:val="0"/>
                    <w:overflowPunct w:val="0"/>
                    <w:autoSpaceDE w:val="0"/>
                    <w:autoSpaceDN w:val="0"/>
                    <w:jc w:val="center"/>
                    <w:rPr>
                      <w:color w:val="auto"/>
                    </w:rPr>
                  </w:pPr>
                  <w:r>
                    <w:rPr>
                      <w:color w:val="auto"/>
                    </w:rPr>
                    <w:t>昼间</w:t>
                  </w:r>
                </w:p>
              </w:tc>
              <w:tc>
                <w:tcPr>
                  <w:tcW w:w="449" w:type="pct"/>
                  <w:vAlign w:val="center"/>
                </w:tcPr>
                <w:p w14:paraId="0601D867">
                  <w:pPr>
                    <w:widowControl w:val="0"/>
                    <w:overflowPunct w:val="0"/>
                    <w:autoSpaceDE w:val="0"/>
                    <w:autoSpaceDN w:val="0"/>
                    <w:jc w:val="center"/>
                    <w:rPr>
                      <w:color w:val="auto"/>
                    </w:rPr>
                  </w:pPr>
                  <w:r>
                    <w:rPr>
                      <w:rFonts w:hint="eastAsia"/>
                      <w:color w:val="auto"/>
                    </w:rPr>
                    <w:t>夜间</w:t>
                  </w:r>
                </w:p>
              </w:tc>
            </w:tr>
            <w:tr w14:paraId="50A090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76" w:type="pct"/>
                  <w:vAlign w:val="center"/>
                </w:tcPr>
                <w:p w14:paraId="40C5DE72">
                  <w:pPr>
                    <w:widowControl w:val="0"/>
                    <w:overflowPunct w:val="0"/>
                    <w:autoSpaceDE w:val="0"/>
                    <w:autoSpaceDN w:val="0"/>
                    <w:snapToGrid w:val="0"/>
                    <w:jc w:val="center"/>
                    <w:rPr>
                      <w:snapToGrid w:val="0"/>
                      <w:color w:val="auto"/>
                      <w:spacing w:val="-6"/>
                    </w:rPr>
                  </w:pPr>
                  <w:r>
                    <w:rPr>
                      <w:snapToGrid w:val="0"/>
                      <w:color w:val="auto"/>
                      <w:spacing w:val="-6"/>
                    </w:rPr>
                    <w:t>南厂界</w:t>
                  </w:r>
                </w:p>
              </w:tc>
              <w:tc>
                <w:tcPr>
                  <w:tcW w:w="537" w:type="pct"/>
                  <w:vAlign w:val="center"/>
                </w:tcPr>
                <w:p w14:paraId="01F39183">
                  <w:pPr>
                    <w:widowControl w:val="0"/>
                    <w:overflowPunct w:val="0"/>
                    <w:autoSpaceDE w:val="0"/>
                    <w:autoSpaceDN w:val="0"/>
                    <w:snapToGrid w:val="0"/>
                    <w:jc w:val="center"/>
                    <w:rPr>
                      <w:snapToGrid w:val="0"/>
                      <w:color w:val="auto"/>
                      <w:spacing w:val="-6"/>
                    </w:rPr>
                  </w:pPr>
                  <w:r>
                    <w:rPr>
                      <w:rFonts w:hint="eastAsia"/>
                      <w:snapToGrid w:val="0"/>
                      <w:color w:val="auto"/>
                      <w:spacing w:val="-6"/>
                    </w:rPr>
                    <w:t>145</w:t>
                  </w:r>
                </w:p>
              </w:tc>
              <w:tc>
                <w:tcPr>
                  <w:tcW w:w="530" w:type="pct"/>
                  <w:vAlign w:val="center"/>
                </w:tcPr>
                <w:p w14:paraId="7821F6C0">
                  <w:pPr>
                    <w:widowControl w:val="0"/>
                    <w:overflowPunct w:val="0"/>
                    <w:autoSpaceDE w:val="0"/>
                    <w:autoSpaceDN w:val="0"/>
                    <w:snapToGrid w:val="0"/>
                    <w:jc w:val="center"/>
                    <w:rPr>
                      <w:snapToGrid w:val="0"/>
                      <w:color w:val="auto"/>
                      <w:spacing w:val="-6"/>
                    </w:rPr>
                  </w:pPr>
                  <w:r>
                    <w:rPr>
                      <w:rFonts w:hint="eastAsia"/>
                      <w:snapToGrid w:val="0"/>
                      <w:color w:val="auto"/>
                      <w:spacing w:val="-6"/>
                    </w:rPr>
                    <w:t>0</w:t>
                  </w:r>
                </w:p>
              </w:tc>
              <w:tc>
                <w:tcPr>
                  <w:tcW w:w="531" w:type="pct"/>
                  <w:vAlign w:val="center"/>
                </w:tcPr>
                <w:p w14:paraId="5E01ED7D">
                  <w:pPr>
                    <w:widowControl w:val="0"/>
                    <w:overflowPunct w:val="0"/>
                    <w:autoSpaceDE w:val="0"/>
                    <w:autoSpaceDN w:val="0"/>
                    <w:snapToGrid w:val="0"/>
                    <w:jc w:val="center"/>
                    <w:rPr>
                      <w:snapToGrid w:val="0"/>
                      <w:color w:val="auto"/>
                      <w:spacing w:val="-6"/>
                    </w:rPr>
                  </w:pPr>
                  <w:r>
                    <w:rPr>
                      <w:rFonts w:hint="eastAsia"/>
                      <w:snapToGrid w:val="0"/>
                      <w:color w:val="auto"/>
                      <w:spacing w:val="-6"/>
                    </w:rPr>
                    <w:t>1.2</w:t>
                  </w:r>
                </w:p>
              </w:tc>
              <w:tc>
                <w:tcPr>
                  <w:tcW w:w="455" w:type="pct"/>
                  <w:vAlign w:val="center"/>
                </w:tcPr>
                <w:p w14:paraId="0B00CF72">
                  <w:pPr>
                    <w:widowControl w:val="0"/>
                    <w:overflowPunct w:val="0"/>
                    <w:autoSpaceDE w:val="0"/>
                    <w:autoSpaceDN w:val="0"/>
                    <w:snapToGrid w:val="0"/>
                    <w:jc w:val="center"/>
                    <w:rPr>
                      <w:color w:val="auto"/>
                    </w:rPr>
                  </w:pPr>
                  <w:r>
                    <w:rPr>
                      <w:rFonts w:hint="eastAsia"/>
                      <w:color w:val="auto"/>
                    </w:rPr>
                    <w:t>57.2</w:t>
                  </w:r>
                </w:p>
              </w:tc>
              <w:tc>
                <w:tcPr>
                  <w:tcW w:w="456" w:type="pct"/>
                  <w:vAlign w:val="center"/>
                </w:tcPr>
                <w:p w14:paraId="392305A2">
                  <w:pPr>
                    <w:widowControl w:val="0"/>
                    <w:overflowPunct w:val="0"/>
                    <w:autoSpaceDE w:val="0"/>
                    <w:autoSpaceDN w:val="0"/>
                    <w:snapToGrid w:val="0"/>
                    <w:jc w:val="center"/>
                    <w:rPr>
                      <w:color w:val="auto"/>
                    </w:rPr>
                  </w:pPr>
                  <w:r>
                    <w:rPr>
                      <w:rFonts w:hint="eastAsia"/>
                      <w:color w:val="auto"/>
                    </w:rPr>
                    <w:t>/</w:t>
                  </w:r>
                </w:p>
              </w:tc>
              <w:tc>
                <w:tcPr>
                  <w:tcW w:w="455" w:type="pct"/>
                  <w:vAlign w:val="center"/>
                </w:tcPr>
                <w:p w14:paraId="0F9BDAB1">
                  <w:pPr>
                    <w:widowControl w:val="0"/>
                    <w:overflowPunct w:val="0"/>
                    <w:autoSpaceDE w:val="0"/>
                    <w:autoSpaceDN w:val="0"/>
                    <w:snapToGrid w:val="0"/>
                    <w:jc w:val="center"/>
                    <w:rPr>
                      <w:color w:val="auto"/>
                    </w:rPr>
                  </w:pPr>
                  <w:r>
                    <w:rPr>
                      <w:rFonts w:hint="eastAsia"/>
                      <w:color w:val="auto"/>
                    </w:rPr>
                    <w:t>65</w:t>
                  </w:r>
                </w:p>
              </w:tc>
              <w:tc>
                <w:tcPr>
                  <w:tcW w:w="456" w:type="pct"/>
                  <w:vAlign w:val="center"/>
                </w:tcPr>
                <w:p w14:paraId="69216CAC">
                  <w:pPr>
                    <w:widowControl w:val="0"/>
                    <w:overflowPunct w:val="0"/>
                    <w:autoSpaceDE w:val="0"/>
                    <w:autoSpaceDN w:val="0"/>
                    <w:snapToGrid w:val="0"/>
                    <w:jc w:val="center"/>
                    <w:rPr>
                      <w:color w:val="auto"/>
                    </w:rPr>
                  </w:pPr>
                  <w:r>
                    <w:rPr>
                      <w:rFonts w:hint="eastAsia"/>
                      <w:color w:val="auto"/>
                    </w:rPr>
                    <w:t>55</w:t>
                  </w:r>
                </w:p>
              </w:tc>
              <w:tc>
                <w:tcPr>
                  <w:tcW w:w="455" w:type="pct"/>
                  <w:vAlign w:val="center"/>
                </w:tcPr>
                <w:p w14:paraId="4253016A">
                  <w:pPr>
                    <w:widowControl w:val="0"/>
                    <w:overflowPunct w:val="0"/>
                    <w:autoSpaceDE w:val="0"/>
                    <w:autoSpaceDN w:val="0"/>
                    <w:snapToGrid w:val="0"/>
                    <w:jc w:val="center"/>
                    <w:rPr>
                      <w:color w:val="auto"/>
                    </w:rPr>
                  </w:pPr>
                  <w:r>
                    <w:rPr>
                      <w:rFonts w:hint="eastAsia"/>
                      <w:color w:val="auto"/>
                    </w:rPr>
                    <w:t>达标</w:t>
                  </w:r>
                </w:p>
              </w:tc>
              <w:tc>
                <w:tcPr>
                  <w:tcW w:w="449" w:type="pct"/>
                  <w:vAlign w:val="center"/>
                </w:tcPr>
                <w:p w14:paraId="056A0DD0">
                  <w:pPr>
                    <w:widowControl w:val="0"/>
                    <w:overflowPunct w:val="0"/>
                    <w:autoSpaceDE w:val="0"/>
                    <w:autoSpaceDN w:val="0"/>
                    <w:snapToGrid w:val="0"/>
                    <w:jc w:val="center"/>
                    <w:rPr>
                      <w:color w:val="auto"/>
                    </w:rPr>
                  </w:pPr>
                  <w:r>
                    <w:rPr>
                      <w:rFonts w:hint="eastAsia"/>
                      <w:color w:val="auto"/>
                    </w:rPr>
                    <w:t>/</w:t>
                  </w:r>
                </w:p>
              </w:tc>
            </w:tr>
            <w:tr w14:paraId="2A594B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76" w:type="pct"/>
                  <w:vAlign w:val="center"/>
                </w:tcPr>
                <w:p w14:paraId="0140D4B1">
                  <w:pPr>
                    <w:widowControl w:val="0"/>
                    <w:overflowPunct w:val="0"/>
                    <w:autoSpaceDE w:val="0"/>
                    <w:autoSpaceDN w:val="0"/>
                    <w:snapToGrid w:val="0"/>
                    <w:jc w:val="center"/>
                    <w:rPr>
                      <w:snapToGrid w:val="0"/>
                      <w:color w:val="auto"/>
                      <w:spacing w:val="-6"/>
                    </w:rPr>
                  </w:pPr>
                  <w:r>
                    <w:rPr>
                      <w:snapToGrid w:val="0"/>
                      <w:color w:val="auto"/>
                      <w:spacing w:val="-6"/>
                    </w:rPr>
                    <w:t>北厂界</w:t>
                  </w:r>
                </w:p>
              </w:tc>
              <w:tc>
                <w:tcPr>
                  <w:tcW w:w="537" w:type="pct"/>
                  <w:vAlign w:val="center"/>
                </w:tcPr>
                <w:p w14:paraId="2F2C4D10">
                  <w:pPr>
                    <w:widowControl w:val="0"/>
                    <w:overflowPunct w:val="0"/>
                    <w:autoSpaceDE w:val="0"/>
                    <w:autoSpaceDN w:val="0"/>
                    <w:snapToGrid w:val="0"/>
                    <w:jc w:val="center"/>
                    <w:rPr>
                      <w:snapToGrid w:val="0"/>
                      <w:color w:val="auto"/>
                      <w:spacing w:val="-6"/>
                    </w:rPr>
                  </w:pPr>
                  <w:r>
                    <w:rPr>
                      <w:rFonts w:hint="eastAsia"/>
                      <w:snapToGrid w:val="0"/>
                      <w:color w:val="auto"/>
                      <w:spacing w:val="-6"/>
                    </w:rPr>
                    <w:t>145</w:t>
                  </w:r>
                </w:p>
              </w:tc>
              <w:tc>
                <w:tcPr>
                  <w:tcW w:w="530" w:type="pct"/>
                  <w:vAlign w:val="center"/>
                </w:tcPr>
                <w:p w14:paraId="51953E15">
                  <w:pPr>
                    <w:widowControl w:val="0"/>
                    <w:overflowPunct w:val="0"/>
                    <w:autoSpaceDE w:val="0"/>
                    <w:autoSpaceDN w:val="0"/>
                    <w:snapToGrid w:val="0"/>
                    <w:jc w:val="center"/>
                    <w:rPr>
                      <w:snapToGrid w:val="0"/>
                      <w:color w:val="auto"/>
                      <w:spacing w:val="-6"/>
                    </w:rPr>
                  </w:pPr>
                  <w:r>
                    <w:rPr>
                      <w:rFonts w:hint="eastAsia"/>
                      <w:snapToGrid w:val="0"/>
                      <w:color w:val="auto"/>
                      <w:spacing w:val="-6"/>
                    </w:rPr>
                    <w:t>200</w:t>
                  </w:r>
                </w:p>
              </w:tc>
              <w:tc>
                <w:tcPr>
                  <w:tcW w:w="531" w:type="pct"/>
                </w:tcPr>
                <w:p w14:paraId="3AE47597">
                  <w:pPr>
                    <w:widowControl w:val="0"/>
                    <w:overflowPunct w:val="0"/>
                    <w:autoSpaceDE w:val="0"/>
                    <w:autoSpaceDN w:val="0"/>
                    <w:snapToGrid w:val="0"/>
                    <w:jc w:val="center"/>
                    <w:rPr>
                      <w:snapToGrid w:val="0"/>
                      <w:color w:val="auto"/>
                      <w:spacing w:val="-6"/>
                    </w:rPr>
                  </w:pPr>
                  <w:r>
                    <w:rPr>
                      <w:rFonts w:hint="eastAsia"/>
                      <w:snapToGrid w:val="0"/>
                      <w:color w:val="auto"/>
                      <w:spacing w:val="-6"/>
                    </w:rPr>
                    <w:t>1.2</w:t>
                  </w:r>
                </w:p>
              </w:tc>
              <w:tc>
                <w:tcPr>
                  <w:tcW w:w="455" w:type="pct"/>
                  <w:vAlign w:val="center"/>
                </w:tcPr>
                <w:p w14:paraId="6980031C">
                  <w:pPr>
                    <w:widowControl w:val="0"/>
                    <w:overflowPunct w:val="0"/>
                    <w:autoSpaceDE w:val="0"/>
                    <w:autoSpaceDN w:val="0"/>
                    <w:snapToGrid w:val="0"/>
                    <w:jc w:val="center"/>
                    <w:rPr>
                      <w:color w:val="auto"/>
                    </w:rPr>
                  </w:pPr>
                  <w:r>
                    <w:rPr>
                      <w:rFonts w:hint="eastAsia"/>
                      <w:color w:val="auto"/>
                    </w:rPr>
                    <w:t>59.0</w:t>
                  </w:r>
                </w:p>
              </w:tc>
              <w:tc>
                <w:tcPr>
                  <w:tcW w:w="456" w:type="pct"/>
                </w:tcPr>
                <w:p w14:paraId="6F044088">
                  <w:pPr>
                    <w:widowControl w:val="0"/>
                    <w:overflowPunct w:val="0"/>
                    <w:autoSpaceDE w:val="0"/>
                    <w:autoSpaceDN w:val="0"/>
                    <w:snapToGrid w:val="0"/>
                    <w:jc w:val="center"/>
                    <w:rPr>
                      <w:color w:val="auto"/>
                    </w:rPr>
                  </w:pPr>
                  <w:r>
                    <w:rPr>
                      <w:rFonts w:hint="eastAsia"/>
                      <w:color w:val="auto"/>
                    </w:rPr>
                    <w:t>/</w:t>
                  </w:r>
                </w:p>
              </w:tc>
              <w:tc>
                <w:tcPr>
                  <w:tcW w:w="455" w:type="pct"/>
                  <w:vAlign w:val="center"/>
                </w:tcPr>
                <w:p w14:paraId="112C88CF">
                  <w:pPr>
                    <w:widowControl w:val="0"/>
                    <w:overflowPunct w:val="0"/>
                    <w:autoSpaceDE w:val="0"/>
                    <w:autoSpaceDN w:val="0"/>
                    <w:snapToGrid w:val="0"/>
                    <w:jc w:val="center"/>
                    <w:rPr>
                      <w:color w:val="auto"/>
                    </w:rPr>
                  </w:pPr>
                  <w:r>
                    <w:rPr>
                      <w:rFonts w:hint="eastAsia"/>
                      <w:color w:val="auto"/>
                    </w:rPr>
                    <w:t>65</w:t>
                  </w:r>
                </w:p>
              </w:tc>
              <w:tc>
                <w:tcPr>
                  <w:tcW w:w="456" w:type="pct"/>
                  <w:vAlign w:val="center"/>
                </w:tcPr>
                <w:p w14:paraId="74893A26">
                  <w:pPr>
                    <w:widowControl w:val="0"/>
                    <w:overflowPunct w:val="0"/>
                    <w:autoSpaceDE w:val="0"/>
                    <w:autoSpaceDN w:val="0"/>
                    <w:snapToGrid w:val="0"/>
                    <w:jc w:val="center"/>
                    <w:rPr>
                      <w:color w:val="auto"/>
                    </w:rPr>
                  </w:pPr>
                  <w:r>
                    <w:rPr>
                      <w:rFonts w:hint="eastAsia"/>
                      <w:color w:val="auto"/>
                    </w:rPr>
                    <w:t>55</w:t>
                  </w:r>
                </w:p>
              </w:tc>
              <w:tc>
                <w:tcPr>
                  <w:tcW w:w="455" w:type="pct"/>
                  <w:vAlign w:val="center"/>
                </w:tcPr>
                <w:p w14:paraId="4F88B28C">
                  <w:pPr>
                    <w:widowControl w:val="0"/>
                    <w:overflowPunct w:val="0"/>
                    <w:autoSpaceDE w:val="0"/>
                    <w:autoSpaceDN w:val="0"/>
                    <w:snapToGrid w:val="0"/>
                    <w:jc w:val="center"/>
                    <w:rPr>
                      <w:color w:val="auto"/>
                    </w:rPr>
                  </w:pPr>
                  <w:r>
                    <w:rPr>
                      <w:rFonts w:hint="eastAsia"/>
                      <w:color w:val="auto"/>
                    </w:rPr>
                    <w:t>达标</w:t>
                  </w:r>
                </w:p>
              </w:tc>
              <w:tc>
                <w:tcPr>
                  <w:tcW w:w="449" w:type="pct"/>
                  <w:vAlign w:val="center"/>
                </w:tcPr>
                <w:p w14:paraId="4A3690AE">
                  <w:pPr>
                    <w:widowControl w:val="0"/>
                    <w:overflowPunct w:val="0"/>
                    <w:autoSpaceDE w:val="0"/>
                    <w:autoSpaceDN w:val="0"/>
                    <w:snapToGrid w:val="0"/>
                    <w:jc w:val="center"/>
                    <w:rPr>
                      <w:color w:val="auto"/>
                    </w:rPr>
                  </w:pPr>
                  <w:r>
                    <w:rPr>
                      <w:rFonts w:hint="eastAsia"/>
                      <w:color w:val="auto"/>
                    </w:rPr>
                    <w:t>/</w:t>
                  </w:r>
                </w:p>
              </w:tc>
            </w:tr>
            <w:tr w14:paraId="36F52C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76" w:type="pct"/>
                  <w:vAlign w:val="center"/>
                </w:tcPr>
                <w:p w14:paraId="6E044428">
                  <w:pPr>
                    <w:widowControl w:val="0"/>
                    <w:overflowPunct w:val="0"/>
                    <w:autoSpaceDE w:val="0"/>
                    <w:autoSpaceDN w:val="0"/>
                    <w:snapToGrid w:val="0"/>
                    <w:jc w:val="center"/>
                    <w:rPr>
                      <w:snapToGrid w:val="0"/>
                      <w:color w:val="auto"/>
                      <w:spacing w:val="-6"/>
                    </w:rPr>
                  </w:pPr>
                  <w:r>
                    <w:rPr>
                      <w:snapToGrid w:val="0"/>
                      <w:color w:val="auto"/>
                      <w:spacing w:val="-6"/>
                    </w:rPr>
                    <w:t>西厂界</w:t>
                  </w:r>
                </w:p>
              </w:tc>
              <w:tc>
                <w:tcPr>
                  <w:tcW w:w="537" w:type="pct"/>
                  <w:vAlign w:val="center"/>
                </w:tcPr>
                <w:p w14:paraId="34B7A253">
                  <w:pPr>
                    <w:widowControl w:val="0"/>
                    <w:overflowPunct w:val="0"/>
                    <w:autoSpaceDE w:val="0"/>
                    <w:autoSpaceDN w:val="0"/>
                    <w:snapToGrid w:val="0"/>
                    <w:jc w:val="center"/>
                    <w:rPr>
                      <w:snapToGrid w:val="0"/>
                      <w:color w:val="auto"/>
                      <w:spacing w:val="-6"/>
                    </w:rPr>
                  </w:pPr>
                  <w:r>
                    <w:rPr>
                      <w:rFonts w:hint="eastAsia"/>
                      <w:snapToGrid w:val="0"/>
                      <w:color w:val="auto"/>
                      <w:spacing w:val="-6"/>
                    </w:rPr>
                    <w:t>0</w:t>
                  </w:r>
                </w:p>
              </w:tc>
              <w:tc>
                <w:tcPr>
                  <w:tcW w:w="530" w:type="pct"/>
                  <w:vAlign w:val="center"/>
                </w:tcPr>
                <w:p w14:paraId="03DB244C">
                  <w:pPr>
                    <w:widowControl w:val="0"/>
                    <w:overflowPunct w:val="0"/>
                    <w:autoSpaceDE w:val="0"/>
                    <w:autoSpaceDN w:val="0"/>
                    <w:snapToGrid w:val="0"/>
                    <w:jc w:val="center"/>
                    <w:rPr>
                      <w:snapToGrid w:val="0"/>
                      <w:color w:val="auto"/>
                      <w:spacing w:val="-6"/>
                    </w:rPr>
                  </w:pPr>
                  <w:r>
                    <w:rPr>
                      <w:rFonts w:hint="eastAsia"/>
                      <w:snapToGrid w:val="0"/>
                      <w:color w:val="auto"/>
                      <w:spacing w:val="-6"/>
                    </w:rPr>
                    <w:t>100</w:t>
                  </w:r>
                </w:p>
              </w:tc>
              <w:tc>
                <w:tcPr>
                  <w:tcW w:w="531" w:type="pct"/>
                </w:tcPr>
                <w:p w14:paraId="3EB8742D">
                  <w:pPr>
                    <w:widowControl w:val="0"/>
                    <w:overflowPunct w:val="0"/>
                    <w:autoSpaceDE w:val="0"/>
                    <w:autoSpaceDN w:val="0"/>
                    <w:snapToGrid w:val="0"/>
                    <w:jc w:val="center"/>
                    <w:rPr>
                      <w:snapToGrid w:val="0"/>
                      <w:color w:val="auto"/>
                      <w:spacing w:val="-6"/>
                    </w:rPr>
                  </w:pPr>
                  <w:r>
                    <w:rPr>
                      <w:rFonts w:hint="eastAsia"/>
                      <w:snapToGrid w:val="0"/>
                      <w:color w:val="auto"/>
                      <w:spacing w:val="-6"/>
                    </w:rPr>
                    <w:t>1.2</w:t>
                  </w:r>
                </w:p>
              </w:tc>
              <w:tc>
                <w:tcPr>
                  <w:tcW w:w="455" w:type="pct"/>
                  <w:vAlign w:val="center"/>
                </w:tcPr>
                <w:p w14:paraId="454DBDC3">
                  <w:pPr>
                    <w:widowControl w:val="0"/>
                    <w:overflowPunct w:val="0"/>
                    <w:autoSpaceDE w:val="0"/>
                    <w:autoSpaceDN w:val="0"/>
                    <w:snapToGrid w:val="0"/>
                    <w:jc w:val="center"/>
                    <w:rPr>
                      <w:color w:val="auto"/>
                    </w:rPr>
                  </w:pPr>
                  <w:r>
                    <w:rPr>
                      <w:rFonts w:hint="eastAsia"/>
                      <w:color w:val="auto"/>
                    </w:rPr>
                    <w:t>55.8</w:t>
                  </w:r>
                </w:p>
              </w:tc>
              <w:tc>
                <w:tcPr>
                  <w:tcW w:w="456" w:type="pct"/>
                </w:tcPr>
                <w:p w14:paraId="5275AC65">
                  <w:pPr>
                    <w:widowControl w:val="0"/>
                    <w:overflowPunct w:val="0"/>
                    <w:autoSpaceDE w:val="0"/>
                    <w:autoSpaceDN w:val="0"/>
                    <w:snapToGrid w:val="0"/>
                    <w:jc w:val="center"/>
                    <w:rPr>
                      <w:color w:val="auto"/>
                    </w:rPr>
                  </w:pPr>
                  <w:r>
                    <w:rPr>
                      <w:rFonts w:hint="eastAsia"/>
                      <w:color w:val="auto"/>
                    </w:rPr>
                    <w:t>/</w:t>
                  </w:r>
                </w:p>
              </w:tc>
              <w:tc>
                <w:tcPr>
                  <w:tcW w:w="455" w:type="pct"/>
                  <w:vAlign w:val="center"/>
                </w:tcPr>
                <w:p w14:paraId="07636E45">
                  <w:pPr>
                    <w:widowControl w:val="0"/>
                    <w:overflowPunct w:val="0"/>
                    <w:autoSpaceDE w:val="0"/>
                    <w:autoSpaceDN w:val="0"/>
                    <w:snapToGrid w:val="0"/>
                    <w:jc w:val="center"/>
                    <w:rPr>
                      <w:color w:val="auto"/>
                    </w:rPr>
                  </w:pPr>
                  <w:r>
                    <w:rPr>
                      <w:rFonts w:hint="eastAsia"/>
                      <w:color w:val="auto"/>
                    </w:rPr>
                    <w:t>65</w:t>
                  </w:r>
                </w:p>
              </w:tc>
              <w:tc>
                <w:tcPr>
                  <w:tcW w:w="456" w:type="pct"/>
                  <w:vAlign w:val="center"/>
                </w:tcPr>
                <w:p w14:paraId="0C89FCCD">
                  <w:pPr>
                    <w:widowControl w:val="0"/>
                    <w:overflowPunct w:val="0"/>
                    <w:autoSpaceDE w:val="0"/>
                    <w:autoSpaceDN w:val="0"/>
                    <w:snapToGrid w:val="0"/>
                    <w:jc w:val="center"/>
                    <w:rPr>
                      <w:color w:val="auto"/>
                    </w:rPr>
                  </w:pPr>
                  <w:r>
                    <w:rPr>
                      <w:rFonts w:hint="eastAsia"/>
                      <w:color w:val="auto"/>
                    </w:rPr>
                    <w:t>55</w:t>
                  </w:r>
                </w:p>
              </w:tc>
              <w:tc>
                <w:tcPr>
                  <w:tcW w:w="455" w:type="pct"/>
                  <w:vAlign w:val="center"/>
                </w:tcPr>
                <w:p w14:paraId="24B3ECA3">
                  <w:pPr>
                    <w:widowControl w:val="0"/>
                    <w:overflowPunct w:val="0"/>
                    <w:autoSpaceDE w:val="0"/>
                    <w:autoSpaceDN w:val="0"/>
                    <w:snapToGrid w:val="0"/>
                    <w:jc w:val="center"/>
                    <w:rPr>
                      <w:color w:val="auto"/>
                    </w:rPr>
                  </w:pPr>
                  <w:r>
                    <w:rPr>
                      <w:rFonts w:hint="eastAsia"/>
                      <w:color w:val="auto"/>
                    </w:rPr>
                    <w:t>达标</w:t>
                  </w:r>
                </w:p>
              </w:tc>
              <w:tc>
                <w:tcPr>
                  <w:tcW w:w="449" w:type="pct"/>
                  <w:vAlign w:val="center"/>
                </w:tcPr>
                <w:p w14:paraId="2589EA7B">
                  <w:pPr>
                    <w:widowControl w:val="0"/>
                    <w:overflowPunct w:val="0"/>
                    <w:autoSpaceDE w:val="0"/>
                    <w:autoSpaceDN w:val="0"/>
                    <w:snapToGrid w:val="0"/>
                    <w:jc w:val="center"/>
                    <w:rPr>
                      <w:color w:val="auto"/>
                    </w:rPr>
                  </w:pPr>
                  <w:r>
                    <w:rPr>
                      <w:rFonts w:hint="eastAsia"/>
                      <w:color w:val="auto"/>
                    </w:rPr>
                    <w:t>/</w:t>
                  </w:r>
                </w:p>
              </w:tc>
            </w:tr>
            <w:tr w14:paraId="0CCE26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76" w:type="pct"/>
                  <w:vAlign w:val="center"/>
                </w:tcPr>
                <w:p w14:paraId="24443703">
                  <w:pPr>
                    <w:widowControl w:val="0"/>
                    <w:overflowPunct w:val="0"/>
                    <w:autoSpaceDE w:val="0"/>
                    <w:autoSpaceDN w:val="0"/>
                    <w:snapToGrid w:val="0"/>
                    <w:jc w:val="center"/>
                    <w:rPr>
                      <w:snapToGrid w:val="0"/>
                      <w:color w:val="auto"/>
                      <w:spacing w:val="-6"/>
                    </w:rPr>
                  </w:pPr>
                  <w:r>
                    <w:rPr>
                      <w:snapToGrid w:val="0"/>
                      <w:color w:val="auto"/>
                      <w:spacing w:val="-6"/>
                    </w:rPr>
                    <w:t>东厂界</w:t>
                  </w:r>
                </w:p>
              </w:tc>
              <w:tc>
                <w:tcPr>
                  <w:tcW w:w="537" w:type="pct"/>
                  <w:vAlign w:val="center"/>
                </w:tcPr>
                <w:p w14:paraId="67FF2E3A">
                  <w:pPr>
                    <w:widowControl w:val="0"/>
                    <w:overflowPunct w:val="0"/>
                    <w:autoSpaceDE w:val="0"/>
                    <w:autoSpaceDN w:val="0"/>
                    <w:snapToGrid w:val="0"/>
                    <w:jc w:val="center"/>
                    <w:rPr>
                      <w:snapToGrid w:val="0"/>
                      <w:color w:val="auto"/>
                      <w:spacing w:val="-6"/>
                    </w:rPr>
                  </w:pPr>
                  <w:r>
                    <w:rPr>
                      <w:rFonts w:hint="eastAsia"/>
                      <w:snapToGrid w:val="0"/>
                      <w:color w:val="auto"/>
                      <w:spacing w:val="-6"/>
                    </w:rPr>
                    <w:t>290</w:t>
                  </w:r>
                </w:p>
              </w:tc>
              <w:tc>
                <w:tcPr>
                  <w:tcW w:w="530" w:type="pct"/>
                  <w:vAlign w:val="center"/>
                </w:tcPr>
                <w:p w14:paraId="439D537E">
                  <w:pPr>
                    <w:widowControl w:val="0"/>
                    <w:overflowPunct w:val="0"/>
                    <w:autoSpaceDE w:val="0"/>
                    <w:autoSpaceDN w:val="0"/>
                    <w:snapToGrid w:val="0"/>
                    <w:jc w:val="center"/>
                    <w:rPr>
                      <w:snapToGrid w:val="0"/>
                      <w:color w:val="auto"/>
                      <w:spacing w:val="-6"/>
                    </w:rPr>
                  </w:pPr>
                  <w:r>
                    <w:rPr>
                      <w:rFonts w:hint="eastAsia"/>
                      <w:snapToGrid w:val="0"/>
                      <w:color w:val="auto"/>
                      <w:spacing w:val="-6"/>
                    </w:rPr>
                    <w:t>100</w:t>
                  </w:r>
                </w:p>
              </w:tc>
              <w:tc>
                <w:tcPr>
                  <w:tcW w:w="531" w:type="pct"/>
                </w:tcPr>
                <w:p w14:paraId="76AC9CBA">
                  <w:pPr>
                    <w:widowControl w:val="0"/>
                    <w:overflowPunct w:val="0"/>
                    <w:autoSpaceDE w:val="0"/>
                    <w:autoSpaceDN w:val="0"/>
                    <w:snapToGrid w:val="0"/>
                    <w:jc w:val="center"/>
                    <w:rPr>
                      <w:snapToGrid w:val="0"/>
                      <w:color w:val="auto"/>
                      <w:spacing w:val="-6"/>
                    </w:rPr>
                  </w:pPr>
                  <w:r>
                    <w:rPr>
                      <w:rFonts w:hint="eastAsia"/>
                      <w:snapToGrid w:val="0"/>
                      <w:color w:val="auto"/>
                      <w:spacing w:val="-6"/>
                    </w:rPr>
                    <w:t>1.2</w:t>
                  </w:r>
                </w:p>
              </w:tc>
              <w:tc>
                <w:tcPr>
                  <w:tcW w:w="455" w:type="pct"/>
                  <w:vAlign w:val="center"/>
                </w:tcPr>
                <w:p w14:paraId="5705785D">
                  <w:pPr>
                    <w:widowControl w:val="0"/>
                    <w:overflowPunct w:val="0"/>
                    <w:autoSpaceDE w:val="0"/>
                    <w:autoSpaceDN w:val="0"/>
                    <w:snapToGrid w:val="0"/>
                    <w:jc w:val="center"/>
                    <w:rPr>
                      <w:color w:val="auto"/>
                    </w:rPr>
                  </w:pPr>
                  <w:r>
                    <w:rPr>
                      <w:rFonts w:hint="eastAsia"/>
                      <w:color w:val="auto"/>
                    </w:rPr>
                    <w:t>45.6</w:t>
                  </w:r>
                </w:p>
              </w:tc>
              <w:tc>
                <w:tcPr>
                  <w:tcW w:w="456" w:type="pct"/>
                </w:tcPr>
                <w:p w14:paraId="07E77E1A">
                  <w:pPr>
                    <w:widowControl w:val="0"/>
                    <w:overflowPunct w:val="0"/>
                    <w:autoSpaceDE w:val="0"/>
                    <w:autoSpaceDN w:val="0"/>
                    <w:snapToGrid w:val="0"/>
                    <w:jc w:val="center"/>
                    <w:rPr>
                      <w:color w:val="auto"/>
                    </w:rPr>
                  </w:pPr>
                  <w:r>
                    <w:rPr>
                      <w:rFonts w:hint="eastAsia"/>
                      <w:color w:val="auto"/>
                    </w:rPr>
                    <w:t>/</w:t>
                  </w:r>
                </w:p>
              </w:tc>
              <w:tc>
                <w:tcPr>
                  <w:tcW w:w="455" w:type="pct"/>
                  <w:vAlign w:val="center"/>
                </w:tcPr>
                <w:p w14:paraId="56DD57A7">
                  <w:pPr>
                    <w:widowControl w:val="0"/>
                    <w:overflowPunct w:val="0"/>
                    <w:autoSpaceDE w:val="0"/>
                    <w:autoSpaceDN w:val="0"/>
                    <w:snapToGrid w:val="0"/>
                    <w:jc w:val="center"/>
                    <w:rPr>
                      <w:color w:val="auto"/>
                    </w:rPr>
                  </w:pPr>
                  <w:r>
                    <w:rPr>
                      <w:rFonts w:hint="eastAsia"/>
                      <w:color w:val="auto"/>
                    </w:rPr>
                    <w:t>65</w:t>
                  </w:r>
                </w:p>
              </w:tc>
              <w:tc>
                <w:tcPr>
                  <w:tcW w:w="456" w:type="pct"/>
                  <w:vAlign w:val="center"/>
                </w:tcPr>
                <w:p w14:paraId="047881F4">
                  <w:pPr>
                    <w:widowControl w:val="0"/>
                    <w:overflowPunct w:val="0"/>
                    <w:autoSpaceDE w:val="0"/>
                    <w:autoSpaceDN w:val="0"/>
                    <w:snapToGrid w:val="0"/>
                    <w:jc w:val="center"/>
                    <w:rPr>
                      <w:color w:val="auto"/>
                    </w:rPr>
                  </w:pPr>
                  <w:r>
                    <w:rPr>
                      <w:rFonts w:hint="eastAsia"/>
                      <w:color w:val="auto"/>
                    </w:rPr>
                    <w:t>55</w:t>
                  </w:r>
                </w:p>
              </w:tc>
              <w:tc>
                <w:tcPr>
                  <w:tcW w:w="455" w:type="pct"/>
                  <w:vAlign w:val="center"/>
                </w:tcPr>
                <w:p w14:paraId="1E1E30C7">
                  <w:pPr>
                    <w:widowControl w:val="0"/>
                    <w:overflowPunct w:val="0"/>
                    <w:autoSpaceDE w:val="0"/>
                    <w:autoSpaceDN w:val="0"/>
                    <w:snapToGrid w:val="0"/>
                    <w:jc w:val="center"/>
                    <w:rPr>
                      <w:color w:val="auto"/>
                    </w:rPr>
                  </w:pPr>
                  <w:r>
                    <w:rPr>
                      <w:rFonts w:hint="eastAsia"/>
                      <w:color w:val="auto"/>
                    </w:rPr>
                    <w:t>达标</w:t>
                  </w:r>
                </w:p>
              </w:tc>
              <w:tc>
                <w:tcPr>
                  <w:tcW w:w="449" w:type="pct"/>
                  <w:vAlign w:val="center"/>
                </w:tcPr>
                <w:p w14:paraId="0742128C">
                  <w:pPr>
                    <w:widowControl w:val="0"/>
                    <w:overflowPunct w:val="0"/>
                    <w:autoSpaceDE w:val="0"/>
                    <w:autoSpaceDN w:val="0"/>
                    <w:snapToGrid w:val="0"/>
                    <w:jc w:val="center"/>
                    <w:rPr>
                      <w:color w:val="auto"/>
                    </w:rPr>
                  </w:pPr>
                  <w:r>
                    <w:rPr>
                      <w:rFonts w:hint="eastAsia"/>
                      <w:color w:val="auto"/>
                    </w:rPr>
                    <w:t>/</w:t>
                  </w:r>
                </w:p>
              </w:tc>
            </w:tr>
          </w:tbl>
          <w:p w14:paraId="5BAACB90">
            <w:pPr>
              <w:pStyle w:val="3"/>
              <w:ind w:firstLine="480"/>
              <w:rPr>
                <w:color w:val="auto"/>
              </w:rPr>
            </w:pPr>
            <w:r>
              <w:rPr>
                <w:rFonts w:hint="eastAsia"/>
                <w:color w:val="auto"/>
              </w:rPr>
              <w:t>由上表可知，采取措施后，本项目厂界噪声昼间排放满足《工业企业厂界环境噪声排放标准》(GB12348-2008)3类区标准，且项目夜间不生产，因此项目不会对周围声环境产生明显影响。</w:t>
            </w:r>
          </w:p>
          <w:p w14:paraId="45EC4BCD">
            <w:pPr>
              <w:pStyle w:val="52"/>
              <w:rPr>
                <w:color w:val="auto"/>
              </w:rPr>
            </w:pPr>
            <w:r>
              <w:rPr>
                <w:rFonts w:hint="eastAsia"/>
                <w:color w:val="auto"/>
              </w:rPr>
              <w:t>4、噪声污染控制措施</w:t>
            </w:r>
          </w:p>
          <w:p w14:paraId="1524C507">
            <w:pPr>
              <w:pStyle w:val="3"/>
              <w:ind w:firstLine="480"/>
              <w:rPr>
                <w:color w:val="auto"/>
              </w:rPr>
            </w:pPr>
            <w:r>
              <w:rPr>
                <w:rFonts w:hint="eastAsia"/>
                <w:color w:val="auto"/>
              </w:rPr>
              <w:t>为防止营运期各种噪声对环境可能带来的不利影响，结合各类产噪设备的声频特性，建设单位拟采取以下相应措施降低噪声影响：</w:t>
            </w:r>
          </w:p>
          <w:p w14:paraId="3EA750F2">
            <w:pPr>
              <w:pStyle w:val="3"/>
              <w:ind w:firstLine="480"/>
              <w:rPr>
                <w:color w:val="auto"/>
              </w:rPr>
            </w:pPr>
            <w:r>
              <w:rPr>
                <w:rFonts w:hint="eastAsia"/>
                <w:color w:val="auto"/>
              </w:rPr>
              <w:t>选取低噪声设备，采用基础减震、墙体隔声等降噪处理，同时加强设备管理，对各设备定期检查与维护，使设备保持良好的运行状况，降低运转时产生的噪声，杜绝因设备不正常运转时产生的高噪声现象。</w:t>
            </w:r>
          </w:p>
          <w:p w14:paraId="33D91E9E">
            <w:pPr>
              <w:pStyle w:val="52"/>
              <w:rPr>
                <w:color w:val="auto"/>
              </w:rPr>
            </w:pPr>
            <w:r>
              <w:rPr>
                <w:rFonts w:hint="eastAsia"/>
                <w:color w:val="auto"/>
              </w:rPr>
              <w:t>5、噪声监测要求</w:t>
            </w:r>
          </w:p>
          <w:p w14:paraId="38A28DAB">
            <w:pPr>
              <w:pStyle w:val="3"/>
              <w:ind w:firstLine="480"/>
              <w:rPr>
                <w:color w:val="auto"/>
              </w:rPr>
            </w:pPr>
            <w:r>
              <w:rPr>
                <w:rFonts w:hint="eastAsia"/>
                <w:color w:val="auto"/>
              </w:rPr>
              <w:t>根据《排污单位自行监测技术指</w:t>
            </w:r>
            <w:r>
              <w:rPr>
                <w:rFonts w:hint="eastAsia"/>
                <w:color w:val="auto"/>
                <w:spacing w:val="120"/>
                <w:kern w:val="0"/>
                <w:fitText w:val="720" w:id="-925508864"/>
              </w:rPr>
              <w:t>南</w:t>
            </w:r>
            <w:r>
              <w:rPr>
                <w:rFonts w:hint="eastAsia"/>
                <w:color w:val="auto"/>
                <w:spacing w:val="0"/>
                <w:kern w:val="0"/>
                <w:fitText w:val="720" w:id="-925508864"/>
              </w:rPr>
              <w:t>总</w:t>
            </w:r>
            <w:r>
              <w:rPr>
                <w:rFonts w:hint="eastAsia"/>
                <w:color w:val="auto"/>
              </w:rPr>
              <w:t>则》（HJ819-2017），项目运营期噪声监测要求如下表：</w:t>
            </w:r>
          </w:p>
          <w:p w14:paraId="37C169D0">
            <w:pPr>
              <w:pStyle w:val="49"/>
              <w:rPr>
                <w:color w:val="auto"/>
              </w:rPr>
            </w:pPr>
            <w:r>
              <w:rPr>
                <w:rFonts w:hint="eastAsia"/>
                <w:color w:val="auto"/>
              </w:rPr>
              <w:t xml:space="preserve">表4- </w:t>
            </w:r>
            <w:r>
              <w:rPr>
                <w:color w:val="auto"/>
              </w:rPr>
              <w:t>14</w:t>
            </w:r>
            <w:r>
              <w:rPr>
                <w:rFonts w:hint="eastAsia"/>
                <w:color w:val="auto"/>
              </w:rPr>
              <w:t>：噪声监测计划-</w:t>
            </w:r>
            <w:r>
              <w:rPr>
                <w:color w:val="auto"/>
              </w:rPr>
              <w:t>--</w:t>
            </w:r>
            <w:r>
              <w:rPr>
                <w:rFonts w:hint="eastAsia"/>
                <w:color w:val="auto"/>
              </w:rPr>
              <w:t>单位：dB(A)</w:t>
            </w:r>
          </w:p>
          <w:tbl>
            <w:tblPr>
              <w:tblStyle w:val="20"/>
              <w:tblW w:w="79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689"/>
              <w:gridCol w:w="2565"/>
              <w:gridCol w:w="3684"/>
            </w:tblGrid>
            <w:tr w14:paraId="388913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6" w:type="dxa"/>
                  <w:tcBorders>
                    <w:top w:val="single" w:color="auto" w:sz="12" w:space="0"/>
                    <w:left w:val="nil"/>
                    <w:bottom w:val="single" w:color="auto" w:sz="12" w:space="0"/>
                    <w:right w:val="single" w:color="auto" w:sz="4" w:space="0"/>
                  </w:tcBorders>
                  <w:vAlign w:val="center"/>
                </w:tcPr>
                <w:p w14:paraId="12051D24">
                  <w:pPr>
                    <w:widowControl w:val="0"/>
                    <w:overflowPunct w:val="0"/>
                    <w:autoSpaceDE w:val="0"/>
                    <w:autoSpaceDN w:val="0"/>
                    <w:adjustRightInd w:val="0"/>
                    <w:snapToGrid w:val="0"/>
                    <w:jc w:val="center"/>
                    <w:rPr>
                      <w:b/>
                      <w:color w:val="auto"/>
                    </w:rPr>
                  </w:pPr>
                  <w:r>
                    <w:rPr>
                      <w:b/>
                      <w:color w:val="auto"/>
                    </w:rPr>
                    <w:t>监测测点位</w:t>
                  </w:r>
                </w:p>
              </w:tc>
              <w:tc>
                <w:tcPr>
                  <w:tcW w:w="2632" w:type="dxa"/>
                  <w:tcBorders>
                    <w:top w:val="single" w:color="auto" w:sz="12" w:space="0"/>
                    <w:left w:val="single" w:color="auto" w:sz="4" w:space="0"/>
                    <w:bottom w:val="single" w:color="auto" w:sz="12" w:space="0"/>
                    <w:right w:val="single" w:color="auto" w:sz="4" w:space="0"/>
                  </w:tcBorders>
                  <w:vAlign w:val="center"/>
                </w:tcPr>
                <w:p w14:paraId="693BB9FA">
                  <w:pPr>
                    <w:widowControl w:val="0"/>
                    <w:overflowPunct w:val="0"/>
                    <w:autoSpaceDE w:val="0"/>
                    <w:autoSpaceDN w:val="0"/>
                    <w:adjustRightInd w:val="0"/>
                    <w:snapToGrid w:val="0"/>
                    <w:jc w:val="center"/>
                    <w:rPr>
                      <w:b/>
                      <w:color w:val="auto"/>
                    </w:rPr>
                  </w:pPr>
                  <w:r>
                    <w:rPr>
                      <w:b/>
                      <w:color w:val="auto"/>
                    </w:rPr>
                    <w:t>监测频次</w:t>
                  </w:r>
                </w:p>
              </w:tc>
              <w:tc>
                <w:tcPr>
                  <w:tcW w:w="3751" w:type="dxa"/>
                  <w:tcBorders>
                    <w:top w:val="single" w:color="auto" w:sz="12" w:space="0"/>
                    <w:left w:val="single" w:color="auto" w:sz="4" w:space="0"/>
                    <w:bottom w:val="single" w:color="auto" w:sz="12" w:space="0"/>
                    <w:right w:val="nil"/>
                  </w:tcBorders>
                  <w:vAlign w:val="center"/>
                </w:tcPr>
                <w:p w14:paraId="335AAC19">
                  <w:pPr>
                    <w:widowControl w:val="0"/>
                    <w:overflowPunct w:val="0"/>
                    <w:autoSpaceDE w:val="0"/>
                    <w:autoSpaceDN w:val="0"/>
                    <w:adjustRightInd w:val="0"/>
                    <w:snapToGrid w:val="0"/>
                    <w:jc w:val="center"/>
                    <w:rPr>
                      <w:b/>
                      <w:color w:val="auto"/>
                    </w:rPr>
                  </w:pPr>
                  <w:r>
                    <w:rPr>
                      <w:b/>
                      <w:color w:val="auto"/>
                    </w:rPr>
                    <w:t>执行标准</w:t>
                  </w:r>
                </w:p>
              </w:tc>
            </w:tr>
            <w:tr w14:paraId="391EC1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736" w:type="dxa"/>
                  <w:vAlign w:val="center"/>
                </w:tcPr>
                <w:p w14:paraId="7DC67579">
                  <w:pPr>
                    <w:widowControl w:val="0"/>
                    <w:overflowPunct w:val="0"/>
                    <w:autoSpaceDE w:val="0"/>
                    <w:autoSpaceDN w:val="0"/>
                    <w:snapToGrid w:val="0"/>
                    <w:jc w:val="center"/>
                    <w:rPr>
                      <w:color w:val="auto"/>
                    </w:rPr>
                  </w:pPr>
                  <w:r>
                    <w:rPr>
                      <w:rFonts w:hint="eastAsia"/>
                      <w:color w:val="auto"/>
                    </w:rPr>
                    <w:t>厂界</w:t>
                  </w:r>
                </w:p>
              </w:tc>
              <w:tc>
                <w:tcPr>
                  <w:tcW w:w="2632" w:type="dxa"/>
                  <w:vAlign w:val="center"/>
                </w:tcPr>
                <w:p w14:paraId="419597EC">
                  <w:pPr>
                    <w:widowControl w:val="0"/>
                    <w:overflowPunct w:val="0"/>
                    <w:autoSpaceDE w:val="0"/>
                    <w:autoSpaceDN w:val="0"/>
                    <w:snapToGrid w:val="0"/>
                    <w:jc w:val="center"/>
                    <w:rPr>
                      <w:color w:val="auto"/>
                    </w:rPr>
                  </w:pPr>
                  <w:r>
                    <w:rPr>
                      <w:snapToGrid w:val="0"/>
                      <w:color w:val="auto"/>
                    </w:rPr>
                    <w:t>1次/季度</w:t>
                  </w:r>
                  <w:r>
                    <w:rPr>
                      <w:rFonts w:hint="eastAsia"/>
                      <w:snapToGrid w:val="0"/>
                      <w:color w:val="auto"/>
                    </w:rPr>
                    <w:t>（监测昼间噪声）</w:t>
                  </w:r>
                </w:p>
              </w:tc>
              <w:tc>
                <w:tcPr>
                  <w:tcW w:w="3751" w:type="dxa"/>
                  <w:vAlign w:val="center"/>
                </w:tcPr>
                <w:p w14:paraId="22F2010B">
                  <w:pPr>
                    <w:widowControl w:val="0"/>
                    <w:overflowPunct w:val="0"/>
                    <w:autoSpaceDE w:val="0"/>
                    <w:autoSpaceDN w:val="0"/>
                    <w:snapToGrid w:val="0"/>
                    <w:jc w:val="center"/>
                    <w:rPr>
                      <w:color w:val="auto"/>
                    </w:rPr>
                  </w:pPr>
                  <w:r>
                    <w:rPr>
                      <w:color w:val="auto"/>
                    </w:rPr>
                    <w:t>《工业企业厂界环境噪声排放标准》</w:t>
                  </w:r>
                  <w:r>
                    <w:rPr>
                      <w:rFonts w:hint="eastAsia"/>
                      <w:color w:val="auto"/>
                    </w:rPr>
                    <w:t>(</w:t>
                  </w:r>
                  <w:r>
                    <w:rPr>
                      <w:color w:val="auto"/>
                    </w:rPr>
                    <w:t>GB12348-2008</w:t>
                  </w:r>
                  <w:r>
                    <w:rPr>
                      <w:rFonts w:hint="eastAsia"/>
                      <w:color w:val="auto"/>
                    </w:rPr>
                    <w:t>)3</w:t>
                  </w:r>
                  <w:r>
                    <w:rPr>
                      <w:color w:val="auto"/>
                    </w:rPr>
                    <w:t>类区标准</w:t>
                  </w:r>
                </w:p>
              </w:tc>
            </w:tr>
          </w:tbl>
          <w:p w14:paraId="58665AF2">
            <w:pPr>
              <w:pStyle w:val="7"/>
              <w:rPr>
                <w:color w:val="auto"/>
              </w:rPr>
            </w:pPr>
            <w:r>
              <w:rPr>
                <w:rFonts w:hint="eastAsia"/>
                <w:color w:val="auto"/>
              </w:rPr>
              <w:t>四、固体废物</w:t>
            </w:r>
          </w:p>
          <w:p w14:paraId="32E98553">
            <w:pPr>
              <w:pStyle w:val="3"/>
              <w:ind w:firstLine="482"/>
              <w:rPr>
                <w:b/>
                <w:bCs/>
                <w:color w:val="auto"/>
              </w:rPr>
            </w:pPr>
            <w:r>
              <w:rPr>
                <w:rFonts w:hint="eastAsia"/>
                <w:b/>
                <w:bCs/>
                <w:color w:val="auto"/>
              </w:rPr>
              <w:t>1、固体废物产生及处置情况</w:t>
            </w:r>
          </w:p>
          <w:p w14:paraId="3CF8BEE0">
            <w:pPr>
              <w:pStyle w:val="3"/>
              <w:ind w:firstLine="482"/>
              <w:rPr>
                <w:color w:val="auto"/>
              </w:rPr>
            </w:pPr>
            <w:r>
              <w:rPr>
                <w:rFonts w:hint="eastAsia"/>
                <w:b/>
                <w:bCs/>
                <w:color w:val="auto"/>
              </w:rPr>
              <w:t>本项目不设置车辆维修间，所有运输车辆及装载机等车辆均驶出外委维修公司进行保养维修，故不产生废机油、废润滑油等危险废物。</w:t>
            </w:r>
            <w:r>
              <w:rPr>
                <w:rFonts w:hint="eastAsia"/>
                <w:color w:val="auto"/>
              </w:rPr>
              <w:t>项目产生的固体废弃物主要为职工生活垃圾、洗车废水沉淀池内沉渣。</w:t>
            </w:r>
          </w:p>
          <w:p w14:paraId="46FF0097">
            <w:pPr>
              <w:pStyle w:val="3"/>
              <w:ind w:firstLine="480"/>
              <w:rPr>
                <w:color w:val="auto"/>
              </w:rPr>
            </w:pPr>
            <w:r>
              <w:rPr>
                <w:rFonts w:hint="eastAsia"/>
                <w:color w:val="auto"/>
              </w:rPr>
              <w:t>（1）沉淀池沉渣</w:t>
            </w:r>
          </w:p>
          <w:p w14:paraId="4BC0D9E2">
            <w:pPr>
              <w:pStyle w:val="3"/>
              <w:ind w:firstLine="480"/>
              <w:rPr>
                <w:color w:val="auto"/>
              </w:rPr>
            </w:pPr>
            <w:r>
              <w:rPr>
                <w:rFonts w:hint="eastAsia"/>
                <w:color w:val="auto"/>
              </w:rPr>
              <w:t>洗车废水中包含运输车辆轮胎、车身清洗下来的粉尘、煤泥等，产生量约为5.0t/a。沉淀池定期清理沉渣，不暂存，运送至住建部门指定堆存区，不可随意丢弃。</w:t>
            </w:r>
          </w:p>
          <w:p w14:paraId="078004D1">
            <w:pPr>
              <w:pStyle w:val="3"/>
              <w:ind w:firstLine="480"/>
              <w:rPr>
                <w:color w:val="auto"/>
              </w:rPr>
            </w:pPr>
            <w:r>
              <w:rPr>
                <w:rFonts w:hint="eastAsia"/>
                <w:color w:val="auto"/>
              </w:rPr>
              <w:t>（3）生活垃圾</w:t>
            </w:r>
          </w:p>
          <w:p w14:paraId="5FE44EC5">
            <w:pPr>
              <w:pStyle w:val="3"/>
              <w:ind w:firstLine="480"/>
              <w:rPr>
                <w:color w:val="auto"/>
              </w:rPr>
            </w:pPr>
            <w:r>
              <w:rPr>
                <w:rFonts w:hint="eastAsia"/>
                <w:color w:val="auto"/>
              </w:rPr>
              <w:t>本项目全厂劳动定员为10人，年工作330天，生活垃圾按每人每天0.5kg计。则生活垃圾产生量2t/a。交由环卫部门处置。</w:t>
            </w:r>
          </w:p>
          <w:p w14:paraId="694813D6">
            <w:pPr>
              <w:pStyle w:val="3"/>
              <w:ind w:firstLine="480"/>
              <w:rPr>
                <w:color w:val="auto"/>
              </w:rPr>
            </w:pPr>
            <w:r>
              <w:rPr>
                <w:rFonts w:hint="eastAsia"/>
                <w:color w:val="auto"/>
              </w:rPr>
              <w:t>固体废物的产生情况见下表，固废代码根据《固体废物分类与代码目录（2024）》确定。</w:t>
            </w:r>
          </w:p>
          <w:p w14:paraId="3B59F4EA">
            <w:pPr>
              <w:pStyle w:val="49"/>
              <w:rPr>
                <w:color w:val="auto"/>
              </w:rPr>
            </w:pPr>
            <w:bookmarkStart w:id="39" w:name="_Ref176914655"/>
            <w:r>
              <w:rPr>
                <w:rFonts w:hint="eastAsia"/>
                <w:color w:val="auto"/>
              </w:rPr>
              <w:t xml:space="preserve">表4- </w:t>
            </w:r>
            <w:r>
              <w:rPr>
                <w:color w:val="auto"/>
              </w:rPr>
              <w:t>15</w:t>
            </w:r>
            <w:r>
              <w:rPr>
                <w:rFonts w:hint="eastAsia"/>
                <w:color w:val="auto"/>
              </w:rPr>
              <w:t>：项目固体废物的产生情况汇总</w:t>
            </w:r>
            <w:bookmarkEnd w:id="39"/>
          </w:p>
          <w:tbl>
            <w:tblPr>
              <w:tblStyle w:val="5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343"/>
              <w:gridCol w:w="1031"/>
              <w:gridCol w:w="2270"/>
              <w:gridCol w:w="951"/>
              <w:gridCol w:w="844"/>
              <w:gridCol w:w="1504"/>
            </w:tblGrid>
            <w:tr w14:paraId="2493C0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343"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6E1260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固废名称</w:t>
                  </w:r>
                </w:p>
              </w:tc>
              <w:tc>
                <w:tcPr>
                  <w:tcW w:w="1031"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67B7B7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固废类型</w:t>
                  </w:r>
                </w:p>
              </w:tc>
              <w:tc>
                <w:tcPr>
                  <w:tcW w:w="2270"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A3D015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废物类别</w:t>
                  </w:r>
                  <w:r>
                    <w:rPr>
                      <w:rFonts w:hint="eastAsia" w:ascii="Times New Roman" w:hAnsi="Times New Roman" w:eastAsia="宋体" w:cs="Times New Roman"/>
                      <w:b/>
                      <w:i w:val="0"/>
                      <w:color w:val="auto"/>
                      <w:sz w:val="21"/>
                      <w:szCs w:val="21"/>
                      <w14:ligatures w14:val="standardContextual"/>
                    </w:rPr>
                    <w:t>及代码</w:t>
                  </w:r>
                </w:p>
              </w:tc>
              <w:tc>
                <w:tcPr>
                  <w:tcW w:w="951"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B7302C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物理</w:t>
                  </w:r>
                </w:p>
                <w:p w14:paraId="663DCBC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性状</w:t>
                  </w:r>
                </w:p>
              </w:tc>
              <w:tc>
                <w:tcPr>
                  <w:tcW w:w="844"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CFBC0C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产生量</w:t>
                  </w:r>
                </w:p>
                <w:p w14:paraId="512068A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t/a</w:t>
                  </w:r>
                </w:p>
              </w:tc>
              <w:tc>
                <w:tcPr>
                  <w:tcW w:w="1504" w:type="dxa"/>
                  <w:tcBorders>
                    <w:top w:val="single" w:color="auto" w:sz="12" w:space="0"/>
                    <w:bottom w:val="single" w:color="auto" w:sz="12" w:space="0"/>
                    <w:right w:val="nil"/>
                    <w:insideH w:val="single" w:sz="12" w:space="0"/>
                    <w:insideV w:val="single" w:sz="4" w:space="0"/>
                    <w:tl2br w:val="nil"/>
                    <w:tr2bl w:val="nil"/>
                  </w:tcBorders>
                  <w:vAlign w:val="center"/>
                </w:tcPr>
                <w:p w14:paraId="3CA1811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14:ligatures w14:val="standardContextual"/>
                    </w:rPr>
                    <w:t>处置去向</w:t>
                  </w:r>
                </w:p>
              </w:tc>
            </w:tr>
            <w:tr w14:paraId="4CECD5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343" w:type="dxa"/>
                  <w:vAlign w:val="center"/>
                </w:tcPr>
                <w:p w14:paraId="62C5887D">
                  <w:pPr>
                    <w:widowControl w:val="0"/>
                    <w:overflowPunct w:val="0"/>
                    <w:autoSpaceDE w:val="0"/>
                    <w:autoSpaceDN w:val="0"/>
                    <w:snapToGrid w:val="0"/>
                    <w:jc w:val="center"/>
                    <w:rPr>
                      <w:color w:val="auto"/>
                      <w14:ligatures w14:val="standardContextual"/>
                    </w:rPr>
                  </w:pPr>
                  <w:r>
                    <w:rPr>
                      <w:color w:val="auto"/>
                      <w14:ligatures w14:val="standardContextual"/>
                    </w:rPr>
                    <w:t>生活垃圾</w:t>
                  </w:r>
                </w:p>
              </w:tc>
              <w:tc>
                <w:tcPr>
                  <w:tcW w:w="1031" w:type="dxa"/>
                  <w:vAlign w:val="center"/>
                </w:tcPr>
                <w:p w14:paraId="4F120B69">
                  <w:pPr>
                    <w:widowControl w:val="0"/>
                    <w:overflowPunct w:val="0"/>
                    <w:autoSpaceDE w:val="0"/>
                    <w:autoSpaceDN w:val="0"/>
                    <w:snapToGrid w:val="0"/>
                    <w:jc w:val="center"/>
                    <w:rPr>
                      <w:color w:val="auto"/>
                      <w14:ligatures w14:val="standardContextual"/>
                    </w:rPr>
                  </w:pPr>
                  <w:r>
                    <w:rPr>
                      <w:color w:val="auto"/>
                      <w14:ligatures w14:val="standardContextual"/>
                    </w:rPr>
                    <w:t>生活垃圾</w:t>
                  </w:r>
                </w:p>
              </w:tc>
              <w:tc>
                <w:tcPr>
                  <w:tcW w:w="2270" w:type="dxa"/>
                  <w:vAlign w:val="center"/>
                </w:tcPr>
                <w:p w14:paraId="4FA8D175">
                  <w:pPr>
                    <w:widowControl w:val="0"/>
                    <w:overflowPunct w:val="0"/>
                    <w:autoSpaceDE w:val="0"/>
                    <w:autoSpaceDN w:val="0"/>
                    <w:snapToGrid w:val="0"/>
                    <w:jc w:val="center"/>
                    <w:rPr>
                      <w:color w:val="auto"/>
                      <w14:ligatures w14:val="standardContextual"/>
                    </w:rPr>
                  </w:pPr>
                  <w:r>
                    <w:rPr>
                      <w:rFonts w:hint="eastAsia"/>
                      <w:color w:val="auto"/>
                      <w14:ligatures w14:val="standardContextual"/>
                    </w:rPr>
                    <w:t>SW64（</w:t>
                  </w:r>
                  <w:r>
                    <w:rPr>
                      <w:color w:val="auto"/>
                      <w14:ligatures w14:val="standardContextual"/>
                    </w:rPr>
                    <w:t>900-</w:t>
                  </w:r>
                  <w:r>
                    <w:rPr>
                      <w:rFonts w:hint="eastAsia"/>
                      <w:color w:val="auto"/>
                      <w14:ligatures w14:val="standardContextual"/>
                    </w:rPr>
                    <w:t>099</w:t>
                  </w:r>
                  <w:r>
                    <w:rPr>
                      <w:color w:val="auto"/>
                      <w14:ligatures w14:val="standardContextual"/>
                    </w:rPr>
                    <w:t>-</w:t>
                  </w:r>
                  <w:r>
                    <w:rPr>
                      <w:rFonts w:hint="eastAsia"/>
                      <w:color w:val="auto"/>
                      <w14:ligatures w14:val="standardContextual"/>
                    </w:rPr>
                    <w:t>S64）</w:t>
                  </w:r>
                </w:p>
              </w:tc>
              <w:tc>
                <w:tcPr>
                  <w:tcW w:w="951" w:type="dxa"/>
                  <w:vAlign w:val="center"/>
                </w:tcPr>
                <w:p w14:paraId="17A7E7B2">
                  <w:pPr>
                    <w:widowControl w:val="0"/>
                    <w:overflowPunct w:val="0"/>
                    <w:autoSpaceDE w:val="0"/>
                    <w:autoSpaceDN w:val="0"/>
                    <w:snapToGrid w:val="0"/>
                    <w:jc w:val="center"/>
                    <w:rPr>
                      <w:color w:val="auto"/>
                      <w14:ligatures w14:val="standardContextual"/>
                    </w:rPr>
                  </w:pPr>
                  <w:r>
                    <w:rPr>
                      <w:color w:val="auto"/>
                      <w14:ligatures w14:val="standardContextual"/>
                    </w:rPr>
                    <w:t>固态</w:t>
                  </w:r>
                </w:p>
              </w:tc>
              <w:tc>
                <w:tcPr>
                  <w:tcW w:w="844" w:type="dxa"/>
                  <w:vAlign w:val="center"/>
                </w:tcPr>
                <w:p w14:paraId="315B9D1F">
                  <w:pPr>
                    <w:widowControl w:val="0"/>
                    <w:overflowPunct w:val="0"/>
                    <w:autoSpaceDE w:val="0"/>
                    <w:autoSpaceDN w:val="0"/>
                    <w:snapToGrid w:val="0"/>
                    <w:jc w:val="center"/>
                    <w:rPr>
                      <w:color w:val="auto"/>
                      <w14:ligatures w14:val="standardContextual"/>
                    </w:rPr>
                  </w:pPr>
                  <w:r>
                    <w:rPr>
                      <w:rFonts w:hint="eastAsia"/>
                      <w:color w:val="auto"/>
                      <w14:ligatures w14:val="standardContextual"/>
                    </w:rPr>
                    <w:t>2</w:t>
                  </w:r>
                </w:p>
              </w:tc>
              <w:tc>
                <w:tcPr>
                  <w:tcW w:w="1504" w:type="dxa"/>
                  <w:vAlign w:val="center"/>
                </w:tcPr>
                <w:p w14:paraId="10C0F7C0">
                  <w:pPr>
                    <w:widowControl w:val="0"/>
                    <w:overflowPunct w:val="0"/>
                    <w:autoSpaceDE w:val="0"/>
                    <w:autoSpaceDN w:val="0"/>
                    <w:snapToGrid w:val="0"/>
                    <w:jc w:val="center"/>
                    <w:rPr>
                      <w:color w:val="auto"/>
                      <w14:ligatures w14:val="standardContextual"/>
                    </w:rPr>
                  </w:pPr>
                  <w:r>
                    <w:rPr>
                      <w:color w:val="auto"/>
                      <w14:ligatures w14:val="standardContextual"/>
                    </w:rPr>
                    <w:t>交由环卫部门</w:t>
                  </w:r>
                  <w:r>
                    <w:rPr>
                      <w:rFonts w:hint="eastAsia"/>
                      <w:color w:val="auto"/>
                      <w14:ligatures w14:val="standardContextual"/>
                    </w:rPr>
                    <w:t>处置</w:t>
                  </w:r>
                </w:p>
              </w:tc>
            </w:tr>
            <w:tr w14:paraId="26F9C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343" w:type="dxa"/>
                  <w:vAlign w:val="center"/>
                </w:tcPr>
                <w:p w14:paraId="5A6931D0">
                  <w:pPr>
                    <w:widowControl w:val="0"/>
                    <w:overflowPunct w:val="0"/>
                    <w:autoSpaceDE w:val="0"/>
                    <w:autoSpaceDN w:val="0"/>
                    <w:snapToGrid w:val="0"/>
                    <w:jc w:val="center"/>
                    <w:rPr>
                      <w:color w:val="auto"/>
                      <w14:ligatures w14:val="standardContextual"/>
                    </w:rPr>
                  </w:pPr>
                  <w:r>
                    <w:rPr>
                      <w:rFonts w:hint="eastAsia"/>
                      <w:color w:val="auto"/>
                      <w14:ligatures w14:val="standardContextual"/>
                    </w:rPr>
                    <w:t>沉淀池沉渣</w:t>
                  </w:r>
                </w:p>
              </w:tc>
              <w:tc>
                <w:tcPr>
                  <w:tcW w:w="1031" w:type="dxa"/>
                  <w:vAlign w:val="center"/>
                </w:tcPr>
                <w:p w14:paraId="10A8EDC1">
                  <w:pPr>
                    <w:widowControl w:val="0"/>
                    <w:overflowPunct w:val="0"/>
                    <w:autoSpaceDE w:val="0"/>
                    <w:autoSpaceDN w:val="0"/>
                    <w:snapToGrid w:val="0"/>
                    <w:jc w:val="center"/>
                    <w:rPr>
                      <w:color w:val="auto"/>
                      <w14:ligatures w14:val="standardContextual"/>
                    </w:rPr>
                  </w:pPr>
                  <w:r>
                    <w:rPr>
                      <w:rFonts w:hint="eastAsia"/>
                      <w:color w:val="auto"/>
                      <w14:ligatures w14:val="standardContextual"/>
                    </w:rPr>
                    <w:t>一般固废</w:t>
                  </w:r>
                </w:p>
              </w:tc>
              <w:tc>
                <w:tcPr>
                  <w:tcW w:w="2270" w:type="dxa"/>
                  <w:vAlign w:val="center"/>
                </w:tcPr>
                <w:p w14:paraId="3BB5BBE3">
                  <w:pPr>
                    <w:widowControl w:val="0"/>
                    <w:overflowPunct w:val="0"/>
                    <w:autoSpaceDE w:val="0"/>
                    <w:autoSpaceDN w:val="0"/>
                    <w:snapToGrid w:val="0"/>
                    <w:jc w:val="center"/>
                    <w:rPr>
                      <w:color w:val="auto"/>
                      <w14:ligatures w14:val="standardContextual"/>
                    </w:rPr>
                  </w:pPr>
                  <w:r>
                    <w:rPr>
                      <w:rFonts w:hint="eastAsia"/>
                      <w:color w:val="auto"/>
                      <w14:ligatures w14:val="standardContextual"/>
                    </w:rPr>
                    <w:t>SW07（</w:t>
                  </w:r>
                  <w:r>
                    <w:rPr>
                      <w:color w:val="auto"/>
                      <w14:ligatures w14:val="standardContextual"/>
                    </w:rPr>
                    <w:t>900-099-S07</w:t>
                  </w:r>
                  <w:r>
                    <w:rPr>
                      <w:rFonts w:hint="eastAsia"/>
                      <w:color w:val="auto"/>
                      <w14:ligatures w14:val="standardContextual"/>
                    </w:rPr>
                    <w:t>）</w:t>
                  </w:r>
                </w:p>
              </w:tc>
              <w:tc>
                <w:tcPr>
                  <w:tcW w:w="951" w:type="dxa"/>
                  <w:vAlign w:val="center"/>
                </w:tcPr>
                <w:p w14:paraId="45F5C4D6">
                  <w:pPr>
                    <w:widowControl w:val="0"/>
                    <w:overflowPunct w:val="0"/>
                    <w:autoSpaceDE w:val="0"/>
                    <w:autoSpaceDN w:val="0"/>
                    <w:snapToGrid w:val="0"/>
                    <w:jc w:val="center"/>
                    <w:rPr>
                      <w:color w:val="auto"/>
                      <w14:ligatures w14:val="standardContextual"/>
                    </w:rPr>
                  </w:pPr>
                  <w:r>
                    <w:rPr>
                      <w:color w:val="auto"/>
                      <w14:ligatures w14:val="standardContextual"/>
                    </w:rPr>
                    <w:t>固态</w:t>
                  </w:r>
                </w:p>
              </w:tc>
              <w:tc>
                <w:tcPr>
                  <w:tcW w:w="844" w:type="dxa"/>
                  <w:vAlign w:val="center"/>
                </w:tcPr>
                <w:p w14:paraId="008D29A0">
                  <w:pPr>
                    <w:widowControl w:val="0"/>
                    <w:overflowPunct w:val="0"/>
                    <w:autoSpaceDE w:val="0"/>
                    <w:autoSpaceDN w:val="0"/>
                    <w:snapToGrid w:val="0"/>
                    <w:jc w:val="center"/>
                    <w:rPr>
                      <w:color w:val="auto"/>
                      <w14:ligatures w14:val="standardContextual"/>
                    </w:rPr>
                  </w:pPr>
                  <w:r>
                    <w:rPr>
                      <w:rFonts w:hint="eastAsia"/>
                      <w:color w:val="auto"/>
                      <w14:ligatures w14:val="standardContextual"/>
                    </w:rPr>
                    <w:t>5</w:t>
                  </w:r>
                </w:p>
              </w:tc>
              <w:tc>
                <w:tcPr>
                  <w:tcW w:w="1504" w:type="dxa"/>
                  <w:vAlign w:val="center"/>
                </w:tcPr>
                <w:p w14:paraId="42829779">
                  <w:pPr>
                    <w:widowControl w:val="0"/>
                    <w:overflowPunct w:val="0"/>
                    <w:autoSpaceDE w:val="0"/>
                    <w:autoSpaceDN w:val="0"/>
                    <w:snapToGrid w:val="0"/>
                    <w:jc w:val="center"/>
                    <w:rPr>
                      <w:color w:val="auto"/>
                      <w14:ligatures w14:val="standardContextual"/>
                    </w:rPr>
                  </w:pPr>
                  <w:r>
                    <w:rPr>
                      <w:rFonts w:hint="eastAsia"/>
                      <w:color w:val="auto"/>
                      <w14:ligatures w14:val="standardContextual"/>
                    </w:rPr>
                    <w:t>定期清理，不暂存，运送至住建部门指定堆存区</w:t>
                  </w:r>
                </w:p>
              </w:tc>
            </w:tr>
          </w:tbl>
          <w:p w14:paraId="2CB739D7">
            <w:pPr>
              <w:pStyle w:val="3"/>
              <w:ind w:firstLine="482"/>
              <w:rPr>
                <w:b/>
                <w:bCs/>
                <w:color w:val="auto"/>
              </w:rPr>
            </w:pPr>
            <w:bookmarkStart w:id="40" w:name="_Ref175583056"/>
            <w:r>
              <w:rPr>
                <w:rFonts w:hint="eastAsia"/>
                <w:b/>
                <w:bCs/>
                <w:color w:val="auto"/>
              </w:rPr>
              <w:t>2、固废处置、暂存影响分析</w:t>
            </w:r>
          </w:p>
          <w:p w14:paraId="53B4C829">
            <w:pPr>
              <w:pStyle w:val="3"/>
              <w:ind w:firstLine="480"/>
              <w:rPr>
                <w:color w:val="auto"/>
              </w:rPr>
            </w:pPr>
            <w:r>
              <w:rPr>
                <w:rFonts w:hint="eastAsia"/>
                <w:color w:val="auto"/>
              </w:rPr>
              <w:t>本项目产生的一般固废为沉淀池沉渣，处理处置过程在满足</w:t>
            </w:r>
            <w:bookmarkEnd w:id="40"/>
            <w:r>
              <w:rPr>
                <w:rFonts w:hint="eastAsia"/>
                <w:color w:val="auto"/>
              </w:rPr>
              <w:t>相应防渗漏、防雨淋、防扬尘等环境保护要求的前提下，对环境影响可接受。</w:t>
            </w:r>
          </w:p>
          <w:p w14:paraId="3CE87A72">
            <w:pPr>
              <w:pStyle w:val="7"/>
              <w:rPr>
                <w:color w:val="auto"/>
              </w:rPr>
            </w:pPr>
            <w:r>
              <w:rPr>
                <w:rFonts w:hint="eastAsia"/>
                <w:color w:val="auto"/>
              </w:rPr>
              <w:t>五、地下水及土壤</w:t>
            </w:r>
          </w:p>
          <w:p w14:paraId="3DAE2DD9">
            <w:pPr>
              <w:pStyle w:val="3"/>
              <w:ind w:firstLine="482"/>
              <w:rPr>
                <w:b/>
                <w:bCs/>
                <w:color w:val="auto"/>
              </w:rPr>
            </w:pPr>
            <w:r>
              <w:rPr>
                <w:rFonts w:hint="eastAsia"/>
                <w:b/>
                <w:bCs/>
                <w:color w:val="auto"/>
              </w:rPr>
              <w:t>1、地下水、土壤污染源</w:t>
            </w:r>
          </w:p>
          <w:p w14:paraId="5E21ADC7">
            <w:pPr>
              <w:pStyle w:val="3"/>
              <w:ind w:firstLine="480"/>
              <w:rPr>
                <w:color w:val="auto"/>
              </w:rPr>
            </w:pPr>
            <w:r>
              <w:rPr>
                <w:rFonts w:hint="eastAsia"/>
                <w:color w:val="auto"/>
              </w:rPr>
              <w:t>根据对项目生产过程及存储方式等进行分析，本项目对地下水及土壤环境影响的污染源有：洗车平台及其配套沉淀池等，主要污染物为COD、SS、石油类等。洗车平台及其配套沉淀池等均进行防渗处理，渗透系数满足技术规范要求，保证在正常状态下，废水、废液不下渗，在认真施工和加强环境工程保护措施的前提下，不会对地下水、土壤环境产生影响。</w:t>
            </w:r>
          </w:p>
          <w:p w14:paraId="4A36F5E7">
            <w:pPr>
              <w:pStyle w:val="3"/>
              <w:ind w:firstLine="482"/>
              <w:rPr>
                <w:b/>
                <w:bCs/>
                <w:color w:val="auto"/>
              </w:rPr>
            </w:pPr>
            <w:r>
              <w:rPr>
                <w:rFonts w:hint="eastAsia"/>
                <w:b/>
                <w:bCs/>
                <w:color w:val="auto"/>
              </w:rPr>
              <w:t>2、污染途径分析</w:t>
            </w:r>
          </w:p>
          <w:p w14:paraId="3C0F70F5">
            <w:pPr>
              <w:pStyle w:val="49"/>
              <w:rPr>
                <w:color w:val="auto"/>
              </w:rPr>
            </w:pPr>
            <w:r>
              <w:rPr>
                <w:rFonts w:hint="eastAsia"/>
                <w:color w:val="auto"/>
              </w:rPr>
              <w:t xml:space="preserve">表4- </w:t>
            </w:r>
            <w:r>
              <w:rPr>
                <w:color w:val="auto"/>
              </w:rPr>
              <w:t>15</w:t>
            </w:r>
            <w:r>
              <w:rPr>
                <w:rFonts w:hint="eastAsia"/>
                <w:color w:val="auto"/>
              </w:rPr>
              <w:t>：污染途径一览表</w:t>
            </w:r>
          </w:p>
          <w:tbl>
            <w:tblPr>
              <w:tblStyle w:val="5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2742"/>
              <w:gridCol w:w="1816"/>
              <w:gridCol w:w="3385"/>
            </w:tblGrid>
            <w:tr w14:paraId="25827B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726"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802F65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污染源</w:t>
                  </w:r>
                </w:p>
              </w:tc>
              <w:tc>
                <w:tcPr>
                  <w:tcW w:w="1143"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4B0E01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污染物</w:t>
                  </w:r>
                </w:p>
              </w:tc>
              <w:tc>
                <w:tcPr>
                  <w:tcW w:w="2131" w:type="pct"/>
                  <w:tcBorders>
                    <w:top w:val="single" w:color="auto" w:sz="12" w:space="0"/>
                    <w:bottom w:val="single" w:color="auto" w:sz="12" w:space="0"/>
                    <w:right w:val="nil"/>
                    <w:insideH w:val="single" w:sz="12" w:space="0"/>
                    <w:insideV w:val="single" w:sz="4" w:space="0"/>
                    <w:tl2br w:val="nil"/>
                    <w:tr2bl w:val="nil"/>
                  </w:tcBorders>
                  <w:vAlign w:val="center"/>
                </w:tcPr>
                <w:p w14:paraId="40928C1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污染途径</w:t>
                  </w:r>
                </w:p>
              </w:tc>
            </w:tr>
            <w:tr w14:paraId="4B11D2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726" w:type="pct"/>
                  <w:vAlign w:val="center"/>
                </w:tcPr>
                <w:p w14:paraId="19C13056">
                  <w:pPr>
                    <w:widowControl w:val="0"/>
                    <w:overflowPunct w:val="0"/>
                    <w:autoSpaceDE w:val="0"/>
                    <w:autoSpaceDN w:val="0"/>
                    <w:snapToGrid w:val="0"/>
                    <w:jc w:val="center"/>
                    <w:rPr>
                      <w:color w:val="auto"/>
                      <w14:ligatures w14:val="standardContextual"/>
                    </w:rPr>
                  </w:pPr>
                  <w:r>
                    <w:rPr>
                      <w:rFonts w:hint="eastAsia"/>
                      <w:b/>
                      <w:bCs/>
                      <w:color w:val="auto"/>
                      <w14:ligatures w14:val="standardContextual"/>
                    </w:rPr>
                    <w:t>地埋式一体化污水处理设施</w:t>
                  </w:r>
                </w:p>
              </w:tc>
              <w:tc>
                <w:tcPr>
                  <w:tcW w:w="1143" w:type="pct"/>
                  <w:vAlign w:val="center"/>
                </w:tcPr>
                <w:p w14:paraId="23681448">
                  <w:pPr>
                    <w:widowControl w:val="0"/>
                    <w:overflowPunct w:val="0"/>
                    <w:autoSpaceDE w:val="0"/>
                    <w:autoSpaceDN w:val="0"/>
                    <w:snapToGrid w:val="0"/>
                    <w:jc w:val="center"/>
                    <w:rPr>
                      <w:color w:val="auto"/>
                      <w14:ligatures w14:val="standardContextual"/>
                    </w:rPr>
                  </w:pPr>
                  <w:r>
                    <w:rPr>
                      <w:color w:val="auto"/>
                      <w14:ligatures w14:val="standardContextual"/>
                    </w:rPr>
                    <w:t>氨氮</w:t>
                  </w:r>
                  <w:r>
                    <w:rPr>
                      <w:rFonts w:hint="eastAsia"/>
                      <w:color w:val="auto"/>
                      <w14:ligatures w14:val="standardContextual"/>
                    </w:rPr>
                    <w:t>、SS等</w:t>
                  </w:r>
                </w:p>
              </w:tc>
              <w:tc>
                <w:tcPr>
                  <w:tcW w:w="2131" w:type="pct"/>
                  <w:vMerge w:val="restart"/>
                  <w:vAlign w:val="center"/>
                </w:tcPr>
                <w:p w14:paraId="6ADEDB1B">
                  <w:pPr>
                    <w:widowControl w:val="0"/>
                    <w:overflowPunct w:val="0"/>
                    <w:autoSpaceDE w:val="0"/>
                    <w:autoSpaceDN w:val="0"/>
                    <w:snapToGrid w:val="0"/>
                    <w:jc w:val="center"/>
                    <w:rPr>
                      <w:color w:val="auto"/>
                      <w14:ligatures w14:val="standardContextual"/>
                    </w:rPr>
                  </w:pPr>
                  <w:r>
                    <w:rPr>
                      <w:color w:val="auto"/>
                      <w14:ligatures w14:val="standardContextual"/>
                    </w:rPr>
                    <w:t>设施意外破损渗入地下</w:t>
                  </w:r>
                </w:p>
              </w:tc>
            </w:tr>
            <w:tr w14:paraId="09BA37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726" w:type="pct"/>
                  <w:vAlign w:val="center"/>
                </w:tcPr>
                <w:p w14:paraId="45FE388A">
                  <w:pPr>
                    <w:widowControl w:val="0"/>
                    <w:overflowPunct w:val="0"/>
                    <w:autoSpaceDE w:val="0"/>
                    <w:autoSpaceDN w:val="0"/>
                    <w:snapToGrid w:val="0"/>
                    <w:jc w:val="center"/>
                    <w:rPr>
                      <w:color w:val="auto"/>
                      <w14:ligatures w14:val="standardContextual"/>
                    </w:rPr>
                  </w:pPr>
                  <w:r>
                    <w:rPr>
                      <w:rFonts w:hint="eastAsia"/>
                      <w:color w:val="auto"/>
                      <w14:ligatures w14:val="standardContextual"/>
                    </w:rPr>
                    <w:t>洗车</w:t>
                  </w:r>
                  <w:r>
                    <w:rPr>
                      <w:color w:val="auto"/>
                      <w14:ligatures w14:val="standardContextual"/>
                    </w:rPr>
                    <w:t>废水沉淀池</w:t>
                  </w:r>
                </w:p>
              </w:tc>
              <w:tc>
                <w:tcPr>
                  <w:tcW w:w="1143" w:type="pct"/>
                  <w:vAlign w:val="center"/>
                </w:tcPr>
                <w:p w14:paraId="44CBED62">
                  <w:pPr>
                    <w:widowControl w:val="0"/>
                    <w:overflowPunct w:val="0"/>
                    <w:autoSpaceDE w:val="0"/>
                    <w:autoSpaceDN w:val="0"/>
                    <w:snapToGrid w:val="0"/>
                    <w:jc w:val="center"/>
                    <w:rPr>
                      <w:color w:val="auto"/>
                      <w14:ligatures w14:val="standardContextual"/>
                    </w:rPr>
                  </w:pPr>
                  <w:r>
                    <w:rPr>
                      <w:rFonts w:hint="eastAsia"/>
                      <w:color w:val="auto"/>
                      <w14:ligatures w14:val="standardContextual"/>
                    </w:rPr>
                    <w:t>SS</w:t>
                  </w:r>
                </w:p>
              </w:tc>
              <w:tc>
                <w:tcPr>
                  <w:tcW w:w="2131" w:type="pct"/>
                  <w:vMerge w:val="continue"/>
                  <w:vAlign w:val="center"/>
                </w:tcPr>
                <w:p w14:paraId="5E5EADFA">
                  <w:pPr>
                    <w:widowControl w:val="0"/>
                    <w:overflowPunct w:val="0"/>
                    <w:autoSpaceDE w:val="0"/>
                    <w:autoSpaceDN w:val="0"/>
                    <w:snapToGrid w:val="0"/>
                    <w:jc w:val="center"/>
                    <w:rPr>
                      <w:color w:val="auto"/>
                      <w14:ligatures w14:val="standardContextual"/>
                    </w:rPr>
                  </w:pPr>
                </w:p>
              </w:tc>
            </w:tr>
            <w:tr w14:paraId="3C0270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1726" w:type="pct"/>
                  <w:vAlign w:val="center"/>
                </w:tcPr>
                <w:p w14:paraId="392FC543">
                  <w:pPr>
                    <w:widowControl w:val="0"/>
                    <w:overflowPunct w:val="0"/>
                    <w:autoSpaceDE w:val="0"/>
                    <w:autoSpaceDN w:val="0"/>
                    <w:snapToGrid w:val="0"/>
                    <w:jc w:val="center"/>
                    <w:rPr>
                      <w:color w:val="auto"/>
                      <w14:ligatures w14:val="standardContextual"/>
                    </w:rPr>
                  </w:pPr>
                  <w:r>
                    <w:rPr>
                      <w:rFonts w:hint="eastAsia"/>
                      <w:color w:val="auto"/>
                      <w14:ligatures w14:val="standardContextual"/>
                    </w:rPr>
                    <w:t>相应管道、暗渠等</w:t>
                  </w:r>
                </w:p>
              </w:tc>
              <w:tc>
                <w:tcPr>
                  <w:tcW w:w="1143" w:type="pct"/>
                  <w:vAlign w:val="center"/>
                </w:tcPr>
                <w:p w14:paraId="78AF7F37">
                  <w:pPr>
                    <w:widowControl w:val="0"/>
                    <w:overflowPunct w:val="0"/>
                    <w:autoSpaceDE w:val="0"/>
                    <w:autoSpaceDN w:val="0"/>
                    <w:snapToGrid w:val="0"/>
                    <w:jc w:val="center"/>
                    <w:rPr>
                      <w:color w:val="auto"/>
                      <w14:ligatures w14:val="standardContextual"/>
                    </w:rPr>
                  </w:pPr>
                  <w:r>
                    <w:rPr>
                      <w:color w:val="auto"/>
                      <w14:ligatures w14:val="standardContextual"/>
                    </w:rPr>
                    <w:t>氨氮</w:t>
                  </w:r>
                  <w:r>
                    <w:rPr>
                      <w:rFonts w:hint="eastAsia"/>
                      <w:color w:val="auto"/>
                      <w14:ligatures w14:val="standardContextual"/>
                    </w:rPr>
                    <w:t>、SS等</w:t>
                  </w:r>
                </w:p>
              </w:tc>
              <w:tc>
                <w:tcPr>
                  <w:tcW w:w="2131" w:type="pct"/>
                  <w:vMerge w:val="continue"/>
                  <w:vAlign w:val="center"/>
                </w:tcPr>
                <w:p w14:paraId="7FB0660D">
                  <w:pPr>
                    <w:widowControl w:val="0"/>
                    <w:overflowPunct w:val="0"/>
                    <w:autoSpaceDE w:val="0"/>
                    <w:autoSpaceDN w:val="0"/>
                    <w:snapToGrid w:val="0"/>
                    <w:jc w:val="center"/>
                    <w:rPr>
                      <w:color w:val="auto"/>
                      <w14:ligatures w14:val="standardContextual"/>
                    </w:rPr>
                  </w:pPr>
                </w:p>
              </w:tc>
            </w:tr>
          </w:tbl>
          <w:p w14:paraId="43BED732">
            <w:pPr>
              <w:pStyle w:val="3"/>
              <w:ind w:firstLine="482"/>
              <w:rPr>
                <w:b/>
                <w:bCs/>
                <w:color w:val="auto"/>
              </w:rPr>
            </w:pPr>
            <w:r>
              <w:rPr>
                <w:rFonts w:hint="eastAsia"/>
                <w:b/>
                <w:bCs/>
                <w:color w:val="auto"/>
              </w:rPr>
              <w:t>3、地下水、土壤污染防控措施</w:t>
            </w:r>
          </w:p>
          <w:p w14:paraId="0C542C33">
            <w:pPr>
              <w:pStyle w:val="3"/>
              <w:ind w:firstLine="480"/>
              <w:rPr>
                <w:color w:val="auto"/>
              </w:rPr>
            </w:pPr>
            <w:r>
              <w:rPr>
                <w:rFonts w:hint="eastAsia"/>
                <w:color w:val="auto"/>
              </w:rPr>
              <w:t>项目地下水污染防治措施按照“源头控制、分区防治、污染监控、应急响应”相结合的原则，从污染物的产生、入渗、扩散、应急响应进行控制。</w:t>
            </w:r>
          </w:p>
          <w:p w14:paraId="14304AB7">
            <w:pPr>
              <w:pStyle w:val="3"/>
              <w:ind w:firstLine="480"/>
              <w:rPr>
                <w:color w:val="auto"/>
              </w:rPr>
            </w:pPr>
            <w:r>
              <w:rPr>
                <w:rFonts w:hint="eastAsia"/>
                <w:color w:val="auto"/>
              </w:rPr>
              <w:t>源头控制措施：严格按照国家相关规范要求，对工艺、管道、设备、构筑物采取相应的措施，以防止和降低可能污染物的跑、冒、滴、漏，将废水泄漏的环境风险事故降低到最低程度，定期检查以减少由于埋地管道泄漏而可能造成的地下水污染。对水池、管线进行定期检查，重点防渗区，每天检查一次，一般防渗区，每星期检查一次，及时发现，及时处理。</w:t>
            </w:r>
          </w:p>
          <w:p w14:paraId="1BAF0C13">
            <w:pPr>
              <w:pStyle w:val="3"/>
              <w:ind w:firstLine="480"/>
              <w:rPr>
                <w:color w:val="auto"/>
              </w:rPr>
            </w:pPr>
            <w:r>
              <w:rPr>
                <w:rFonts w:hint="eastAsia"/>
                <w:color w:val="auto"/>
              </w:rPr>
              <w:t>进行质量体系认证，实现“质量、安全、环境”三位一体的全面质量管理目标。建立有关规章制度和岗位责任制。制定风险预警方案，设立应急设施减少环境污染影响。</w:t>
            </w:r>
          </w:p>
          <w:p w14:paraId="256EF438">
            <w:pPr>
              <w:pStyle w:val="3"/>
              <w:ind w:firstLine="480"/>
              <w:rPr>
                <w:color w:val="auto"/>
              </w:rPr>
            </w:pPr>
            <w:r>
              <w:rPr>
                <w:rFonts w:hint="eastAsia"/>
                <w:color w:val="auto"/>
              </w:rPr>
              <w:t>分区控制措施：对可能泄漏污染物的地面进行防渗处理，可有效防治污染物渗入地下。</w:t>
            </w:r>
          </w:p>
          <w:p w14:paraId="2C9BCE7A">
            <w:pPr>
              <w:pStyle w:val="3"/>
              <w:ind w:firstLine="480"/>
              <w:rPr>
                <w:color w:val="auto"/>
              </w:rPr>
            </w:pPr>
            <w:r>
              <w:rPr>
                <w:rFonts w:hint="eastAsia"/>
                <w:color w:val="auto"/>
              </w:rPr>
              <w:t>根据各生产功能单元可能泄漏至地面区域的污染物性质和生产单元的构筑方式，划分为重点污染防治区、一般污染防治区和非污染防治区。</w:t>
            </w:r>
          </w:p>
          <w:p w14:paraId="704CF8C2">
            <w:pPr>
              <w:pStyle w:val="3"/>
              <w:ind w:firstLine="480"/>
              <w:rPr>
                <w:color w:val="auto"/>
              </w:rPr>
            </w:pPr>
            <w:r>
              <w:rPr>
                <w:rFonts w:hint="eastAsia"/>
                <w:color w:val="auto"/>
              </w:rPr>
              <w:t>重点防渗区：是指事故风险危险区、位于地下或者半地下的生产功能单元，污染地下水环境的污染物泄漏后不容易被及时发现和处理的区域或部位。本项目不设置重点防渗区域。</w:t>
            </w:r>
          </w:p>
          <w:p w14:paraId="53F00D88">
            <w:pPr>
              <w:pStyle w:val="3"/>
              <w:ind w:firstLine="480"/>
              <w:rPr>
                <w:color w:val="auto"/>
              </w:rPr>
            </w:pPr>
            <w:r>
              <w:rPr>
                <w:rFonts w:hint="eastAsia"/>
                <w:color w:val="auto"/>
              </w:rPr>
              <w:t>一般防渗区：一般污染防治区指对地下水环境有污染的物料或污染物泄漏后，可及时发现和处理的区域或部位。本项目洗车平台及其配套沉淀池及相应的雨污管道、暗渠等为一般防渗区。</w:t>
            </w:r>
          </w:p>
          <w:p w14:paraId="0D9F7338">
            <w:pPr>
              <w:pStyle w:val="3"/>
              <w:ind w:firstLine="480"/>
              <w:rPr>
                <w:color w:val="auto"/>
              </w:rPr>
            </w:pPr>
            <w:r>
              <w:rPr>
                <w:rFonts w:hint="eastAsia"/>
                <w:color w:val="auto"/>
              </w:rPr>
              <w:t>本项目所有池体、管道、暗渠均执行一般防渗要求，满足《环境影响评价技术导则 地下水环境》（HJ610-2016）中防渗技术要求。</w:t>
            </w:r>
          </w:p>
          <w:p w14:paraId="523A4CD6">
            <w:pPr>
              <w:pStyle w:val="49"/>
              <w:rPr>
                <w:color w:val="auto"/>
              </w:rPr>
            </w:pPr>
            <w:r>
              <w:rPr>
                <w:rFonts w:hint="eastAsia"/>
                <w:color w:val="auto"/>
              </w:rPr>
              <w:t xml:space="preserve">表4- </w:t>
            </w:r>
            <w:r>
              <w:rPr>
                <w:color w:val="auto"/>
              </w:rPr>
              <w:t>19</w:t>
            </w:r>
            <w:r>
              <w:rPr>
                <w:rFonts w:hint="eastAsia"/>
                <w:color w:val="auto"/>
              </w:rPr>
              <w:t>：项目厂区划分及防渗等级一览表</w:t>
            </w:r>
          </w:p>
          <w:tbl>
            <w:tblPr>
              <w:tblStyle w:val="50"/>
              <w:tblW w:w="7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334"/>
              <w:gridCol w:w="1982"/>
              <w:gridCol w:w="4622"/>
            </w:tblGrid>
            <w:tr w14:paraId="6F47B4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76" w:hRule="atLeast"/>
                <w:jc w:val="center"/>
              </w:trPr>
              <w:tc>
                <w:tcPr>
                  <w:tcW w:w="1334"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21A2977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lang w:bidi="ar"/>
                      <w14:ligatures w14:val="standardContextual"/>
                    </w:rPr>
                    <w:t>防治分区</w:t>
                  </w:r>
                </w:p>
              </w:tc>
              <w:tc>
                <w:tcPr>
                  <w:tcW w:w="1982"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599956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lang w:bidi="ar"/>
                      <w14:ligatures w14:val="standardContextual"/>
                    </w:rPr>
                    <w:t>工作区</w:t>
                  </w:r>
                </w:p>
              </w:tc>
              <w:tc>
                <w:tcPr>
                  <w:tcW w:w="4622" w:type="dxa"/>
                  <w:tcBorders>
                    <w:top w:val="single" w:color="auto" w:sz="12" w:space="0"/>
                    <w:bottom w:val="single" w:color="auto" w:sz="12" w:space="0"/>
                    <w:right w:val="nil"/>
                    <w:insideH w:val="single" w:sz="12" w:space="0"/>
                    <w:insideV w:val="single" w:sz="4" w:space="0"/>
                    <w:tl2br w:val="nil"/>
                    <w:tr2bl w:val="nil"/>
                  </w:tcBorders>
                  <w:vAlign w:val="center"/>
                </w:tcPr>
                <w:p w14:paraId="2004B2A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lang w:bidi="ar"/>
                      <w14:ligatures w14:val="standardContextual"/>
                    </w:rPr>
                    <w:t>防渗技术要求</w:t>
                  </w:r>
                </w:p>
              </w:tc>
            </w:tr>
            <w:tr w14:paraId="5AC951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1334" w:type="dxa"/>
                  <w:vAlign w:val="center"/>
                </w:tcPr>
                <w:p w14:paraId="2CE72C71">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重点防渗区</w:t>
                  </w:r>
                </w:p>
              </w:tc>
              <w:tc>
                <w:tcPr>
                  <w:tcW w:w="1982" w:type="dxa"/>
                  <w:vAlign w:val="center"/>
                </w:tcPr>
                <w:p w14:paraId="3BA0B801">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无</w:t>
                  </w:r>
                </w:p>
              </w:tc>
              <w:tc>
                <w:tcPr>
                  <w:tcW w:w="4622" w:type="dxa"/>
                  <w:vAlign w:val="center"/>
                </w:tcPr>
                <w:p w14:paraId="1B3852B3">
                  <w:pPr>
                    <w:widowControl w:val="0"/>
                    <w:overflowPunct w:val="0"/>
                    <w:autoSpaceDE w:val="0"/>
                    <w:autoSpaceDN w:val="0"/>
                    <w:snapToGrid w:val="0"/>
                    <w:jc w:val="center"/>
                    <w:rPr>
                      <w:color w:val="auto"/>
                      <w14:ligatures w14:val="standardContextual"/>
                    </w:rPr>
                  </w:pPr>
                  <w:r>
                    <w:rPr>
                      <w:color w:val="auto"/>
                      <w:lang w:bidi="ar"/>
                      <w14:ligatures w14:val="standardContextual"/>
                    </w:rPr>
                    <w:t>等效黏土防渗层厚≥6.0m，要求渗透系数≤1.0×10</w:t>
                  </w:r>
                  <w:r>
                    <w:rPr>
                      <w:color w:val="auto"/>
                      <w:vertAlign w:val="superscript"/>
                      <w:lang w:bidi="ar"/>
                      <w14:ligatures w14:val="standardContextual"/>
                    </w:rPr>
                    <w:t>-7</w:t>
                  </w:r>
                  <w:r>
                    <w:rPr>
                      <w:color w:val="auto"/>
                      <w:lang w:bidi="ar"/>
                      <w14:ligatures w14:val="standardContextual"/>
                    </w:rPr>
                    <w:t>cm/s，或者参考GB18598执行；</w:t>
                  </w:r>
                </w:p>
              </w:tc>
            </w:tr>
            <w:tr w14:paraId="6A7CD7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76" w:hRule="atLeast"/>
                <w:jc w:val="center"/>
              </w:trPr>
              <w:tc>
                <w:tcPr>
                  <w:tcW w:w="1334" w:type="dxa"/>
                  <w:vMerge w:val="restart"/>
                  <w:vAlign w:val="center"/>
                </w:tcPr>
                <w:p w14:paraId="21AD665F">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一般防渗区</w:t>
                  </w:r>
                </w:p>
              </w:tc>
              <w:tc>
                <w:tcPr>
                  <w:tcW w:w="1982" w:type="dxa"/>
                  <w:vAlign w:val="center"/>
                </w:tcPr>
                <w:p w14:paraId="143D16A4">
                  <w:pPr>
                    <w:widowControl w:val="0"/>
                    <w:overflowPunct w:val="0"/>
                    <w:autoSpaceDE w:val="0"/>
                    <w:autoSpaceDN w:val="0"/>
                    <w:snapToGrid w:val="0"/>
                    <w:jc w:val="center"/>
                    <w:rPr>
                      <w:color w:val="auto"/>
                      <w14:ligatures w14:val="standardContextual"/>
                    </w:rPr>
                  </w:pPr>
                  <w:r>
                    <w:rPr>
                      <w:rFonts w:hint="eastAsia"/>
                      <w:b/>
                      <w:bCs/>
                      <w:color w:val="auto"/>
                      <w14:ligatures w14:val="standardContextual"/>
                    </w:rPr>
                    <w:t>地埋式一体化污水处理设施</w:t>
                  </w:r>
                </w:p>
              </w:tc>
              <w:tc>
                <w:tcPr>
                  <w:tcW w:w="4622" w:type="dxa"/>
                  <w:vMerge w:val="restart"/>
                  <w:vAlign w:val="center"/>
                </w:tcPr>
                <w:p w14:paraId="6750DE44">
                  <w:pPr>
                    <w:widowControl w:val="0"/>
                    <w:overflowPunct w:val="0"/>
                    <w:autoSpaceDE w:val="0"/>
                    <w:autoSpaceDN w:val="0"/>
                    <w:snapToGrid w:val="0"/>
                    <w:jc w:val="center"/>
                    <w:rPr>
                      <w:color w:val="auto"/>
                      <w:lang w:bidi="ar"/>
                      <w14:ligatures w14:val="standardContextual"/>
                    </w:rPr>
                  </w:pPr>
                  <w:r>
                    <w:rPr>
                      <w:rFonts w:hint="eastAsia"/>
                      <w:color w:val="auto"/>
                      <w:lang w:bidi="ar"/>
                      <w14:ligatures w14:val="standardContextual"/>
                    </w:rPr>
                    <w:t>采取水泥硬化并进行防渗处理，等效黏土防渗层厚</w:t>
                  </w:r>
                  <w:r>
                    <w:rPr>
                      <w:color w:val="auto"/>
                      <w:lang w:bidi="ar"/>
                      <w14:ligatures w14:val="standardContextual"/>
                    </w:rPr>
                    <w:t>≥1.5m</w:t>
                  </w:r>
                  <w:r>
                    <w:rPr>
                      <w:rFonts w:hint="eastAsia"/>
                      <w:color w:val="auto"/>
                      <w:lang w:bidi="ar"/>
                      <w14:ligatures w14:val="standardContextual"/>
                    </w:rPr>
                    <w:t>，渗透系数</w:t>
                  </w:r>
                  <w:r>
                    <w:rPr>
                      <w:color w:val="auto"/>
                      <w:lang w:bidi="ar"/>
                      <w14:ligatures w14:val="standardContextual"/>
                    </w:rPr>
                    <w:t>≤1.0×10</w:t>
                  </w:r>
                  <w:r>
                    <w:rPr>
                      <w:color w:val="auto"/>
                      <w:vertAlign w:val="superscript"/>
                      <w:lang w:bidi="ar"/>
                      <w14:ligatures w14:val="standardContextual"/>
                    </w:rPr>
                    <w:t>-7</w:t>
                  </w:r>
                  <w:r>
                    <w:rPr>
                      <w:color w:val="auto"/>
                      <w:lang w:bidi="ar"/>
                      <w14:ligatures w14:val="standardContextual"/>
                    </w:rPr>
                    <w:t>cm/s</w:t>
                  </w:r>
                  <w:r>
                    <w:rPr>
                      <w:rFonts w:hint="eastAsia"/>
                      <w:color w:val="auto"/>
                      <w:lang w:bidi="ar"/>
                      <w14:ligatures w14:val="standardContextual"/>
                    </w:rPr>
                    <w:t>，或参照GB16889</w:t>
                  </w:r>
                </w:p>
                <w:p w14:paraId="069A5A0A">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执行</w:t>
                  </w:r>
                </w:p>
              </w:tc>
            </w:tr>
            <w:tr w14:paraId="724158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82" w:hRule="atLeast"/>
                <w:jc w:val="center"/>
              </w:trPr>
              <w:tc>
                <w:tcPr>
                  <w:tcW w:w="1334" w:type="dxa"/>
                  <w:vMerge w:val="continue"/>
                  <w:vAlign w:val="center"/>
                </w:tcPr>
                <w:p w14:paraId="5265EC40">
                  <w:pPr>
                    <w:widowControl w:val="0"/>
                    <w:overflowPunct w:val="0"/>
                    <w:autoSpaceDE w:val="0"/>
                    <w:autoSpaceDN w:val="0"/>
                    <w:snapToGrid w:val="0"/>
                    <w:jc w:val="center"/>
                    <w:rPr>
                      <w:color w:val="auto"/>
                      <w:lang w:bidi="ar"/>
                      <w14:ligatures w14:val="standardContextual"/>
                    </w:rPr>
                  </w:pPr>
                </w:p>
              </w:tc>
              <w:tc>
                <w:tcPr>
                  <w:tcW w:w="1982" w:type="dxa"/>
                  <w:vAlign w:val="center"/>
                </w:tcPr>
                <w:p w14:paraId="2B253DA6">
                  <w:pPr>
                    <w:widowControl w:val="0"/>
                    <w:overflowPunct w:val="0"/>
                    <w:autoSpaceDE w:val="0"/>
                    <w:autoSpaceDN w:val="0"/>
                    <w:snapToGrid w:val="0"/>
                    <w:jc w:val="center"/>
                    <w:rPr>
                      <w:color w:val="auto"/>
                      <w:lang w:bidi="ar"/>
                      <w14:ligatures w14:val="standardContextual"/>
                    </w:rPr>
                  </w:pPr>
                  <w:r>
                    <w:rPr>
                      <w:rFonts w:hint="eastAsia"/>
                      <w:color w:val="auto"/>
                      <w:lang w:bidi="ar"/>
                      <w14:ligatures w14:val="standardContextual"/>
                    </w:rPr>
                    <w:t>洗车平台及其配套沉淀池、煤棚</w:t>
                  </w:r>
                </w:p>
              </w:tc>
              <w:tc>
                <w:tcPr>
                  <w:tcW w:w="4622" w:type="dxa"/>
                  <w:vMerge w:val="continue"/>
                  <w:vAlign w:val="center"/>
                </w:tcPr>
                <w:p w14:paraId="4EBAE072">
                  <w:pPr>
                    <w:widowControl w:val="0"/>
                    <w:overflowPunct w:val="0"/>
                    <w:autoSpaceDE w:val="0"/>
                    <w:autoSpaceDN w:val="0"/>
                    <w:snapToGrid w:val="0"/>
                    <w:jc w:val="center"/>
                    <w:rPr>
                      <w:color w:val="auto"/>
                      <w:lang w:bidi="ar"/>
                      <w14:ligatures w14:val="standardContextual"/>
                    </w:rPr>
                  </w:pPr>
                </w:p>
              </w:tc>
            </w:tr>
            <w:tr w14:paraId="7D0455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52" w:hRule="atLeast"/>
                <w:jc w:val="center"/>
              </w:trPr>
              <w:tc>
                <w:tcPr>
                  <w:tcW w:w="1334" w:type="dxa"/>
                  <w:vAlign w:val="center"/>
                </w:tcPr>
                <w:p w14:paraId="25B5BCCB">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简单防渗区</w:t>
                  </w:r>
                </w:p>
              </w:tc>
              <w:tc>
                <w:tcPr>
                  <w:tcW w:w="1982" w:type="dxa"/>
                  <w:vAlign w:val="center"/>
                </w:tcPr>
                <w:p w14:paraId="48186CF2">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门卫、厂区道路</w:t>
                  </w:r>
                </w:p>
              </w:tc>
              <w:tc>
                <w:tcPr>
                  <w:tcW w:w="4622" w:type="dxa"/>
                  <w:vAlign w:val="center"/>
                </w:tcPr>
                <w:p w14:paraId="6C185867">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一般地面硬化</w:t>
                  </w:r>
                </w:p>
              </w:tc>
            </w:tr>
          </w:tbl>
          <w:p w14:paraId="2A421061">
            <w:pPr>
              <w:pStyle w:val="3"/>
              <w:ind w:firstLine="480"/>
              <w:rPr>
                <w:color w:val="auto"/>
              </w:rPr>
            </w:pPr>
            <w:r>
              <w:rPr>
                <w:rFonts w:hint="eastAsia"/>
                <w:color w:val="auto"/>
              </w:rPr>
              <w:t>3）以防止区域地下水因项目建设而受到污染，本次评价建议如下</w:t>
            </w:r>
          </w:p>
          <w:p w14:paraId="437B20CB">
            <w:pPr>
              <w:pStyle w:val="3"/>
              <w:ind w:firstLine="480"/>
              <w:rPr>
                <w:color w:val="auto"/>
              </w:rPr>
            </w:pPr>
            <w:r>
              <w:rPr>
                <w:rFonts w:hint="eastAsia"/>
                <w:color w:val="auto"/>
              </w:rPr>
              <w:t>①防止污染物的跑冒滴漏，将污染物的泄漏环境事故降到最低限度；</w:t>
            </w:r>
          </w:p>
          <w:p w14:paraId="65A5F77E">
            <w:pPr>
              <w:pStyle w:val="3"/>
              <w:ind w:firstLine="480"/>
              <w:rPr>
                <w:color w:val="auto"/>
              </w:rPr>
            </w:pPr>
            <w:r>
              <w:rPr>
                <w:rFonts w:hint="eastAsia"/>
                <w:color w:val="auto"/>
              </w:rPr>
              <w:t>②定期进行检漏监测及检修。强化各相关工程的防渗，做好隐蔽工程记录，强化防渗工程的环境管理。</w:t>
            </w:r>
          </w:p>
          <w:p w14:paraId="2B147E42">
            <w:pPr>
              <w:pStyle w:val="3"/>
              <w:ind w:firstLine="480"/>
              <w:rPr>
                <w:color w:val="auto"/>
              </w:rPr>
            </w:pPr>
            <w:r>
              <w:rPr>
                <w:rFonts w:hint="eastAsia"/>
                <w:color w:val="auto"/>
              </w:rPr>
              <w:t>③应尽量防止泄漏，分区防渗，防止地下水污染。</w:t>
            </w:r>
          </w:p>
          <w:p w14:paraId="4C3C6984">
            <w:pPr>
              <w:pStyle w:val="3"/>
              <w:ind w:firstLine="480"/>
              <w:rPr>
                <w:color w:val="auto"/>
              </w:rPr>
            </w:pPr>
            <w:r>
              <w:rPr>
                <w:rFonts w:hint="eastAsia"/>
                <w:color w:val="auto"/>
              </w:rPr>
              <w:t>综合以上所述，若企业在管理方面严加管理，并配备必要的设施，则可以将项目建设及营运对地下水的污染可以减小到最低程度。</w:t>
            </w:r>
          </w:p>
          <w:p w14:paraId="5893DCE9">
            <w:pPr>
              <w:pStyle w:val="3"/>
              <w:ind w:firstLine="482"/>
              <w:rPr>
                <w:b/>
                <w:bCs/>
                <w:color w:val="auto"/>
              </w:rPr>
            </w:pPr>
            <w:r>
              <w:rPr>
                <w:rFonts w:hint="eastAsia"/>
                <w:b/>
                <w:bCs/>
                <w:color w:val="auto"/>
              </w:rPr>
              <w:t>4、地下水、土壤跟踪监测要求</w:t>
            </w:r>
          </w:p>
          <w:p w14:paraId="6BB3B096">
            <w:pPr>
              <w:pStyle w:val="3"/>
              <w:ind w:firstLine="480"/>
              <w:rPr>
                <w:color w:val="auto"/>
              </w:rPr>
            </w:pPr>
            <w:r>
              <w:rPr>
                <w:rFonts w:hint="eastAsia"/>
                <w:color w:val="auto"/>
              </w:rPr>
              <w:t>本项目可能产生地下水和土壤影响的各项途径均进行有效预防，在确保各项防渗措施得以落实，并加强维护和厂区环境管理的前提下，可有效控制项目产生的污染物下渗现象，避免污染地下水和土壤。根据HJ610-2016和HJ964-2018，本项目可不设置地下水和土壤跟踪监控点。</w:t>
            </w:r>
          </w:p>
          <w:p w14:paraId="2883D792">
            <w:pPr>
              <w:pStyle w:val="7"/>
              <w:rPr>
                <w:color w:val="auto"/>
              </w:rPr>
            </w:pPr>
            <w:r>
              <w:rPr>
                <w:rFonts w:hint="eastAsia"/>
                <w:color w:val="auto"/>
              </w:rPr>
              <w:t>六、生态</w:t>
            </w:r>
          </w:p>
          <w:p w14:paraId="2A0E2FC7">
            <w:pPr>
              <w:pStyle w:val="3"/>
              <w:ind w:firstLine="480"/>
              <w:rPr>
                <w:color w:val="auto"/>
              </w:rPr>
            </w:pPr>
            <w:r>
              <w:rPr>
                <w:rFonts w:hint="eastAsia"/>
                <w:color w:val="auto"/>
              </w:rPr>
              <w:t>本项目选址区以人工生态系统为主，项目对生态环境的影响主要体现在项目运营期。项目运营期，废气、废水污染物经处理后达标排放，且排放量较小，不会造成周围大气环境和地表水环境的恶化，故本项目的建设对生态环境影响较小。</w:t>
            </w:r>
          </w:p>
          <w:p w14:paraId="38029287">
            <w:pPr>
              <w:pStyle w:val="7"/>
              <w:rPr>
                <w:color w:val="auto"/>
              </w:rPr>
            </w:pPr>
            <w:r>
              <w:rPr>
                <w:rFonts w:hint="eastAsia"/>
                <w:color w:val="auto"/>
              </w:rPr>
              <w:t>七、环境风险</w:t>
            </w:r>
          </w:p>
          <w:p w14:paraId="32BB0FAF">
            <w:pPr>
              <w:pStyle w:val="3"/>
              <w:ind w:firstLine="480"/>
              <w:rPr>
                <w:color w:val="auto"/>
              </w:rPr>
            </w:pPr>
            <w:r>
              <w:rPr>
                <w:rFonts w:hint="eastAsia"/>
                <w:color w:val="auto"/>
              </w:rPr>
              <w:t>环境风险评价的目的是分析和预测项目存在的潜在危险、有害因素，项目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环境风险评价的工作重点是预测事故发生引起厂界外人群的伤害、环境质量的恶化。</w:t>
            </w:r>
          </w:p>
          <w:p w14:paraId="4D5577CD">
            <w:pPr>
              <w:pStyle w:val="3"/>
              <w:ind w:firstLine="480"/>
              <w:rPr>
                <w:color w:val="auto"/>
              </w:rPr>
            </w:pPr>
            <w:r>
              <w:rPr>
                <w:rFonts w:hint="eastAsia"/>
                <w:color w:val="auto"/>
              </w:rPr>
              <w:t>根据《建设项目环境风险评价技术导则》（HJ169-2018），并结合本项目实际运营情况，确定本项目环境风险评价应把事故引起厂界外人群的伤害、环境质量恶化的预测和防护作为评价工作重点。</w:t>
            </w:r>
          </w:p>
          <w:p w14:paraId="62E1DB65">
            <w:pPr>
              <w:pStyle w:val="3"/>
              <w:ind w:firstLine="482"/>
              <w:rPr>
                <w:b/>
                <w:bCs/>
                <w:color w:val="auto"/>
              </w:rPr>
            </w:pPr>
            <w:r>
              <w:rPr>
                <w:rFonts w:hint="eastAsia"/>
                <w:b/>
                <w:bCs/>
                <w:color w:val="auto"/>
              </w:rPr>
              <w:t>1、风险调查及分析</w:t>
            </w:r>
          </w:p>
          <w:p w14:paraId="0DAAAF6D">
            <w:pPr>
              <w:pStyle w:val="3"/>
              <w:ind w:firstLine="480"/>
              <w:rPr>
                <w:color w:val="auto"/>
              </w:rPr>
            </w:pPr>
            <w:r>
              <w:rPr>
                <w:rFonts w:hint="eastAsia"/>
                <w:color w:val="auto"/>
              </w:rPr>
              <w:t>本次环境风险源调查：危险物质数量和分布情况的风险调查指本项目所涉及的危险物质和危险废物及其贮存场所。</w:t>
            </w:r>
          </w:p>
          <w:p w14:paraId="62FBB98B">
            <w:pPr>
              <w:pStyle w:val="3"/>
              <w:ind w:firstLine="480"/>
              <w:rPr>
                <w:color w:val="auto"/>
              </w:rPr>
            </w:pPr>
            <w:r>
              <w:rPr>
                <w:rFonts w:hint="eastAsia"/>
                <w:color w:val="auto"/>
              </w:rPr>
              <w:t>根据《建设项目环境风险评价技术导则》（HJ169-2018）附录 B“突发环境事件风险物质及临界量清单”以及《企业突发环境事件风险分析方法》（HJ941-2018）内容，本项目不涉及风险物质，Q=0＜1，本项目环境风险潜势划分为Ⅰ级，环境风险评价仅做简单分析即可。</w:t>
            </w:r>
          </w:p>
          <w:p w14:paraId="71E4A7F2">
            <w:pPr>
              <w:pStyle w:val="3"/>
              <w:ind w:firstLine="482"/>
              <w:rPr>
                <w:b/>
                <w:bCs/>
                <w:color w:val="auto"/>
              </w:rPr>
            </w:pPr>
            <w:r>
              <w:rPr>
                <w:rFonts w:hint="eastAsia"/>
                <w:b/>
                <w:bCs/>
                <w:color w:val="auto"/>
              </w:rPr>
              <w:t>3、环境影响风险识别</w:t>
            </w:r>
          </w:p>
          <w:p w14:paraId="6C0BE5AC">
            <w:pPr>
              <w:pStyle w:val="3"/>
              <w:ind w:firstLine="480"/>
              <w:rPr>
                <w:color w:val="auto"/>
              </w:rPr>
            </w:pPr>
            <w:r>
              <w:rPr>
                <w:rFonts w:hint="eastAsia"/>
                <w:color w:val="auto"/>
              </w:rPr>
              <w:t>风险事故根据有毒有害物质的发生起因，分为火灾、爆炸和泄露三种类型。本项目不考虑自然灾害如地震、洪水、台风等引起的事故风险。具体表现如下：</w:t>
            </w:r>
          </w:p>
          <w:p w14:paraId="5E281073">
            <w:pPr>
              <w:pStyle w:val="49"/>
              <w:rPr>
                <w:color w:val="auto"/>
              </w:rPr>
            </w:pPr>
            <w:bookmarkStart w:id="41" w:name="_Ref176905772"/>
            <w:r>
              <w:rPr>
                <w:rFonts w:hint="eastAsia"/>
                <w:color w:val="auto"/>
              </w:rPr>
              <w:t xml:space="preserve">表4- </w:t>
            </w:r>
            <w:r>
              <w:rPr>
                <w:color w:val="auto"/>
              </w:rPr>
              <w:t>21</w:t>
            </w:r>
            <w:r>
              <w:rPr>
                <w:rFonts w:hint="eastAsia"/>
                <w:color w:val="auto"/>
              </w:rPr>
              <w:t>：风险影响途径识别表</w:t>
            </w:r>
            <w:bookmarkEnd w:id="41"/>
          </w:p>
          <w:tbl>
            <w:tblPr>
              <w:tblStyle w:val="5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366"/>
              <w:gridCol w:w="1227"/>
              <w:gridCol w:w="1024"/>
              <w:gridCol w:w="820"/>
              <w:gridCol w:w="942"/>
              <w:gridCol w:w="2014"/>
              <w:gridCol w:w="647"/>
              <w:gridCol w:w="903"/>
            </w:tblGrid>
            <w:tr w14:paraId="3F1AD8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66"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7A5EAC0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序号</w:t>
                  </w:r>
                </w:p>
              </w:tc>
              <w:tc>
                <w:tcPr>
                  <w:tcW w:w="1227"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CFB8E1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危险单元</w:t>
                  </w:r>
                </w:p>
              </w:tc>
              <w:tc>
                <w:tcPr>
                  <w:tcW w:w="1024"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987160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风险源</w:t>
                  </w:r>
                </w:p>
              </w:tc>
              <w:tc>
                <w:tcPr>
                  <w:tcW w:w="820"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E65905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主要危险物质</w:t>
                  </w:r>
                </w:p>
              </w:tc>
              <w:tc>
                <w:tcPr>
                  <w:tcW w:w="942"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95F4C9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环境风险类型</w:t>
                  </w:r>
                </w:p>
              </w:tc>
              <w:tc>
                <w:tcPr>
                  <w:tcW w:w="2014"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80B42A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环境风险途径</w:t>
                  </w:r>
                </w:p>
              </w:tc>
              <w:tc>
                <w:tcPr>
                  <w:tcW w:w="647"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30816A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伴生/次生污染物</w:t>
                  </w:r>
                </w:p>
              </w:tc>
              <w:tc>
                <w:tcPr>
                  <w:tcW w:w="903" w:type="dxa"/>
                  <w:tcBorders>
                    <w:top w:val="single" w:color="auto" w:sz="12" w:space="0"/>
                    <w:bottom w:val="single" w:color="auto" w:sz="12" w:space="0"/>
                    <w:right w:val="nil"/>
                    <w:insideH w:val="single" w:sz="12" w:space="0"/>
                    <w:insideV w:val="single" w:sz="4" w:space="0"/>
                    <w:tl2br w:val="nil"/>
                    <w:tr2bl w:val="nil"/>
                  </w:tcBorders>
                  <w:vAlign w:val="center"/>
                </w:tcPr>
                <w:p w14:paraId="185990F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14:ligatures w14:val="standardContextual"/>
                    </w:rPr>
                    <w:t>可能影响的环境敏感目标</w:t>
                  </w:r>
                </w:p>
              </w:tc>
            </w:tr>
            <w:tr w14:paraId="3CE4BB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66" w:type="dxa"/>
                  <w:vAlign w:val="center"/>
                </w:tcPr>
                <w:p w14:paraId="03FA1E1D">
                  <w:pPr>
                    <w:widowControl w:val="0"/>
                    <w:overflowPunct w:val="0"/>
                    <w:autoSpaceDE w:val="0"/>
                    <w:autoSpaceDN w:val="0"/>
                    <w:snapToGrid w:val="0"/>
                    <w:jc w:val="center"/>
                    <w:rPr>
                      <w:color w:val="auto"/>
                      <w14:ligatures w14:val="standardContextual"/>
                    </w:rPr>
                  </w:pPr>
                  <w:r>
                    <w:rPr>
                      <w:rFonts w:hint="eastAsia"/>
                      <w:color w:val="auto"/>
                      <w14:ligatures w14:val="standardContextual"/>
                    </w:rPr>
                    <w:t>1</w:t>
                  </w:r>
                </w:p>
              </w:tc>
              <w:tc>
                <w:tcPr>
                  <w:tcW w:w="1227" w:type="dxa"/>
                  <w:vAlign w:val="center"/>
                </w:tcPr>
                <w:p w14:paraId="2D61E247">
                  <w:pPr>
                    <w:widowControl w:val="0"/>
                    <w:overflowPunct w:val="0"/>
                    <w:autoSpaceDE w:val="0"/>
                    <w:autoSpaceDN w:val="0"/>
                    <w:snapToGrid w:val="0"/>
                    <w:jc w:val="center"/>
                    <w:rPr>
                      <w:color w:val="auto"/>
                      <w14:ligatures w14:val="standardContextual"/>
                    </w:rPr>
                  </w:pPr>
                  <w:r>
                    <w:rPr>
                      <w:rFonts w:hint="eastAsia"/>
                      <w:color w:val="auto"/>
                      <w14:ligatures w14:val="standardContextual"/>
                    </w:rPr>
                    <w:t>洗车平台及其配套沉淀池</w:t>
                  </w:r>
                </w:p>
              </w:tc>
              <w:tc>
                <w:tcPr>
                  <w:tcW w:w="1024" w:type="dxa"/>
                  <w:vAlign w:val="center"/>
                </w:tcPr>
                <w:p w14:paraId="1F3289EC">
                  <w:pPr>
                    <w:widowControl w:val="0"/>
                    <w:overflowPunct w:val="0"/>
                    <w:autoSpaceDE w:val="0"/>
                    <w:autoSpaceDN w:val="0"/>
                    <w:snapToGrid w:val="0"/>
                    <w:jc w:val="center"/>
                    <w:rPr>
                      <w:color w:val="auto"/>
                      <w14:ligatures w14:val="standardContextual"/>
                    </w:rPr>
                  </w:pPr>
                  <w:r>
                    <w:rPr>
                      <w:rFonts w:hint="eastAsia"/>
                      <w:color w:val="auto"/>
                      <w14:ligatures w14:val="standardContextual"/>
                    </w:rPr>
                    <w:t>事故废水</w:t>
                  </w:r>
                </w:p>
              </w:tc>
              <w:tc>
                <w:tcPr>
                  <w:tcW w:w="820" w:type="dxa"/>
                  <w:vAlign w:val="center"/>
                </w:tcPr>
                <w:p w14:paraId="70E1EB30">
                  <w:pPr>
                    <w:widowControl w:val="0"/>
                    <w:overflowPunct w:val="0"/>
                    <w:autoSpaceDE w:val="0"/>
                    <w:autoSpaceDN w:val="0"/>
                    <w:snapToGrid w:val="0"/>
                    <w:jc w:val="center"/>
                    <w:rPr>
                      <w:color w:val="auto"/>
                      <w14:ligatures w14:val="standardContextual"/>
                    </w:rPr>
                  </w:pPr>
                  <w:r>
                    <w:rPr>
                      <w:rFonts w:hint="eastAsia"/>
                      <w:color w:val="auto"/>
                      <w14:ligatures w14:val="standardContextual"/>
                    </w:rPr>
                    <w:t>COD、氨氮、石油类等</w:t>
                  </w:r>
                </w:p>
              </w:tc>
              <w:tc>
                <w:tcPr>
                  <w:tcW w:w="942" w:type="dxa"/>
                  <w:vAlign w:val="center"/>
                </w:tcPr>
                <w:p w14:paraId="26088314">
                  <w:pPr>
                    <w:widowControl w:val="0"/>
                    <w:overflowPunct w:val="0"/>
                    <w:autoSpaceDE w:val="0"/>
                    <w:autoSpaceDN w:val="0"/>
                    <w:snapToGrid w:val="0"/>
                    <w:jc w:val="center"/>
                    <w:rPr>
                      <w:color w:val="auto"/>
                      <w14:ligatures w14:val="standardContextual"/>
                    </w:rPr>
                  </w:pPr>
                  <w:r>
                    <w:rPr>
                      <w:rFonts w:hint="eastAsia"/>
                      <w:color w:val="auto"/>
                      <w14:ligatures w14:val="standardContextual"/>
                    </w:rPr>
                    <w:t>地下水水、土壤环境污染</w:t>
                  </w:r>
                </w:p>
              </w:tc>
              <w:tc>
                <w:tcPr>
                  <w:tcW w:w="2014" w:type="dxa"/>
                  <w:vAlign w:val="center"/>
                </w:tcPr>
                <w:p w14:paraId="2F996CCF">
                  <w:pPr>
                    <w:widowControl w:val="0"/>
                    <w:overflowPunct w:val="0"/>
                    <w:autoSpaceDE w:val="0"/>
                    <w:autoSpaceDN w:val="0"/>
                    <w:snapToGrid w:val="0"/>
                    <w:jc w:val="center"/>
                    <w:rPr>
                      <w:color w:val="auto"/>
                      <w14:ligatures w14:val="standardContextual"/>
                    </w:rPr>
                  </w:pPr>
                  <w:r>
                    <w:rPr>
                      <w:rFonts w:hint="eastAsia"/>
                      <w:color w:val="auto"/>
                      <w14:ligatures w14:val="standardContextual"/>
                    </w:rPr>
                    <w:t>入渗地下土壤的风险，造成水体、土壤污染。</w:t>
                  </w:r>
                </w:p>
              </w:tc>
              <w:tc>
                <w:tcPr>
                  <w:tcW w:w="647" w:type="dxa"/>
                  <w:vAlign w:val="center"/>
                </w:tcPr>
                <w:p w14:paraId="2BF0132C">
                  <w:pPr>
                    <w:widowControl w:val="0"/>
                    <w:overflowPunct w:val="0"/>
                    <w:autoSpaceDE w:val="0"/>
                    <w:autoSpaceDN w:val="0"/>
                    <w:snapToGrid w:val="0"/>
                    <w:jc w:val="center"/>
                    <w:rPr>
                      <w:color w:val="auto"/>
                      <w14:ligatures w14:val="standardContextual"/>
                    </w:rPr>
                  </w:pPr>
                  <w:r>
                    <w:rPr>
                      <w:rFonts w:hint="eastAsia"/>
                      <w:color w:val="auto"/>
                      <w14:ligatures w14:val="standardContextual"/>
                    </w:rPr>
                    <w:t>无</w:t>
                  </w:r>
                </w:p>
              </w:tc>
              <w:tc>
                <w:tcPr>
                  <w:tcW w:w="903" w:type="dxa"/>
                  <w:vAlign w:val="center"/>
                </w:tcPr>
                <w:p w14:paraId="341C4DE3">
                  <w:pPr>
                    <w:widowControl w:val="0"/>
                    <w:overflowPunct w:val="0"/>
                    <w:autoSpaceDE w:val="0"/>
                    <w:autoSpaceDN w:val="0"/>
                    <w:snapToGrid w:val="0"/>
                    <w:jc w:val="center"/>
                    <w:rPr>
                      <w:color w:val="auto"/>
                      <w14:ligatures w14:val="standardContextual"/>
                    </w:rPr>
                  </w:pPr>
                  <w:r>
                    <w:rPr>
                      <w:rFonts w:hint="eastAsia"/>
                      <w:color w:val="auto"/>
                      <w14:ligatures w14:val="standardContextual"/>
                    </w:rPr>
                    <w:t>周边土壤、地下水</w:t>
                  </w:r>
                </w:p>
              </w:tc>
            </w:tr>
            <w:tr w14:paraId="199F37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366" w:type="dxa"/>
                  <w:vAlign w:val="center"/>
                </w:tcPr>
                <w:p w14:paraId="3382DC9B">
                  <w:pPr>
                    <w:widowControl w:val="0"/>
                    <w:overflowPunct w:val="0"/>
                    <w:autoSpaceDE w:val="0"/>
                    <w:autoSpaceDN w:val="0"/>
                    <w:snapToGrid w:val="0"/>
                    <w:jc w:val="center"/>
                    <w:rPr>
                      <w:color w:val="auto"/>
                      <w14:ligatures w14:val="standardContextual"/>
                    </w:rPr>
                  </w:pPr>
                  <w:r>
                    <w:rPr>
                      <w:rFonts w:hint="eastAsia"/>
                      <w:color w:val="auto"/>
                      <w14:ligatures w14:val="standardContextual"/>
                    </w:rPr>
                    <w:t>2</w:t>
                  </w:r>
                </w:p>
              </w:tc>
              <w:tc>
                <w:tcPr>
                  <w:tcW w:w="1227" w:type="dxa"/>
                  <w:vAlign w:val="center"/>
                </w:tcPr>
                <w:p w14:paraId="3E55FA61">
                  <w:pPr>
                    <w:widowControl w:val="0"/>
                    <w:overflowPunct w:val="0"/>
                    <w:autoSpaceDE w:val="0"/>
                    <w:autoSpaceDN w:val="0"/>
                    <w:snapToGrid w:val="0"/>
                    <w:jc w:val="center"/>
                    <w:rPr>
                      <w:color w:val="auto"/>
                      <w14:ligatures w14:val="standardContextual"/>
                    </w:rPr>
                  </w:pPr>
                  <w:r>
                    <w:rPr>
                      <w:rFonts w:hint="eastAsia"/>
                      <w:color w:val="auto"/>
                      <w14:ligatures w14:val="standardContextual"/>
                    </w:rPr>
                    <w:t>煤棚</w:t>
                  </w:r>
                </w:p>
              </w:tc>
              <w:tc>
                <w:tcPr>
                  <w:tcW w:w="1024" w:type="dxa"/>
                  <w:vAlign w:val="center"/>
                </w:tcPr>
                <w:p w14:paraId="03732D70">
                  <w:pPr>
                    <w:widowControl w:val="0"/>
                    <w:overflowPunct w:val="0"/>
                    <w:autoSpaceDE w:val="0"/>
                    <w:autoSpaceDN w:val="0"/>
                    <w:snapToGrid w:val="0"/>
                    <w:jc w:val="center"/>
                    <w:rPr>
                      <w:color w:val="auto"/>
                      <w14:ligatures w14:val="standardContextual"/>
                    </w:rPr>
                  </w:pPr>
                  <w:r>
                    <w:rPr>
                      <w:rFonts w:hint="eastAsia"/>
                      <w:color w:val="auto"/>
                      <w14:ligatures w14:val="standardContextual"/>
                    </w:rPr>
                    <w:t>煤堆自燃</w:t>
                  </w:r>
                </w:p>
              </w:tc>
              <w:tc>
                <w:tcPr>
                  <w:tcW w:w="820" w:type="dxa"/>
                  <w:vAlign w:val="center"/>
                </w:tcPr>
                <w:p w14:paraId="74A2DF20">
                  <w:pPr>
                    <w:widowControl w:val="0"/>
                    <w:overflowPunct w:val="0"/>
                    <w:autoSpaceDE w:val="0"/>
                    <w:autoSpaceDN w:val="0"/>
                    <w:snapToGrid w:val="0"/>
                    <w:jc w:val="center"/>
                    <w:rPr>
                      <w:color w:val="auto"/>
                      <w14:ligatures w14:val="standardContextual"/>
                    </w:rPr>
                  </w:pPr>
                  <w:r>
                    <w:rPr>
                      <w:rFonts w:hint="eastAsia"/>
                      <w:color w:val="auto"/>
                      <w14:ligatures w14:val="standardContextual"/>
                    </w:rPr>
                    <w:t>SO2、NOx</w:t>
                  </w:r>
                </w:p>
              </w:tc>
              <w:tc>
                <w:tcPr>
                  <w:tcW w:w="942" w:type="dxa"/>
                  <w:vAlign w:val="center"/>
                </w:tcPr>
                <w:p w14:paraId="2756CCBB">
                  <w:pPr>
                    <w:widowControl w:val="0"/>
                    <w:overflowPunct w:val="0"/>
                    <w:autoSpaceDE w:val="0"/>
                    <w:autoSpaceDN w:val="0"/>
                    <w:snapToGrid w:val="0"/>
                    <w:jc w:val="center"/>
                    <w:rPr>
                      <w:color w:val="auto"/>
                      <w14:ligatures w14:val="standardContextual"/>
                    </w:rPr>
                  </w:pPr>
                  <w:r>
                    <w:rPr>
                      <w:rFonts w:hint="eastAsia"/>
                      <w:color w:val="auto"/>
                      <w14:ligatures w14:val="standardContextual"/>
                    </w:rPr>
                    <w:t>环境空气</w:t>
                  </w:r>
                </w:p>
              </w:tc>
              <w:tc>
                <w:tcPr>
                  <w:tcW w:w="2014" w:type="dxa"/>
                  <w:vAlign w:val="center"/>
                </w:tcPr>
                <w:p w14:paraId="47F8F062">
                  <w:pPr>
                    <w:widowControl w:val="0"/>
                    <w:overflowPunct w:val="0"/>
                    <w:autoSpaceDE w:val="0"/>
                    <w:autoSpaceDN w:val="0"/>
                    <w:snapToGrid w:val="0"/>
                    <w:jc w:val="center"/>
                    <w:rPr>
                      <w:color w:val="auto"/>
                      <w14:ligatures w14:val="standardContextual"/>
                    </w:rPr>
                  </w:pPr>
                  <w:r>
                    <w:rPr>
                      <w:rFonts w:hint="eastAsia"/>
                      <w:color w:val="auto"/>
                      <w14:ligatures w14:val="standardContextual"/>
                    </w:rPr>
                    <w:t>煤炭燃烧废气，对大气环境产生一定的影响</w:t>
                  </w:r>
                </w:p>
              </w:tc>
              <w:tc>
                <w:tcPr>
                  <w:tcW w:w="647" w:type="dxa"/>
                  <w:vAlign w:val="center"/>
                </w:tcPr>
                <w:p w14:paraId="342AC043">
                  <w:pPr>
                    <w:widowControl w:val="0"/>
                    <w:overflowPunct w:val="0"/>
                    <w:autoSpaceDE w:val="0"/>
                    <w:autoSpaceDN w:val="0"/>
                    <w:snapToGrid w:val="0"/>
                    <w:jc w:val="center"/>
                    <w:rPr>
                      <w:color w:val="auto"/>
                      <w14:ligatures w14:val="standardContextual"/>
                    </w:rPr>
                  </w:pPr>
                  <w:r>
                    <w:rPr>
                      <w:rFonts w:hint="eastAsia"/>
                      <w:color w:val="auto"/>
                      <w14:ligatures w14:val="standardContextual"/>
                    </w:rPr>
                    <w:t>CO</w:t>
                  </w:r>
                </w:p>
              </w:tc>
              <w:tc>
                <w:tcPr>
                  <w:tcW w:w="903" w:type="dxa"/>
                  <w:vAlign w:val="center"/>
                </w:tcPr>
                <w:p w14:paraId="671E89F4">
                  <w:pPr>
                    <w:widowControl w:val="0"/>
                    <w:overflowPunct w:val="0"/>
                    <w:autoSpaceDE w:val="0"/>
                    <w:autoSpaceDN w:val="0"/>
                    <w:snapToGrid w:val="0"/>
                    <w:jc w:val="center"/>
                    <w:rPr>
                      <w:color w:val="auto"/>
                      <w14:ligatures w14:val="standardContextual"/>
                    </w:rPr>
                  </w:pPr>
                  <w:r>
                    <w:rPr>
                      <w:rFonts w:hint="eastAsia"/>
                      <w:color w:val="auto"/>
                      <w14:ligatures w14:val="standardContextual"/>
                    </w:rPr>
                    <w:t>环境空气、敏感点</w:t>
                  </w:r>
                </w:p>
              </w:tc>
            </w:tr>
          </w:tbl>
          <w:p w14:paraId="62E25CBC">
            <w:pPr>
              <w:pStyle w:val="3"/>
              <w:ind w:firstLine="480"/>
              <w:rPr>
                <w:color w:val="auto"/>
              </w:rPr>
            </w:pPr>
            <w:r>
              <w:rPr>
                <w:rFonts w:hint="eastAsia"/>
                <w:color w:val="auto"/>
              </w:rPr>
              <w:t>企业会对员工定期组织安全培训，加强管理，做好防范措施，降低发生火灾的概率。同时项目厂区地面进行硬化防渗处理，不会对周边地表水、地下水、土壤环境造成明显影响。</w:t>
            </w:r>
          </w:p>
          <w:p w14:paraId="1F76F3F1">
            <w:pPr>
              <w:pStyle w:val="3"/>
              <w:ind w:firstLine="482"/>
              <w:rPr>
                <w:b/>
                <w:bCs/>
                <w:color w:val="auto"/>
              </w:rPr>
            </w:pPr>
            <w:r>
              <w:rPr>
                <w:rFonts w:hint="eastAsia"/>
                <w:b/>
                <w:bCs/>
                <w:color w:val="auto"/>
              </w:rPr>
              <w:t>4、环境风险防范措施</w:t>
            </w:r>
          </w:p>
          <w:p w14:paraId="169CBB9C">
            <w:pPr>
              <w:pStyle w:val="3"/>
              <w:ind w:firstLine="480"/>
              <w:rPr>
                <w:color w:val="auto"/>
              </w:rPr>
            </w:pPr>
            <w:r>
              <w:rPr>
                <w:rFonts w:hint="eastAsia"/>
                <w:color w:val="auto"/>
              </w:rPr>
              <w:t>I、建筑防火措施</w:t>
            </w:r>
          </w:p>
          <w:p w14:paraId="2F043828">
            <w:pPr>
              <w:pStyle w:val="3"/>
              <w:ind w:firstLine="480"/>
              <w:rPr>
                <w:color w:val="auto"/>
              </w:rPr>
            </w:pPr>
            <w:r>
              <w:rPr>
                <w:rFonts w:hint="eastAsia"/>
                <w:color w:val="auto"/>
              </w:rPr>
              <w:t>严格执行《建筑设计防火规范》（GB50016-2014）的有关规定，对生产设施框架的梁柱、设备的底座和支承物等进行防火处理，实行生产装置区与辅助设施分块布局，各区域功能明确。生产区和办公区设消防通道，对高大框架和设备采取可靠的防雷接地措施，避免因雷击而引发火灾。</w:t>
            </w:r>
          </w:p>
          <w:p w14:paraId="4FEB1745">
            <w:pPr>
              <w:pStyle w:val="3"/>
              <w:ind w:firstLine="480"/>
              <w:rPr>
                <w:color w:val="auto"/>
              </w:rPr>
            </w:pPr>
            <w:r>
              <w:rPr>
                <w:rFonts w:hint="eastAsia"/>
                <w:color w:val="auto"/>
              </w:rPr>
              <w:t>按照消防要求，建设防火墙、消防通道，外墙设置明显的禁烟禁火标志。</w:t>
            </w:r>
          </w:p>
          <w:p w14:paraId="08E88983">
            <w:pPr>
              <w:pStyle w:val="3"/>
              <w:ind w:firstLine="480"/>
              <w:rPr>
                <w:color w:val="auto"/>
              </w:rPr>
            </w:pPr>
            <w:r>
              <w:rPr>
                <w:rFonts w:hint="eastAsia"/>
                <w:color w:val="auto"/>
              </w:rPr>
              <w:t>II、运输风险防范措施</w:t>
            </w:r>
          </w:p>
          <w:p w14:paraId="76B330A4">
            <w:pPr>
              <w:pStyle w:val="3"/>
              <w:ind w:firstLine="480"/>
              <w:rPr>
                <w:color w:val="auto"/>
              </w:rPr>
            </w:pPr>
            <w:r>
              <w:rPr>
                <w:rFonts w:hint="eastAsia"/>
                <w:color w:val="auto"/>
              </w:rPr>
              <w:t>严禁混装混运；运输途中应防曝晒、雨淋，防高温，中途停留时应远离火种、热源、高温区，车辆必须配备阻火装置；禁止使用易产生火花的机械设备和工具装卸，公路运输时要按规定路线行驶，勿在居民区和人口稠密区停留。</w:t>
            </w:r>
          </w:p>
          <w:p w14:paraId="16E7BCAA">
            <w:pPr>
              <w:pStyle w:val="3"/>
              <w:ind w:firstLine="480"/>
              <w:rPr>
                <w:color w:val="auto"/>
              </w:rPr>
            </w:pPr>
            <w:r>
              <w:rPr>
                <w:rFonts w:hint="eastAsia"/>
                <w:color w:val="auto"/>
              </w:rPr>
              <w:t>III、火灾应急措施</w:t>
            </w:r>
          </w:p>
          <w:p w14:paraId="0FCF5354">
            <w:pPr>
              <w:pStyle w:val="3"/>
              <w:ind w:firstLine="480"/>
              <w:rPr>
                <w:color w:val="auto"/>
              </w:rPr>
            </w:pPr>
            <w:r>
              <w:rPr>
                <w:rFonts w:hint="eastAsia"/>
                <w:color w:val="auto"/>
              </w:rPr>
              <w:t>煤棚内严禁烟火，发生火灾时迅速撤离相关人员至安全区，并进行隔离，限制出入，切断火源。严格按照相关的防火设计要求和煤棚储运设施进行设计和施工，并配置相关的防护设施和用具，落实安全管理责任。严禁携带火种进入煤棚，严禁在储煤库内吸烟、玩火、纵火等行为。</w:t>
            </w:r>
          </w:p>
          <w:p w14:paraId="2E712EB7">
            <w:pPr>
              <w:pStyle w:val="3"/>
              <w:ind w:firstLine="480"/>
              <w:rPr>
                <w:color w:val="auto"/>
              </w:rPr>
            </w:pPr>
            <w:r>
              <w:rPr>
                <w:rFonts w:hint="eastAsia"/>
                <w:color w:val="auto"/>
              </w:rPr>
              <w:t>当厂内发生火灾时，作业人员应立即停止作业，关闭电源，立即拨打报警电话，并报告负责人或值班人员。接到报警后，应急小组人员应迅速赶到火灾现场，按预定的应急救援措施组织人员处理事故。在消防人员未到达现场时，应使用适当的消防器材尽量减小和阻止火势蔓延和扩大。组织人员疏散，禁止无关人员和车辆进入，查清是否有人被大火围困，并及时抢救伤员。在灭火过程中，应注意随时观察火势的变化情况，采取必要的自我保护措施。</w:t>
            </w:r>
          </w:p>
          <w:p w14:paraId="30674DF3">
            <w:pPr>
              <w:pStyle w:val="3"/>
              <w:ind w:firstLine="480"/>
              <w:rPr>
                <w:color w:val="auto"/>
              </w:rPr>
            </w:pPr>
            <w:r>
              <w:rPr>
                <w:rFonts w:hint="eastAsia"/>
                <w:color w:val="auto"/>
              </w:rPr>
              <w:t>IV、突发事故应急预案</w:t>
            </w:r>
          </w:p>
          <w:p w14:paraId="0E8FBEEC">
            <w:pPr>
              <w:pStyle w:val="3"/>
              <w:ind w:firstLine="480"/>
              <w:rPr>
                <w:color w:val="auto"/>
              </w:rPr>
            </w:pPr>
            <w:r>
              <w:rPr>
                <w:rFonts w:hint="eastAsia"/>
                <w:color w:val="auto"/>
              </w:rPr>
              <w:t>按要求编制应急预案，其组织机构包含突发环境污染事故工作组（指挥部）、指挥部由总指挥（公司总经理）、副总指挥（分管生产的副总经理、分管环保的副总经理）、其他成员（调度处处长、环保处处长、安全处处长、保卫处处长和公司办主任）。组织完善、分工明确，基本可满足本项目环境风险的应急组织。并根据应急预案的要求配备基本的应急物资，如消火栓、灭火器、消防水池、防毒面具、应急药品、警示牌等。</w:t>
            </w:r>
          </w:p>
          <w:p w14:paraId="31DD2199">
            <w:pPr>
              <w:pStyle w:val="3"/>
              <w:ind w:firstLine="482"/>
              <w:rPr>
                <w:color w:val="auto"/>
              </w:rPr>
            </w:pPr>
            <w:r>
              <w:rPr>
                <w:rFonts w:hint="eastAsia"/>
                <w:b/>
                <w:bCs/>
                <w:color w:val="auto"/>
              </w:rPr>
              <w:t>5、环境风险结论</w:t>
            </w:r>
          </w:p>
          <w:p w14:paraId="48852DA4">
            <w:pPr>
              <w:pStyle w:val="3"/>
              <w:ind w:firstLine="480"/>
              <w:rPr>
                <w:color w:val="auto"/>
              </w:rPr>
            </w:pPr>
            <w:r>
              <w:rPr>
                <w:rFonts w:hint="eastAsia"/>
                <w:color w:val="auto"/>
              </w:rPr>
              <w:t>通过风险防范措施的设立和应急预案的建立，可以较为有效的最大限度防治风险事故的发生和有效处置，并结合企业在运营过程中不断制定和完善的风险防范措施和应急预案，在此情况下，建设单位环境风险可以有效防控，对环境的不利影响可以得到有效的控制，项目风险水平在可接受的范围内。</w:t>
            </w:r>
          </w:p>
          <w:p w14:paraId="2C873E85">
            <w:pPr>
              <w:pStyle w:val="7"/>
              <w:rPr>
                <w:color w:val="auto"/>
              </w:rPr>
            </w:pPr>
            <w:r>
              <w:rPr>
                <w:rFonts w:hint="eastAsia"/>
                <w:color w:val="auto"/>
              </w:rPr>
              <w:t>八、环境管理</w:t>
            </w:r>
          </w:p>
          <w:p w14:paraId="3D28FFF0">
            <w:pPr>
              <w:pStyle w:val="3"/>
              <w:ind w:firstLine="480"/>
              <w:rPr>
                <w:color w:val="auto"/>
              </w:rPr>
            </w:pPr>
            <w:r>
              <w:rPr>
                <w:rFonts w:hint="eastAsia"/>
                <w:color w:val="auto"/>
              </w:rPr>
              <w:t>环境管理和污染源监测是建设单位内部污染源监督管理的重要组成部分。在企业中建立健全的环保机构，加强环保管理工作，开展厂内环境监测、监督，并把环保工作纳入生产管理，有助于控制和减少污染物的排放、促进资源的合理回用，对减轻环境污染、保护环境有着重要意义。</w:t>
            </w:r>
          </w:p>
          <w:p w14:paraId="68EF65A3">
            <w:pPr>
              <w:pStyle w:val="3"/>
              <w:ind w:firstLine="480"/>
              <w:rPr>
                <w:color w:val="auto"/>
              </w:rPr>
            </w:pPr>
            <w:r>
              <w:rPr>
                <w:rFonts w:hint="eastAsia"/>
                <w:color w:val="auto"/>
              </w:rPr>
              <w:t>（1）环境管理</w:t>
            </w:r>
          </w:p>
          <w:p w14:paraId="431B1B0C">
            <w:pPr>
              <w:pStyle w:val="3"/>
              <w:ind w:firstLine="480"/>
              <w:rPr>
                <w:color w:val="auto"/>
              </w:rPr>
            </w:pPr>
            <w:r>
              <w:rPr>
                <w:rFonts w:hint="eastAsia"/>
                <w:color w:val="auto"/>
              </w:rPr>
              <w:t>1）环境管理目的</w:t>
            </w:r>
          </w:p>
          <w:p w14:paraId="01E9665E">
            <w:pPr>
              <w:pStyle w:val="3"/>
              <w:ind w:firstLine="480"/>
              <w:rPr>
                <w:color w:val="auto"/>
              </w:rPr>
            </w:pPr>
            <w:r>
              <w:rPr>
                <w:rFonts w:hint="eastAsia"/>
                <w:color w:val="auto"/>
              </w:rPr>
              <w:t>依据国家环保法，环境管理目的是：“为保护和改善生活环境和生态环境，防治污染和其它公害，保护人体健康，促进社会主义现代化建设的发展”。</w:t>
            </w:r>
          </w:p>
          <w:p w14:paraId="7208D0CE">
            <w:pPr>
              <w:pStyle w:val="3"/>
              <w:ind w:firstLine="480"/>
              <w:rPr>
                <w:color w:val="auto"/>
              </w:rPr>
            </w:pPr>
            <w:r>
              <w:rPr>
                <w:rFonts w:hint="eastAsia"/>
                <w:color w:val="auto"/>
              </w:rPr>
              <w:t>2）环境管理要求</w:t>
            </w:r>
          </w:p>
          <w:p w14:paraId="573F5291">
            <w:pPr>
              <w:pStyle w:val="3"/>
              <w:ind w:firstLine="480"/>
              <w:rPr>
                <w:color w:val="auto"/>
              </w:rPr>
            </w:pPr>
            <w:r>
              <w:rPr>
                <w:rFonts w:hint="eastAsia"/>
                <w:color w:val="auto"/>
              </w:rPr>
              <w:t>①建设单位需设专门的环境管理部门，安排专门环保人员，负责项目运行过程中环境管理、环境监控等工作，并受项目所在地主管部门、生态环境部门的监督和指导。</w:t>
            </w:r>
          </w:p>
          <w:p w14:paraId="334F6C74">
            <w:pPr>
              <w:pStyle w:val="3"/>
              <w:ind w:firstLine="480"/>
              <w:rPr>
                <w:color w:val="auto"/>
              </w:rPr>
            </w:pPr>
            <w:r>
              <w:rPr>
                <w:rFonts w:hint="eastAsia"/>
                <w:color w:val="auto"/>
              </w:rPr>
              <w:t>②安排专人定期对环保设施进行检查、维修、保养等工作，确保环保设施长期、稳定、达标运行。</w:t>
            </w:r>
          </w:p>
          <w:p w14:paraId="09006793">
            <w:pPr>
              <w:pStyle w:val="3"/>
              <w:ind w:firstLine="480"/>
              <w:rPr>
                <w:color w:val="auto"/>
              </w:rPr>
            </w:pPr>
            <w:r>
              <w:rPr>
                <w:rFonts w:hint="eastAsia"/>
                <w:color w:val="auto"/>
              </w:rPr>
              <w:t>③定期对员工进行环境保护教育、培训，增强员工的环保意识。</w:t>
            </w:r>
          </w:p>
          <w:p w14:paraId="6F92262D">
            <w:pPr>
              <w:pStyle w:val="3"/>
              <w:ind w:firstLine="480"/>
              <w:rPr>
                <w:color w:val="auto"/>
              </w:rPr>
            </w:pPr>
            <w:r>
              <w:rPr>
                <w:rFonts w:hint="eastAsia"/>
                <w:color w:val="auto"/>
              </w:rPr>
              <w:t>（2）严格落实排污许可证制度</w:t>
            </w:r>
          </w:p>
          <w:p w14:paraId="54CF79E4">
            <w:pPr>
              <w:pStyle w:val="3"/>
              <w:ind w:firstLine="480"/>
              <w:rPr>
                <w:color w:val="auto"/>
              </w:rPr>
            </w:pPr>
            <w:r>
              <w:rPr>
                <w:rFonts w:hint="eastAsia"/>
                <w:color w:val="auto"/>
              </w:rPr>
              <w:t>1）落实按证排污责任</w:t>
            </w:r>
          </w:p>
          <w:p w14:paraId="36840F3F">
            <w:pPr>
              <w:pStyle w:val="3"/>
              <w:ind w:firstLine="480"/>
              <w:rPr>
                <w:color w:val="auto"/>
              </w:rPr>
            </w:pPr>
            <w:r>
              <w:rPr>
                <w:rFonts w:hint="eastAsia"/>
                <w:color w:val="auto"/>
              </w:rPr>
              <w:t>建设单位必须按期持证排污、按证排污，不得无证排污，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14:paraId="0349C18D">
            <w:pPr>
              <w:pStyle w:val="3"/>
              <w:ind w:firstLine="480"/>
              <w:rPr>
                <w:color w:val="auto"/>
              </w:rPr>
            </w:pPr>
            <w:r>
              <w:rPr>
                <w:rFonts w:hint="eastAsia"/>
                <w:color w:val="auto"/>
              </w:rPr>
              <w:t>2）实行自行监测和定期报告制度</w:t>
            </w:r>
          </w:p>
          <w:p w14:paraId="3F92F3A6">
            <w:pPr>
              <w:pStyle w:val="3"/>
              <w:ind w:firstLine="480"/>
              <w:rPr>
                <w:color w:val="auto"/>
              </w:rPr>
            </w:pPr>
            <w:r>
              <w:rPr>
                <w:rFonts w:hint="eastAsia"/>
                <w:color w:val="auto"/>
              </w:rPr>
              <w:t>依法开展自行监测，安装或使用监测设备应符合国家有关环境监测、计量认证规定和技术规范，保障数据合法有效，保证设备正常运行，妥善保存原始记录，建立准确完整的环境管理台账。如实向生态环境部门报告排污许可证执行情况，依法向社会公开污染物排放数据并对数据真实性负责。排放情况与排污许可证要求不符的，应及时向生态环境部门报告。</w:t>
            </w:r>
          </w:p>
          <w:p w14:paraId="0399EE58">
            <w:pPr>
              <w:pStyle w:val="3"/>
              <w:ind w:firstLine="480"/>
              <w:rPr>
                <w:color w:val="auto"/>
              </w:rPr>
            </w:pPr>
            <w:r>
              <w:rPr>
                <w:rFonts w:hint="eastAsia"/>
                <w:color w:val="auto"/>
              </w:rPr>
              <w:t>（3）排污许可证管理</w:t>
            </w:r>
          </w:p>
          <w:p w14:paraId="43595194">
            <w:pPr>
              <w:pStyle w:val="3"/>
              <w:ind w:firstLine="480"/>
              <w:rPr>
                <w:color w:val="auto"/>
              </w:rPr>
            </w:pPr>
            <w:r>
              <w:rPr>
                <w:rFonts w:hint="eastAsia"/>
                <w:color w:val="auto"/>
              </w:rPr>
              <w:t>依据关于印发《关于发布排污许可证承诺书样本、排污许可证申请表和排污许可证格式的通知》的通知（环规财[2018]80号），排污许可证管理要求如下：</w:t>
            </w:r>
          </w:p>
          <w:p w14:paraId="549B69AA">
            <w:pPr>
              <w:pStyle w:val="3"/>
              <w:ind w:firstLine="480"/>
              <w:rPr>
                <w:color w:val="auto"/>
              </w:rPr>
            </w:pPr>
            <w:r>
              <w:rPr>
                <w:rFonts w:hint="eastAsia"/>
                <w:color w:val="auto"/>
              </w:rPr>
              <w:t>1）排污许可证的变更</w:t>
            </w:r>
          </w:p>
          <w:p w14:paraId="693182DC">
            <w:pPr>
              <w:pStyle w:val="3"/>
              <w:ind w:firstLine="480"/>
              <w:rPr>
                <w:color w:val="auto"/>
              </w:rPr>
            </w:pPr>
            <w:r>
              <w:rPr>
                <w:rFonts w:hint="eastAsia"/>
                <w:color w:val="auto"/>
              </w:rPr>
              <w:t>①在排污许可证有效期内，建设单位发生以下事项变化的，应当在规定时间内向原核发机关提出变更排污许可证的申请：排污单位名称、注册地址、法定代表人或者实际负责人等正本中载明的基本信息发生变更之日起二十日内。</w:t>
            </w:r>
          </w:p>
          <w:p w14:paraId="2B76258A">
            <w:pPr>
              <w:pStyle w:val="3"/>
              <w:ind w:firstLine="480"/>
              <w:rPr>
                <w:color w:val="auto"/>
              </w:rPr>
            </w:pPr>
            <w:r>
              <w:rPr>
                <w:rFonts w:hint="eastAsia"/>
                <w:color w:val="auto"/>
              </w:rPr>
              <w:t>②排污单位在原场址内实施新改扩建项目应当开展环境影响评价的，在通过环境影响评价审批或者备案后，产生实际排污行为之前二十日内。</w:t>
            </w:r>
          </w:p>
          <w:p w14:paraId="6E8ADD05">
            <w:pPr>
              <w:pStyle w:val="3"/>
              <w:ind w:firstLine="480"/>
              <w:rPr>
                <w:color w:val="auto"/>
              </w:rPr>
            </w:pPr>
            <w:r>
              <w:rPr>
                <w:rFonts w:hint="eastAsia"/>
                <w:color w:val="auto"/>
              </w:rPr>
              <w:t>③国家或地方实施新污染物排放标准的，核发机关应主动通知排污单位进行变更，排污单位在接到通知后二十日内申请变更。</w:t>
            </w:r>
          </w:p>
          <w:p w14:paraId="604E0A5E">
            <w:pPr>
              <w:pStyle w:val="3"/>
              <w:ind w:firstLine="480"/>
              <w:rPr>
                <w:color w:val="auto"/>
              </w:rPr>
            </w:pPr>
            <w:r>
              <w:rPr>
                <w:rFonts w:hint="eastAsia"/>
                <w:color w:val="auto"/>
              </w:rPr>
              <w:t>④政府相关文件或与其他企业达成协议，进行区域替代实现减量排放的，应在文件或协议规定时限内提出变更申请。</w:t>
            </w:r>
          </w:p>
          <w:p w14:paraId="2CF0943D">
            <w:pPr>
              <w:pStyle w:val="3"/>
              <w:ind w:firstLine="480"/>
              <w:rPr>
                <w:color w:val="auto"/>
              </w:rPr>
            </w:pPr>
            <w:r>
              <w:rPr>
                <w:rFonts w:hint="eastAsia"/>
                <w:color w:val="auto"/>
              </w:rPr>
              <w:t>⑤需要进行变更的其他情形。</w:t>
            </w:r>
          </w:p>
          <w:p w14:paraId="2473A4B4">
            <w:pPr>
              <w:pStyle w:val="3"/>
              <w:ind w:firstLine="480"/>
              <w:rPr>
                <w:color w:val="auto"/>
              </w:rPr>
            </w:pPr>
            <w:r>
              <w:rPr>
                <w:rFonts w:hint="eastAsia"/>
                <w:color w:val="auto"/>
              </w:rPr>
              <w:t>2）排污许可证的补办</w:t>
            </w:r>
          </w:p>
          <w:p w14:paraId="03825E3E">
            <w:pPr>
              <w:pStyle w:val="3"/>
              <w:ind w:firstLine="480"/>
              <w:rPr>
                <w:color w:val="auto"/>
              </w:rPr>
            </w:pPr>
            <w:r>
              <w:rPr>
                <w:rFonts w:hint="eastAsia"/>
                <w:color w:val="auto"/>
              </w:rPr>
              <w:t>排污许可证发生遗失、损毁的，建设单位应当在三十日内向原核发机关申请补领排污许可证，遗失排污许可证的还应同时提交遗失声明，损毁排污许可证的还应同时交回被损毁的许可证。核发机关应当在收到补领申请后十日内补发排污许可证，并及时在国家排污许可证管理信息平台上进行公告。</w:t>
            </w:r>
          </w:p>
          <w:p w14:paraId="3B6623A0">
            <w:pPr>
              <w:pStyle w:val="3"/>
              <w:ind w:firstLine="480"/>
              <w:rPr>
                <w:color w:val="auto"/>
              </w:rPr>
            </w:pPr>
            <w:r>
              <w:rPr>
                <w:rFonts w:hint="eastAsia"/>
                <w:color w:val="auto"/>
              </w:rPr>
              <w:t>3）其他相关要求</w:t>
            </w:r>
          </w:p>
          <w:p w14:paraId="58718651">
            <w:pPr>
              <w:pStyle w:val="3"/>
              <w:ind w:firstLine="480"/>
              <w:rPr>
                <w:color w:val="auto"/>
              </w:rPr>
            </w:pPr>
            <w:r>
              <w:rPr>
                <w:rFonts w:hint="eastAsia"/>
                <w:color w:val="auto"/>
              </w:rPr>
              <w:t>①排污口位置和数量、排放方式、排放去向、排放污染物种类、排放浓度和排放量、执行的排放标准等符合排污许可证的规定，不得私设暗管或以其他方式逃避监管。</w:t>
            </w:r>
          </w:p>
          <w:p w14:paraId="163ABF6C">
            <w:pPr>
              <w:pStyle w:val="3"/>
              <w:ind w:firstLine="480"/>
              <w:rPr>
                <w:color w:val="auto"/>
              </w:rPr>
            </w:pPr>
            <w:r>
              <w:rPr>
                <w:rFonts w:hint="eastAsia"/>
                <w:color w:val="auto"/>
              </w:rPr>
              <w:t>②落实重污染天气应急管控措施、遵守法律规定的最新环境保护要求等。按排污许可证规定的监测点位、监测因子、监测频次和相关监测技术规范开展自行监测并公开。</w:t>
            </w:r>
          </w:p>
          <w:p w14:paraId="66CE5E96">
            <w:pPr>
              <w:pStyle w:val="3"/>
              <w:ind w:firstLine="480"/>
              <w:rPr>
                <w:color w:val="auto"/>
              </w:rPr>
            </w:pPr>
            <w:r>
              <w:rPr>
                <w:rFonts w:hint="eastAsia"/>
                <w:color w:val="auto"/>
              </w:rPr>
              <w:t>③按规范进行台账记录，主要内容包括生产信息、燃料、原辅材料使用情况、污染防治设施运行记录、监测数据等。</w:t>
            </w:r>
          </w:p>
          <w:p w14:paraId="160F7DDB">
            <w:pPr>
              <w:pStyle w:val="3"/>
              <w:ind w:firstLine="480"/>
              <w:rPr>
                <w:color w:val="auto"/>
              </w:rPr>
            </w:pPr>
            <w:r>
              <w:rPr>
                <w:rFonts w:hint="eastAsia"/>
                <w:color w:val="auto"/>
              </w:rPr>
              <w:t>④按排污许可证规定，定期在国家排污许可证管理信息平台填报信息，编制排污许可证执行报告，及时报送有核发权的生态环境主管部门并公开，执行报告主要内容包括生产信息、污染防治设施运行情况、污染物按证排放情况等。</w:t>
            </w:r>
          </w:p>
          <w:p w14:paraId="6B5BFA78">
            <w:pPr>
              <w:pStyle w:val="3"/>
              <w:ind w:firstLine="480"/>
              <w:rPr>
                <w:color w:val="auto"/>
              </w:rPr>
            </w:pPr>
            <w:r>
              <w:rPr>
                <w:rFonts w:hint="eastAsia"/>
                <w:color w:val="auto"/>
              </w:rPr>
              <w:t>⑤法律法规规定的其他义务。</w:t>
            </w:r>
          </w:p>
          <w:p w14:paraId="471EC0CA">
            <w:pPr>
              <w:pStyle w:val="3"/>
              <w:ind w:firstLine="480"/>
              <w:rPr>
                <w:color w:val="auto"/>
              </w:rPr>
            </w:pPr>
            <w:r>
              <w:rPr>
                <w:rFonts w:hint="eastAsia"/>
                <w:color w:val="auto"/>
              </w:rPr>
              <w:t>4）根据《关于做好环境影响评价制度与排污许可制衔接相关工作的通知》（环办环评[2017]84号），本项目与排污许可制度衔接工作如下：</w:t>
            </w:r>
          </w:p>
          <w:p w14:paraId="01D6EB70">
            <w:pPr>
              <w:pStyle w:val="3"/>
              <w:ind w:firstLine="480"/>
              <w:rPr>
                <w:color w:val="auto"/>
              </w:rPr>
            </w:pPr>
            <w:r>
              <w:rPr>
                <w:rFonts w:hint="eastAsia"/>
                <w:color w:val="auto"/>
              </w:rPr>
              <w:t>①在排污许可管理中，应严格按照本评价的要求核发排污许可证；</w:t>
            </w:r>
          </w:p>
          <w:p w14:paraId="2D12EA4D">
            <w:pPr>
              <w:pStyle w:val="3"/>
              <w:ind w:firstLine="480"/>
              <w:rPr>
                <w:color w:val="auto"/>
              </w:rPr>
            </w:pPr>
            <w:r>
              <w:rPr>
                <w:rFonts w:hint="eastAsia"/>
                <w:color w:val="auto"/>
              </w:rPr>
              <w:t>②在核发排污许可证时应严格核定排放口数量、位置以及每个排放口的污染物种类、允许排放浓度和允许排放量、排放方式、排放去向、自行监测计划等与污染物排放相关的主要内容；</w:t>
            </w:r>
          </w:p>
          <w:p w14:paraId="49B351CF">
            <w:pPr>
              <w:pStyle w:val="3"/>
              <w:ind w:firstLine="480"/>
              <w:rPr>
                <w:color w:val="auto"/>
              </w:rPr>
            </w:pPr>
            <w:r>
              <w:rPr>
                <w:rFonts w:hint="eastAsia"/>
                <w:color w:val="auto"/>
              </w:rPr>
              <w:t>③项目在发生实际排污行为之前，排污单位应当按照国家环境保护相关法律法规申请排污许可证，不得无证排污或不按证排污。</w:t>
            </w:r>
          </w:p>
          <w:p w14:paraId="7F5647C4">
            <w:pPr>
              <w:pStyle w:val="7"/>
              <w:rPr>
                <w:color w:val="auto"/>
              </w:rPr>
            </w:pPr>
            <w:r>
              <w:rPr>
                <w:rFonts w:hint="eastAsia"/>
                <w:color w:val="auto"/>
              </w:rPr>
              <w:t>九、排污口规范化措施</w:t>
            </w:r>
          </w:p>
          <w:p w14:paraId="2C0C14AE">
            <w:pPr>
              <w:pStyle w:val="3"/>
              <w:ind w:firstLine="480"/>
              <w:rPr>
                <w:color w:val="auto"/>
              </w:rPr>
            </w:pPr>
            <w:r>
              <w:rPr>
                <w:rFonts w:hint="eastAsia"/>
                <w:color w:val="auto"/>
              </w:rPr>
              <w:t>废水排放口、固定噪声源、固体废物贮存和烟囱（排气筒）必须按照《江西省排污口设置与规范化整治管理办法》进行建设，应符合“一明显、二合理、三便于”的要求，即环保标志明显，排污口设置合理，便于采集样品、便于监测计量、便于公众参与和监督管理。同时要求按照《环境保护图形标志实施细则（试行）》（环监[1996]463号）的规定，设置与排污口相应的图形标志牌。</w:t>
            </w:r>
          </w:p>
          <w:p w14:paraId="66820F08">
            <w:pPr>
              <w:pStyle w:val="3"/>
              <w:ind w:firstLine="480"/>
              <w:rPr>
                <w:color w:val="auto"/>
              </w:rPr>
            </w:pPr>
            <w:r>
              <w:rPr>
                <w:rFonts w:hint="eastAsia"/>
                <w:color w:val="auto"/>
              </w:rPr>
              <w:t>（1）烟囱（排气筒）设置取样口，并具备采样监测条件，废水排放口设置取样口，附近竖立图形标志牌。</w:t>
            </w:r>
          </w:p>
          <w:p w14:paraId="26878C1C">
            <w:pPr>
              <w:pStyle w:val="3"/>
              <w:ind w:firstLine="480"/>
              <w:rPr>
                <w:color w:val="auto"/>
              </w:rPr>
            </w:pPr>
            <w:r>
              <w:rPr>
                <w:rFonts w:hint="eastAsia"/>
                <w:color w:val="auto"/>
              </w:rPr>
              <w:t>（2）排污口管理。建设单位应在各个排污口处竖立标志牌，并如实填写《中华人民共和国规范化排污口标记登记证》，由生态环境部门签发。生态环境部门和建设单位可分别按以下内容建立排污口管理的专门档案：排污口性质和编号；位置；排放主要污染物种类、数量、浓度；排放去向；达标情况；治理设施运行情况及整改意见。</w:t>
            </w:r>
          </w:p>
          <w:p w14:paraId="3916DEB8">
            <w:pPr>
              <w:pStyle w:val="3"/>
              <w:ind w:firstLine="480"/>
              <w:rPr>
                <w:color w:val="auto"/>
              </w:rPr>
            </w:pPr>
            <w:r>
              <w:rPr>
                <w:rFonts w:hint="eastAsia"/>
                <w:color w:val="auto"/>
              </w:rPr>
              <w:t>（3）环境保护图形标志</w:t>
            </w:r>
          </w:p>
          <w:p w14:paraId="3D6B1CCC">
            <w:pPr>
              <w:pStyle w:val="3"/>
              <w:ind w:firstLine="480"/>
              <w:rPr>
                <w:color w:val="auto"/>
              </w:rPr>
            </w:pPr>
            <w:r>
              <w:rPr>
                <w:rFonts w:hint="eastAsia"/>
                <w:color w:val="auto"/>
              </w:rPr>
              <w:t>在厂区的废水排放口、废气排放源、固体废物贮存处置场应设置环境保护图形标志，图形符号分为提示图形和警告图形符号两种，分别按GB15562.1-1995、GB15562.2-1995及修改单执行。环境保护图形标志的形状及颜色及环境保护图形符号如下：</w:t>
            </w:r>
          </w:p>
          <w:p w14:paraId="513CA3C9">
            <w:pPr>
              <w:pStyle w:val="49"/>
              <w:rPr>
                <w:color w:val="auto"/>
              </w:rPr>
            </w:pPr>
            <w:r>
              <w:rPr>
                <w:rFonts w:hint="eastAsia"/>
                <w:color w:val="auto"/>
              </w:rPr>
              <w:t xml:space="preserve">表4- </w:t>
            </w:r>
            <w:r>
              <w:rPr>
                <w:color w:val="auto"/>
              </w:rPr>
              <w:t>22</w:t>
            </w:r>
            <w:r>
              <w:rPr>
                <w:rFonts w:hint="eastAsia"/>
                <w:color w:val="auto"/>
              </w:rPr>
              <w:t>：环境保护图形标志的形状及颜色表</w:t>
            </w:r>
          </w:p>
          <w:tbl>
            <w:tblPr>
              <w:tblStyle w:val="50"/>
              <w:tblW w:w="7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2221"/>
              <w:gridCol w:w="1905"/>
              <w:gridCol w:w="1906"/>
              <w:gridCol w:w="1906"/>
            </w:tblGrid>
            <w:tr w14:paraId="3B5260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59" w:hRule="atLeast"/>
                <w:jc w:val="center"/>
              </w:trPr>
              <w:tc>
                <w:tcPr>
                  <w:tcW w:w="2388"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1E64428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lang w:bidi="ar"/>
                      <w14:ligatures w14:val="standardContextual"/>
                    </w:rPr>
                    <w:t>标志名称</w:t>
                  </w:r>
                </w:p>
              </w:tc>
              <w:tc>
                <w:tcPr>
                  <w:tcW w:w="2043"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7589C6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lang w:bidi="ar"/>
                      <w14:ligatures w14:val="standardContextual"/>
                    </w:rPr>
                    <w:t>形状</w:t>
                  </w:r>
                </w:p>
              </w:tc>
              <w:tc>
                <w:tcPr>
                  <w:tcW w:w="2044"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D748B6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lang w:bidi="ar"/>
                      <w14:ligatures w14:val="standardContextual"/>
                    </w:rPr>
                    <w:t>背景颜色</w:t>
                  </w:r>
                </w:p>
              </w:tc>
              <w:tc>
                <w:tcPr>
                  <w:tcW w:w="2044" w:type="dxa"/>
                  <w:tcBorders>
                    <w:top w:val="single" w:color="auto" w:sz="12" w:space="0"/>
                    <w:bottom w:val="single" w:color="auto" w:sz="12" w:space="0"/>
                    <w:right w:val="nil"/>
                    <w:insideH w:val="single" w:sz="12" w:space="0"/>
                    <w:insideV w:val="single" w:sz="4" w:space="0"/>
                    <w:tl2br w:val="nil"/>
                    <w:tr2bl w:val="nil"/>
                  </w:tcBorders>
                  <w:vAlign w:val="center"/>
                </w:tcPr>
                <w:p w14:paraId="2B140D6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eastAsia" w:ascii="Times New Roman" w:hAnsi="Times New Roman" w:eastAsia="宋体" w:cs="Times New Roman"/>
                      <w:b/>
                      <w:i w:val="0"/>
                      <w:color w:val="auto"/>
                      <w:sz w:val="21"/>
                      <w:szCs w:val="21"/>
                      <w:lang w:bidi="ar"/>
                      <w14:ligatures w14:val="standardContextual"/>
                    </w:rPr>
                    <w:t>图形颜色</w:t>
                  </w:r>
                </w:p>
              </w:tc>
            </w:tr>
            <w:tr w14:paraId="1A1878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59" w:hRule="atLeast"/>
                <w:jc w:val="center"/>
              </w:trPr>
              <w:tc>
                <w:tcPr>
                  <w:tcW w:w="2388" w:type="dxa"/>
                  <w:vAlign w:val="center"/>
                </w:tcPr>
                <w:p w14:paraId="6243C740">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警告标志</w:t>
                  </w:r>
                </w:p>
              </w:tc>
              <w:tc>
                <w:tcPr>
                  <w:tcW w:w="2043" w:type="dxa"/>
                  <w:vAlign w:val="center"/>
                </w:tcPr>
                <w:p w14:paraId="5D3FC514">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三角形边框</w:t>
                  </w:r>
                </w:p>
              </w:tc>
              <w:tc>
                <w:tcPr>
                  <w:tcW w:w="2044" w:type="dxa"/>
                  <w:vAlign w:val="center"/>
                </w:tcPr>
                <w:p w14:paraId="72788081">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黄色</w:t>
                  </w:r>
                </w:p>
              </w:tc>
              <w:tc>
                <w:tcPr>
                  <w:tcW w:w="2044" w:type="dxa"/>
                  <w:vAlign w:val="center"/>
                </w:tcPr>
                <w:p w14:paraId="13E6D8D1">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黑色</w:t>
                  </w:r>
                </w:p>
              </w:tc>
            </w:tr>
            <w:tr w14:paraId="3AC471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76" w:hRule="atLeast"/>
                <w:jc w:val="center"/>
              </w:trPr>
              <w:tc>
                <w:tcPr>
                  <w:tcW w:w="2388" w:type="dxa"/>
                  <w:vAlign w:val="center"/>
                </w:tcPr>
                <w:p w14:paraId="37D1F2A0">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提示标志</w:t>
                  </w:r>
                </w:p>
              </w:tc>
              <w:tc>
                <w:tcPr>
                  <w:tcW w:w="2043" w:type="dxa"/>
                  <w:vAlign w:val="center"/>
                </w:tcPr>
                <w:p w14:paraId="0C55C0F7">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正方形边框</w:t>
                  </w:r>
                </w:p>
              </w:tc>
              <w:tc>
                <w:tcPr>
                  <w:tcW w:w="2044" w:type="dxa"/>
                  <w:vAlign w:val="center"/>
                </w:tcPr>
                <w:p w14:paraId="50D8793B">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绿色</w:t>
                  </w:r>
                </w:p>
              </w:tc>
              <w:tc>
                <w:tcPr>
                  <w:tcW w:w="2044" w:type="dxa"/>
                  <w:vAlign w:val="center"/>
                </w:tcPr>
                <w:p w14:paraId="1BAF9A70">
                  <w:pPr>
                    <w:widowControl w:val="0"/>
                    <w:overflowPunct w:val="0"/>
                    <w:autoSpaceDE w:val="0"/>
                    <w:autoSpaceDN w:val="0"/>
                    <w:snapToGrid w:val="0"/>
                    <w:jc w:val="center"/>
                    <w:rPr>
                      <w:color w:val="auto"/>
                      <w14:ligatures w14:val="standardContextual"/>
                    </w:rPr>
                  </w:pPr>
                  <w:r>
                    <w:rPr>
                      <w:rFonts w:hint="eastAsia"/>
                      <w:color w:val="auto"/>
                      <w:lang w:bidi="ar"/>
                      <w14:ligatures w14:val="standardContextual"/>
                    </w:rPr>
                    <w:t>白色</w:t>
                  </w:r>
                </w:p>
              </w:tc>
            </w:tr>
          </w:tbl>
          <w:p w14:paraId="1D446D1D">
            <w:pPr>
              <w:pStyle w:val="49"/>
              <w:rPr>
                <w:color w:val="auto"/>
              </w:rPr>
            </w:pPr>
            <w:r>
              <w:rPr>
                <w:rFonts w:hint="eastAsia"/>
                <w:color w:val="auto"/>
              </w:rPr>
              <w:t xml:space="preserve">表4- </w:t>
            </w:r>
            <w:r>
              <w:rPr>
                <w:color w:val="auto"/>
              </w:rPr>
              <w:t>23</w:t>
            </w:r>
            <w:r>
              <w:rPr>
                <w:rFonts w:hint="eastAsia"/>
                <w:color w:val="auto"/>
              </w:rPr>
              <w:t>：环境保护图形符号一览表</w:t>
            </w:r>
          </w:p>
          <w:tbl>
            <w:tblPr>
              <w:tblStyle w:val="50"/>
              <w:tblW w:w="79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41"/>
              <w:gridCol w:w="1604"/>
              <w:gridCol w:w="1412"/>
              <w:gridCol w:w="1363"/>
              <w:gridCol w:w="3018"/>
            </w:tblGrid>
            <w:tr w14:paraId="4ACD92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3"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651AAAE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lang w:bidi="ar"/>
                      <w14:ligatures w14:val="standardContextual"/>
                    </w:rPr>
                    <w:t>序号</w:t>
                  </w:r>
                </w:p>
              </w:tc>
              <w:tc>
                <w:tcPr>
                  <w:tcW w:w="1607"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B1C4B8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lang w:bidi="ar"/>
                      <w14:ligatures w14:val="standardContextual"/>
                    </w:rPr>
                    <w:t>提示图标符号</w:t>
                  </w:r>
                </w:p>
              </w:tc>
              <w:tc>
                <w:tcPr>
                  <w:tcW w:w="1426"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78B009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lang w:bidi="ar"/>
                      <w14:ligatures w14:val="standardContextual"/>
                    </w:rPr>
                    <w:t>警告图标符号</w:t>
                  </w:r>
                </w:p>
              </w:tc>
              <w:tc>
                <w:tcPr>
                  <w:tcW w:w="1421"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AA28CA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lang w:bidi="ar"/>
                      <w14:ligatures w14:val="standardContextual"/>
                    </w:rPr>
                    <w:t>名称</w:t>
                  </w:r>
                </w:p>
              </w:tc>
              <w:tc>
                <w:tcPr>
                  <w:tcW w:w="3158" w:type="dxa"/>
                  <w:tcBorders>
                    <w:top w:val="single" w:color="auto" w:sz="12" w:space="0"/>
                    <w:bottom w:val="single" w:color="auto" w:sz="12" w:space="0"/>
                    <w:right w:val="nil"/>
                    <w:insideH w:val="single" w:sz="12" w:space="0"/>
                    <w:insideV w:val="single" w:sz="4" w:space="0"/>
                    <w:tl2br w:val="nil"/>
                    <w:tr2bl w:val="nil"/>
                  </w:tcBorders>
                  <w:vAlign w:val="center"/>
                </w:tcPr>
                <w:p w14:paraId="58FBB14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color w:val="auto"/>
                      <w:sz w:val="21"/>
                      <w:szCs w:val="21"/>
                      <w14:ligatures w14:val="standardContextual"/>
                    </w:rPr>
                  </w:pPr>
                  <w:r>
                    <w:rPr>
                      <w:rFonts w:hint="default" w:ascii="Times New Roman" w:hAnsi="Times New Roman" w:eastAsia="宋体" w:cs="Times New Roman"/>
                      <w:b/>
                      <w:i w:val="0"/>
                      <w:color w:val="auto"/>
                      <w:sz w:val="21"/>
                      <w:szCs w:val="21"/>
                      <w:lang w:bidi="ar"/>
                      <w14:ligatures w14:val="standardContextual"/>
                    </w:rPr>
                    <w:t>功能</w:t>
                  </w:r>
                </w:p>
              </w:tc>
            </w:tr>
            <w:tr w14:paraId="02B98D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3" w:type="dxa"/>
                  <w:vAlign w:val="center"/>
                </w:tcPr>
                <w:p w14:paraId="4B75E1BE">
                  <w:pPr>
                    <w:widowControl w:val="0"/>
                    <w:overflowPunct w:val="0"/>
                    <w:autoSpaceDE w:val="0"/>
                    <w:autoSpaceDN w:val="0"/>
                    <w:snapToGrid w:val="0"/>
                    <w:jc w:val="center"/>
                    <w:rPr>
                      <w:color w:val="auto"/>
                      <w14:ligatures w14:val="standardContextual"/>
                    </w:rPr>
                  </w:pPr>
                  <w:r>
                    <w:rPr>
                      <w:color w:val="auto"/>
                      <w:lang w:bidi="ar"/>
                      <w14:ligatures w14:val="standardContextual"/>
                    </w:rPr>
                    <w:t>1</w:t>
                  </w:r>
                </w:p>
              </w:tc>
              <w:tc>
                <w:tcPr>
                  <w:tcW w:w="1607" w:type="dxa"/>
                  <w:vAlign w:val="center"/>
                </w:tcPr>
                <w:p w14:paraId="04620095">
                  <w:pPr>
                    <w:widowControl w:val="0"/>
                    <w:overflowPunct w:val="0"/>
                    <w:autoSpaceDE w:val="0"/>
                    <w:autoSpaceDN w:val="0"/>
                    <w:snapToGrid w:val="0"/>
                    <w:jc w:val="center"/>
                    <w:rPr>
                      <w:color w:val="auto"/>
                      <w14:ligatures w14:val="standardContextual"/>
                    </w:rPr>
                  </w:pPr>
                  <w:r>
                    <w:rPr>
                      <w:color w:val="auto"/>
                      <w:lang w:bidi="ar"/>
                      <w14:ligatures w14:val="standardContextual"/>
                    </w:rPr>
                    <w:drawing>
                      <wp:inline distT="0" distB="0" distL="114300" distR="114300">
                        <wp:extent cx="561975" cy="571500"/>
                        <wp:effectExtent l="0" t="0" r="9525" b="0"/>
                        <wp:docPr id="41" name="图片 2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5" descr="IMG_257"/>
                                <pic:cNvPicPr>
                                  <a:picLocks noChangeAspect="1"/>
                                </pic:cNvPicPr>
                              </pic:nvPicPr>
                              <pic:blipFill>
                                <a:blip r:embed="rId18"/>
                                <a:stretch>
                                  <a:fillRect/>
                                </a:stretch>
                              </pic:blipFill>
                              <pic:spPr>
                                <a:xfrm>
                                  <a:off x="0" y="0"/>
                                  <a:ext cx="561975" cy="571500"/>
                                </a:xfrm>
                                <a:prstGeom prst="rect">
                                  <a:avLst/>
                                </a:prstGeom>
                                <a:noFill/>
                                <a:ln w="9525">
                                  <a:noFill/>
                                </a:ln>
                              </pic:spPr>
                            </pic:pic>
                          </a:graphicData>
                        </a:graphic>
                      </wp:inline>
                    </w:drawing>
                  </w:r>
                </w:p>
              </w:tc>
              <w:tc>
                <w:tcPr>
                  <w:tcW w:w="1426" w:type="dxa"/>
                  <w:vAlign w:val="center"/>
                </w:tcPr>
                <w:p w14:paraId="3EBCFD57">
                  <w:pPr>
                    <w:widowControl w:val="0"/>
                    <w:overflowPunct w:val="0"/>
                    <w:autoSpaceDE w:val="0"/>
                    <w:autoSpaceDN w:val="0"/>
                    <w:snapToGrid w:val="0"/>
                    <w:jc w:val="center"/>
                    <w:rPr>
                      <w:color w:val="auto"/>
                      <w14:ligatures w14:val="standardContextual"/>
                    </w:rPr>
                  </w:pPr>
                  <w:r>
                    <w:rPr>
                      <w:color w:val="auto"/>
                      <w:lang w:bidi="ar"/>
                      <w14:ligatures w14:val="standardContextual"/>
                    </w:rPr>
                    <w:drawing>
                      <wp:inline distT="0" distB="0" distL="114300" distR="114300">
                        <wp:extent cx="542925" cy="533400"/>
                        <wp:effectExtent l="0" t="0" r="9525" b="0"/>
                        <wp:docPr id="37" name="图片 2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6" descr="IMG_258"/>
                                <pic:cNvPicPr>
                                  <a:picLocks noChangeAspect="1"/>
                                </pic:cNvPicPr>
                              </pic:nvPicPr>
                              <pic:blipFill>
                                <a:blip r:embed="rId19"/>
                                <a:stretch>
                                  <a:fillRect/>
                                </a:stretch>
                              </pic:blipFill>
                              <pic:spPr>
                                <a:xfrm>
                                  <a:off x="0" y="0"/>
                                  <a:ext cx="542925" cy="533400"/>
                                </a:xfrm>
                                <a:prstGeom prst="rect">
                                  <a:avLst/>
                                </a:prstGeom>
                                <a:noFill/>
                                <a:ln w="9525">
                                  <a:noFill/>
                                </a:ln>
                              </pic:spPr>
                            </pic:pic>
                          </a:graphicData>
                        </a:graphic>
                      </wp:inline>
                    </w:drawing>
                  </w:r>
                </w:p>
              </w:tc>
              <w:tc>
                <w:tcPr>
                  <w:tcW w:w="1421" w:type="dxa"/>
                  <w:vAlign w:val="center"/>
                </w:tcPr>
                <w:p w14:paraId="734FC8B2">
                  <w:pPr>
                    <w:widowControl w:val="0"/>
                    <w:overflowPunct w:val="0"/>
                    <w:autoSpaceDE w:val="0"/>
                    <w:autoSpaceDN w:val="0"/>
                    <w:snapToGrid w:val="0"/>
                    <w:jc w:val="center"/>
                    <w:rPr>
                      <w:color w:val="auto"/>
                      <w14:ligatures w14:val="standardContextual"/>
                    </w:rPr>
                  </w:pPr>
                  <w:r>
                    <w:rPr>
                      <w:color w:val="auto"/>
                      <w:lang w:bidi="ar"/>
                      <w14:ligatures w14:val="standardContextual"/>
                    </w:rPr>
                    <w:t>废水排放口</w:t>
                  </w:r>
                </w:p>
              </w:tc>
              <w:tc>
                <w:tcPr>
                  <w:tcW w:w="3158" w:type="dxa"/>
                  <w:vAlign w:val="center"/>
                </w:tcPr>
                <w:p w14:paraId="56D3498D">
                  <w:pPr>
                    <w:widowControl w:val="0"/>
                    <w:overflowPunct w:val="0"/>
                    <w:autoSpaceDE w:val="0"/>
                    <w:autoSpaceDN w:val="0"/>
                    <w:snapToGrid w:val="0"/>
                    <w:jc w:val="center"/>
                    <w:rPr>
                      <w:color w:val="auto"/>
                      <w14:ligatures w14:val="standardContextual"/>
                    </w:rPr>
                  </w:pPr>
                  <w:r>
                    <w:rPr>
                      <w:color w:val="auto"/>
                      <w:lang w:bidi="ar"/>
                      <w14:ligatures w14:val="standardContextual"/>
                    </w:rPr>
                    <w:t>表示废水向水体排放</w:t>
                  </w:r>
                </w:p>
              </w:tc>
            </w:tr>
            <w:tr w14:paraId="5BC19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3" w:type="dxa"/>
                  <w:vAlign w:val="center"/>
                </w:tcPr>
                <w:p w14:paraId="23839FB1">
                  <w:pPr>
                    <w:widowControl w:val="0"/>
                    <w:overflowPunct w:val="0"/>
                    <w:autoSpaceDE w:val="0"/>
                    <w:autoSpaceDN w:val="0"/>
                    <w:snapToGrid w:val="0"/>
                    <w:jc w:val="center"/>
                    <w:rPr>
                      <w:color w:val="auto"/>
                      <w14:ligatures w14:val="standardContextual"/>
                    </w:rPr>
                  </w:pPr>
                  <w:r>
                    <w:rPr>
                      <w:color w:val="auto"/>
                      <w:lang w:bidi="ar"/>
                      <w14:ligatures w14:val="standardContextual"/>
                    </w:rPr>
                    <w:t>2</w:t>
                  </w:r>
                </w:p>
              </w:tc>
              <w:tc>
                <w:tcPr>
                  <w:tcW w:w="1607" w:type="dxa"/>
                  <w:vAlign w:val="center"/>
                </w:tcPr>
                <w:p w14:paraId="0B920553">
                  <w:pPr>
                    <w:widowControl w:val="0"/>
                    <w:overflowPunct w:val="0"/>
                    <w:autoSpaceDE w:val="0"/>
                    <w:autoSpaceDN w:val="0"/>
                    <w:snapToGrid w:val="0"/>
                    <w:jc w:val="center"/>
                    <w:rPr>
                      <w:color w:val="auto"/>
                      <w14:ligatures w14:val="standardContextual"/>
                    </w:rPr>
                  </w:pPr>
                  <w:r>
                    <w:rPr>
                      <w:color w:val="auto"/>
                      <w:lang w:bidi="ar"/>
                      <w14:ligatures w14:val="standardContextual"/>
                    </w:rPr>
                    <w:drawing>
                      <wp:inline distT="0" distB="0" distL="114300" distR="114300">
                        <wp:extent cx="542925" cy="542925"/>
                        <wp:effectExtent l="0" t="0" r="9525" b="9525"/>
                        <wp:docPr id="39" name="图片 2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7" descr="IMG_259"/>
                                <pic:cNvPicPr>
                                  <a:picLocks noChangeAspect="1"/>
                                </pic:cNvPicPr>
                              </pic:nvPicPr>
                              <pic:blipFill>
                                <a:blip r:embed="rId20"/>
                                <a:stretch>
                                  <a:fillRect/>
                                </a:stretch>
                              </pic:blipFill>
                              <pic:spPr>
                                <a:xfrm>
                                  <a:off x="0" y="0"/>
                                  <a:ext cx="542925" cy="542925"/>
                                </a:xfrm>
                                <a:prstGeom prst="rect">
                                  <a:avLst/>
                                </a:prstGeom>
                                <a:noFill/>
                                <a:ln w="9525">
                                  <a:noFill/>
                                </a:ln>
                              </pic:spPr>
                            </pic:pic>
                          </a:graphicData>
                        </a:graphic>
                      </wp:inline>
                    </w:drawing>
                  </w:r>
                </w:p>
              </w:tc>
              <w:tc>
                <w:tcPr>
                  <w:tcW w:w="1426" w:type="dxa"/>
                  <w:vAlign w:val="center"/>
                </w:tcPr>
                <w:p w14:paraId="7BE2F839">
                  <w:pPr>
                    <w:widowControl w:val="0"/>
                    <w:overflowPunct w:val="0"/>
                    <w:autoSpaceDE w:val="0"/>
                    <w:autoSpaceDN w:val="0"/>
                    <w:snapToGrid w:val="0"/>
                    <w:jc w:val="center"/>
                    <w:rPr>
                      <w:color w:val="auto"/>
                      <w14:ligatures w14:val="standardContextual"/>
                    </w:rPr>
                  </w:pPr>
                  <w:r>
                    <w:rPr>
                      <w:color w:val="auto"/>
                      <w:lang w:bidi="ar"/>
                      <w14:ligatures w14:val="standardContextual"/>
                    </w:rPr>
                    <w:drawing>
                      <wp:inline distT="0" distB="0" distL="114300" distR="114300">
                        <wp:extent cx="571500" cy="561975"/>
                        <wp:effectExtent l="0" t="0" r="0" b="9525"/>
                        <wp:docPr id="36" name="图片 2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descr="IMG_260"/>
                                <pic:cNvPicPr>
                                  <a:picLocks noChangeAspect="1"/>
                                </pic:cNvPicPr>
                              </pic:nvPicPr>
                              <pic:blipFill>
                                <a:blip r:embed="rId21"/>
                                <a:stretch>
                                  <a:fillRect/>
                                </a:stretch>
                              </pic:blipFill>
                              <pic:spPr>
                                <a:xfrm>
                                  <a:off x="0" y="0"/>
                                  <a:ext cx="571500" cy="561975"/>
                                </a:xfrm>
                                <a:prstGeom prst="rect">
                                  <a:avLst/>
                                </a:prstGeom>
                                <a:noFill/>
                                <a:ln w="9525">
                                  <a:noFill/>
                                </a:ln>
                              </pic:spPr>
                            </pic:pic>
                          </a:graphicData>
                        </a:graphic>
                      </wp:inline>
                    </w:drawing>
                  </w:r>
                </w:p>
              </w:tc>
              <w:tc>
                <w:tcPr>
                  <w:tcW w:w="1421" w:type="dxa"/>
                  <w:vAlign w:val="center"/>
                </w:tcPr>
                <w:p w14:paraId="4D598FF4">
                  <w:pPr>
                    <w:widowControl w:val="0"/>
                    <w:overflowPunct w:val="0"/>
                    <w:autoSpaceDE w:val="0"/>
                    <w:autoSpaceDN w:val="0"/>
                    <w:snapToGrid w:val="0"/>
                    <w:jc w:val="center"/>
                    <w:rPr>
                      <w:color w:val="auto"/>
                      <w14:ligatures w14:val="standardContextual"/>
                    </w:rPr>
                  </w:pPr>
                  <w:r>
                    <w:rPr>
                      <w:color w:val="auto"/>
                      <w:lang w:bidi="ar"/>
                      <w14:ligatures w14:val="standardContextual"/>
                    </w:rPr>
                    <w:t>废气排放口</w:t>
                  </w:r>
                </w:p>
              </w:tc>
              <w:tc>
                <w:tcPr>
                  <w:tcW w:w="3158" w:type="dxa"/>
                  <w:vAlign w:val="center"/>
                </w:tcPr>
                <w:p w14:paraId="7FF4572F">
                  <w:pPr>
                    <w:widowControl w:val="0"/>
                    <w:overflowPunct w:val="0"/>
                    <w:autoSpaceDE w:val="0"/>
                    <w:autoSpaceDN w:val="0"/>
                    <w:snapToGrid w:val="0"/>
                    <w:jc w:val="center"/>
                    <w:rPr>
                      <w:color w:val="auto"/>
                      <w14:ligatures w14:val="standardContextual"/>
                    </w:rPr>
                  </w:pPr>
                  <w:r>
                    <w:rPr>
                      <w:color w:val="auto"/>
                      <w:lang w:bidi="ar"/>
                      <w14:ligatures w14:val="standardContextual"/>
                    </w:rPr>
                    <w:t>表示废气大气排放</w:t>
                  </w:r>
                </w:p>
              </w:tc>
            </w:tr>
            <w:tr w14:paraId="1042FF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3" w:type="dxa"/>
                  <w:vAlign w:val="center"/>
                </w:tcPr>
                <w:p w14:paraId="2C6002C9">
                  <w:pPr>
                    <w:widowControl w:val="0"/>
                    <w:overflowPunct w:val="0"/>
                    <w:autoSpaceDE w:val="0"/>
                    <w:autoSpaceDN w:val="0"/>
                    <w:snapToGrid w:val="0"/>
                    <w:jc w:val="center"/>
                    <w:rPr>
                      <w:color w:val="auto"/>
                      <w14:ligatures w14:val="standardContextual"/>
                    </w:rPr>
                  </w:pPr>
                  <w:r>
                    <w:rPr>
                      <w:color w:val="auto"/>
                      <w:lang w:bidi="ar"/>
                      <w14:ligatures w14:val="standardContextual"/>
                    </w:rPr>
                    <w:t>3</w:t>
                  </w:r>
                </w:p>
              </w:tc>
              <w:tc>
                <w:tcPr>
                  <w:tcW w:w="1607" w:type="dxa"/>
                  <w:vAlign w:val="center"/>
                </w:tcPr>
                <w:p w14:paraId="7A5795B5">
                  <w:pPr>
                    <w:widowControl w:val="0"/>
                    <w:overflowPunct w:val="0"/>
                    <w:autoSpaceDE w:val="0"/>
                    <w:autoSpaceDN w:val="0"/>
                    <w:snapToGrid w:val="0"/>
                    <w:jc w:val="center"/>
                    <w:rPr>
                      <w:color w:val="auto"/>
                      <w14:ligatures w14:val="standardContextual"/>
                    </w:rPr>
                  </w:pPr>
                  <w:r>
                    <w:rPr>
                      <w:color w:val="auto"/>
                      <w:lang w:bidi="ar"/>
                      <w14:ligatures w14:val="standardContextual"/>
                    </w:rPr>
                    <w:drawing>
                      <wp:inline distT="0" distB="0" distL="114300" distR="114300">
                        <wp:extent cx="542925" cy="542925"/>
                        <wp:effectExtent l="0" t="0" r="9525" b="9525"/>
                        <wp:docPr id="38" name="图片 2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9" descr="IMG_261"/>
                                <pic:cNvPicPr>
                                  <a:picLocks noChangeAspect="1"/>
                                </pic:cNvPicPr>
                              </pic:nvPicPr>
                              <pic:blipFill>
                                <a:blip r:embed="rId22"/>
                                <a:stretch>
                                  <a:fillRect/>
                                </a:stretch>
                              </pic:blipFill>
                              <pic:spPr>
                                <a:xfrm>
                                  <a:off x="0" y="0"/>
                                  <a:ext cx="542925" cy="542925"/>
                                </a:xfrm>
                                <a:prstGeom prst="rect">
                                  <a:avLst/>
                                </a:prstGeom>
                                <a:noFill/>
                                <a:ln w="9525">
                                  <a:noFill/>
                                </a:ln>
                              </pic:spPr>
                            </pic:pic>
                          </a:graphicData>
                        </a:graphic>
                      </wp:inline>
                    </w:drawing>
                  </w:r>
                </w:p>
              </w:tc>
              <w:tc>
                <w:tcPr>
                  <w:tcW w:w="1426" w:type="dxa"/>
                  <w:vAlign w:val="center"/>
                </w:tcPr>
                <w:p w14:paraId="0D1745E8">
                  <w:pPr>
                    <w:widowControl w:val="0"/>
                    <w:overflowPunct w:val="0"/>
                    <w:autoSpaceDE w:val="0"/>
                    <w:autoSpaceDN w:val="0"/>
                    <w:snapToGrid w:val="0"/>
                    <w:jc w:val="center"/>
                    <w:rPr>
                      <w:color w:val="auto"/>
                      <w14:ligatures w14:val="standardContextual"/>
                    </w:rPr>
                  </w:pPr>
                  <w:r>
                    <w:rPr>
                      <w:color w:val="auto"/>
                      <w:lang w:bidi="ar"/>
                      <w14:ligatures w14:val="standardContextual"/>
                    </w:rPr>
                    <w:drawing>
                      <wp:inline distT="0" distB="0" distL="114300" distR="114300">
                        <wp:extent cx="523875" cy="485775"/>
                        <wp:effectExtent l="0" t="0" r="9525" b="9525"/>
                        <wp:docPr id="40" name="图片 3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descr="IMG_262"/>
                                <pic:cNvPicPr>
                                  <a:picLocks noChangeAspect="1"/>
                                </pic:cNvPicPr>
                              </pic:nvPicPr>
                              <pic:blipFill>
                                <a:blip r:embed="rId23"/>
                                <a:stretch>
                                  <a:fillRect/>
                                </a:stretch>
                              </pic:blipFill>
                              <pic:spPr>
                                <a:xfrm>
                                  <a:off x="0" y="0"/>
                                  <a:ext cx="523875" cy="485775"/>
                                </a:xfrm>
                                <a:prstGeom prst="rect">
                                  <a:avLst/>
                                </a:prstGeom>
                                <a:noFill/>
                                <a:ln w="9525">
                                  <a:noFill/>
                                </a:ln>
                              </pic:spPr>
                            </pic:pic>
                          </a:graphicData>
                        </a:graphic>
                      </wp:inline>
                    </w:drawing>
                  </w:r>
                </w:p>
              </w:tc>
              <w:tc>
                <w:tcPr>
                  <w:tcW w:w="1421" w:type="dxa"/>
                  <w:vAlign w:val="center"/>
                </w:tcPr>
                <w:p w14:paraId="50E18037">
                  <w:pPr>
                    <w:widowControl w:val="0"/>
                    <w:overflowPunct w:val="0"/>
                    <w:autoSpaceDE w:val="0"/>
                    <w:autoSpaceDN w:val="0"/>
                    <w:snapToGrid w:val="0"/>
                    <w:jc w:val="center"/>
                    <w:rPr>
                      <w:color w:val="auto"/>
                      <w14:ligatures w14:val="standardContextual"/>
                    </w:rPr>
                  </w:pPr>
                  <w:r>
                    <w:rPr>
                      <w:color w:val="auto"/>
                      <w:lang w:bidi="ar"/>
                      <w14:ligatures w14:val="standardContextual"/>
                    </w:rPr>
                    <w:t>一般固体废物</w:t>
                  </w:r>
                </w:p>
              </w:tc>
              <w:tc>
                <w:tcPr>
                  <w:tcW w:w="3158" w:type="dxa"/>
                  <w:vAlign w:val="center"/>
                </w:tcPr>
                <w:p w14:paraId="76009AE3">
                  <w:pPr>
                    <w:widowControl w:val="0"/>
                    <w:overflowPunct w:val="0"/>
                    <w:autoSpaceDE w:val="0"/>
                    <w:autoSpaceDN w:val="0"/>
                    <w:snapToGrid w:val="0"/>
                    <w:jc w:val="center"/>
                    <w:rPr>
                      <w:color w:val="auto"/>
                      <w14:ligatures w14:val="standardContextual"/>
                    </w:rPr>
                  </w:pPr>
                  <w:r>
                    <w:rPr>
                      <w:color w:val="auto"/>
                      <w:lang w:bidi="ar"/>
                      <w14:ligatures w14:val="standardContextual"/>
                    </w:rPr>
                    <w:t>表示一般固体废物贮存、处置场</w:t>
                  </w:r>
                </w:p>
              </w:tc>
            </w:tr>
            <w:tr w14:paraId="165804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3" w:type="dxa"/>
                  <w:vAlign w:val="center"/>
                </w:tcPr>
                <w:p w14:paraId="7556C059">
                  <w:pPr>
                    <w:widowControl w:val="0"/>
                    <w:overflowPunct w:val="0"/>
                    <w:autoSpaceDE w:val="0"/>
                    <w:autoSpaceDN w:val="0"/>
                    <w:snapToGrid w:val="0"/>
                    <w:jc w:val="center"/>
                    <w:rPr>
                      <w:color w:val="auto"/>
                      <w14:ligatures w14:val="standardContextual"/>
                    </w:rPr>
                  </w:pPr>
                  <w:r>
                    <w:rPr>
                      <w:color w:val="auto"/>
                      <w:lang w:bidi="ar"/>
                      <w14:ligatures w14:val="standardContextual"/>
                    </w:rPr>
                    <w:t>4</w:t>
                  </w:r>
                </w:p>
              </w:tc>
              <w:tc>
                <w:tcPr>
                  <w:tcW w:w="1607" w:type="dxa"/>
                  <w:vAlign w:val="center"/>
                </w:tcPr>
                <w:p w14:paraId="1C1DFAE3">
                  <w:pPr>
                    <w:widowControl w:val="0"/>
                    <w:overflowPunct w:val="0"/>
                    <w:autoSpaceDE w:val="0"/>
                    <w:autoSpaceDN w:val="0"/>
                    <w:snapToGrid w:val="0"/>
                    <w:jc w:val="center"/>
                    <w:rPr>
                      <w:color w:val="auto"/>
                      <w14:ligatures w14:val="standardContextual"/>
                    </w:rPr>
                  </w:pPr>
                  <w:r>
                    <w:rPr>
                      <w:color w:val="auto"/>
                      <w:lang w:bidi="ar"/>
                      <w14:ligatures w14:val="standardContextual"/>
                    </w:rPr>
                    <w:drawing>
                      <wp:inline distT="0" distB="0" distL="114300" distR="114300">
                        <wp:extent cx="504825" cy="504825"/>
                        <wp:effectExtent l="0" t="0" r="9525" b="9525"/>
                        <wp:docPr id="44" name="图片 3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IMG_263"/>
                                <pic:cNvPicPr>
                                  <a:picLocks noChangeAspect="1"/>
                                </pic:cNvPicPr>
                              </pic:nvPicPr>
                              <pic:blipFill>
                                <a:blip r:embed="rId24"/>
                                <a:stretch>
                                  <a:fillRect/>
                                </a:stretch>
                              </pic:blipFill>
                              <pic:spPr>
                                <a:xfrm>
                                  <a:off x="0" y="0"/>
                                  <a:ext cx="504825" cy="504825"/>
                                </a:xfrm>
                                <a:prstGeom prst="rect">
                                  <a:avLst/>
                                </a:prstGeom>
                                <a:noFill/>
                                <a:ln w="9525">
                                  <a:noFill/>
                                </a:ln>
                              </pic:spPr>
                            </pic:pic>
                          </a:graphicData>
                        </a:graphic>
                      </wp:inline>
                    </w:drawing>
                  </w:r>
                </w:p>
              </w:tc>
              <w:tc>
                <w:tcPr>
                  <w:tcW w:w="1426" w:type="dxa"/>
                  <w:vAlign w:val="center"/>
                </w:tcPr>
                <w:p w14:paraId="452EA750">
                  <w:pPr>
                    <w:widowControl w:val="0"/>
                    <w:overflowPunct w:val="0"/>
                    <w:autoSpaceDE w:val="0"/>
                    <w:autoSpaceDN w:val="0"/>
                    <w:snapToGrid w:val="0"/>
                    <w:jc w:val="center"/>
                    <w:rPr>
                      <w:color w:val="auto"/>
                      <w14:ligatures w14:val="standardContextual"/>
                    </w:rPr>
                  </w:pPr>
                  <w:r>
                    <w:rPr>
                      <w:color w:val="auto"/>
                      <w:lang w:bidi="ar"/>
                      <w14:ligatures w14:val="standardContextual"/>
                    </w:rPr>
                    <w:drawing>
                      <wp:inline distT="0" distB="0" distL="114300" distR="114300">
                        <wp:extent cx="657225" cy="581025"/>
                        <wp:effectExtent l="0" t="0" r="9525" b="9525"/>
                        <wp:docPr id="45" name="图片 3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2" descr="IMG_264"/>
                                <pic:cNvPicPr>
                                  <a:picLocks noChangeAspect="1"/>
                                </pic:cNvPicPr>
                              </pic:nvPicPr>
                              <pic:blipFill>
                                <a:blip r:embed="rId25"/>
                                <a:stretch>
                                  <a:fillRect/>
                                </a:stretch>
                              </pic:blipFill>
                              <pic:spPr>
                                <a:xfrm>
                                  <a:off x="0" y="0"/>
                                  <a:ext cx="657225" cy="581025"/>
                                </a:xfrm>
                                <a:prstGeom prst="rect">
                                  <a:avLst/>
                                </a:prstGeom>
                                <a:noFill/>
                                <a:ln w="9525">
                                  <a:noFill/>
                                </a:ln>
                              </pic:spPr>
                            </pic:pic>
                          </a:graphicData>
                        </a:graphic>
                      </wp:inline>
                    </w:drawing>
                  </w:r>
                </w:p>
              </w:tc>
              <w:tc>
                <w:tcPr>
                  <w:tcW w:w="1421" w:type="dxa"/>
                  <w:vAlign w:val="center"/>
                </w:tcPr>
                <w:p w14:paraId="29D58187">
                  <w:pPr>
                    <w:widowControl w:val="0"/>
                    <w:overflowPunct w:val="0"/>
                    <w:autoSpaceDE w:val="0"/>
                    <w:autoSpaceDN w:val="0"/>
                    <w:snapToGrid w:val="0"/>
                    <w:jc w:val="center"/>
                    <w:rPr>
                      <w:color w:val="auto"/>
                      <w14:ligatures w14:val="standardContextual"/>
                    </w:rPr>
                  </w:pPr>
                  <w:r>
                    <w:rPr>
                      <w:color w:val="auto"/>
                      <w:lang w:bidi="ar"/>
                      <w14:ligatures w14:val="standardContextual"/>
                    </w:rPr>
                    <w:t>噪声排放源</w:t>
                  </w:r>
                </w:p>
              </w:tc>
              <w:tc>
                <w:tcPr>
                  <w:tcW w:w="3158" w:type="dxa"/>
                  <w:vAlign w:val="center"/>
                </w:tcPr>
                <w:p w14:paraId="7ED6ED3C">
                  <w:pPr>
                    <w:widowControl w:val="0"/>
                    <w:overflowPunct w:val="0"/>
                    <w:autoSpaceDE w:val="0"/>
                    <w:autoSpaceDN w:val="0"/>
                    <w:snapToGrid w:val="0"/>
                    <w:jc w:val="center"/>
                    <w:rPr>
                      <w:color w:val="auto"/>
                      <w14:ligatures w14:val="standardContextual"/>
                    </w:rPr>
                  </w:pPr>
                  <w:r>
                    <w:rPr>
                      <w:color w:val="auto"/>
                      <w:lang w:bidi="ar"/>
                      <w14:ligatures w14:val="standardContextual"/>
                    </w:rPr>
                    <w:t>表示噪声向环境排放</w:t>
                  </w:r>
                </w:p>
              </w:tc>
            </w:tr>
            <w:tr w14:paraId="0B6AE1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jc w:val="center"/>
              </w:trPr>
              <w:tc>
                <w:tcPr>
                  <w:tcW w:w="553" w:type="dxa"/>
                  <w:vAlign w:val="center"/>
                </w:tcPr>
                <w:p w14:paraId="49BCAC19">
                  <w:pPr>
                    <w:widowControl w:val="0"/>
                    <w:overflowPunct w:val="0"/>
                    <w:autoSpaceDE w:val="0"/>
                    <w:autoSpaceDN w:val="0"/>
                    <w:snapToGrid w:val="0"/>
                    <w:jc w:val="center"/>
                    <w:rPr>
                      <w:color w:val="auto"/>
                      <w14:ligatures w14:val="standardContextual"/>
                    </w:rPr>
                  </w:pPr>
                  <w:r>
                    <w:rPr>
                      <w:color w:val="auto"/>
                      <w:lang w:bidi="ar"/>
                      <w14:ligatures w14:val="standardContextual"/>
                    </w:rPr>
                    <w:t>5</w:t>
                  </w:r>
                </w:p>
              </w:tc>
              <w:tc>
                <w:tcPr>
                  <w:tcW w:w="1607" w:type="dxa"/>
                  <w:vAlign w:val="center"/>
                </w:tcPr>
                <w:p w14:paraId="66231871">
                  <w:pPr>
                    <w:widowControl w:val="0"/>
                    <w:overflowPunct w:val="0"/>
                    <w:autoSpaceDE w:val="0"/>
                    <w:autoSpaceDN w:val="0"/>
                    <w:snapToGrid w:val="0"/>
                    <w:jc w:val="center"/>
                    <w:rPr>
                      <w:color w:val="auto"/>
                      <w14:ligatures w14:val="standardContextual"/>
                    </w:rPr>
                  </w:pPr>
                  <w:r>
                    <w:rPr>
                      <w:color w:val="auto"/>
                      <w14:ligatures w14:val="standardContextual"/>
                    </w:rPr>
                    <w:drawing>
                      <wp:inline distT="0" distB="0" distL="114300" distR="114300">
                        <wp:extent cx="901065" cy="568960"/>
                        <wp:effectExtent l="0" t="0" r="1333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901065" cy="568960"/>
                                </a:xfrm>
                                <a:prstGeom prst="rect">
                                  <a:avLst/>
                                </a:prstGeom>
                                <a:noFill/>
                                <a:ln>
                                  <a:noFill/>
                                </a:ln>
                              </pic:spPr>
                            </pic:pic>
                          </a:graphicData>
                        </a:graphic>
                      </wp:inline>
                    </w:drawing>
                  </w:r>
                </w:p>
              </w:tc>
              <w:tc>
                <w:tcPr>
                  <w:tcW w:w="1426" w:type="dxa"/>
                  <w:vAlign w:val="center"/>
                </w:tcPr>
                <w:p w14:paraId="6B6D8D53">
                  <w:pPr>
                    <w:widowControl w:val="0"/>
                    <w:overflowPunct w:val="0"/>
                    <w:autoSpaceDE w:val="0"/>
                    <w:autoSpaceDN w:val="0"/>
                    <w:snapToGrid w:val="0"/>
                    <w:jc w:val="center"/>
                    <w:rPr>
                      <w:color w:val="auto"/>
                      <w14:ligatures w14:val="standardContextual"/>
                    </w:rPr>
                  </w:pPr>
                  <w:r>
                    <w:rPr>
                      <w:color w:val="auto"/>
                      <w14:ligatures w14:val="standardContextual"/>
                    </w:rPr>
                    <w:drawing>
                      <wp:inline distT="0" distB="0" distL="0" distR="0">
                        <wp:extent cx="658495" cy="579120"/>
                        <wp:effectExtent l="0" t="0" r="8255" b="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58800" cy="579600"/>
                                </a:xfrm>
                                <a:prstGeom prst="rect">
                                  <a:avLst/>
                                </a:prstGeom>
                                <a:noFill/>
                                <a:ln w="9525">
                                  <a:noFill/>
                                </a:ln>
                              </pic:spPr>
                            </pic:pic>
                          </a:graphicData>
                        </a:graphic>
                      </wp:inline>
                    </w:drawing>
                  </w:r>
                </w:p>
              </w:tc>
              <w:tc>
                <w:tcPr>
                  <w:tcW w:w="1421" w:type="dxa"/>
                  <w:vAlign w:val="center"/>
                </w:tcPr>
                <w:p w14:paraId="64D3A708">
                  <w:pPr>
                    <w:widowControl w:val="0"/>
                    <w:overflowPunct w:val="0"/>
                    <w:autoSpaceDE w:val="0"/>
                    <w:autoSpaceDN w:val="0"/>
                    <w:snapToGrid w:val="0"/>
                    <w:jc w:val="center"/>
                    <w:rPr>
                      <w:color w:val="auto"/>
                      <w14:ligatures w14:val="standardContextual"/>
                    </w:rPr>
                  </w:pPr>
                  <w:r>
                    <w:rPr>
                      <w:color w:val="auto"/>
                      <w:lang w:bidi="ar"/>
                      <w14:ligatures w14:val="standardContextual"/>
                    </w:rPr>
                    <w:t>危险废物</w:t>
                  </w:r>
                </w:p>
              </w:tc>
              <w:tc>
                <w:tcPr>
                  <w:tcW w:w="3158" w:type="dxa"/>
                  <w:vAlign w:val="center"/>
                </w:tcPr>
                <w:p w14:paraId="26BBBDBE">
                  <w:pPr>
                    <w:widowControl w:val="0"/>
                    <w:overflowPunct w:val="0"/>
                    <w:autoSpaceDE w:val="0"/>
                    <w:autoSpaceDN w:val="0"/>
                    <w:snapToGrid w:val="0"/>
                    <w:jc w:val="center"/>
                    <w:rPr>
                      <w:color w:val="auto"/>
                      <w14:ligatures w14:val="standardContextual"/>
                    </w:rPr>
                  </w:pPr>
                  <w:r>
                    <w:rPr>
                      <w:color w:val="auto"/>
                      <w:lang w:bidi="ar"/>
                      <w14:ligatures w14:val="standardContextual"/>
                    </w:rPr>
                    <w:t>表示危险废物贮存、处置场</w:t>
                  </w:r>
                </w:p>
              </w:tc>
            </w:tr>
          </w:tbl>
          <w:p w14:paraId="1E61EC18">
            <w:pPr>
              <w:pStyle w:val="3"/>
              <w:ind w:firstLine="480"/>
              <w:rPr>
                <w:color w:val="auto"/>
              </w:rPr>
            </w:pPr>
          </w:p>
          <w:p w14:paraId="26082BC0">
            <w:pPr>
              <w:pStyle w:val="3"/>
              <w:keepNext/>
              <w:ind w:firstLine="480"/>
              <w:rPr>
                <w:color w:val="auto"/>
              </w:rPr>
            </w:pPr>
          </w:p>
        </w:tc>
      </w:tr>
    </w:tbl>
    <w:p w14:paraId="157B6997">
      <w:pPr>
        <w:pStyle w:val="9"/>
        <w:rPr>
          <w:rFonts w:cs="宋体"/>
          <w:b/>
          <w:color w:val="auto"/>
          <w:sz w:val="28"/>
          <w:szCs w:val="28"/>
        </w:rPr>
        <w:sectPr>
          <w:pgSz w:w="11907" w:h="16840"/>
          <w:pgMar w:top="1701" w:right="1531" w:bottom="2127" w:left="1531" w:header="851" w:footer="851" w:gutter="0"/>
          <w:cols w:space="720" w:num="1"/>
          <w:docGrid w:linePitch="312" w:charSpace="0"/>
        </w:sectPr>
      </w:pPr>
    </w:p>
    <w:p w14:paraId="79DE0392">
      <w:pPr>
        <w:pStyle w:val="2"/>
        <w:rPr>
          <w:snapToGrid w:val="0"/>
          <w:color w:val="auto"/>
        </w:rPr>
      </w:pPr>
      <w:bookmarkStart w:id="42" w:name="_Toc175609277"/>
      <w:bookmarkStart w:id="43" w:name="_Hlk54167917"/>
      <w:bookmarkStart w:id="44" w:name="_Toc177030778"/>
      <w:r>
        <w:rPr>
          <w:rFonts w:hint="eastAsia"/>
          <w:snapToGrid w:val="0"/>
          <w:color w:val="auto"/>
        </w:rPr>
        <w:t>环境保护措施监督检查清单</w:t>
      </w:r>
      <w:bookmarkEnd w:id="42"/>
      <w:bookmarkEnd w:id="43"/>
      <w:bookmarkEnd w:id="44"/>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146"/>
        <w:gridCol w:w="1547"/>
        <w:gridCol w:w="1571"/>
        <w:gridCol w:w="3565"/>
      </w:tblGrid>
      <w:tr w14:paraId="7A2F6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tcBorders>
              <w:tl2br w:val="single" w:color="auto" w:sz="4" w:space="0"/>
            </w:tcBorders>
            <w:vAlign w:val="center"/>
          </w:tcPr>
          <w:p w14:paraId="553BE476">
            <w:pPr>
              <w:snapToGrid w:val="0"/>
              <w:ind w:firstLine="240" w:firstLineChars="100"/>
              <w:rPr>
                <w:rFonts w:cs="宋体"/>
                <w:color w:val="auto"/>
                <w:sz w:val="24"/>
              </w:rPr>
            </w:pPr>
            <w:r>
              <w:rPr>
                <w:rFonts w:hint="eastAsia" w:cs="宋体"/>
                <w:color w:val="auto"/>
                <w:sz w:val="24"/>
              </w:rPr>
              <w:t>内容</w:t>
            </w:r>
          </w:p>
          <w:p w14:paraId="75B85669">
            <w:pPr>
              <w:snapToGrid w:val="0"/>
              <w:rPr>
                <w:rFonts w:cs="宋体"/>
                <w:color w:val="auto"/>
                <w:sz w:val="24"/>
              </w:rPr>
            </w:pPr>
            <w:r>
              <w:rPr>
                <w:rFonts w:hint="eastAsia" w:cs="宋体"/>
                <w:color w:val="auto"/>
                <w:sz w:val="24"/>
              </w:rPr>
              <w:t>要素</w:t>
            </w:r>
          </w:p>
        </w:tc>
        <w:tc>
          <w:tcPr>
            <w:tcW w:w="1146" w:type="dxa"/>
            <w:vAlign w:val="center"/>
          </w:tcPr>
          <w:p w14:paraId="3BD7E84A">
            <w:pPr>
              <w:snapToGrid w:val="0"/>
              <w:jc w:val="center"/>
              <w:rPr>
                <w:rFonts w:cs="宋体"/>
                <w:color w:val="auto"/>
                <w:sz w:val="24"/>
              </w:rPr>
            </w:pPr>
            <w:r>
              <w:rPr>
                <w:rFonts w:hint="eastAsia" w:cs="宋体"/>
                <w:color w:val="auto"/>
                <w:sz w:val="24"/>
              </w:rPr>
              <w:t>排放口(编号、名称)/污染源</w:t>
            </w:r>
          </w:p>
        </w:tc>
        <w:tc>
          <w:tcPr>
            <w:tcW w:w="1547" w:type="dxa"/>
            <w:vAlign w:val="center"/>
          </w:tcPr>
          <w:p w14:paraId="64F73952">
            <w:pPr>
              <w:snapToGrid w:val="0"/>
              <w:jc w:val="center"/>
              <w:rPr>
                <w:rFonts w:cs="宋体"/>
                <w:color w:val="auto"/>
                <w:sz w:val="24"/>
              </w:rPr>
            </w:pPr>
            <w:r>
              <w:rPr>
                <w:rFonts w:hint="eastAsia" w:cs="宋体"/>
                <w:color w:val="auto"/>
                <w:sz w:val="24"/>
              </w:rPr>
              <w:t>污染物项目</w:t>
            </w:r>
          </w:p>
        </w:tc>
        <w:tc>
          <w:tcPr>
            <w:tcW w:w="1571" w:type="dxa"/>
            <w:vAlign w:val="center"/>
          </w:tcPr>
          <w:p w14:paraId="7B5EE1D7">
            <w:pPr>
              <w:snapToGrid w:val="0"/>
              <w:jc w:val="center"/>
              <w:rPr>
                <w:rFonts w:cs="宋体"/>
                <w:color w:val="auto"/>
                <w:sz w:val="24"/>
              </w:rPr>
            </w:pPr>
            <w:r>
              <w:rPr>
                <w:rFonts w:hint="eastAsia" w:cs="宋体"/>
                <w:color w:val="auto"/>
                <w:sz w:val="24"/>
              </w:rPr>
              <w:t>环境保护措施</w:t>
            </w:r>
          </w:p>
        </w:tc>
        <w:tc>
          <w:tcPr>
            <w:tcW w:w="3565" w:type="dxa"/>
            <w:vAlign w:val="center"/>
          </w:tcPr>
          <w:p w14:paraId="020AFA42">
            <w:pPr>
              <w:snapToGrid w:val="0"/>
              <w:jc w:val="center"/>
              <w:rPr>
                <w:rFonts w:cs="宋体"/>
                <w:color w:val="auto"/>
                <w:sz w:val="24"/>
              </w:rPr>
            </w:pPr>
            <w:r>
              <w:rPr>
                <w:rFonts w:hint="eastAsia" w:cs="宋体"/>
                <w:color w:val="auto"/>
                <w:sz w:val="24"/>
              </w:rPr>
              <w:t>执行标准</w:t>
            </w:r>
          </w:p>
        </w:tc>
      </w:tr>
      <w:tr w14:paraId="1EA49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971" w:type="dxa"/>
            <w:vAlign w:val="center"/>
          </w:tcPr>
          <w:p w14:paraId="382D4DC5">
            <w:pPr>
              <w:snapToGrid w:val="0"/>
              <w:jc w:val="center"/>
              <w:rPr>
                <w:rFonts w:cs="宋体"/>
                <w:color w:val="auto"/>
                <w:sz w:val="24"/>
              </w:rPr>
            </w:pPr>
            <w:r>
              <w:rPr>
                <w:rFonts w:hint="eastAsia" w:cs="宋体"/>
                <w:color w:val="auto"/>
                <w:sz w:val="24"/>
              </w:rPr>
              <w:t>大气环境</w:t>
            </w:r>
          </w:p>
        </w:tc>
        <w:tc>
          <w:tcPr>
            <w:tcW w:w="1146" w:type="dxa"/>
            <w:vAlign w:val="center"/>
          </w:tcPr>
          <w:p w14:paraId="3D0D5AA7">
            <w:pPr>
              <w:jc w:val="center"/>
              <w:rPr>
                <w:rFonts w:cs="宋体"/>
                <w:color w:val="auto"/>
                <w:sz w:val="24"/>
                <w:szCs w:val="24"/>
              </w:rPr>
            </w:pPr>
            <w:r>
              <w:rPr>
                <w:rFonts w:hint="eastAsia" w:cs="宋体"/>
                <w:color w:val="auto"/>
                <w:sz w:val="24"/>
                <w:szCs w:val="24"/>
              </w:rPr>
              <w:t>厂界无组织</w:t>
            </w:r>
          </w:p>
        </w:tc>
        <w:tc>
          <w:tcPr>
            <w:tcW w:w="1547" w:type="dxa"/>
            <w:vAlign w:val="center"/>
          </w:tcPr>
          <w:p w14:paraId="445B9B93">
            <w:pPr>
              <w:snapToGrid w:val="0"/>
              <w:jc w:val="center"/>
              <w:rPr>
                <w:rFonts w:cs="宋体"/>
                <w:color w:val="auto"/>
                <w:sz w:val="24"/>
                <w:szCs w:val="24"/>
              </w:rPr>
            </w:pPr>
            <w:r>
              <w:rPr>
                <w:rFonts w:hint="eastAsia" w:cs="宋体"/>
                <w:color w:val="auto"/>
                <w:sz w:val="24"/>
                <w:szCs w:val="24"/>
              </w:rPr>
              <w:t>颗粒物</w:t>
            </w:r>
          </w:p>
        </w:tc>
        <w:tc>
          <w:tcPr>
            <w:tcW w:w="1571" w:type="dxa"/>
            <w:vAlign w:val="center"/>
          </w:tcPr>
          <w:p w14:paraId="096C2741">
            <w:pPr>
              <w:jc w:val="center"/>
              <w:rPr>
                <w:rFonts w:cs="宋体"/>
                <w:color w:val="auto"/>
                <w:sz w:val="24"/>
                <w:szCs w:val="24"/>
              </w:rPr>
            </w:pPr>
            <w:r>
              <w:rPr>
                <w:rFonts w:hint="eastAsia" w:cs="宋体"/>
                <w:color w:val="auto"/>
                <w:sz w:val="24"/>
                <w:szCs w:val="24"/>
              </w:rPr>
              <w:t>设有封闭煤棚，内设喷淋设施，皮带机上设封闭隔尘罩，地面硬化，道路定期洒水并采取清扫措施等</w:t>
            </w:r>
          </w:p>
        </w:tc>
        <w:tc>
          <w:tcPr>
            <w:tcW w:w="3565" w:type="dxa"/>
            <w:vAlign w:val="center"/>
          </w:tcPr>
          <w:p w14:paraId="152A9BB8">
            <w:pPr>
              <w:snapToGrid w:val="0"/>
              <w:jc w:val="center"/>
              <w:rPr>
                <w:color w:val="auto"/>
              </w:rPr>
            </w:pPr>
            <w:r>
              <w:rPr>
                <w:rFonts w:hint="eastAsia" w:cs="宋体"/>
                <w:color w:val="auto"/>
                <w:sz w:val="24"/>
              </w:rPr>
              <w:t>《煤炭工业污染物排放标准》（GB20426-2006）中规定的排放限值要求</w:t>
            </w:r>
          </w:p>
        </w:tc>
      </w:tr>
      <w:tr w14:paraId="7D268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71" w:type="dxa"/>
            <w:vMerge w:val="restart"/>
            <w:vAlign w:val="center"/>
          </w:tcPr>
          <w:p w14:paraId="27CEF30B">
            <w:pPr>
              <w:snapToGrid w:val="0"/>
              <w:jc w:val="center"/>
              <w:rPr>
                <w:rFonts w:hint="eastAsia" w:cs="宋体"/>
                <w:color w:val="auto"/>
                <w:sz w:val="24"/>
              </w:rPr>
            </w:pPr>
            <w:r>
              <w:rPr>
                <w:rFonts w:hint="eastAsia" w:cs="宋体"/>
                <w:color w:val="auto"/>
                <w:sz w:val="24"/>
              </w:rPr>
              <w:t>地表水环境</w:t>
            </w:r>
          </w:p>
        </w:tc>
        <w:tc>
          <w:tcPr>
            <w:tcW w:w="1146" w:type="dxa"/>
            <w:vAlign w:val="center"/>
          </w:tcPr>
          <w:p w14:paraId="494EB288">
            <w:pPr>
              <w:snapToGrid w:val="0"/>
              <w:jc w:val="center"/>
              <w:rPr>
                <w:rFonts w:hint="eastAsia"/>
                <w:color w:val="auto"/>
                <w:sz w:val="24"/>
                <w:szCs w:val="24"/>
              </w:rPr>
            </w:pPr>
            <w:r>
              <w:rPr>
                <w:rFonts w:hint="eastAsia"/>
                <w:color w:val="auto"/>
                <w:sz w:val="24"/>
                <w:szCs w:val="24"/>
              </w:rPr>
              <w:t>清洗废水</w:t>
            </w:r>
          </w:p>
        </w:tc>
        <w:tc>
          <w:tcPr>
            <w:tcW w:w="1547" w:type="dxa"/>
            <w:vAlign w:val="center"/>
          </w:tcPr>
          <w:p w14:paraId="6B23D476">
            <w:pPr>
              <w:snapToGrid w:val="0"/>
              <w:jc w:val="center"/>
              <w:rPr>
                <w:rFonts w:hint="eastAsia"/>
                <w:color w:val="auto"/>
                <w:sz w:val="24"/>
                <w:szCs w:val="24"/>
              </w:rPr>
            </w:pPr>
            <w:r>
              <w:rPr>
                <w:rFonts w:hint="eastAsia"/>
                <w:color w:val="auto"/>
                <w:sz w:val="24"/>
                <w:szCs w:val="24"/>
              </w:rPr>
              <w:t>SS</w:t>
            </w:r>
          </w:p>
        </w:tc>
        <w:tc>
          <w:tcPr>
            <w:tcW w:w="1571" w:type="dxa"/>
            <w:vAlign w:val="center"/>
          </w:tcPr>
          <w:p w14:paraId="589A9087">
            <w:pPr>
              <w:snapToGrid w:val="0"/>
              <w:jc w:val="center"/>
              <w:rPr>
                <w:rFonts w:hint="eastAsia" w:cs="宋体"/>
                <w:color w:val="auto"/>
                <w:sz w:val="24"/>
                <w:szCs w:val="24"/>
              </w:rPr>
            </w:pPr>
            <w:r>
              <w:rPr>
                <w:rFonts w:hint="eastAsia" w:cs="宋体"/>
                <w:color w:val="auto"/>
                <w:sz w:val="24"/>
                <w:szCs w:val="24"/>
              </w:rPr>
              <w:t>车辆清洗平台及1座沉淀水池</w:t>
            </w:r>
          </w:p>
        </w:tc>
        <w:tc>
          <w:tcPr>
            <w:tcW w:w="3565" w:type="dxa"/>
            <w:vAlign w:val="center"/>
          </w:tcPr>
          <w:p w14:paraId="3CA766FB">
            <w:pPr>
              <w:snapToGrid w:val="0"/>
              <w:jc w:val="center"/>
              <w:rPr>
                <w:rFonts w:hint="eastAsia" w:cs="宋体"/>
                <w:color w:val="auto"/>
                <w:sz w:val="24"/>
                <w:szCs w:val="24"/>
              </w:rPr>
            </w:pPr>
            <w:r>
              <w:rPr>
                <w:rFonts w:hint="eastAsia" w:cs="宋体"/>
                <w:color w:val="auto"/>
                <w:sz w:val="24"/>
                <w:szCs w:val="24"/>
              </w:rPr>
              <w:t>循环使用、定期补充，不外排，定期清理沉淀池沉渣</w:t>
            </w:r>
          </w:p>
        </w:tc>
      </w:tr>
      <w:tr w14:paraId="63F3B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71" w:type="dxa"/>
            <w:vMerge w:val="continue"/>
            <w:vAlign w:val="center"/>
          </w:tcPr>
          <w:p w14:paraId="0A8AD8F1">
            <w:pPr>
              <w:snapToGrid w:val="0"/>
              <w:jc w:val="center"/>
              <w:rPr>
                <w:rFonts w:cs="宋体"/>
                <w:color w:val="auto"/>
                <w:sz w:val="24"/>
              </w:rPr>
            </w:pPr>
          </w:p>
        </w:tc>
        <w:tc>
          <w:tcPr>
            <w:tcW w:w="1146" w:type="dxa"/>
            <w:vAlign w:val="center"/>
          </w:tcPr>
          <w:p w14:paraId="0BB13DB7">
            <w:pPr>
              <w:snapToGrid w:val="0"/>
              <w:jc w:val="center"/>
              <w:rPr>
                <w:color w:val="auto"/>
                <w:sz w:val="24"/>
                <w:szCs w:val="24"/>
              </w:rPr>
            </w:pPr>
            <w:r>
              <w:rPr>
                <w:rFonts w:hint="eastAsia"/>
                <w:color w:val="auto"/>
                <w:sz w:val="24"/>
                <w:szCs w:val="24"/>
              </w:rPr>
              <w:t>生活污水</w:t>
            </w:r>
          </w:p>
        </w:tc>
        <w:tc>
          <w:tcPr>
            <w:tcW w:w="1547" w:type="dxa"/>
            <w:vAlign w:val="center"/>
          </w:tcPr>
          <w:p w14:paraId="299956BF">
            <w:pPr>
              <w:snapToGrid w:val="0"/>
              <w:jc w:val="center"/>
              <w:rPr>
                <w:color w:val="auto"/>
                <w:sz w:val="24"/>
                <w:szCs w:val="24"/>
              </w:rPr>
            </w:pPr>
            <w:r>
              <w:rPr>
                <w:rFonts w:hint="eastAsia"/>
                <w:color w:val="auto"/>
                <w:sz w:val="24"/>
                <w:szCs w:val="24"/>
              </w:rPr>
              <w:t>pH、COD、SS、氨氮、总磷、总氮</w:t>
            </w:r>
          </w:p>
        </w:tc>
        <w:tc>
          <w:tcPr>
            <w:tcW w:w="1571" w:type="dxa"/>
            <w:vAlign w:val="center"/>
          </w:tcPr>
          <w:p w14:paraId="7AA198E0">
            <w:pPr>
              <w:snapToGrid w:val="0"/>
              <w:jc w:val="center"/>
              <w:rPr>
                <w:rFonts w:cs="宋体"/>
                <w:color w:val="auto"/>
                <w:sz w:val="24"/>
                <w:szCs w:val="24"/>
              </w:rPr>
            </w:pPr>
            <w:r>
              <w:rPr>
                <w:rFonts w:hint="eastAsia" w:cs="宋体"/>
                <w:color w:val="auto"/>
                <w:sz w:val="24"/>
                <w:szCs w:val="24"/>
              </w:rPr>
              <w:t>地埋式一体化污水处理设施</w:t>
            </w:r>
          </w:p>
        </w:tc>
        <w:tc>
          <w:tcPr>
            <w:tcW w:w="3565" w:type="dxa"/>
            <w:vAlign w:val="center"/>
          </w:tcPr>
          <w:p w14:paraId="2472D21F">
            <w:pPr>
              <w:snapToGrid w:val="0"/>
              <w:jc w:val="center"/>
              <w:rPr>
                <w:rFonts w:cs="宋体"/>
                <w:color w:val="auto"/>
                <w:sz w:val="24"/>
                <w:szCs w:val="24"/>
              </w:rPr>
            </w:pPr>
            <w:r>
              <w:rPr>
                <w:rFonts w:hint="eastAsia" w:cs="宋体"/>
                <w:color w:val="auto"/>
                <w:sz w:val="24"/>
                <w:szCs w:val="24"/>
              </w:rPr>
              <w:t>排入地埋式一体化污水处理设施预处理后定期清运至鄯善县污水处理厂</w:t>
            </w:r>
          </w:p>
        </w:tc>
      </w:tr>
      <w:tr w14:paraId="4CCE9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14:paraId="6F85F1CA">
            <w:pPr>
              <w:snapToGrid w:val="0"/>
              <w:jc w:val="center"/>
              <w:rPr>
                <w:rFonts w:cs="宋体"/>
                <w:color w:val="auto"/>
                <w:sz w:val="24"/>
              </w:rPr>
            </w:pPr>
            <w:r>
              <w:rPr>
                <w:rFonts w:hint="eastAsia" w:cs="宋体"/>
                <w:color w:val="auto"/>
                <w:sz w:val="24"/>
              </w:rPr>
              <w:t>声环境</w:t>
            </w:r>
          </w:p>
        </w:tc>
        <w:tc>
          <w:tcPr>
            <w:tcW w:w="1146" w:type="dxa"/>
            <w:vAlign w:val="center"/>
          </w:tcPr>
          <w:p w14:paraId="0099C8C6">
            <w:pPr>
              <w:snapToGrid w:val="0"/>
              <w:jc w:val="center"/>
              <w:rPr>
                <w:rFonts w:cs="宋体"/>
                <w:color w:val="auto"/>
                <w:sz w:val="24"/>
                <w:szCs w:val="24"/>
              </w:rPr>
            </w:pPr>
            <w:r>
              <w:rPr>
                <w:rFonts w:hint="eastAsia" w:cs="宋体"/>
                <w:color w:val="auto"/>
                <w:sz w:val="24"/>
                <w:szCs w:val="24"/>
              </w:rPr>
              <w:t>设备噪声</w:t>
            </w:r>
          </w:p>
        </w:tc>
        <w:tc>
          <w:tcPr>
            <w:tcW w:w="1547" w:type="dxa"/>
            <w:vAlign w:val="center"/>
          </w:tcPr>
          <w:p w14:paraId="26B8071C">
            <w:pPr>
              <w:snapToGrid w:val="0"/>
              <w:jc w:val="center"/>
              <w:rPr>
                <w:rFonts w:cs="宋体"/>
                <w:color w:val="auto"/>
                <w:sz w:val="24"/>
                <w:szCs w:val="24"/>
              </w:rPr>
            </w:pPr>
            <w:r>
              <w:rPr>
                <w:rFonts w:hint="eastAsia"/>
                <w:color w:val="auto"/>
                <w:sz w:val="24"/>
                <w:szCs w:val="24"/>
              </w:rPr>
              <w:t>连续等效A声级</w:t>
            </w:r>
          </w:p>
        </w:tc>
        <w:tc>
          <w:tcPr>
            <w:tcW w:w="1571" w:type="dxa"/>
            <w:vAlign w:val="center"/>
          </w:tcPr>
          <w:p w14:paraId="7CF572F8">
            <w:pPr>
              <w:snapToGrid w:val="0"/>
              <w:jc w:val="center"/>
              <w:rPr>
                <w:rFonts w:cs="宋体"/>
                <w:color w:val="auto"/>
                <w:sz w:val="24"/>
                <w:szCs w:val="24"/>
              </w:rPr>
            </w:pPr>
            <w:r>
              <w:rPr>
                <w:rFonts w:hint="eastAsia"/>
                <w:color w:val="auto"/>
                <w:sz w:val="24"/>
                <w:szCs w:val="24"/>
              </w:rPr>
              <w:t>隔声、吸声、减振等</w:t>
            </w:r>
          </w:p>
        </w:tc>
        <w:tc>
          <w:tcPr>
            <w:tcW w:w="3565" w:type="dxa"/>
            <w:vAlign w:val="center"/>
          </w:tcPr>
          <w:p w14:paraId="6F488977">
            <w:pPr>
              <w:snapToGrid w:val="0"/>
              <w:jc w:val="center"/>
              <w:rPr>
                <w:rFonts w:cs="宋体"/>
                <w:color w:val="auto"/>
                <w:sz w:val="24"/>
                <w:szCs w:val="24"/>
              </w:rPr>
            </w:pPr>
            <w:r>
              <w:rPr>
                <w:rFonts w:hint="eastAsia" w:cs="宋体"/>
                <w:color w:val="auto"/>
                <w:sz w:val="24"/>
                <w:szCs w:val="24"/>
              </w:rPr>
              <w:t>《工业企业厂界环境噪声排放标准》（GB12348-2008）表1中的3类标准值</w:t>
            </w:r>
          </w:p>
        </w:tc>
      </w:tr>
      <w:tr w14:paraId="1559D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1" w:type="dxa"/>
            <w:vAlign w:val="center"/>
          </w:tcPr>
          <w:p w14:paraId="2D46A33A">
            <w:pPr>
              <w:snapToGrid w:val="0"/>
              <w:jc w:val="center"/>
              <w:rPr>
                <w:rFonts w:cs="宋体"/>
                <w:color w:val="auto"/>
                <w:sz w:val="24"/>
              </w:rPr>
            </w:pPr>
            <w:r>
              <w:rPr>
                <w:rFonts w:hint="eastAsia" w:cs="宋体"/>
                <w:color w:val="auto"/>
                <w:sz w:val="24"/>
              </w:rPr>
              <w:t>电磁辐射</w:t>
            </w:r>
          </w:p>
        </w:tc>
        <w:tc>
          <w:tcPr>
            <w:tcW w:w="1146" w:type="dxa"/>
            <w:vAlign w:val="center"/>
          </w:tcPr>
          <w:p w14:paraId="09F0BA7F">
            <w:pPr>
              <w:snapToGrid w:val="0"/>
              <w:jc w:val="center"/>
              <w:rPr>
                <w:rFonts w:cs="宋体"/>
                <w:color w:val="auto"/>
                <w:sz w:val="24"/>
              </w:rPr>
            </w:pPr>
            <w:r>
              <w:rPr>
                <w:rFonts w:hint="eastAsia"/>
                <w:color w:val="auto"/>
              </w:rPr>
              <w:t>——</w:t>
            </w:r>
          </w:p>
        </w:tc>
        <w:tc>
          <w:tcPr>
            <w:tcW w:w="1547" w:type="dxa"/>
            <w:vAlign w:val="center"/>
          </w:tcPr>
          <w:p w14:paraId="732F461E">
            <w:pPr>
              <w:snapToGrid w:val="0"/>
              <w:jc w:val="center"/>
              <w:rPr>
                <w:rFonts w:cs="宋体"/>
                <w:color w:val="auto"/>
                <w:sz w:val="24"/>
              </w:rPr>
            </w:pPr>
            <w:r>
              <w:rPr>
                <w:color w:val="auto"/>
              </w:rPr>
              <w:t>——</w:t>
            </w:r>
          </w:p>
        </w:tc>
        <w:tc>
          <w:tcPr>
            <w:tcW w:w="1571" w:type="dxa"/>
            <w:vAlign w:val="center"/>
          </w:tcPr>
          <w:p w14:paraId="77A1DEA3">
            <w:pPr>
              <w:snapToGrid w:val="0"/>
              <w:jc w:val="center"/>
              <w:rPr>
                <w:rFonts w:cs="宋体"/>
                <w:color w:val="auto"/>
                <w:sz w:val="24"/>
              </w:rPr>
            </w:pPr>
            <w:r>
              <w:rPr>
                <w:color w:val="auto"/>
              </w:rPr>
              <w:t>——</w:t>
            </w:r>
          </w:p>
        </w:tc>
        <w:tc>
          <w:tcPr>
            <w:tcW w:w="3565" w:type="dxa"/>
            <w:vAlign w:val="center"/>
          </w:tcPr>
          <w:p w14:paraId="17E7093B">
            <w:pPr>
              <w:snapToGrid w:val="0"/>
              <w:jc w:val="center"/>
              <w:rPr>
                <w:rFonts w:cs="宋体"/>
                <w:color w:val="auto"/>
                <w:sz w:val="24"/>
              </w:rPr>
            </w:pPr>
            <w:r>
              <w:rPr>
                <w:color w:val="auto"/>
              </w:rPr>
              <w:t>——</w:t>
            </w:r>
          </w:p>
        </w:tc>
      </w:tr>
      <w:tr w14:paraId="01220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71" w:type="dxa"/>
            <w:vAlign w:val="center"/>
          </w:tcPr>
          <w:p w14:paraId="320869A1">
            <w:pPr>
              <w:snapToGrid w:val="0"/>
              <w:jc w:val="center"/>
              <w:rPr>
                <w:rFonts w:cs="宋体"/>
                <w:color w:val="auto"/>
                <w:sz w:val="24"/>
              </w:rPr>
            </w:pPr>
            <w:r>
              <w:rPr>
                <w:rFonts w:hint="eastAsia" w:cs="宋体"/>
                <w:color w:val="auto"/>
                <w:sz w:val="24"/>
              </w:rPr>
              <w:t>固体废物</w:t>
            </w:r>
          </w:p>
        </w:tc>
        <w:tc>
          <w:tcPr>
            <w:tcW w:w="7829" w:type="dxa"/>
            <w:gridSpan w:val="4"/>
            <w:vAlign w:val="center"/>
          </w:tcPr>
          <w:p w14:paraId="45851C13">
            <w:pPr>
              <w:snapToGrid w:val="0"/>
              <w:jc w:val="left"/>
              <w:rPr>
                <w:color w:val="auto"/>
              </w:rPr>
            </w:pPr>
            <w:r>
              <w:rPr>
                <w:rFonts w:hint="eastAsia" w:cs="宋体"/>
                <w:color w:val="auto"/>
                <w:sz w:val="24"/>
              </w:rPr>
              <w:t>一般工业固体废物：沉淀池沉渣定期清理，不暂存，运送至住建部门指定堆存区；</w:t>
            </w:r>
          </w:p>
          <w:p w14:paraId="1E92CF29">
            <w:pPr>
              <w:snapToGrid w:val="0"/>
              <w:jc w:val="left"/>
              <w:rPr>
                <w:rFonts w:cs="宋体"/>
                <w:color w:val="auto"/>
                <w:sz w:val="24"/>
              </w:rPr>
            </w:pPr>
            <w:r>
              <w:rPr>
                <w:rFonts w:hint="eastAsia" w:cs="宋体"/>
                <w:color w:val="auto"/>
                <w:sz w:val="24"/>
              </w:rPr>
              <w:t>生活垃圾：生活垃圾由环卫部门收集后统一处理。</w:t>
            </w:r>
          </w:p>
        </w:tc>
      </w:tr>
      <w:tr w14:paraId="58AE9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71" w:type="dxa"/>
            <w:vAlign w:val="center"/>
          </w:tcPr>
          <w:p w14:paraId="1223ACCC">
            <w:pPr>
              <w:snapToGrid w:val="0"/>
              <w:jc w:val="center"/>
              <w:rPr>
                <w:rFonts w:cs="宋体"/>
                <w:color w:val="auto"/>
                <w:sz w:val="24"/>
              </w:rPr>
            </w:pPr>
            <w:r>
              <w:rPr>
                <w:rFonts w:hint="eastAsia" w:cs="宋体"/>
                <w:color w:val="auto"/>
                <w:sz w:val="24"/>
              </w:rPr>
              <w:t>土壤及地下水</w:t>
            </w:r>
          </w:p>
          <w:p w14:paraId="7DA8DB22">
            <w:pPr>
              <w:snapToGrid w:val="0"/>
              <w:jc w:val="center"/>
              <w:rPr>
                <w:rFonts w:cs="宋体"/>
                <w:color w:val="auto"/>
                <w:sz w:val="24"/>
              </w:rPr>
            </w:pPr>
            <w:r>
              <w:rPr>
                <w:rFonts w:hint="eastAsia" w:cs="宋体"/>
                <w:color w:val="auto"/>
                <w:sz w:val="24"/>
              </w:rPr>
              <w:t>污染防治措施</w:t>
            </w:r>
          </w:p>
        </w:tc>
        <w:tc>
          <w:tcPr>
            <w:tcW w:w="7829" w:type="dxa"/>
            <w:gridSpan w:val="4"/>
            <w:vAlign w:val="center"/>
          </w:tcPr>
          <w:p w14:paraId="51EBA891">
            <w:pPr>
              <w:snapToGrid w:val="0"/>
              <w:jc w:val="left"/>
              <w:rPr>
                <w:rFonts w:cs="宋体"/>
                <w:color w:val="auto"/>
                <w:sz w:val="24"/>
              </w:rPr>
            </w:pPr>
            <w:r>
              <w:rPr>
                <w:rFonts w:hint="eastAsia" w:cs="宋体"/>
                <w:color w:val="auto"/>
                <w:sz w:val="24"/>
              </w:rPr>
              <w:t>按照厂区装置和生产特点做好分区防渗措施，设置环保机构及专责人，建立和完善环保管理及奖惩制度、加强环保设施运行管理等。</w:t>
            </w:r>
          </w:p>
        </w:tc>
      </w:tr>
      <w:tr w14:paraId="79500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71" w:type="dxa"/>
            <w:vAlign w:val="center"/>
          </w:tcPr>
          <w:p w14:paraId="3C3BD6B2">
            <w:pPr>
              <w:snapToGrid w:val="0"/>
              <w:jc w:val="center"/>
              <w:rPr>
                <w:rFonts w:cs="宋体"/>
                <w:color w:val="auto"/>
                <w:sz w:val="24"/>
              </w:rPr>
            </w:pPr>
            <w:r>
              <w:rPr>
                <w:rFonts w:hint="eastAsia" w:cs="宋体"/>
                <w:color w:val="auto"/>
                <w:sz w:val="24"/>
              </w:rPr>
              <w:t>生态保护措施</w:t>
            </w:r>
          </w:p>
        </w:tc>
        <w:tc>
          <w:tcPr>
            <w:tcW w:w="7829" w:type="dxa"/>
            <w:gridSpan w:val="4"/>
            <w:vAlign w:val="center"/>
          </w:tcPr>
          <w:p w14:paraId="5EA84AF2">
            <w:pPr>
              <w:snapToGrid w:val="0"/>
              <w:jc w:val="center"/>
              <w:rPr>
                <w:rFonts w:cs="宋体"/>
                <w:color w:val="auto"/>
                <w:sz w:val="24"/>
              </w:rPr>
            </w:pPr>
            <w:r>
              <w:rPr>
                <w:rFonts w:hint="eastAsia" w:cs="宋体"/>
                <w:color w:val="auto"/>
                <w:sz w:val="24"/>
              </w:rPr>
              <w:t>项目营运期增强对工作人员的环保意识教育，加强厂区绿化，通过种植树木和铺设草地，增加厂区绿化率，采取以上措施后，能大大改善厂区生态环境，营造员工生产环境。</w:t>
            </w:r>
          </w:p>
        </w:tc>
      </w:tr>
      <w:tr w14:paraId="22C10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1" w:type="dxa"/>
            <w:vAlign w:val="center"/>
          </w:tcPr>
          <w:p w14:paraId="42F14BA2">
            <w:pPr>
              <w:snapToGrid w:val="0"/>
              <w:jc w:val="center"/>
              <w:rPr>
                <w:rFonts w:cs="宋体"/>
                <w:color w:val="auto"/>
                <w:spacing w:val="-8"/>
                <w:sz w:val="24"/>
              </w:rPr>
            </w:pPr>
            <w:r>
              <w:rPr>
                <w:rFonts w:hint="eastAsia" w:cs="宋体"/>
                <w:color w:val="auto"/>
                <w:spacing w:val="-8"/>
                <w:sz w:val="24"/>
              </w:rPr>
              <w:t>环境风险防范措施</w:t>
            </w:r>
          </w:p>
        </w:tc>
        <w:tc>
          <w:tcPr>
            <w:tcW w:w="7829" w:type="dxa"/>
            <w:gridSpan w:val="4"/>
            <w:vAlign w:val="center"/>
          </w:tcPr>
          <w:p w14:paraId="3DEF5C9E">
            <w:pPr>
              <w:snapToGrid w:val="0"/>
              <w:jc w:val="center"/>
              <w:rPr>
                <w:rFonts w:cs="宋体"/>
                <w:color w:val="auto"/>
                <w:sz w:val="24"/>
              </w:rPr>
            </w:pPr>
            <w:r>
              <w:rPr>
                <w:rFonts w:hint="eastAsia" w:cs="宋体"/>
                <w:color w:val="auto"/>
                <w:sz w:val="24"/>
              </w:rPr>
              <w:t>建设单位严格按照相关规范进行设计、建设，落实评价提出的防范措施，加强管理，可降低事故发生概率；制订应急预案，事故发生时及时采取应急措施，可减少事故带</w:t>
            </w:r>
            <w:bookmarkStart w:id="48" w:name="_GoBack"/>
            <w:bookmarkEnd w:id="48"/>
            <w:r>
              <w:rPr>
                <w:rFonts w:hint="eastAsia" w:cs="宋体"/>
                <w:color w:val="auto"/>
                <w:sz w:val="24"/>
              </w:rPr>
              <w:t>来的环境风险影响。</w:t>
            </w:r>
          </w:p>
        </w:tc>
      </w:tr>
      <w:tr w14:paraId="571F2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71" w:type="dxa"/>
            <w:vAlign w:val="center"/>
          </w:tcPr>
          <w:p w14:paraId="61346654">
            <w:pPr>
              <w:snapToGrid w:val="0"/>
              <w:jc w:val="center"/>
              <w:rPr>
                <w:rFonts w:cs="宋体"/>
                <w:color w:val="auto"/>
                <w:spacing w:val="-8"/>
                <w:sz w:val="24"/>
              </w:rPr>
            </w:pPr>
            <w:r>
              <w:rPr>
                <w:rFonts w:hint="eastAsia" w:cs="宋体"/>
                <w:color w:val="auto"/>
                <w:spacing w:val="-8"/>
                <w:sz w:val="24"/>
              </w:rPr>
              <w:t>其他环境管理要求</w:t>
            </w:r>
          </w:p>
        </w:tc>
        <w:tc>
          <w:tcPr>
            <w:tcW w:w="7829" w:type="dxa"/>
            <w:gridSpan w:val="4"/>
            <w:vAlign w:val="center"/>
          </w:tcPr>
          <w:p w14:paraId="324689BF">
            <w:pPr>
              <w:snapToGrid w:val="0"/>
              <w:rPr>
                <w:rFonts w:cs="宋体"/>
                <w:color w:val="auto"/>
                <w:sz w:val="24"/>
              </w:rPr>
            </w:pPr>
            <w:r>
              <w:rPr>
                <w:rFonts w:hint="eastAsia" w:cs="宋体"/>
                <w:color w:val="auto"/>
                <w:sz w:val="24"/>
              </w:rPr>
              <w:t>按照监测计划进行常规检测；排污口规范化管理；根据《建设项目竣工环境保护验收暂行办法》的规定，建设项目竣工后，建设单位应当如实查验、监测、记载建设项目环境保护设施的建设和调试情况，编制验收监测报告。</w:t>
            </w:r>
          </w:p>
        </w:tc>
      </w:tr>
    </w:tbl>
    <w:p w14:paraId="612AD0B4">
      <w:pPr>
        <w:pStyle w:val="2"/>
        <w:rPr>
          <w:snapToGrid w:val="0"/>
          <w:color w:val="auto"/>
        </w:rPr>
      </w:pPr>
      <w:bookmarkStart w:id="45" w:name="_Toc177030779"/>
      <w:bookmarkStart w:id="46" w:name="_Toc175609278"/>
      <w:r>
        <w:rPr>
          <w:rFonts w:hint="eastAsia"/>
          <w:snapToGrid w:val="0"/>
          <w:color w:val="auto"/>
        </w:rPr>
        <w:t>结论</w:t>
      </w:r>
      <w:bookmarkEnd w:id="45"/>
      <w:bookmarkEnd w:id="46"/>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917F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42956A33">
            <w:pPr>
              <w:pStyle w:val="3"/>
              <w:ind w:firstLine="480"/>
              <w:rPr>
                <w:color w:val="auto"/>
              </w:rPr>
            </w:pPr>
            <w:r>
              <w:rPr>
                <w:rFonts w:hint="eastAsia"/>
                <w:color w:val="auto"/>
              </w:rPr>
              <w:t>本项目建设符合国家及地方产业政策，区域环境质量现状良好，无重大环境制约因素。评价认为该项目在满足本报告表提出的污染物防治措施与主体工程“三同时”的前提下，废气、噪声、废水达标排放，不会对当地环境质量产生明显不利影响，具有较好的社会效益和环境效益，从环境影响角度分析，该项目是可行的。</w:t>
            </w:r>
          </w:p>
        </w:tc>
      </w:tr>
    </w:tbl>
    <w:p w14:paraId="28A37749">
      <w:pPr>
        <w:rPr>
          <w:color w:val="auto"/>
        </w:rPr>
        <w:sectPr>
          <w:footerReference r:id="rId8" w:type="default"/>
          <w:pgSz w:w="11906" w:h="16838"/>
          <w:pgMar w:top="1701" w:right="1531" w:bottom="1701" w:left="1531" w:header="851" w:footer="851" w:gutter="0"/>
          <w:cols w:space="720" w:num="1"/>
          <w:docGrid w:linePitch="312" w:charSpace="0"/>
        </w:sectPr>
      </w:pPr>
    </w:p>
    <w:p w14:paraId="33C69902">
      <w:pPr>
        <w:pStyle w:val="18"/>
        <w:rPr>
          <w:rFonts w:hint="eastAsia"/>
          <w:snapToGrid w:val="0"/>
          <w:color w:val="auto"/>
        </w:rPr>
      </w:pPr>
      <w:bookmarkStart w:id="47" w:name="_Toc175609279"/>
      <w:r>
        <w:rPr>
          <w:rFonts w:hint="eastAsia"/>
          <w:snapToGrid w:val="0"/>
          <w:color w:val="auto"/>
        </w:rPr>
        <w:t>附表</w:t>
      </w:r>
      <w:bookmarkEnd w:id="47"/>
    </w:p>
    <w:p w14:paraId="64E8AE74">
      <w:pPr>
        <w:pStyle w:val="49"/>
        <w:rPr>
          <w:snapToGrid w:val="0"/>
          <w:color w:val="auto"/>
        </w:rPr>
      </w:pPr>
      <w:r>
        <w:rPr>
          <w:rFonts w:hint="eastAsia"/>
          <w:snapToGrid w:val="0"/>
          <w:color w:val="auto"/>
        </w:rPr>
        <w:t>建设项目污染物排放量汇总表</w:t>
      </w:r>
    </w:p>
    <w:tbl>
      <w:tblPr>
        <w:tblStyle w:val="20"/>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417"/>
        <w:gridCol w:w="1600"/>
        <w:gridCol w:w="1600"/>
        <w:gridCol w:w="1600"/>
        <w:gridCol w:w="1601"/>
        <w:gridCol w:w="1600"/>
        <w:gridCol w:w="1600"/>
        <w:gridCol w:w="1601"/>
      </w:tblGrid>
      <w:tr w14:paraId="32233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69" w:type="dxa"/>
            <w:tcBorders>
              <w:tl2br w:val="single" w:color="auto" w:sz="4" w:space="0"/>
            </w:tcBorders>
            <w:tcMar>
              <w:left w:w="28" w:type="dxa"/>
              <w:right w:w="28" w:type="dxa"/>
            </w:tcMar>
            <w:vAlign w:val="center"/>
          </w:tcPr>
          <w:p w14:paraId="4D7971FB">
            <w:pPr>
              <w:pStyle w:val="43"/>
              <w:spacing w:beforeLines="0" w:afterLines="0" w:line="240" w:lineRule="auto"/>
              <w:jc w:val="right"/>
              <w:rPr>
                <w:rFonts w:ascii="Times New Roman" w:eastAsia="黑体" w:cs="宋体"/>
                <w:snapToGrid w:val="0"/>
                <w:color w:val="auto"/>
                <w:spacing w:val="-6"/>
                <w:kern w:val="21"/>
                <w:szCs w:val="21"/>
              </w:rPr>
            </w:pPr>
            <w:r>
              <w:rPr>
                <w:rFonts w:hint="eastAsia" w:ascii="Times New Roman" w:eastAsia="黑体" w:cs="宋体"/>
                <w:snapToGrid w:val="0"/>
                <w:color w:val="auto"/>
                <w:spacing w:val="-6"/>
                <w:kern w:val="21"/>
                <w:szCs w:val="21"/>
              </w:rPr>
              <w:t>项目</w:t>
            </w:r>
          </w:p>
          <w:p w14:paraId="47167BDB">
            <w:pPr>
              <w:pStyle w:val="43"/>
              <w:spacing w:beforeLines="0" w:afterLines="0" w:line="240" w:lineRule="auto"/>
              <w:jc w:val="left"/>
              <w:rPr>
                <w:rFonts w:ascii="Times New Roman" w:eastAsia="黑体" w:cs="宋体"/>
                <w:snapToGrid w:val="0"/>
                <w:color w:val="auto"/>
                <w:spacing w:val="-6"/>
                <w:kern w:val="21"/>
                <w:szCs w:val="21"/>
              </w:rPr>
            </w:pPr>
            <w:r>
              <w:rPr>
                <w:rFonts w:hint="eastAsia" w:ascii="Times New Roman" w:eastAsia="黑体" w:cs="宋体"/>
                <w:snapToGrid w:val="0"/>
                <w:color w:val="auto"/>
                <w:spacing w:val="-6"/>
                <w:kern w:val="21"/>
                <w:szCs w:val="21"/>
              </w:rPr>
              <w:t>分类</w:t>
            </w:r>
          </w:p>
        </w:tc>
        <w:tc>
          <w:tcPr>
            <w:tcW w:w="1417" w:type="dxa"/>
            <w:tcMar>
              <w:left w:w="28" w:type="dxa"/>
              <w:right w:w="28" w:type="dxa"/>
            </w:tcMar>
            <w:vAlign w:val="center"/>
          </w:tcPr>
          <w:p w14:paraId="449A59F3">
            <w:pPr>
              <w:pStyle w:val="43"/>
              <w:spacing w:beforeLines="0" w:afterLines="0" w:line="240" w:lineRule="auto"/>
              <w:rPr>
                <w:rFonts w:ascii="Times New Roman" w:eastAsia="黑体" w:cs="宋体"/>
                <w:snapToGrid w:val="0"/>
                <w:color w:val="auto"/>
                <w:spacing w:val="-6"/>
                <w:kern w:val="21"/>
                <w:szCs w:val="21"/>
              </w:rPr>
            </w:pPr>
            <w:r>
              <w:rPr>
                <w:rFonts w:hint="eastAsia" w:ascii="Times New Roman" w:eastAsia="黑体" w:cs="宋体"/>
                <w:snapToGrid w:val="0"/>
                <w:color w:val="auto"/>
                <w:spacing w:val="-6"/>
                <w:kern w:val="21"/>
                <w:szCs w:val="21"/>
              </w:rPr>
              <w:t>污染物名称</w:t>
            </w:r>
          </w:p>
        </w:tc>
        <w:tc>
          <w:tcPr>
            <w:tcW w:w="1600" w:type="dxa"/>
            <w:tcMar>
              <w:left w:w="28" w:type="dxa"/>
              <w:right w:w="28" w:type="dxa"/>
            </w:tcMar>
            <w:vAlign w:val="center"/>
          </w:tcPr>
          <w:p w14:paraId="70798D80">
            <w:pPr>
              <w:pStyle w:val="43"/>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14:paraId="0236599F">
            <w:pPr>
              <w:pStyle w:val="43"/>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w:t>
            </w:r>
            <w:r>
              <w:rPr>
                <w:rFonts w:hint="eastAsia" w:ascii="Times New Roman" w:eastAsia="黑体"/>
                <w:snapToGrid w:val="0"/>
                <w:color w:val="auto"/>
                <w:spacing w:val="-6"/>
                <w:kern w:val="21"/>
                <w:szCs w:val="21"/>
              </w:rPr>
              <w:t>体</w:t>
            </w:r>
            <w:r>
              <w:rPr>
                <w:rFonts w:ascii="Times New Roman" w:eastAsia="黑体"/>
                <w:snapToGrid w:val="0"/>
                <w:color w:val="auto"/>
                <w:spacing w:val="-6"/>
                <w:kern w:val="21"/>
                <w:szCs w:val="21"/>
              </w:rPr>
              <w:t>废</w:t>
            </w:r>
            <w:r>
              <w:rPr>
                <w:rFonts w:hint="eastAsia" w:ascii="Times New Roman" w:eastAsia="黑体"/>
                <w:snapToGrid w:val="0"/>
                <w:color w:val="auto"/>
                <w:spacing w:val="-6"/>
                <w:kern w:val="21"/>
                <w:szCs w:val="21"/>
              </w:rPr>
              <w:t>物</w:t>
            </w:r>
            <w:r>
              <w:rPr>
                <w:rFonts w:ascii="Times New Roman" w:eastAsia="黑体"/>
                <w:snapToGrid w:val="0"/>
                <w:color w:val="auto"/>
                <w:spacing w:val="-6"/>
                <w:kern w:val="21"/>
                <w:szCs w:val="21"/>
              </w:rPr>
              <w:t>产生量）</w:t>
            </w:r>
            <w:r>
              <w:rPr>
                <w:rFonts w:hint="eastAsia" w:hAnsi="宋体" w:cs="宋体"/>
                <w:color w:val="auto"/>
                <w:kern w:val="2"/>
                <w:szCs w:val="21"/>
              </w:rPr>
              <w:t>①</w:t>
            </w:r>
          </w:p>
        </w:tc>
        <w:tc>
          <w:tcPr>
            <w:tcW w:w="1600" w:type="dxa"/>
            <w:tcMar>
              <w:left w:w="28" w:type="dxa"/>
              <w:right w:w="28" w:type="dxa"/>
            </w:tcMar>
            <w:vAlign w:val="center"/>
          </w:tcPr>
          <w:p w14:paraId="7A18CE73">
            <w:pPr>
              <w:pStyle w:val="43"/>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14:paraId="24B4F9A2">
            <w:pPr>
              <w:pStyle w:val="43"/>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许可排放量</w:t>
            </w:r>
          </w:p>
          <w:p w14:paraId="4DD97CF7">
            <w:pPr>
              <w:pStyle w:val="43"/>
              <w:spacing w:beforeLines="0" w:afterLines="0"/>
              <w:rPr>
                <w:rFonts w:ascii="Times New Roman" w:eastAsia="黑体"/>
                <w:snapToGrid w:val="0"/>
                <w:color w:val="auto"/>
                <w:spacing w:val="-6"/>
                <w:kern w:val="21"/>
                <w:szCs w:val="21"/>
              </w:rPr>
            </w:pPr>
            <w:r>
              <w:rPr>
                <w:rFonts w:hint="eastAsia" w:hAnsi="宋体" w:cs="宋体"/>
                <w:snapToGrid w:val="0"/>
                <w:color w:val="auto"/>
                <w:spacing w:val="-6"/>
                <w:kern w:val="21"/>
                <w:szCs w:val="21"/>
              </w:rPr>
              <w:t>②</w:t>
            </w:r>
          </w:p>
        </w:tc>
        <w:tc>
          <w:tcPr>
            <w:tcW w:w="1600" w:type="dxa"/>
            <w:tcMar>
              <w:left w:w="28" w:type="dxa"/>
              <w:right w:w="28" w:type="dxa"/>
            </w:tcMar>
            <w:vAlign w:val="center"/>
          </w:tcPr>
          <w:p w14:paraId="2B9BE3A7">
            <w:pPr>
              <w:pStyle w:val="43"/>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在建工程</w:t>
            </w:r>
          </w:p>
          <w:p w14:paraId="167941EE">
            <w:pPr>
              <w:pStyle w:val="43"/>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w:t>
            </w:r>
            <w:r>
              <w:rPr>
                <w:rFonts w:hint="eastAsia" w:ascii="Times New Roman" w:eastAsia="黑体"/>
                <w:snapToGrid w:val="0"/>
                <w:color w:val="auto"/>
                <w:spacing w:val="-6"/>
                <w:kern w:val="21"/>
                <w:szCs w:val="21"/>
              </w:rPr>
              <w:t>体</w:t>
            </w:r>
            <w:r>
              <w:rPr>
                <w:rFonts w:ascii="Times New Roman" w:eastAsia="黑体"/>
                <w:snapToGrid w:val="0"/>
                <w:color w:val="auto"/>
                <w:spacing w:val="-6"/>
                <w:kern w:val="21"/>
                <w:szCs w:val="21"/>
              </w:rPr>
              <w:t>废</w:t>
            </w:r>
            <w:r>
              <w:rPr>
                <w:rFonts w:hint="eastAsia" w:ascii="Times New Roman" w:eastAsia="黑体"/>
                <w:snapToGrid w:val="0"/>
                <w:color w:val="auto"/>
                <w:spacing w:val="-6"/>
                <w:kern w:val="21"/>
                <w:szCs w:val="21"/>
              </w:rPr>
              <w:t>物</w:t>
            </w:r>
            <w:r>
              <w:rPr>
                <w:rFonts w:ascii="Times New Roman" w:eastAsia="黑体"/>
                <w:snapToGrid w:val="0"/>
                <w:color w:val="auto"/>
                <w:spacing w:val="-6"/>
                <w:kern w:val="21"/>
                <w:szCs w:val="21"/>
              </w:rPr>
              <w:t>产生量）</w:t>
            </w:r>
            <w:r>
              <w:rPr>
                <w:rFonts w:hint="eastAsia" w:hAnsi="宋体" w:cs="宋体"/>
                <w:color w:val="auto"/>
                <w:kern w:val="2"/>
                <w:szCs w:val="21"/>
              </w:rPr>
              <w:t>③</w:t>
            </w:r>
          </w:p>
        </w:tc>
        <w:tc>
          <w:tcPr>
            <w:tcW w:w="1601" w:type="dxa"/>
            <w:tcMar>
              <w:left w:w="28" w:type="dxa"/>
              <w:right w:w="28" w:type="dxa"/>
            </w:tcMar>
            <w:vAlign w:val="center"/>
          </w:tcPr>
          <w:p w14:paraId="44E30D25">
            <w:pPr>
              <w:pStyle w:val="43"/>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本项目</w:t>
            </w:r>
          </w:p>
          <w:p w14:paraId="557C1B6F">
            <w:pPr>
              <w:pStyle w:val="43"/>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w:t>
            </w:r>
            <w:r>
              <w:rPr>
                <w:rFonts w:hint="eastAsia" w:ascii="Times New Roman" w:eastAsia="黑体"/>
                <w:snapToGrid w:val="0"/>
                <w:color w:val="auto"/>
                <w:spacing w:val="-6"/>
                <w:kern w:val="21"/>
                <w:szCs w:val="21"/>
              </w:rPr>
              <w:t>体</w:t>
            </w:r>
            <w:r>
              <w:rPr>
                <w:rFonts w:ascii="Times New Roman" w:eastAsia="黑体"/>
                <w:snapToGrid w:val="0"/>
                <w:color w:val="auto"/>
                <w:spacing w:val="-6"/>
                <w:kern w:val="21"/>
                <w:szCs w:val="21"/>
              </w:rPr>
              <w:t>废</w:t>
            </w:r>
            <w:r>
              <w:rPr>
                <w:rFonts w:hint="eastAsia" w:ascii="Times New Roman" w:eastAsia="黑体"/>
                <w:snapToGrid w:val="0"/>
                <w:color w:val="auto"/>
                <w:spacing w:val="-6"/>
                <w:kern w:val="21"/>
                <w:szCs w:val="21"/>
              </w:rPr>
              <w:t>物</w:t>
            </w:r>
            <w:r>
              <w:rPr>
                <w:rFonts w:ascii="Times New Roman" w:eastAsia="黑体"/>
                <w:snapToGrid w:val="0"/>
                <w:color w:val="auto"/>
                <w:spacing w:val="-6"/>
                <w:kern w:val="21"/>
                <w:szCs w:val="21"/>
              </w:rPr>
              <w:t>产生量）</w:t>
            </w:r>
            <w:r>
              <w:rPr>
                <w:rFonts w:hint="eastAsia" w:hAnsi="宋体" w:cs="宋体"/>
                <w:color w:val="auto"/>
                <w:kern w:val="2"/>
                <w:szCs w:val="21"/>
              </w:rPr>
              <w:t>④</w:t>
            </w:r>
          </w:p>
        </w:tc>
        <w:tc>
          <w:tcPr>
            <w:tcW w:w="1600" w:type="dxa"/>
            <w:tcMar>
              <w:left w:w="28" w:type="dxa"/>
              <w:right w:w="28" w:type="dxa"/>
            </w:tcMar>
            <w:vAlign w:val="center"/>
          </w:tcPr>
          <w:p w14:paraId="153546BF">
            <w:pPr>
              <w:pStyle w:val="43"/>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以新带老削减量</w:t>
            </w:r>
          </w:p>
          <w:p w14:paraId="37E7C390">
            <w:pPr>
              <w:pStyle w:val="43"/>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（新建项目不填）</w:t>
            </w:r>
            <w:r>
              <w:rPr>
                <w:rFonts w:hint="eastAsia" w:hAnsi="宋体" w:cs="宋体"/>
                <w:color w:val="auto"/>
                <w:kern w:val="2"/>
                <w:szCs w:val="21"/>
              </w:rPr>
              <w:t>⑤</w:t>
            </w:r>
          </w:p>
        </w:tc>
        <w:tc>
          <w:tcPr>
            <w:tcW w:w="1600" w:type="dxa"/>
            <w:tcMar>
              <w:left w:w="28" w:type="dxa"/>
              <w:right w:w="28" w:type="dxa"/>
            </w:tcMar>
            <w:vAlign w:val="center"/>
          </w:tcPr>
          <w:p w14:paraId="51462B4D">
            <w:pPr>
              <w:pStyle w:val="43"/>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本项目建成后</w:t>
            </w:r>
          </w:p>
          <w:p w14:paraId="0BF80776">
            <w:pPr>
              <w:pStyle w:val="43"/>
              <w:spacing w:beforeLines="0" w:afterLines="0" w:line="240" w:lineRule="auto"/>
              <w:rPr>
                <w:rFonts w:ascii="Times New Roman" w:eastAsia="黑体"/>
                <w:snapToGrid w:val="0"/>
                <w:color w:val="auto"/>
                <w:spacing w:val="-16"/>
                <w:kern w:val="21"/>
                <w:szCs w:val="21"/>
              </w:rPr>
            </w:pPr>
            <w:r>
              <w:rPr>
                <w:rFonts w:hint="eastAsia" w:ascii="Times New Roman" w:eastAsia="黑体"/>
                <w:snapToGrid w:val="0"/>
                <w:color w:val="auto"/>
                <w:spacing w:val="-16"/>
                <w:kern w:val="21"/>
                <w:szCs w:val="21"/>
              </w:rPr>
              <w:t>全厂</w:t>
            </w:r>
            <w:r>
              <w:rPr>
                <w:rFonts w:ascii="Times New Roman" w:eastAsia="黑体"/>
                <w:snapToGrid w:val="0"/>
                <w:color w:val="auto"/>
                <w:spacing w:val="-16"/>
                <w:kern w:val="21"/>
                <w:szCs w:val="21"/>
              </w:rPr>
              <w:t>排放量（固</w:t>
            </w:r>
            <w:r>
              <w:rPr>
                <w:rFonts w:hint="eastAsia" w:ascii="Times New Roman" w:eastAsia="黑体"/>
                <w:snapToGrid w:val="0"/>
                <w:color w:val="auto"/>
                <w:spacing w:val="-16"/>
                <w:kern w:val="21"/>
                <w:szCs w:val="21"/>
              </w:rPr>
              <w:t>体</w:t>
            </w:r>
            <w:r>
              <w:rPr>
                <w:rFonts w:ascii="Times New Roman" w:eastAsia="黑体"/>
                <w:snapToGrid w:val="0"/>
                <w:color w:val="auto"/>
                <w:spacing w:val="-16"/>
                <w:kern w:val="21"/>
                <w:szCs w:val="21"/>
              </w:rPr>
              <w:t>废</w:t>
            </w:r>
            <w:r>
              <w:rPr>
                <w:rFonts w:hint="eastAsia" w:ascii="Times New Roman" w:eastAsia="黑体"/>
                <w:snapToGrid w:val="0"/>
                <w:color w:val="auto"/>
                <w:spacing w:val="-16"/>
                <w:kern w:val="21"/>
                <w:szCs w:val="21"/>
              </w:rPr>
              <w:t>物</w:t>
            </w:r>
            <w:r>
              <w:rPr>
                <w:rFonts w:ascii="Times New Roman" w:eastAsia="黑体"/>
                <w:snapToGrid w:val="0"/>
                <w:color w:val="auto"/>
                <w:spacing w:val="-16"/>
                <w:kern w:val="21"/>
                <w:szCs w:val="21"/>
              </w:rPr>
              <w:t>产生量）</w:t>
            </w:r>
            <w:r>
              <w:rPr>
                <w:rFonts w:hint="eastAsia" w:hAnsi="宋体" w:cs="宋体"/>
                <w:color w:val="auto"/>
                <w:kern w:val="2"/>
                <w:szCs w:val="21"/>
              </w:rPr>
              <w:t>⑥</w:t>
            </w:r>
          </w:p>
        </w:tc>
        <w:tc>
          <w:tcPr>
            <w:tcW w:w="1601" w:type="dxa"/>
            <w:tcMar>
              <w:left w:w="28" w:type="dxa"/>
              <w:right w:w="28" w:type="dxa"/>
            </w:tcMar>
            <w:vAlign w:val="center"/>
          </w:tcPr>
          <w:p w14:paraId="4542EF37">
            <w:pPr>
              <w:pStyle w:val="43"/>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变化量</w:t>
            </w:r>
          </w:p>
          <w:p w14:paraId="33DFF769">
            <w:pPr>
              <w:pStyle w:val="43"/>
              <w:spacing w:beforeLines="0" w:afterLines="0" w:line="240" w:lineRule="auto"/>
              <w:rPr>
                <w:rFonts w:ascii="Times New Roman" w:eastAsia="黑体"/>
                <w:snapToGrid w:val="0"/>
                <w:color w:val="auto"/>
                <w:spacing w:val="-6"/>
                <w:kern w:val="21"/>
                <w:szCs w:val="21"/>
              </w:rPr>
            </w:pPr>
            <w:r>
              <w:rPr>
                <w:rFonts w:hint="eastAsia" w:hAnsi="宋体" w:cs="宋体"/>
                <w:color w:val="auto"/>
                <w:kern w:val="2"/>
                <w:szCs w:val="21"/>
              </w:rPr>
              <w:t>⑦</w:t>
            </w:r>
          </w:p>
        </w:tc>
      </w:tr>
      <w:tr w14:paraId="452FE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Align w:val="center"/>
          </w:tcPr>
          <w:p w14:paraId="54A975F9">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废气</w:t>
            </w:r>
          </w:p>
        </w:tc>
        <w:tc>
          <w:tcPr>
            <w:tcW w:w="1417" w:type="dxa"/>
            <w:vAlign w:val="center"/>
          </w:tcPr>
          <w:p w14:paraId="041FC274">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颗粒物</w:t>
            </w:r>
          </w:p>
        </w:tc>
        <w:tc>
          <w:tcPr>
            <w:tcW w:w="1600" w:type="dxa"/>
            <w:vAlign w:val="center"/>
          </w:tcPr>
          <w:p w14:paraId="517399F5">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可忽略</w:t>
            </w:r>
          </w:p>
        </w:tc>
        <w:tc>
          <w:tcPr>
            <w:tcW w:w="1600" w:type="dxa"/>
            <w:vAlign w:val="center"/>
          </w:tcPr>
          <w:p w14:paraId="5AE62039">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496F0AD7">
            <w:pPr>
              <w:pStyle w:val="43"/>
              <w:spacing w:beforeLines="0" w:afterLines="0" w:line="240" w:lineRule="auto"/>
              <w:rPr>
                <w:rFonts w:ascii="Times New Roman" w:cs="宋体"/>
                <w:snapToGrid w:val="0"/>
                <w:color w:val="auto"/>
                <w:kern w:val="21"/>
                <w:szCs w:val="21"/>
              </w:rPr>
            </w:pPr>
          </w:p>
        </w:tc>
        <w:tc>
          <w:tcPr>
            <w:tcW w:w="1601" w:type="dxa"/>
            <w:vAlign w:val="center"/>
          </w:tcPr>
          <w:p w14:paraId="43FFB5AB">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可忽略</w:t>
            </w:r>
          </w:p>
        </w:tc>
        <w:tc>
          <w:tcPr>
            <w:tcW w:w="1600" w:type="dxa"/>
            <w:vAlign w:val="center"/>
          </w:tcPr>
          <w:p w14:paraId="43E9399D">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6554035D">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可忽略</w:t>
            </w:r>
          </w:p>
        </w:tc>
        <w:tc>
          <w:tcPr>
            <w:tcW w:w="1601" w:type="dxa"/>
            <w:vAlign w:val="center"/>
          </w:tcPr>
          <w:p w14:paraId="631203FD">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0t/a</w:t>
            </w:r>
          </w:p>
        </w:tc>
      </w:tr>
      <w:tr w14:paraId="4EDE5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restart"/>
            <w:vAlign w:val="center"/>
          </w:tcPr>
          <w:p w14:paraId="13FBD6B6">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废水</w:t>
            </w:r>
          </w:p>
        </w:tc>
        <w:tc>
          <w:tcPr>
            <w:tcW w:w="1417" w:type="dxa"/>
            <w:vAlign w:val="center"/>
          </w:tcPr>
          <w:p w14:paraId="3F68B32C">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C</w:t>
            </w:r>
            <w:r>
              <w:rPr>
                <w:rFonts w:ascii="Times New Roman" w:cs="宋体"/>
                <w:snapToGrid w:val="0"/>
                <w:color w:val="auto"/>
                <w:kern w:val="21"/>
                <w:szCs w:val="21"/>
              </w:rPr>
              <w:t>OD</w:t>
            </w:r>
          </w:p>
        </w:tc>
        <w:tc>
          <w:tcPr>
            <w:tcW w:w="1600" w:type="dxa"/>
            <w:vAlign w:val="center"/>
          </w:tcPr>
          <w:p w14:paraId="2EAE7B86">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76C583AA">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1259159C">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1" w:type="dxa"/>
            <w:vAlign w:val="center"/>
          </w:tcPr>
          <w:p w14:paraId="7E9EB718">
            <w:pPr>
              <w:pStyle w:val="43"/>
              <w:spacing w:beforeLines="0" w:afterLines="0" w:line="240" w:lineRule="auto"/>
              <w:rPr>
                <w:rFonts w:ascii="Times New Roman" w:cs="宋体"/>
                <w:snapToGrid w:val="0"/>
                <w:color w:val="auto"/>
                <w:kern w:val="21"/>
                <w:szCs w:val="21"/>
              </w:rPr>
            </w:pPr>
            <w:r>
              <w:rPr>
                <w:rFonts w:ascii="Times New Roman" w:cs="宋体"/>
                <w:snapToGrid w:val="0"/>
                <w:color w:val="auto"/>
                <w:kern w:val="21"/>
                <w:szCs w:val="21"/>
              </w:rPr>
              <w:t>0.026</w:t>
            </w:r>
            <w:r>
              <w:rPr>
                <w:rFonts w:hint="eastAsia" w:ascii="Times New Roman" w:cs="宋体"/>
                <w:snapToGrid w:val="0"/>
                <w:color w:val="auto"/>
                <w:kern w:val="21"/>
                <w:szCs w:val="21"/>
              </w:rPr>
              <w:t>t/a</w:t>
            </w:r>
          </w:p>
        </w:tc>
        <w:tc>
          <w:tcPr>
            <w:tcW w:w="1600" w:type="dxa"/>
            <w:vAlign w:val="center"/>
          </w:tcPr>
          <w:p w14:paraId="29E3011E">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04AE96DF">
            <w:pPr>
              <w:pStyle w:val="43"/>
              <w:spacing w:beforeLines="0" w:afterLines="0" w:line="240" w:lineRule="auto"/>
              <w:rPr>
                <w:rFonts w:ascii="Times New Roman" w:cs="宋体"/>
                <w:snapToGrid w:val="0"/>
                <w:color w:val="auto"/>
                <w:kern w:val="21"/>
                <w:szCs w:val="21"/>
              </w:rPr>
            </w:pPr>
            <w:r>
              <w:rPr>
                <w:rFonts w:ascii="Times New Roman" w:cs="宋体"/>
                <w:snapToGrid w:val="0"/>
                <w:color w:val="auto"/>
                <w:kern w:val="21"/>
                <w:szCs w:val="21"/>
              </w:rPr>
              <w:t>0.026</w:t>
            </w:r>
            <w:r>
              <w:rPr>
                <w:rFonts w:hint="eastAsia" w:ascii="Times New Roman" w:cs="宋体"/>
                <w:snapToGrid w:val="0"/>
                <w:color w:val="auto"/>
                <w:kern w:val="21"/>
                <w:szCs w:val="21"/>
              </w:rPr>
              <w:t>t/a</w:t>
            </w:r>
          </w:p>
        </w:tc>
        <w:tc>
          <w:tcPr>
            <w:tcW w:w="1601" w:type="dxa"/>
            <w:vAlign w:val="center"/>
          </w:tcPr>
          <w:p w14:paraId="38DE9A9D">
            <w:pPr>
              <w:pStyle w:val="43"/>
              <w:spacing w:beforeLines="0" w:afterLines="0" w:line="240" w:lineRule="auto"/>
              <w:rPr>
                <w:rFonts w:ascii="Times New Roman" w:cs="宋体"/>
                <w:snapToGrid w:val="0"/>
                <w:color w:val="auto"/>
                <w:kern w:val="21"/>
                <w:szCs w:val="21"/>
              </w:rPr>
            </w:pPr>
            <w:r>
              <w:rPr>
                <w:rFonts w:ascii="Times New Roman" w:cs="宋体"/>
                <w:snapToGrid w:val="0"/>
                <w:color w:val="auto"/>
                <w:kern w:val="21"/>
                <w:szCs w:val="21"/>
              </w:rPr>
              <w:t>0.026</w:t>
            </w:r>
            <w:r>
              <w:rPr>
                <w:rFonts w:hint="eastAsia" w:ascii="Times New Roman" w:cs="宋体"/>
                <w:snapToGrid w:val="0"/>
                <w:color w:val="auto"/>
                <w:kern w:val="21"/>
                <w:szCs w:val="21"/>
              </w:rPr>
              <w:t>t/a</w:t>
            </w:r>
          </w:p>
        </w:tc>
      </w:tr>
      <w:tr w14:paraId="2729F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vAlign w:val="center"/>
          </w:tcPr>
          <w:p w14:paraId="43885CC0">
            <w:pPr>
              <w:pStyle w:val="43"/>
              <w:spacing w:beforeLines="0" w:afterLines="0" w:line="240" w:lineRule="auto"/>
              <w:rPr>
                <w:rFonts w:ascii="Times New Roman" w:cs="宋体"/>
                <w:snapToGrid w:val="0"/>
                <w:color w:val="auto"/>
                <w:kern w:val="21"/>
                <w:szCs w:val="21"/>
              </w:rPr>
            </w:pPr>
          </w:p>
        </w:tc>
        <w:tc>
          <w:tcPr>
            <w:tcW w:w="1417" w:type="dxa"/>
            <w:vAlign w:val="center"/>
          </w:tcPr>
          <w:p w14:paraId="615B1CF8">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氨氮</w:t>
            </w:r>
          </w:p>
        </w:tc>
        <w:tc>
          <w:tcPr>
            <w:tcW w:w="1600" w:type="dxa"/>
            <w:vAlign w:val="center"/>
          </w:tcPr>
          <w:p w14:paraId="7F735385">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06581812">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7CA01CAA">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1" w:type="dxa"/>
            <w:vAlign w:val="center"/>
          </w:tcPr>
          <w:p w14:paraId="25789374">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0.002t/a</w:t>
            </w:r>
          </w:p>
        </w:tc>
        <w:tc>
          <w:tcPr>
            <w:tcW w:w="1600" w:type="dxa"/>
            <w:vAlign w:val="center"/>
          </w:tcPr>
          <w:p w14:paraId="1DBD9FFC">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0EAF4E08">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0.002t/a</w:t>
            </w:r>
          </w:p>
        </w:tc>
        <w:tc>
          <w:tcPr>
            <w:tcW w:w="1601" w:type="dxa"/>
            <w:vAlign w:val="center"/>
          </w:tcPr>
          <w:p w14:paraId="76514752">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0.002t/a</w:t>
            </w:r>
          </w:p>
        </w:tc>
      </w:tr>
      <w:tr w14:paraId="2C2A5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Align w:val="center"/>
          </w:tcPr>
          <w:p w14:paraId="1077B3DC">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一般工业</w:t>
            </w:r>
          </w:p>
          <w:p w14:paraId="5B3BB71E">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固体废物</w:t>
            </w:r>
          </w:p>
        </w:tc>
        <w:tc>
          <w:tcPr>
            <w:tcW w:w="1417" w:type="dxa"/>
            <w:vAlign w:val="center"/>
          </w:tcPr>
          <w:p w14:paraId="1CECDC95">
            <w:pPr>
              <w:pStyle w:val="43"/>
              <w:spacing w:beforeLines="0" w:afterLines="0" w:line="240" w:lineRule="auto"/>
              <w:rPr>
                <w:rFonts w:ascii="Times New Roman" w:cs="宋体"/>
                <w:snapToGrid w:val="0"/>
                <w:color w:val="auto"/>
                <w:kern w:val="21"/>
                <w:szCs w:val="21"/>
              </w:rPr>
            </w:pPr>
            <w:r>
              <w:rPr>
                <w:rFonts w:hint="eastAsia"/>
                <w:color w:val="auto"/>
              </w:rPr>
              <w:t>沉淀池沉渣</w:t>
            </w:r>
          </w:p>
        </w:tc>
        <w:tc>
          <w:tcPr>
            <w:tcW w:w="1600" w:type="dxa"/>
            <w:vAlign w:val="center"/>
          </w:tcPr>
          <w:p w14:paraId="45D6FC12">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6391245D">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522CFE38">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1" w:type="dxa"/>
            <w:vAlign w:val="center"/>
          </w:tcPr>
          <w:p w14:paraId="23217C8B">
            <w:pPr>
              <w:pStyle w:val="43"/>
              <w:spacing w:beforeLines="0" w:afterLines="0" w:line="240" w:lineRule="auto"/>
              <w:rPr>
                <w:rFonts w:ascii="Times New Roman" w:cs="宋体"/>
                <w:snapToGrid w:val="0"/>
                <w:color w:val="auto"/>
                <w:kern w:val="21"/>
                <w:szCs w:val="21"/>
              </w:rPr>
            </w:pPr>
            <w:r>
              <w:rPr>
                <w:rFonts w:hint="eastAsia"/>
                <w:color w:val="auto"/>
              </w:rPr>
              <w:t>5</w:t>
            </w:r>
            <w:r>
              <w:rPr>
                <w:rFonts w:hint="eastAsia" w:ascii="Times New Roman" w:cs="宋体"/>
                <w:snapToGrid w:val="0"/>
                <w:color w:val="auto"/>
                <w:kern w:val="21"/>
                <w:szCs w:val="21"/>
              </w:rPr>
              <w:t>t/a</w:t>
            </w:r>
          </w:p>
        </w:tc>
        <w:tc>
          <w:tcPr>
            <w:tcW w:w="1600" w:type="dxa"/>
            <w:vAlign w:val="center"/>
          </w:tcPr>
          <w:p w14:paraId="56B39DF0">
            <w:pPr>
              <w:pStyle w:val="43"/>
              <w:spacing w:beforeLines="0" w:afterLines="0" w:line="240" w:lineRule="auto"/>
              <w:rPr>
                <w:rFonts w:ascii="Times New Roman" w:cs="宋体"/>
                <w:snapToGrid w:val="0"/>
                <w:color w:val="auto"/>
                <w:kern w:val="21"/>
                <w:szCs w:val="21"/>
              </w:rPr>
            </w:pPr>
            <w:r>
              <w:rPr>
                <w:rFonts w:hint="eastAsia" w:ascii="Times New Roman" w:cs="宋体"/>
                <w:snapToGrid w:val="0"/>
                <w:color w:val="auto"/>
                <w:kern w:val="21"/>
                <w:szCs w:val="21"/>
              </w:rPr>
              <w:t>/</w:t>
            </w:r>
          </w:p>
        </w:tc>
        <w:tc>
          <w:tcPr>
            <w:tcW w:w="1600" w:type="dxa"/>
            <w:vAlign w:val="center"/>
          </w:tcPr>
          <w:p w14:paraId="43BED7EE">
            <w:pPr>
              <w:pStyle w:val="43"/>
              <w:spacing w:beforeLines="0" w:afterLines="0" w:line="240" w:lineRule="auto"/>
              <w:rPr>
                <w:rFonts w:ascii="Times New Roman" w:cs="宋体"/>
                <w:snapToGrid w:val="0"/>
                <w:color w:val="auto"/>
                <w:kern w:val="21"/>
                <w:szCs w:val="21"/>
              </w:rPr>
            </w:pPr>
            <w:r>
              <w:rPr>
                <w:rFonts w:hint="eastAsia"/>
                <w:color w:val="auto"/>
              </w:rPr>
              <w:t>5</w:t>
            </w:r>
            <w:r>
              <w:rPr>
                <w:rFonts w:hint="eastAsia" w:ascii="Times New Roman" w:cs="宋体"/>
                <w:snapToGrid w:val="0"/>
                <w:color w:val="auto"/>
                <w:kern w:val="21"/>
                <w:szCs w:val="21"/>
              </w:rPr>
              <w:t>t/a</w:t>
            </w:r>
          </w:p>
        </w:tc>
        <w:tc>
          <w:tcPr>
            <w:tcW w:w="1601" w:type="dxa"/>
            <w:vAlign w:val="center"/>
          </w:tcPr>
          <w:p w14:paraId="0B6E93D7">
            <w:pPr>
              <w:pStyle w:val="43"/>
              <w:spacing w:beforeLines="0" w:afterLines="0" w:line="240" w:lineRule="auto"/>
              <w:rPr>
                <w:rFonts w:ascii="Times New Roman" w:cs="宋体"/>
                <w:snapToGrid w:val="0"/>
                <w:color w:val="auto"/>
                <w:kern w:val="21"/>
                <w:szCs w:val="21"/>
              </w:rPr>
            </w:pPr>
            <w:r>
              <w:rPr>
                <w:rFonts w:hint="eastAsia"/>
                <w:color w:val="auto"/>
              </w:rPr>
              <w:t>5</w:t>
            </w:r>
            <w:r>
              <w:rPr>
                <w:rFonts w:hint="eastAsia" w:ascii="Times New Roman" w:cs="宋体"/>
                <w:snapToGrid w:val="0"/>
                <w:color w:val="auto"/>
                <w:kern w:val="21"/>
                <w:szCs w:val="21"/>
              </w:rPr>
              <w:t>t/a</w:t>
            </w:r>
          </w:p>
        </w:tc>
      </w:tr>
    </w:tbl>
    <w:p w14:paraId="1C097468">
      <w:pPr>
        <w:pStyle w:val="43"/>
        <w:spacing w:before="192" w:beforeLines="80" w:after="24"/>
        <w:jc w:val="left"/>
        <w:rPr>
          <w:color w:val="auto"/>
        </w:rPr>
      </w:pPr>
      <w:r>
        <w:rPr>
          <w:rFonts w:ascii="Times New Roman"/>
          <w:snapToGrid w:val="0"/>
          <w:color w:val="auto"/>
          <w:kern w:val="21"/>
          <w:szCs w:val="21"/>
        </w:rPr>
        <w:t>注：</w:t>
      </w:r>
      <w:r>
        <w:rPr>
          <w:rFonts w:hint="eastAsia" w:hAnsi="宋体" w:cs="宋体"/>
          <w:color w:val="auto"/>
          <w:szCs w:val="21"/>
        </w:rPr>
        <w:t>⑥</w:t>
      </w:r>
      <w:r>
        <w:rPr>
          <w:rFonts w:ascii="Times New Roman"/>
          <w:snapToGrid w:val="0"/>
          <w:color w:val="auto"/>
          <w:spacing w:val="-16"/>
          <w:kern w:val="21"/>
          <w:szCs w:val="21"/>
        </w:rPr>
        <w:t>=</w:t>
      </w:r>
      <w:r>
        <w:rPr>
          <w:rFonts w:hint="eastAsia" w:hAnsi="宋体" w:cs="宋体"/>
          <w:color w:val="auto"/>
          <w:szCs w:val="21"/>
        </w:rPr>
        <w:t>①</w:t>
      </w:r>
      <w:r>
        <w:rPr>
          <w:rFonts w:ascii="Times New Roman"/>
          <w:snapToGrid w:val="0"/>
          <w:color w:val="auto"/>
          <w:spacing w:val="-6"/>
          <w:kern w:val="21"/>
          <w:szCs w:val="21"/>
        </w:rPr>
        <w:t>+</w:t>
      </w:r>
      <w:r>
        <w:rPr>
          <w:rFonts w:hint="eastAsia" w:hAnsi="宋体" w:cs="宋体"/>
          <w:color w:val="auto"/>
          <w:szCs w:val="21"/>
        </w:rPr>
        <w:t>③</w:t>
      </w:r>
      <w:r>
        <w:rPr>
          <w:rFonts w:ascii="Times New Roman"/>
          <w:snapToGrid w:val="0"/>
          <w:color w:val="auto"/>
          <w:spacing w:val="-6"/>
          <w:kern w:val="21"/>
          <w:szCs w:val="21"/>
        </w:rPr>
        <w:t>+</w:t>
      </w:r>
      <w:r>
        <w:rPr>
          <w:rFonts w:hint="eastAsia" w:hAnsi="宋体" w:cs="宋体"/>
          <w:color w:val="auto"/>
          <w:szCs w:val="21"/>
        </w:rPr>
        <w:t>④</w:t>
      </w:r>
      <w:r>
        <w:rPr>
          <w:rFonts w:ascii="Times New Roman"/>
          <w:snapToGrid w:val="0"/>
          <w:color w:val="auto"/>
          <w:spacing w:val="-6"/>
          <w:kern w:val="21"/>
          <w:szCs w:val="21"/>
        </w:rPr>
        <w:t>-</w:t>
      </w:r>
      <w:r>
        <w:rPr>
          <w:rFonts w:hint="eastAsia" w:hAnsi="宋体" w:cs="宋体"/>
          <w:color w:val="auto"/>
          <w:szCs w:val="21"/>
        </w:rPr>
        <w:t>⑤</w:t>
      </w:r>
      <w:r>
        <w:rPr>
          <w:rFonts w:ascii="Times New Roman"/>
          <w:snapToGrid w:val="0"/>
          <w:color w:val="auto"/>
          <w:spacing w:val="-16"/>
          <w:kern w:val="21"/>
          <w:szCs w:val="21"/>
        </w:rPr>
        <w:t>；</w:t>
      </w:r>
      <w:r>
        <w:rPr>
          <w:rFonts w:hint="eastAsia" w:hAnsi="宋体" w:cs="宋体"/>
          <w:color w:val="auto"/>
          <w:szCs w:val="21"/>
        </w:rPr>
        <w:t>⑦</w:t>
      </w:r>
      <w:r>
        <w:rPr>
          <w:rFonts w:ascii="Times New Roman"/>
          <w:snapToGrid w:val="0"/>
          <w:color w:val="auto"/>
          <w:spacing w:val="-6"/>
          <w:kern w:val="21"/>
          <w:szCs w:val="21"/>
        </w:rPr>
        <w:t>=</w:t>
      </w:r>
      <w:r>
        <w:rPr>
          <w:rFonts w:hint="eastAsia" w:hAnsi="宋体" w:cs="宋体"/>
          <w:color w:val="auto"/>
          <w:szCs w:val="21"/>
        </w:rPr>
        <w:t>⑥</w:t>
      </w:r>
      <w:r>
        <w:rPr>
          <w:rFonts w:ascii="Times New Roman"/>
          <w:snapToGrid w:val="0"/>
          <w:color w:val="auto"/>
          <w:spacing w:val="-16"/>
          <w:kern w:val="21"/>
          <w:szCs w:val="21"/>
        </w:rPr>
        <w:t>-</w:t>
      </w:r>
      <w:r>
        <w:rPr>
          <w:rFonts w:hint="eastAsia" w:hAnsi="宋体" w:cs="宋体"/>
          <w:color w:val="auto"/>
          <w:szCs w:val="21"/>
        </w:rPr>
        <w:t>①</w:t>
      </w:r>
    </w:p>
    <w:p w14:paraId="2B71DD74">
      <w:pPr>
        <w:pStyle w:val="51"/>
        <w:rPr>
          <w:color w:val="auto"/>
        </w:rPr>
      </w:pPr>
    </w:p>
    <w:sectPr>
      <w:headerReference r:id="rId11" w:type="first"/>
      <w:headerReference r:id="rId9" w:type="default"/>
      <w:headerReference r:id="rId10" w:type="even"/>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F53D">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842479"/>
      <w:docPartObj>
        <w:docPartGallery w:val="autotext"/>
      </w:docPartObj>
    </w:sdtPr>
    <w:sdtContent>
      <w:p w14:paraId="655D7F8E">
        <w:pPr>
          <w:pStyle w:val="15"/>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877652"/>
      <w:docPartObj>
        <w:docPartGallery w:val="autotext"/>
      </w:docPartObj>
    </w:sdtPr>
    <w:sdtContent>
      <w:p w14:paraId="1435A945">
        <w:pPr>
          <w:pStyle w:val="15"/>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BEBB">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4DC1">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2099">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4F49">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FFE7">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87EB">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A3C8F"/>
    <w:multiLevelType w:val="multilevel"/>
    <w:tmpl w:val="298A3C8F"/>
    <w:lvl w:ilvl="0" w:tentative="0">
      <w:start w:val="1"/>
      <w:numFmt w:val="chineseCountingThousand"/>
      <w:pStyle w:val="2"/>
      <w:suff w:val="space"/>
      <w:lvlText w:val="%1、"/>
      <w:lvlJc w:val="left"/>
      <w:pPr>
        <w:ind w:left="0" w:firstLine="0"/>
      </w:pPr>
      <w:rPr>
        <w:rFonts w:hint="eastAsia"/>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hanging="32766"/>
      </w:pPr>
      <w:rPr>
        <w:rFonts w:hint="eastAsia"/>
      </w:rPr>
    </w:lvl>
    <w:lvl w:ilvl="3" w:tentative="0">
      <w:start w:val="1"/>
      <w:numFmt w:val="decimal"/>
      <w:pStyle w:val="6"/>
      <w:isLg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9BD1883"/>
    <w:multiLevelType w:val="multilevel"/>
    <w:tmpl w:val="49BD188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5MzY4NTVmNWNkM2FiOTE3MzcxMWViN2E1MTkyMzYifQ=="/>
  </w:docVars>
  <w:rsids>
    <w:rsidRoot w:val="00A14947"/>
    <w:rsid w:val="00001B30"/>
    <w:rsid w:val="000060B3"/>
    <w:rsid w:val="000143D2"/>
    <w:rsid w:val="00014A59"/>
    <w:rsid w:val="0001615B"/>
    <w:rsid w:val="00020056"/>
    <w:rsid w:val="00026C34"/>
    <w:rsid w:val="00026D44"/>
    <w:rsid w:val="0003627C"/>
    <w:rsid w:val="00036C54"/>
    <w:rsid w:val="00040EF1"/>
    <w:rsid w:val="0004364B"/>
    <w:rsid w:val="00047CCF"/>
    <w:rsid w:val="000509FF"/>
    <w:rsid w:val="00050CD8"/>
    <w:rsid w:val="000519C5"/>
    <w:rsid w:val="00051D57"/>
    <w:rsid w:val="00054DEA"/>
    <w:rsid w:val="0005547A"/>
    <w:rsid w:val="00055E7E"/>
    <w:rsid w:val="000578A5"/>
    <w:rsid w:val="00061B1F"/>
    <w:rsid w:val="00065E68"/>
    <w:rsid w:val="00070030"/>
    <w:rsid w:val="0007030C"/>
    <w:rsid w:val="0007161F"/>
    <w:rsid w:val="00071C77"/>
    <w:rsid w:val="000720A6"/>
    <w:rsid w:val="000733C4"/>
    <w:rsid w:val="00074783"/>
    <w:rsid w:val="00076687"/>
    <w:rsid w:val="0008070B"/>
    <w:rsid w:val="000810AC"/>
    <w:rsid w:val="00081A02"/>
    <w:rsid w:val="00082231"/>
    <w:rsid w:val="00086158"/>
    <w:rsid w:val="00087493"/>
    <w:rsid w:val="00092023"/>
    <w:rsid w:val="00092D38"/>
    <w:rsid w:val="0009377B"/>
    <w:rsid w:val="00095F6C"/>
    <w:rsid w:val="0009618F"/>
    <w:rsid w:val="000A20C9"/>
    <w:rsid w:val="000A32CF"/>
    <w:rsid w:val="000A39A7"/>
    <w:rsid w:val="000B03B4"/>
    <w:rsid w:val="000B058F"/>
    <w:rsid w:val="000B4467"/>
    <w:rsid w:val="000B4DB9"/>
    <w:rsid w:val="000C09AC"/>
    <w:rsid w:val="000C3414"/>
    <w:rsid w:val="000C6623"/>
    <w:rsid w:val="000C6AF4"/>
    <w:rsid w:val="000C767F"/>
    <w:rsid w:val="000D4230"/>
    <w:rsid w:val="000D5A44"/>
    <w:rsid w:val="000E05F2"/>
    <w:rsid w:val="000E10F3"/>
    <w:rsid w:val="000E3ED2"/>
    <w:rsid w:val="000E4AC4"/>
    <w:rsid w:val="000F0C5B"/>
    <w:rsid w:val="000F1A5C"/>
    <w:rsid w:val="000F7360"/>
    <w:rsid w:val="000F73F0"/>
    <w:rsid w:val="00110119"/>
    <w:rsid w:val="00115138"/>
    <w:rsid w:val="00121F89"/>
    <w:rsid w:val="0012419D"/>
    <w:rsid w:val="00125D3D"/>
    <w:rsid w:val="00130EB7"/>
    <w:rsid w:val="00131F42"/>
    <w:rsid w:val="001357F1"/>
    <w:rsid w:val="00137F3A"/>
    <w:rsid w:val="00140FA8"/>
    <w:rsid w:val="00142FEB"/>
    <w:rsid w:val="00143A2D"/>
    <w:rsid w:val="00145A41"/>
    <w:rsid w:val="00151675"/>
    <w:rsid w:val="00154510"/>
    <w:rsid w:val="00154688"/>
    <w:rsid w:val="001571A0"/>
    <w:rsid w:val="00157435"/>
    <w:rsid w:val="00161495"/>
    <w:rsid w:val="0016772D"/>
    <w:rsid w:val="0017504D"/>
    <w:rsid w:val="00175536"/>
    <w:rsid w:val="00175755"/>
    <w:rsid w:val="00176068"/>
    <w:rsid w:val="0017671A"/>
    <w:rsid w:val="00177422"/>
    <w:rsid w:val="001816B9"/>
    <w:rsid w:val="00183405"/>
    <w:rsid w:val="00183534"/>
    <w:rsid w:val="00184245"/>
    <w:rsid w:val="00184526"/>
    <w:rsid w:val="00184590"/>
    <w:rsid w:val="001870D1"/>
    <w:rsid w:val="0018781E"/>
    <w:rsid w:val="00187DFD"/>
    <w:rsid w:val="001903FE"/>
    <w:rsid w:val="001910A2"/>
    <w:rsid w:val="0019262D"/>
    <w:rsid w:val="00192A8C"/>
    <w:rsid w:val="0019372D"/>
    <w:rsid w:val="00194BFC"/>
    <w:rsid w:val="00196224"/>
    <w:rsid w:val="001A00B4"/>
    <w:rsid w:val="001A1B35"/>
    <w:rsid w:val="001A48A2"/>
    <w:rsid w:val="001A5894"/>
    <w:rsid w:val="001A5A94"/>
    <w:rsid w:val="001A6F61"/>
    <w:rsid w:val="001A72F7"/>
    <w:rsid w:val="001B40F1"/>
    <w:rsid w:val="001B72B8"/>
    <w:rsid w:val="001C0C90"/>
    <w:rsid w:val="001C3103"/>
    <w:rsid w:val="001C3EE8"/>
    <w:rsid w:val="001C69B3"/>
    <w:rsid w:val="001C7678"/>
    <w:rsid w:val="001D15EA"/>
    <w:rsid w:val="001D1921"/>
    <w:rsid w:val="001D5595"/>
    <w:rsid w:val="001D7874"/>
    <w:rsid w:val="001D7F22"/>
    <w:rsid w:val="001E2D92"/>
    <w:rsid w:val="001E5442"/>
    <w:rsid w:val="001E5C7D"/>
    <w:rsid w:val="001E6A78"/>
    <w:rsid w:val="001F0F17"/>
    <w:rsid w:val="001F3347"/>
    <w:rsid w:val="001F428C"/>
    <w:rsid w:val="001F69E4"/>
    <w:rsid w:val="002057C9"/>
    <w:rsid w:val="00210C2F"/>
    <w:rsid w:val="002125B4"/>
    <w:rsid w:val="0021416B"/>
    <w:rsid w:val="002155B8"/>
    <w:rsid w:val="00222C1D"/>
    <w:rsid w:val="00224839"/>
    <w:rsid w:val="002249B2"/>
    <w:rsid w:val="00225B87"/>
    <w:rsid w:val="00226574"/>
    <w:rsid w:val="002278EC"/>
    <w:rsid w:val="002308DD"/>
    <w:rsid w:val="0023280E"/>
    <w:rsid w:val="002377D1"/>
    <w:rsid w:val="00240636"/>
    <w:rsid w:val="0024128F"/>
    <w:rsid w:val="00241A4C"/>
    <w:rsid w:val="00241A84"/>
    <w:rsid w:val="00243E07"/>
    <w:rsid w:val="002503B4"/>
    <w:rsid w:val="002506BC"/>
    <w:rsid w:val="00250B68"/>
    <w:rsid w:val="00250E2B"/>
    <w:rsid w:val="00254345"/>
    <w:rsid w:val="00254852"/>
    <w:rsid w:val="00260A16"/>
    <w:rsid w:val="00260E42"/>
    <w:rsid w:val="00262351"/>
    <w:rsid w:val="00264557"/>
    <w:rsid w:val="00266946"/>
    <w:rsid w:val="002716B0"/>
    <w:rsid w:val="002775C8"/>
    <w:rsid w:val="002775ED"/>
    <w:rsid w:val="002805AB"/>
    <w:rsid w:val="00283378"/>
    <w:rsid w:val="00284204"/>
    <w:rsid w:val="0028456B"/>
    <w:rsid w:val="002857A3"/>
    <w:rsid w:val="00286EFD"/>
    <w:rsid w:val="00291773"/>
    <w:rsid w:val="00296D36"/>
    <w:rsid w:val="00297B3D"/>
    <w:rsid w:val="002A168C"/>
    <w:rsid w:val="002A3DC7"/>
    <w:rsid w:val="002A4618"/>
    <w:rsid w:val="002B4275"/>
    <w:rsid w:val="002B49E2"/>
    <w:rsid w:val="002B4DFF"/>
    <w:rsid w:val="002B688A"/>
    <w:rsid w:val="002B7B00"/>
    <w:rsid w:val="002B7C44"/>
    <w:rsid w:val="002C2099"/>
    <w:rsid w:val="002C2B17"/>
    <w:rsid w:val="002C5AF2"/>
    <w:rsid w:val="002C6A2A"/>
    <w:rsid w:val="002D0BB6"/>
    <w:rsid w:val="002D3398"/>
    <w:rsid w:val="002D3AEE"/>
    <w:rsid w:val="002D3DD0"/>
    <w:rsid w:val="002E0C03"/>
    <w:rsid w:val="002E1F3A"/>
    <w:rsid w:val="002E298A"/>
    <w:rsid w:val="002E44E2"/>
    <w:rsid w:val="002E578E"/>
    <w:rsid w:val="002E63A6"/>
    <w:rsid w:val="0030119F"/>
    <w:rsid w:val="00301978"/>
    <w:rsid w:val="00301F22"/>
    <w:rsid w:val="0030332C"/>
    <w:rsid w:val="003051C2"/>
    <w:rsid w:val="003059F2"/>
    <w:rsid w:val="00306186"/>
    <w:rsid w:val="00310185"/>
    <w:rsid w:val="00311074"/>
    <w:rsid w:val="00312296"/>
    <w:rsid w:val="00312544"/>
    <w:rsid w:val="003136EF"/>
    <w:rsid w:val="00314F0E"/>
    <w:rsid w:val="0031649B"/>
    <w:rsid w:val="00321D8E"/>
    <w:rsid w:val="00323F5E"/>
    <w:rsid w:val="00325928"/>
    <w:rsid w:val="00330242"/>
    <w:rsid w:val="00332863"/>
    <w:rsid w:val="0033371E"/>
    <w:rsid w:val="0033490F"/>
    <w:rsid w:val="003367BD"/>
    <w:rsid w:val="0033684D"/>
    <w:rsid w:val="00337142"/>
    <w:rsid w:val="00337B42"/>
    <w:rsid w:val="00341B42"/>
    <w:rsid w:val="0034319B"/>
    <w:rsid w:val="0034348F"/>
    <w:rsid w:val="003530FC"/>
    <w:rsid w:val="00353C52"/>
    <w:rsid w:val="00356653"/>
    <w:rsid w:val="0035743F"/>
    <w:rsid w:val="00357BE2"/>
    <w:rsid w:val="0036170C"/>
    <w:rsid w:val="00364479"/>
    <w:rsid w:val="00366B31"/>
    <w:rsid w:val="00366E0F"/>
    <w:rsid w:val="003753AB"/>
    <w:rsid w:val="0037713D"/>
    <w:rsid w:val="003772F0"/>
    <w:rsid w:val="003779A4"/>
    <w:rsid w:val="00381A72"/>
    <w:rsid w:val="00384676"/>
    <w:rsid w:val="00385FC4"/>
    <w:rsid w:val="003863EC"/>
    <w:rsid w:val="00387504"/>
    <w:rsid w:val="00390857"/>
    <w:rsid w:val="003922D3"/>
    <w:rsid w:val="003926D3"/>
    <w:rsid w:val="003927F8"/>
    <w:rsid w:val="00395B1B"/>
    <w:rsid w:val="003A1B25"/>
    <w:rsid w:val="003A4BF3"/>
    <w:rsid w:val="003A662A"/>
    <w:rsid w:val="003A6EB2"/>
    <w:rsid w:val="003B420D"/>
    <w:rsid w:val="003C11F6"/>
    <w:rsid w:val="003C4D12"/>
    <w:rsid w:val="003C6C16"/>
    <w:rsid w:val="003D0DFB"/>
    <w:rsid w:val="003D1166"/>
    <w:rsid w:val="003D4E95"/>
    <w:rsid w:val="003D794D"/>
    <w:rsid w:val="003D7BDA"/>
    <w:rsid w:val="003E3058"/>
    <w:rsid w:val="003E476A"/>
    <w:rsid w:val="003E59B7"/>
    <w:rsid w:val="003E5B37"/>
    <w:rsid w:val="003E76A9"/>
    <w:rsid w:val="003F0809"/>
    <w:rsid w:val="003F1ECE"/>
    <w:rsid w:val="003F27D5"/>
    <w:rsid w:val="003F33F8"/>
    <w:rsid w:val="003F643D"/>
    <w:rsid w:val="003F6A8C"/>
    <w:rsid w:val="003F755C"/>
    <w:rsid w:val="004025AD"/>
    <w:rsid w:val="00406F01"/>
    <w:rsid w:val="00406FE1"/>
    <w:rsid w:val="00407BC3"/>
    <w:rsid w:val="0041175F"/>
    <w:rsid w:val="00414481"/>
    <w:rsid w:val="00416D50"/>
    <w:rsid w:val="00416FD5"/>
    <w:rsid w:val="00417772"/>
    <w:rsid w:val="00420E6A"/>
    <w:rsid w:val="00423E50"/>
    <w:rsid w:val="00425A9E"/>
    <w:rsid w:val="00425B15"/>
    <w:rsid w:val="00426867"/>
    <w:rsid w:val="00426CFD"/>
    <w:rsid w:val="00426D6B"/>
    <w:rsid w:val="00431E6C"/>
    <w:rsid w:val="00433CE7"/>
    <w:rsid w:val="00435D04"/>
    <w:rsid w:val="004408CA"/>
    <w:rsid w:val="00440AE9"/>
    <w:rsid w:val="00446943"/>
    <w:rsid w:val="00450E33"/>
    <w:rsid w:val="00452738"/>
    <w:rsid w:val="00456091"/>
    <w:rsid w:val="004578E1"/>
    <w:rsid w:val="00466321"/>
    <w:rsid w:val="0046673E"/>
    <w:rsid w:val="00473CAB"/>
    <w:rsid w:val="00474029"/>
    <w:rsid w:val="00480568"/>
    <w:rsid w:val="00483CC2"/>
    <w:rsid w:val="00484A78"/>
    <w:rsid w:val="00484B9B"/>
    <w:rsid w:val="00484F15"/>
    <w:rsid w:val="004855F6"/>
    <w:rsid w:val="0048661E"/>
    <w:rsid w:val="00494670"/>
    <w:rsid w:val="0049479A"/>
    <w:rsid w:val="00495149"/>
    <w:rsid w:val="00497E30"/>
    <w:rsid w:val="004A16B2"/>
    <w:rsid w:val="004A3823"/>
    <w:rsid w:val="004A5E3B"/>
    <w:rsid w:val="004B51C1"/>
    <w:rsid w:val="004C6811"/>
    <w:rsid w:val="004C7F4A"/>
    <w:rsid w:val="004D1D5F"/>
    <w:rsid w:val="004D61F5"/>
    <w:rsid w:val="004E2154"/>
    <w:rsid w:val="004E29D9"/>
    <w:rsid w:val="004E3DEE"/>
    <w:rsid w:val="004E6946"/>
    <w:rsid w:val="004F126B"/>
    <w:rsid w:val="004F1AD8"/>
    <w:rsid w:val="004F3590"/>
    <w:rsid w:val="004F3638"/>
    <w:rsid w:val="0050010A"/>
    <w:rsid w:val="00502C95"/>
    <w:rsid w:val="005039CB"/>
    <w:rsid w:val="005048F1"/>
    <w:rsid w:val="0050558F"/>
    <w:rsid w:val="005059E9"/>
    <w:rsid w:val="00506286"/>
    <w:rsid w:val="00510813"/>
    <w:rsid w:val="00511990"/>
    <w:rsid w:val="00511DE0"/>
    <w:rsid w:val="00514870"/>
    <w:rsid w:val="00514B9B"/>
    <w:rsid w:val="00517F02"/>
    <w:rsid w:val="00520ED8"/>
    <w:rsid w:val="00521C98"/>
    <w:rsid w:val="0052429F"/>
    <w:rsid w:val="00524303"/>
    <w:rsid w:val="005258A2"/>
    <w:rsid w:val="0052611D"/>
    <w:rsid w:val="00526EF7"/>
    <w:rsid w:val="005277F1"/>
    <w:rsid w:val="0052798A"/>
    <w:rsid w:val="0053248A"/>
    <w:rsid w:val="0053481D"/>
    <w:rsid w:val="00534999"/>
    <w:rsid w:val="00535749"/>
    <w:rsid w:val="005400CE"/>
    <w:rsid w:val="005401AE"/>
    <w:rsid w:val="00542E07"/>
    <w:rsid w:val="00545424"/>
    <w:rsid w:val="00546E79"/>
    <w:rsid w:val="00550C7E"/>
    <w:rsid w:val="00553DB7"/>
    <w:rsid w:val="00554A7B"/>
    <w:rsid w:val="0055572C"/>
    <w:rsid w:val="0055770B"/>
    <w:rsid w:val="00560E2A"/>
    <w:rsid w:val="0056106A"/>
    <w:rsid w:val="00562B0F"/>
    <w:rsid w:val="00563C0B"/>
    <w:rsid w:val="005678DC"/>
    <w:rsid w:val="005720AE"/>
    <w:rsid w:val="00581259"/>
    <w:rsid w:val="00581E2A"/>
    <w:rsid w:val="0058400D"/>
    <w:rsid w:val="00584459"/>
    <w:rsid w:val="005844B9"/>
    <w:rsid w:val="00592957"/>
    <w:rsid w:val="005930D2"/>
    <w:rsid w:val="00594CDF"/>
    <w:rsid w:val="00594D77"/>
    <w:rsid w:val="005969E4"/>
    <w:rsid w:val="005A06B7"/>
    <w:rsid w:val="005A1759"/>
    <w:rsid w:val="005A6330"/>
    <w:rsid w:val="005A68A7"/>
    <w:rsid w:val="005B0CF5"/>
    <w:rsid w:val="005C0711"/>
    <w:rsid w:val="005D04CD"/>
    <w:rsid w:val="005D36AB"/>
    <w:rsid w:val="005D5092"/>
    <w:rsid w:val="005E03DF"/>
    <w:rsid w:val="005E1587"/>
    <w:rsid w:val="005F2779"/>
    <w:rsid w:val="005F516A"/>
    <w:rsid w:val="00601696"/>
    <w:rsid w:val="006151CB"/>
    <w:rsid w:val="00617CC3"/>
    <w:rsid w:val="00617D1B"/>
    <w:rsid w:val="0062064F"/>
    <w:rsid w:val="00631941"/>
    <w:rsid w:val="006377A6"/>
    <w:rsid w:val="00637A3D"/>
    <w:rsid w:val="006411EF"/>
    <w:rsid w:val="00650EC8"/>
    <w:rsid w:val="006522A9"/>
    <w:rsid w:val="006523FB"/>
    <w:rsid w:val="0065658D"/>
    <w:rsid w:val="00656BD5"/>
    <w:rsid w:val="006624E1"/>
    <w:rsid w:val="00665A56"/>
    <w:rsid w:val="0067141E"/>
    <w:rsid w:val="00673360"/>
    <w:rsid w:val="00673747"/>
    <w:rsid w:val="006737C4"/>
    <w:rsid w:val="00674521"/>
    <w:rsid w:val="006748B8"/>
    <w:rsid w:val="00675DC4"/>
    <w:rsid w:val="006769A4"/>
    <w:rsid w:val="006775C3"/>
    <w:rsid w:val="0068146D"/>
    <w:rsid w:val="006829BC"/>
    <w:rsid w:val="00683AAD"/>
    <w:rsid w:val="00683ED3"/>
    <w:rsid w:val="00685125"/>
    <w:rsid w:val="006921CB"/>
    <w:rsid w:val="0069290A"/>
    <w:rsid w:val="00693F36"/>
    <w:rsid w:val="0069775A"/>
    <w:rsid w:val="00697813"/>
    <w:rsid w:val="006A3EE8"/>
    <w:rsid w:val="006A72BF"/>
    <w:rsid w:val="006B03F2"/>
    <w:rsid w:val="006B37DC"/>
    <w:rsid w:val="006B4F68"/>
    <w:rsid w:val="006B5E05"/>
    <w:rsid w:val="006C04E7"/>
    <w:rsid w:val="006C0592"/>
    <w:rsid w:val="006C272E"/>
    <w:rsid w:val="006C5479"/>
    <w:rsid w:val="006D13B5"/>
    <w:rsid w:val="006D6769"/>
    <w:rsid w:val="006D6895"/>
    <w:rsid w:val="006D6A2F"/>
    <w:rsid w:val="006D6F4C"/>
    <w:rsid w:val="006D78EC"/>
    <w:rsid w:val="006E12FF"/>
    <w:rsid w:val="006E2A92"/>
    <w:rsid w:val="006E607E"/>
    <w:rsid w:val="006E69A8"/>
    <w:rsid w:val="006E6BB6"/>
    <w:rsid w:val="006E6D8E"/>
    <w:rsid w:val="006F036B"/>
    <w:rsid w:val="006F3F63"/>
    <w:rsid w:val="006F519D"/>
    <w:rsid w:val="00701EB1"/>
    <w:rsid w:val="007068B3"/>
    <w:rsid w:val="00706C5D"/>
    <w:rsid w:val="00712069"/>
    <w:rsid w:val="00716068"/>
    <w:rsid w:val="00721E89"/>
    <w:rsid w:val="00723D4C"/>
    <w:rsid w:val="00726509"/>
    <w:rsid w:val="00732922"/>
    <w:rsid w:val="00733C62"/>
    <w:rsid w:val="00747BEE"/>
    <w:rsid w:val="0075162E"/>
    <w:rsid w:val="00754034"/>
    <w:rsid w:val="007544BC"/>
    <w:rsid w:val="00756556"/>
    <w:rsid w:val="00756A98"/>
    <w:rsid w:val="007605E8"/>
    <w:rsid w:val="00760A39"/>
    <w:rsid w:val="00760E27"/>
    <w:rsid w:val="007618C4"/>
    <w:rsid w:val="0076339A"/>
    <w:rsid w:val="00767980"/>
    <w:rsid w:val="00770B19"/>
    <w:rsid w:val="00771F17"/>
    <w:rsid w:val="0077463F"/>
    <w:rsid w:val="007749C7"/>
    <w:rsid w:val="00775983"/>
    <w:rsid w:val="00776D2D"/>
    <w:rsid w:val="00777B3F"/>
    <w:rsid w:val="00780911"/>
    <w:rsid w:val="007835AD"/>
    <w:rsid w:val="007836EA"/>
    <w:rsid w:val="00784CDA"/>
    <w:rsid w:val="00787A7F"/>
    <w:rsid w:val="007906C4"/>
    <w:rsid w:val="00790AE2"/>
    <w:rsid w:val="00791C63"/>
    <w:rsid w:val="00793340"/>
    <w:rsid w:val="007940EA"/>
    <w:rsid w:val="007967E8"/>
    <w:rsid w:val="00796F21"/>
    <w:rsid w:val="007A2170"/>
    <w:rsid w:val="007A22BF"/>
    <w:rsid w:val="007A2D1E"/>
    <w:rsid w:val="007A3323"/>
    <w:rsid w:val="007A3428"/>
    <w:rsid w:val="007A6559"/>
    <w:rsid w:val="007A7D9F"/>
    <w:rsid w:val="007B0B1C"/>
    <w:rsid w:val="007B1438"/>
    <w:rsid w:val="007B72B8"/>
    <w:rsid w:val="007B7A58"/>
    <w:rsid w:val="007C0696"/>
    <w:rsid w:val="007C0785"/>
    <w:rsid w:val="007C21B5"/>
    <w:rsid w:val="007C3BA4"/>
    <w:rsid w:val="007C4EC3"/>
    <w:rsid w:val="007D0AC3"/>
    <w:rsid w:val="007D191E"/>
    <w:rsid w:val="007D34CB"/>
    <w:rsid w:val="007D5D4F"/>
    <w:rsid w:val="007E09D1"/>
    <w:rsid w:val="007E3996"/>
    <w:rsid w:val="007E4BD2"/>
    <w:rsid w:val="007E63B3"/>
    <w:rsid w:val="007F15E2"/>
    <w:rsid w:val="00801393"/>
    <w:rsid w:val="00802630"/>
    <w:rsid w:val="008026D8"/>
    <w:rsid w:val="00802F88"/>
    <w:rsid w:val="0080440A"/>
    <w:rsid w:val="00804693"/>
    <w:rsid w:val="00811852"/>
    <w:rsid w:val="0081293E"/>
    <w:rsid w:val="00815009"/>
    <w:rsid w:val="00815465"/>
    <w:rsid w:val="00817E9A"/>
    <w:rsid w:val="008221AD"/>
    <w:rsid w:val="00827CEC"/>
    <w:rsid w:val="008306BD"/>
    <w:rsid w:val="00831A80"/>
    <w:rsid w:val="00831C73"/>
    <w:rsid w:val="008324D1"/>
    <w:rsid w:val="00833743"/>
    <w:rsid w:val="008340A4"/>
    <w:rsid w:val="00834D0D"/>
    <w:rsid w:val="00834FAF"/>
    <w:rsid w:val="008372F6"/>
    <w:rsid w:val="00844604"/>
    <w:rsid w:val="008525E8"/>
    <w:rsid w:val="008526C2"/>
    <w:rsid w:val="00852CA6"/>
    <w:rsid w:val="0085451F"/>
    <w:rsid w:val="00857422"/>
    <w:rsid w:val="00860CEE"/>
    <w:rsid w:val="00861A36"/>
    <w:rsid w:val="008624EE"/>
    <w:rsid w:val="008636C4"/>
    <w:rsid w:val="0086384C"/>
    <w:rsid w:val="00867222"/>
    <w:rsid w:val="0087043C"/>
    <w:rsid w:val="0087135F"/>
    <w:rsid w:val="00872D94"/>
    <w:rsid w:val="008736CA"/>
    <w:rsid w:val="00876348"/>
    <w:rsid w:val="008769D4"/>
    <w:rsid w:val="00880364"/>
    <w:rsid w:val="00881DE1"/>
    <w:rsid w:val="00887B44"/>
    <w:rsid w:val="00890651"/>
    <w:rsid w:val="00891592"/>
    <w:rsid w:val="00891E9E"/>
    <w:rsid w:val="00895015"/>
    <w:rsid w:val="008A21A4"/>
    <w:rsid w:val="008A2F68"/>
    <w:rsid w:val="008A40B9"/>
    <w:rsid w:val="008A5A8E"/>
    <w:rsid w:val="008B21B3"/>
    <w:rsid w:val="008B25DC"/>
    <w:rsid w:val="008B4FA6"/>
    <w:rsid w:val="008B5282"/>
    <w:rsid w:val="008B7C17"/>
    <w:rsid w:val="008C2D01"/>
    <w:rsid w:val="008C40E6"/>
    <w:rsid w:val="008C435B"/>
    <w:rsid w:val="008C7172"/>
    <w:rsid w:val="008C7D7E"/>
    <w:rsid w:val="008D0F7A"/>
    <w:rsid w:val="008D193B"/>
    <w:rsid w:val="008D20CF"/>
    <w:rsid w:val="008D3960"/>
    <w:rsid w:val="008D5DF4"/>
    <w:rsid w:val="008D5E61"/>
    <w:rsid w:val="008D68E4"/>
    <w:rsid w:val="008D7AED"/>
    <w:rsid w:val="008E02AF"/>
    <w:rsid w:val="008E02EF"/>
    <w:rsid w:val="008E0506"/>
    <w:rsid w:val="008E0CFF"/>
    <w:rsid w:val="008E0E03"/>
    <w:rsid w:val="008E39D2"/>
    <w:rsid w:val="008E5D6B"/>
    <w:rsid w:val="008E647D"/>
    <w:rsid w:val="008E6FBF"/>
    <w:rsid w:val="008E76F0"/>
    <w:rsid w:val="008F053E"/>
    <w:rsid w:val="008F15FE"/>
    <w:rsid w:val="008F2AF6"/>
    <w:rsid w:val="008F2D29"/>
    <w:rsid w:val="008F2EB6"/>
    <w:rsid w:val="008F477C"/>
    <w:rsid w:val="008F5187"/>
    <w:rsid w:val="008F60D8"/>
    <w:rsid w:val="008F6E66"/>
    <w:rsid w:val="00902727"/>
    <w:rsid w:val="00902ECA"/>
    <w:rsid w:val="0090312B"/>
    <w:rsid w:val="009044D6"/>
    <w:rsid w:val="009057DF"/>
    <w:rsid w:val="009138A9"/>
    <w:rsid w:val="00914C33"/>
    <w:rsid w:val="00915DE8"/>
    <w:rsid w:val="009165CA"/>
    <w:rsid w:val="0091736D"/>
    <w:rsid w:val="00917C1C"/>
    <w:rsid w:val="00920692"/>
    <w:rsid w:val="00923C1F"/>
    <w:rsid w:val="00925B2C"/>
    <w:rsid w:val="00926089"/>
    <w:rsid w:val="0093037A"/>
    <w:rsid w:val="00933C8F"/>
    <w:rsid w:val="009362C3"/>
    <w:rsid w:val="0093762D"/>
    <w:rsid w:val="00940F2D"/>
    <w:rsid w:val="0094154D"/>
    <w:rsid w:val="009439ED"/>
    <w:rsid w:val="009441C0"/>
    <w:rsid w:val="00946029"/>
    <w:rsid w:val="0095155F"/>
    <w:rsid w:val="00951B0B"/>
    <w:rsid w:val="00952DB4"/>
    <w:rsid w:val="00954429"/>
    <w:rsid w:val="009563CE"/>
    <w:rsid w:val="00962123"/>
    <w:rsid w:val="00964B2A"/>
    <w:rsid w:val="00965C9D"/>
    <w:rsid w:val="00966D45"/>
    <w:rsid w:val="00970914"/>
    <w:rsid w:val="00976328"/>
    <w:rsid w:val="0097680D"/>
    <w:rsid w:val="009770AA"/>
    <w:rsid w:val="009821A0"/>
    <w:rsid w:val="00982438"/>
    <w:rsid w:val="00982824"/>
    <w:rsid w:val="009836D8"/>
    <w:rsid w:val="0098404C"/>
    <w:rsid w:val="00985283"/>
    <w:rsid w:val="00985908"/>
    <w:rsid w:val="0099238E"/>
    <w:rsid w:val="00993B9B"/>
    <w:rsid w:val="00993BF0"/>
    <w:rsid w:val="00994CCF"/>
    <w:rsid w:val="00995992"/>
    <w:rsid w:val="009A03E5"/>
    <w:rsid w:val="009A0F3B"/>
    <w:rsid w:val="009A1194"/>
    <w:rsid w:val="009A1BB4"/>
    <w:rsid w:val="009A2628"/>
    <w:rsid w:val="009A3200"/>
    <w:rsid w:val="009A6A25"/>
    <w:rsid w:val="009B0560"/>
    <w:rsid w:val="009B0897"/>
    <w:rsid w:val="009B2201"/>
    <w:rsid w:val="009B32ED"/>
    <w:rsid w:val="009B4D31"/>
    <w:rsid w:val="009B5DED"/>
    <w:rsid w:val="009B793B"/>
    <w:rsid w:val="009B7BD9"/>
    <w:rsid w:val="009B7EF9"/>
    <w:rsid w:val="009C17B9"/>
    <w:rsid w:val="009C255B"/>
    <w:rsid w:val="009C2B1B"/>
    <w:rsid w:val="009C46DA"/>
    <w:rsid w:val="009C7DD5"/>
    <w:rsid w:val="009D2151"/>
    <w:rsid w:val="009D295D"/>
    <w:rsid w:val="009D42AD"/>
    <w:rsid w:val="009D59A4"/>
    <w:rsid w:val="009D60D1"/>
    <w:rsid w:val="009E227D"/>
    <w:rsid w:val="009E2DD6"/>
    <w:rsid w:val="009E5019"/>
    <w:rsid w:val="009E5716"/>
    <w:rsid w:val="009E70F3"/>
    <w:rsid w:val="009F4588"/>
    <w:rsid w:val="00A04F1B"/>
    <w:rsid w:val="00A0501B"/>
    <w:rsid w:val="00A06449"/>
    <w:rsid w:val="00A066E8"/>
    <w:rsid w:val="00A071E0"/>
    <w:rsid w:val="00A07951"/>
    <w:rsid w:val="00A102D2"/>
    <w:rsid w:val="00A113F0"/>
    <w:rsid w:val="00A12977"/>
    <w:rsid w:val="00A13506"/>
    <w:rsid w:val="00A14947"/>
    <w:rsid w:val="00A168A7"/>
    <w:rsid w:val="00A17D8B"/>
    <w:rsid w:val="00A259FB"/>
    <w:rsid w:val="00A26932"/>
    <w:rsid w:val="00A27689"/>
    <w:rsid w:val="00A32A83"/>
    <w:rsid w:val="00A33186"/>
    <w:rsid w:val="00A368DB"/>
    <w:rsid w:val="00A4071A"/>
    <w:rsid w:val="00A423AA"/>
    <w:rsid w:val="00A4272C"/>
    <w:rsid w:val="00A42B74"/>
    <w:rsid w:val="00A53EC6"/>
    <w:rsid w:val="00A54BF4"/>
    <w:rsid w:val="00A55C0F"/>
    <w:rsid w:val="00A6377D"/>
    <w:rsid w:val="00A64E18"/>
    <w:rsid w:val="00A65A8C"/>
    <w:rsid w:val="00A71165"/>
    <w:rsid w:val="00A71699"/>
    <w:rsid w:val="00A71764"/>
    <w:rsid w:val="00A74181"/>
    <w:rsid w:val="00A75275"/>
    <w:rsid w:val="00A77D34"/>
    <w:rsid w:val="00A832C2"/>
    <w:rsid w:val="00A83A9E"/>
    <w:rsid w:val="00A85AE3"/>
    <w:rsid w:val="00A8713F"/>
    <w:rsid w:val="00A90BA1"/>
    <w:rsid w:val="00A91198"/>
    <w:rsid w:val="00A92212"/>
    <w:rsid w:val="00A922F4"/>
    <w:rsid w:val="00A940B6"/>
    <w:rsid w:val="00A9554F"/>
    <w:rsid w:val="00A97A9A"/>
    <w:rsid w:val="00AA0671"/>
    <w:rsid w:val="00AA2531"/>
    <w:rsid w:val="00AA5075"/>
    <w:rsid w:val="00AA53F3"/>
    <w:rsid w:val="00AA55E3"/>
    <w:rsid w:val="00AA5F7E"/>
    <w:rsid w:val="00AA7530"/>
    <w:rsid w:val="00AB1E09"/>
    <w:rsid w:val="00AB4532"/>
    <w:rsid w:val="00AB5330"/>
    <w:rsid w:val="00AB7747"/>
    <w:rsid w:val="00AC14CE"/>
    <w:rsid w:val="00AC2A56"/>
    <w:rsid w:val="00AC4BEF"/>
    <w:rsid w:val="00AC6138"/>
    <w:rsid w:val="00AD055E"/>
    <w:rsid w:val="00AD0F73"/>
    <w:rsid w:val="00AD47A7"/>
    <w:rsid w:val="00AD6D9B"/>
    <w:rsid w:val="00AD7123"/>
    <w:rsid w:val="00AD77C5"/>
    <w:rsid w:val="00AE0BFD"/>
    <w:rsid w:val="00AE1437"/>
    <w:rsid w:val="00AE6A0D"/>
    <w:rsid w:val="00AF0CBF"/>
    <w:rsid w:val="00AF257F"/>
    <w:rsid w:val="00AF33CF"/>
    <w:rsid w:val="00AF3C62"/>
    <w:rsid w:val="00AF4D50"/>
    <w:rsid w:val="00AF6179"/>
    <w:rsid w:val="00AF62B5"/>
    <w:rsid w:val="00AF64A0"/>
    <w:rsid w:val="00AF7720"/>
    <w:rsid w:val="00B11C41"/>
    <w:rsid w:val="00B1295A"/>
    <w:rsid w:val="00B12A72"/>
    <w:rsid w:val="00B133A5"/>
    <w:rsid w:val="00B15AF9"/>
    <w:rsid w:val="00B15B28"/>
    <w:rsid w:val="00B20A45"/>
    <w:rsid w:val="00B21141"/>
    <w:rsid w:val="00B22C5C"/>
    <w:rsid w:val="00B23D95"/>
    <w:rsid w:val="00B24F30"/>
    <w:rsid w:val="00B2563D"/>
    <w:rsid w:val="00B25ED9"/>
    <w:rsid w:val="00B30DDF"/>
    <w:rsid w:val="00B31ABF"/>
    <w:rsid w:val="00B31C10"/>
    <w:rsid w:val="00B33BE3"/>
    <w:rsid w:val="00B37DE4"/>
    <w:rsid w:val="00B42CD6"/>
    <w:rsid w:val="00B43705"/>
    <w:rsid w:val="00B43A22"/>
    <w:rsid w:val="00B529BF"/>
    <w:rsid w:val="00B53B5D"/>
    <w:rsid w:val="00B552DB"/>
    <w:rsid w:val="00B56FFF"/>
    <w:rsid w:val="00B6055E"/>
    <w:rsid w:val="00B61275"/>
    <w:rsid w:val="00B61B4A"/>
    <w:rsid w:val="00B62E42"/>
    <w:rsid w:val="00B6317D"/>
    <w:rsid w:val="00B65526"/>
    <w:rsid w:val="00B7119D"/>
    <w:rsid w:val="00B71CE0"/>
    <w:rsid w:val="00B72730"/>
    <w:rsid w:val="00B76A04"/>
    <w:rsid w:val="00B7723F"/>
    <w:rsid w:val="00B80534"/>
    <w:rsid w:val="00B80A25"/>
    <w:rsid w:val="00B82DD6"/>
    <w:rsid w:val="00B8433C"/>
    <w:rsid w:val="00B87491"/>
    <w:rsid w:val="00B87652"/>
    <w:rsid w:val="00B939AF"/>
    <w:rsid w:val="00BA29E9"/>
    <w:rsid w:val="00BA5793"/>
    <w:rsid w:val="00BA61D7"/>
    <w:rsid w:val="00BA7142"/>
    <w:rsid w:val="00BB0DE3"/>
    <w:rsid w:val="00BB237C"/>
    <w:rsid w:val="00BB2593"/>
    <w:rsid w:val="00BB41A3"/>
    <w:rsid w:val="00BB43D0"/>
    <w:rsid w:val="00BC0232"/>
    <w:rsid w:val="00BC32DC"/>
    <w:rsid w:val="00BC35B6"/>
    <w:rsid w:val="00BC3B8E"/>
    <w:rsid w:val="00BC5A30"/>
    <w:rsid w:val="00BC5F7E"/>
    <w:rsid w:val="00BC6EED"/>
    <w:rsid w:val="00BD1B51"/>
    <w:rsid w:val="00BD4596"/>
    <w:rsid w:val="00BD76CE"/>
    <w:rsid w:val="00BD7995"/>
    <w:rsid w:val="00BE1405"/>
    <w:rsid w:val="00BE1617"/>
    <w:rsid w:val="00BE21C0"/>
    <w:rsid w:val="00BE312D"/>
    <w:rsid w:val="00BE7261"/>
    <w:rsid w:val="00BF1C20"/>
    <w:rsid w:val="00C03394"/>
    <w:rsid w:val="00C045D6"/>
    <w:rsid w:val="00C067CA"/>
    <w:rsid w:val="00C10578"/>
    <w:rsid w:val="00C10C18"/>
    <w:rsid w:val="00C10D56"/>
    <w:rsid w:val="00C135BC"/>
    <w:rsid w:val="00C14F01"/>
    <w:rsid w:val="00C15A3D"/>
    <w:rsid w:val="00C15C95"/>
    <w:rsid w:val="00C16828"/>
    <w:rsid w:val="00C2596A"/>
    <w:rsid w:val="00C259BB"/>
    <w:rsid w:val="00C27537"/>
    <w:rsid w:val="00C30FE1"/>
    <w:rsid w:val="00C328FE"/>
    <w:rsid w:val="00C33507"/>
    <w:rsid w:val="00C408C7"/>
    <w:rsid w:val="00C40B2D"/>
    <w:rsid w:val="00C42944"/>
    <w:rsid w:val="00C4409D"/>
    <w:rsid w:val="00C449FC"/>
    <w:rsid w:val="00C44E72"/>
    <w:rsid w:val="00C45A06"/>
    <w:rsid w:val="00C47E5B"/>
    <w:rsid w:val="00C502FF"/>
    <w:rsid w:val="00C5110E"/>
    <w:rsid w:val="00C519A2"/>
    <w:rsid w:val="00C53E58"/>
    <w:rsid w:val="00C54D3E"/>
    <w:rsid w:val="00C619B5"/>
    <w:rsid w:val="00C61E4B"/>
    <w:rsid w:val="00C64BFF"/>
    <w:rsid w:val="00C65B82"/>
    <w:rsid w:val="00C664FA"/>
    <w:rsid w:val="00C704E9"/>
    <w:rsid w:val="00C70BCD"/>
    <w:rsid w:val="00C72162"/>
    <w:rsid w:val="00C72EBB"/>
    <w:rsid w:val="00C763C9"/>
    <w:rsid w:val="00C80057"/>
    <w:rsid w:val="00C82232"/>
    <w:rsid w:val="00C82913"/>
    <w:rsid w:val="00C82E4F"/>
    <w:rsid w:val="00C85A2C"/>
    <w:rsid w:val="00C873F9"/>
    <w:rsid w:val="00C968B2"/>
    <w:rsid w:val="00C972B1"/>
    <w:rsid w:val="00CA2CCE"/>
    <w:rsid w:val="00CA3061"/>
    <w:rsid w:val="00CA43FD"/>
    <w:rsid w:val="00CA57C4"/>
    <w:rsid w:val="00CA7EF8"/>
    <w:rsid w:val="00CB14D4"/>
    <w:rsid w:val="00CB57A7"/>
    <w:rsid w:val="00CB6DEF"/>
    <w:rsid w:val="00CB6E29"/>
    <w:rsid w:val="00CB7CE0"/>
    <w:rsid w:val="00CC0527"/>
    <w:rsid w:val="00CC489B"/>
    <w:rsid w:val="00CC6395"/>
    <w:rsid w:val="00CC65EC"/>
    <w:rsid w:val="00CD0204"/>
    <w:rsid w:val="00CD02D9"/>
    <w:rsid w:val="00CD2BCD"/>
    <w:rsid w:val="00CD3A4C"/>
    <w:rsid w:val="00CD65CC"/>
    <w:rsid w:val="00CE10E9"/>
    <w:rsid w:val="00CE2910"/>
    <w:rsid w:val="00CE5393"/>
    <w:rsid w:val="00CE7115"/>
    <w:rsid w:val="00CF226F"/>
    <w:rsid w:val="00CF36BE"/>
    <w:rsid w:val="00CF5C88"/>
    <w:rsid w:val="00CF6000"/>
    <w:rsid w:val="00D003F3"/>
    <w:rsid w:val="00D01FC6"/>
    <w:rsid w:val="00D0364F"/>
    <w:rsid w:val="00D06096"/>
    <w:rsid w:val="00D06658"/>
    <w:rsid w:val="00D06834"/>
    <w:rsid w:val="00D07977"/>
    <w:rsid w:val="00D13005"/>
    <w:rsid w:val="00D13CD8"/>
    <w:rsid w:val="00D16949"/>
    <w:rsid w:val="00D308ED"/>
    <w:rsid w:val="00D35289"/>
    <w:rsid w:val="00D36B46"/>
    <w:rsid w:val="00D36D86"/>
    <w:rsid w:val="00D428AA"/>
    <w:rsid w:val="00D505EA"/>
    <w:rsid w:val="00D50A34"/>
    <w:rsid w:val="00D52491"/>
    <w:rsid w:val="00D527CF"/>
    <w:rsid w:val="00D53A40"/>
    <w:rsid w:val="00D53EFA"/>
    <w:rsid w:val="00D55F1D"/>
    <w:rsid w:val="00D61043"/>
    <w:rsid w:val="00D7246C"/>
    <w:rsid w:val="00D81747"/>
    <w:rsid w:val="00D94A7C"/>
    <w:rsid w:val="00D9583B"/>
    <w:rsid w:val="00D95896"/>
    <w:rsid w:val="00D964F3"/>
    <w:rsid w:val="00D96A5A"/>
    <w:rsid w:val="00DA4B9B"/>
    <w:rsid w:val="00DA6318"/>
    <w:rsid w:val="00DB2983"/>
    <w:rsid w:val="00DB4877"/>
    <w:rsid w:val="00DB55D4"/>
    <w:rsid w:val="00DB5F72"/>
    <w:rsid w:val="00DC1257"/>
    <w:rsid w:val="00DC2DEE"/>
    <w:rsid w:val="00DC3D40"/>
    <w:rsid w:val="00DC3DC0"/>
    <w:rsid w:val="00DC48AB"/>
    <w:rsid w:val="00DC5620"/>
    <w:rsid w:val="00DC5B2B"/>
    <w:rsid w:val="00DC6E32"/>
    <w:rsid w:val="00DC7460"/>
    <w:rsid w:val="00DD318D"/>
    <w:rsid w:val="00DD50A7"/>
    <w:rsid w:val="00DD580B"/>
    <w:rsid w:val="00DD5A0D"/>
    <w:rsid w:val="00DE6DE1"/>
    <w:rsid w:val="00DE6F70"/>
    <w:rsid w:val="00DE73BF"/>
    <w:rsid w:val="00DF2B50"/>
    <w:rsid w:val="00DF2E12"/>
    <w:rsid w:val="00DF303E"/>
    <w:rsid w:val="00DF37DC"/>
    <w:rsid w:val="00DF3CFB"/>
    <w:rsid w:val="00DF490D"/>
    <w:rsid w:val="00DF514A"/>
    <w:rsid w:val="00DF6690"/>
    <w:rsid w:val="00DF6804"/>
    <w:rsid w:val="00E0190A"/>
    <w:rsid w:val="00E0358D"/>
    <w:rsid w:val="00E04323"/>
    <w:rsid w:val="00E070A2"/>
    <w:rsid w:val="00E122E8"/>
    <w:rsid w:val="00E14AA0"/>
    <w:rsid w:val="00E155DE"/>
    <w:rsid w:val="00E22B34"/>
    <w:rsid w:val="00E2656A"/>
    <w:rsid w:val="00E27217"/>
    <w:rsid w:val="00E27D96"/>
    <w:rsid w:val="00E3382F"/>
    <w:rsid w:val="00E34394"/>
    <w:rsid w:val="00E355F8"/>
    <w:rsid w:val="00E412D0"/>
    <w:rsid w:val="00E448EC"/>
    <w:rsid w:val="00E462EC"/>
    <w:rsid w:val="00E50FC3"/>
    <w:rsid w:val="00E50FD5"/>
    <w:rsid w:val="00E51401"/>
    <w:rsid w:val="00E541FC"/>
    <w:rsid w:val="00E5448D"/>
    <w:rsid w:val="00E56322"/>
    <w:rsid w:val="00E60982"/>
    <w:rsid w:val="00E62C62"/>
    <w:rsid w:val="00E636F2"/>
    <w:rsid w:val="00E639D8"/>
    <w:rsid w:val="00E654C1"/>
    <w:rsid w:val="00E65D97"/>
    <w:rsid w:val="00E72A5A"/>
    <w:rsid w:val="00E73354"/>
    <w:rsid w:val="00E73406"/>
    <w:rsid w:val="00E737CD"/>
    <w:rsid w:val="00E82CA6"/>
    <w:rsid w:val="00E8575F"/>
    <w:rsid w:val="00E85CB8"/>
    <w:rsid w:val="00E90702"/>
    <w:rsid w:val="00E9242D"/>
    <w:rsid w:val="00E926DC"/>
    <w:rsid w:val="00E95E1F"/>
    <w:rsid w:val="00EA0A2C"/>
    <w:rsid w:val="00EA0B0F"/>
    <w:rsid w:val="00EA29C9"/>
    <w:rsid w:val="00EB2852"/>
    <w:rsid w:val="00EB2BD3"/>
    <w:rsid w:val="00EB3146"/>
    <w:rsid w:val="00EB5255"/>
    <w:rsid w:val="00EB5C47"/>
    <w:rsid w:val="00EC129C"/>
    <w:rsid w:val="00EC200C"/>
    <w:rsid w:val="00EC5380"/>
    <w:rsid w:val="00EC5FDF"/>
    <w:rsid w:val="00EC688F"/>
    <w:rsid w:val="00EC7C7B"/>
    <w:rsid w:val="00ED0639"/>
    <w:rsid w:val="00ED1F90"/>
    <w:rsid w:val="00ED5C6E"/>
    <w:rsid w:val="00ED6DE3"/>
    <w:rsid w:val="00EE5693"/>
    <w:rsid w:val="00EE6F35"/>
    <w:rsid w:val="00EF4755"/>
    <w:rsid w:val="00EF7135"/>
    <w:rsid w:val="00EF75A0"/>
    <w:rsid w:val="00EF7754"/>
    <w:rsid w:val="00F01F0B"/>
    <w:rsid w:val="00F027DB"/>
    <w:rsid w:val="00F03A9E"/>
    <w:rsid w:val="00F05014"/>
    <w:rsid w:val="00F06031"/>
    <w:rsid w:val="00F07549"/>
    <w:rsid w:val="00F14A7A"/>
    <w:rsid w:val="00F216E5"/>
    <w:rsid w:val="00F22628"/>
    <w:rsid w:val="00F22985"/>
    <w:rsid w:val="00F24170"/>
    <w:rsid w:val="00F24586"/>
    <w:rsid w:val="00F250AB"/>
    <w:rsid w:val="00F30257"/>
    <w:rsid w:val="00F325AE"/>
    <w:rsid w:val="00F3383E"/>
    <w:rsid w:val="00F342BA"/>
    <w:rsid w:val="00F37CE1"/>
    <w:rsid w:val="00F431DC"/>
    <w:rsid w:val="00F465A7"/>
    <w:rsid w:val="00F50B7C"/>
    <w:rsid w:val="00F550E6"/>
    <w:rsid w:val="00F55D4C"/>
    <w:rsid w:val="00F66FCE"/>
    <w:rsid w:val="00F7390E"/>
    <w:rsid w:val="00F73FBE"/>
    <w:rsid w:val="00F74345"/>
    <w:rsid w:val="00F75D19"/>
    <w:rsid w:val="00F76D0D"/>
    <w:rsid w:val="00F80A0A"/>
    <w:rsid w:val="00F815FD"/>
    <w:rsid w:val="00F82B19"/>
    <w:rsid w:val="00F83DCB"/>
    <w:rsid w:val="00F9212D"/>
    <w:rsid w:val="00F93484"/>
    <w:rsid w:val="00F94085"/>
    <w:rsid w:val="00F94D9F"/>
    <w:rsid w:val="00F965DA"/>
    <w:rsid w:val="00FA0C05"/>
    <w:rsid w:val="00FA0DD4"/>
    <w:rsid w:val="00FA10E7"/>
    <w:rsid w:val="00FA1A6C"/>
    <w:rsid w:val="00FA30AD"/>
    <w:rsid w:val="00FA406A"/>
    <w:rsid w:val="00FA6474"/>
    <w:rsid w:val="00FB4274"/>
    <w:rsid w:val="00FB503A"/>
    <w:rsid w:val="00FB516C"/>
    <w:rsid w:val="00FC77B9"/>
    <w:rsid w:val="00FD0236"/>
    <w:rsid w:val="00FD0397"/>
    <w:rsid w:val="00FD09E5"/>
    <w:rsid w:val="00FD1308"/>
    <w:rsid w:val="00FD18F4"/>
    <w:rsid w:val="00FD1F35"/>
    <w:rsid w:val="00FD2B04"/>
    <w:rsid w:val="00FD54DB"/>
    <w:rsid w:val="00FD619F"/>
    <w:rsid w:val="00FE265F"/>
    <w:rsid w:val="00FF03B1"/>
    <w:rsid w:val="00FF1A67"/>
    <w:rsid w:val="00FF36E7"/>
    <w:rsid w:val="00FF3961"/>
    <w:rsid w:val="00FF4EF3"/>
    <w:rsid w:val="00FF6C2E"/>
    <w:rsid w:val="00FF6F18"/>
    <w:rsid w:val="01290F7E"/>
    <w:rsid w:val="015D1E09"/>
    <w:rsid w:val="02697903"/>
    <w:rsid w:val="02F96569"/>
    <w:rsid w:val="03D251BA"/>
    <w:rsid w:val="03EA7B21"/>
    <w:rsid w:val="05F83EAE"/>
    <w:rsid w:val="063E7D85"/>
    <w:rsid w:val="07293586"/>
    <w:rsid w:val="07295285"/>
    <w:rsid w:val="07636392"/>
    <w:rsid w:val="076E3F95"/>
    <w:rsid w:val="07770C56"/>
    <w:rsid w:val="092217DD"/>
    <w:rsid w:val="093A7294"/>
    <w:rsid w:val="0A263993"/>
    <w:rsid w:val="0A2D3AC2"/>
    <w:rsid w:val="0AA755DF"/>
    <w:rsid w:val="0B120D44"/>
    <w:rsid w:val="0BD27BF6"/>
    <w:rsid w:val="0C3B3C7D"/>
    <w:rsid w:val="0CAB2EAE"/>
    <w:rsid w:val="0CF05A47"/>
    <w:rsid w:val="0D621C7D"/>
    <w:rsid w:val="0E73034D"/>
    <w:rsid w:val="0F13775A"/>
    <w:rsid w:val="0F5F45FE"/>
    <w:rsid w:val="0F9A112B"/>
    <w:rsid w:val="106D2F64"/>
    <w:rsid w:val="10B63710"/>
    <w:rsid w:val="10F10820"/>
    <w:rsid w:val="111C2F7A"/>
    <w:rsid w:val="11665CA1"/>
    <w:rsid w:val="13951726"/>
    <w:rsid w:val="14396509"/>
    <w:rsid w:val="14DD2C3C"/>
    <w:rsid w:val="15A00CFE"/>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821306"/>
    <w:rsid w:val="25EC2D81"/>
    <w:rsid w:val="277057A2"/>
    <w:rsid w:val="28E026ED"/>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5C5FB8"/>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5D41088"/>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qFormat="1" w:unhideWhenUsed="0" w:uiPriority="0" w:semiHidden="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qFormat="1" w:unhideWhenUsed="0" w:uiPriority="0" w:semiHidden="0" w:name="Table Elegant" w:locked="1"/>
    <w:lsdException w:qFormat="1" w:unhideWhenUsed="0" w:uiPriority="0" w:semiHidden="0" w:name="Table Professional" w:locked="1"/>
    <w:lsdException w:uiPriority="0" w:name="Table Subtle 1" w:locked="1"/>
    <w:lsdException w:uiPriority="0" w:name="Table Subtle 2" w:locked="1"/>
    <w:lsdException w:uiPriority="0" w:name="Table Web 1" w:locked="1"/>
    <w:lsdException w:qFormat="1" w:unhideWhenUsed="0" w:uiPriority="0" w:semiHidden="0" w:name="Table Web 2" w:locked="1"/>
    <w:lsdException w:qFormat="1" w:unhideWhenUsed="0" w:uiPriority="0" w:semiHidden="0" w:name="Table Web 3" w:locked="1"/>
    <w:lsdException w:qFormat="1" w:unhideWhenUsed="0"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3"/>
    <w:link w:val="53"/>
    <w:autoRedefine/>
    <w:qFormat/>
    <w:locked/>
    <w:uiPriority w:val="9"/>
    <w:pPr>
      <w:keepNext/>
      <w:keepLines/>
      <w:pageBreakBefore/>
      <w:numPr>
        <w:ilvl w:val="0"/>
        <w:numId w:val="1"/>
      </w:numPr>
      <w:spacing w:line="360" w:lineRule="auto"/>
      <w:jc w:val="center"/>
      <w:outlineLvl w:val="0"/>
    </w:pPr>
    <w:rPr>
      <w:rFonts w:eastAsia="黑体"/>
      <w:b/>
      <w:bCs/>
      <w:kern w:val="44"/>
      <w:sz w:val="30"/>
      <w:szCs w:val="44"/>
    </w:rPr>
  </w:style>
  <w:style w:type="paragraph" w:styleId="4">
    <w:name w:val="heading 2"/>
    <w:basedOn w:val="1"/>
    <w:next w:val="3"/>
    <w:link w:val="54"/>
    <w:unhideWhenUsed/>
    <w:qFormat/>
    <w:locked/>
    <w:uiPriority w:val="9"/>
    <w:pPr>
      <w:keepNext/>
      <w:keepLines/>
      <w:numPr>
        <w:ilvl w:val="1"/>
        <w:numId w:val="1"/>
      </w:numPr>
      <w:spacing w:line="360" w:lineRule="auto"/>
      <w:outlineLvl w:val="1"/>
    </w:pPr>
    <w:rPr>
      <w:b/>
      <w:bCs/>
      <w:sz w:val="24"/>
      <w:szCs w:val="32"/>
    </w:rPr>
  </w:style>
  <w:style w:type="paragraph" w:styleId="5">
    <w:name w:val="heading 3"/>
    <w:basedOn w:val="1"/>
    <w:next w:val="3"/>
    <w:link w:val="55"/>
    <w:unhideWhenUsed/>
    <w:qFormat/>
    <w:locked/>
    <w:uiPriority w:val="9"/>
    <w:pPr>
      <w:numPr>
        <w:ilvl w:val="2"/>
        <w:numId w:val="1"/>
      </w:numPr>
      <w:spacing w:line="360" w:lineRule="auto"/>
      <w:ind w:firstLine="0"/>
      <w:outlineLvl w:val="2"/>
    </w:pPr>
    <w:rPr>
      <w:b/>
      <w:bCs/>
      <w:sz w:val="24"/>
      <w:szCs w:val="32"/>
    </w:rPr>
  </w:style>
  <w:style w:type="paragraph" w:styleId="6">
    <w:name w:val="heading 4"/>
    <w:basedOn w:val="1"/>
    <w:next w:val="3"/>
    <w:link w:val="56"/>
    <w:unhideWhenUsed/>
    <w:qFormat/>
    <w:locked/>
    <w:uiPriority w:val="9"/>
    <w:pPr>
      <w:keepNext/>
      <w:keepLines/>
      <w:numPr>
        <w:ilvl w:val="3"/>
        <w:numId w:val="1"/>
      </w:numPr>
      <w:spacing w:line="360" w:lineRule="auto"/>
      <w:outlineLvl w:val="3"/>
    </w:pPr>
    <w:rPr>
      <w:b/>
      <w:bCs/>
      <w:sz w:val="24"/>
      <w:szCs w:val="28"/>
    </w:rPr>
  </w:style>
  <w:style w:type="paragraph" w:styleId="7">
    <w:name w:val="heading 5"/>
    <w:basedOn w:val="1"/>
    <w:next w:val="3"/>
    <w:link w:val="60"/>
    <w:unhideWhenUsed/>
    <w:qFormat/>
    <w:locked/>
    <w:uiPriority w:val="0"/>
    <w:pPr>
      <w:widowControl w:val="0"/>
      <w:spacing w:line="360" w:lineRule="auto"/>
      <w:outlineLvl w:val="4"/>
    </w:pPr>
    <w:rPr>
      <w:b/>
      <w:bCs/>
      <w:sz w:val="24"/>
      <w:szCs w:val="28"/>
    </w:rPr>
  </w:style>
  <w:style w:type="character" w:default="1" w:styleId="27">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3">
    <w:name w:val="报告正文"/>
    <w:basedOn w:val="1"/>
    <w:link w:val="48"/>
    <w:qFormat/>
    <w:uiPriority w:val="0"/>
    <w:pPr>
      <w:widowControl w:val="0"/>
      <w:adjustRightInd w:val="0"/>
      <w:snapToGrid w:val="0"/>
      <w:spacing w:line="360" w:lineRule="auto"/>
      <w:ind w:firstLine="200" w:firstLineChars="200"/>
    </w:pPr>
    <w:rPr>
      <w:snapToGrid w:val="0"/>
      <w:sz w:val="24"/>
      <w14:ligatures w14:val="standardContextual"/>
    </w:rPr>
  </w:style>
  <w:style w:type="paragraph" w:styleId="8">
    <w:name w:val="Normal Indent"/>
    <w:basedOn w:val="1"/>
    <w:next w:val="1"/>
    <w:autoRedefine/>
    <w:qFormat/>
    <w:locked/>
    <w:uiPriority w:val="0"/>
    <w:pPr>
      <w:widowControl w:val="0"/>
      <w:ind w:firstLine="420"/>
    </w:pPr>
    <w:rPr>
      <w:kern w:val="2"/>
      <w:szCs w:val="20"/>
    </w:rPr>
  </w:style>
  <w:style w:type="paragraph" w:styleId="9">
    <w:name w:val="caption"/>
    <w:basedOn w:val="1"/>
    <w:next w:val="1"/>
    <w:unhideWhenUsed/>
    <w:qFormat/>
    <w:locked/>
    <w:uiPriority w:val="0"/>
    <w:pPr>
      <w:spacing w:line="360" w:lineRule="auto"/>
    </w:pPr>
    <w:rPr>
      <w:sz w:val="18"/>
      <w:szCs w:val="20"/>
    </w:rPr>
  </w:style>
  <w:style w:type="paragraph" w:styleId="10">
    <w:name w:val="annotation text"/>
    <w:basedOn w:val="1"/>
    <w:link w:val="31"/>
    <w:autoRedefine/>
    <w:semiHidden/>
    <w:qFormat/>
    <w:uiPriority w:val="0"/>
    <w:pPr>
      <w:jc w:val="left"/>
    </w:pPr>
    <w:rPr>
      <w:sz w:val="24"/>
      <w:szCs w:val="20"/>
    </w:rPr>
  </w:style>
  <w:style w:type="paragraph" w:styleId="11">
    <w:name w:val="Body Text"/>
    <w:basedOn w:val="1"/>
    <w:link w:val="32"/>
    <w:autoRedefine/>
    <w:qFormat/>
    <w:uiPriority w:val="0"/>
    <w:pPr>
      <w:snapToGrid w:val="0"/>
      <w:spacing w:before="60" w:after="160" w:line="259" w:lineRule="auto"/>
      <w:ind w:right="113"/>
    </w:pPr>
    <w:rPr>
      <w:sz w:val="18"/>
      <w:szCs w:val="20"/>
    </w:rPr>
  </w:style>
  <w:style w:type="paragraph" w:styleId="12">
    <w:name w:val="Body Text Indent"/>
    <w:basedOn w:val="1"/>
    <w:link w:val="33"/>
    <w:autoRedefine/>
    <w:qFormat/>
    <w:uiPriority w:val="0"/>
    <w:pPr>
      <w:spacing w:after="120"/>
      <w:ind w:left="420" w:leftChars="200"/>
    </w:pPr>
    <w:rPr>
      <w:sz w:val="24"/>
      <w:szCs w:val="20"/>
    </w:rPr>
  </w:style>
  <w:style w:type="paragraph" w:styleId="13">
    <w:name w:val="Date"/>
    <w:basedOn w:val="1"/>
    <w:next w:val="1"/>
    <w:link w:val="34"/>
    <w:autoRedefine/>
    <w:qFormat/>
    <w:uiPriority w:val="0"/>
    <w:pPr>
      <w:ind w:left="100" w:leftChars="2500"/>
    </w:pPr>
    <w:rPr>
      <w:sz w:val="24"/>
      <w:szCs w:val="20"/>
    </w:rPr>
  </w:style>
  <w:style w:type="paragraph" w:styleId="14">
    <w:name w:val="Balloon Text"/>
    <w:basedOn w:val="1"/>
    <w:link w:val="35"/>
    <w:autoRedefine/>
    <w:semiHidden/>
    <w:qFormat/>
    <w:uiPriority w:val="0"/>
    <w:rPr>
      <w:sz w:val="18"/>
      <w:szCs w:val="20"/>
    </w:rPr>
  </w:style>
  <w:style w:type="paragraph" w:styleId="15">
    <w:name w:val="footer"/>
    <w:basedOn w:val="1"/>
    <w:link w:val="36"/>
    <w:autoRedefine/>
    <w:qFormat/>
    <w:uiPriority w:val="99"/>
    <w:pPr>
      <w:tabs>
        <w:tab w:val="center" w:pos="4153"/>
        <w:tab w:val="right" w:pos="8306"/>
      </w:tabs>
      <w:snapToGrid w:val="0"/>
      <w:jc w:val="left"/>
    </w:pPr>
    <w:rPr>
      <w:sz w:val="18"/>
      <w:szCs w:val="20"/>
    </w:rPr>
  </w:style>
  <w:style w:type="paragraph" w:styleId="16">
    <w:name w:val="header"/>
    <w:basedOn w:val="1"/>
    <w:link w:val="37"/>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locked/>
    <w:uiPriority w:val="39"/>
    <w:pPr>
      <w:tabs>
        <w:tab w:val="right" w:leader="dot" w:pos="8834"/>
      </w:tabs>
      <w:spacing w:line="360" w:lineRule="auto"/>
    </w:pPr>
    <w:rPr>
      <w:sz w:val="24"/>
    </w:rPr>
  </w:style>
  <w:style w:type="paragraph" w:styleId="18">
    <w:name w:val="Normal (Web)"/>
    <w:basedOn w:val="1"/>
    <w:link w:val="38"/>
    <w:autoRedefine/>
    <w:qFormat/>
    <w:uiPriority w:val="0"/>
    <w:pPr>
      <w:snapToGrid w:val="0"/>
      <w:jc w:val="left"/>
      <w:outlineLvl w:val="0"/>
    </w:pPr>
    <w:rPr>
      <w:rFonts w:ascii="宋体" w:hAnsi="宋体"/>
      <w:sz w:val="24"/>
      <w:szCs w:val="20"/>
    </w:rPr>
  </w:style>
  <w:style w:type="paragraph" w:styleId="19">
    <w:name w:val="annotation subject"/>
    <w:basedOn w:val="10"/>
    <w:next w:val="10"/>
    <w:link w:val="39"/>
    <w:autoRedefine/>
    <w:semiHidden/>
    <w:qFormat/>
    <w:uiPriority w:val="0"/>
    <w:rPr>
      <w:b/>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table" w:styleId="22">
    <w:name w:val="Table Elegant"/>
    <w:basedOn w:val="20"/>
    <w:qFormat/>
    <w:locked/>
    <w:uiPriority w:val="0"/>
    <w:pPr>
      <w:adjustRightInd w:val="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23">
    <w:name w:val="Table Simple 2"/>
    <w:basedOn w:val="20"/>
    <w:autoRedefine/>
    <w:qFormat/>
    <w:locked/>
    <w:uiPriority w:val="0"/>
    <w:pPr>
      <w:adjustRightInd w:val="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4">
    <w:name w:val="Table Web 2"/>
    <w:basedOn w:val="20"/>
    <w:autoRedefine/>
    <w:qFormat/>
    <w:locked/>
    <w:uiPriority w:val="0"/>
    <w:pPr>
      <w:adjustRightInd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25">
    <w:name w:val="Table Web 3"/>
    <w:basedOn w:val="20"/>
    <w:autoRedefine/>
    <w:qFormat/>
    <w:locked/>
    <w:uiPriority w:val="0"/>
    <w:pPr>
      <w:adjustRightInd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26">
    <w:name w:val="Table Professional"/>
    <w:basedOn w:val="20"/>
    <w:autoRedefine/>
    <w:qFormat/>
    <w:locked/>
    <w:uiPriority w:val="0"/>
    <w:pPr>
      <w:adjustRightInd w:val="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28">
    <w:name w:val="page number"/>
    <w:autoRedefine/>
    <w:qFormat/>
    <w:locked/>
    <w:uiPriority w:val="0"/>
  </w:style>
  <w:style w:type="character" w:styleId="29">
    <w:name w:val="Hyperlink"/>
    <w:basedOn w:val="27"/>
    <w:unhideWhenUsed/>
    <w:locked/>
    <w:uiPriority w:val="99"/>
    <w:rPr>
      <w:color w:val="0563C1" w:themeColor="hyperlink"/>
      <w:u w:val="single"/>
      <w14:textFill>
        <w14:solidFill>
          <w14:schemeClr w14:val="hlink"/>
        </w14:solidFill>
      </w14:textFill>
    </w:rPr>
  </w:style>
  <w:style w:type="character" w:styleId="30">
    <w:name w:val="annotation reference"/>
    <w:autoRedefine/>
    <w:qFormat/>
    <w:uiPriority w:val="0"/>
    <w:rPr>
      <w:sz w:val="21"/>
    </w:rPr>
  </w:style>
  <w:style w:type="character" w:customStyle="1" w:styleId="31">
    <w:name w:val="批注文字 字符"/>
    <w:link w:val="10"/>
    <w:autoRedefine/>
    <w:qFormat/>
    <w:locked/>
    <w:uiPriority w:val="0"/>
    <w:rPr>
      <w:rFonts w:ascii="Times New Roman" w:hAnsi="Times New Roman" w:eastAsia="宋体"/>
      <w:sz w:val="24"/>
    </w:rPr>
  </w:style>
  <w:style w:type="character" w:customStyle="1" w:styleId="32">
    <w:name w:val="正文文本 字符"/>
    <w:link w:val="11"/>
    <w:autoRedefine/>
    <w:qFormat/>
    <w:locked/>
    <w:uiPriority w:val="0"/>
    <w:rPr>
      <w:sz w:val="18"/>
    </w:rPr>
  </w:style>
  <w:style w:type="character" w:customStyle="1" w:styleId="33">
    <w:name w:val="正文文本缩进 字符"/>
    <w:link w:val="12"/>
    <w:autoRedefine/>
    <w:semiHidden/>
    <w:qFormat/>
    <w:locked/>
    <w:uiPriority w:val="0"/>
    <w:rPr>
      <w:rFonts w:ascii="Times New Roman" w:hAnsi="Times New Roman" w:eastAsia="宋体"/>
      <w:sz w:val="24"/>
    </w:rPr>
  </w:style>
  <w:style w:type="character" w:customStyle="1" w:styleId="34">
    <w:name w:val="日期 字符1"/>
    <w:link w:val="13"/>
    <w:autoRedefine/>
    <w:qFormat/>
    <w:locked/>
    <w:uiPriority w:val="0"/>
    <w:rPr>
      <w:rFonts w:ascii="Times New Roman" w:hAnsi="Times New Roman" w:eastAsia="宋体"/>
      <w:sz w:val="24"/>
    </w:rPr>
  </w:style>
  <w:style w:type="character" w:customStyle="1" w:styleId="35">
    <w:name w:val="批注框文本 字符"/>
    <w:link w:val="14"/>
    <w:autoRedefine/>
    <w:semiHidden/>
    <w:qFormat/>
    <w:locked/>
    <w:uiPriority w:val="0"/>
    <w:rPr>
      <w:rFonts w:ascii="Times New Roman" w:hAnsi="Times New Roman" w:eastAsia="宋体"/>
      <w:sz w:val="18"/>
    </w:rPr>
  </w:style>
  <w:style w:type="character" w:customStyle="1" w:styleId="36">
    <w:name w:val="页脚 字符1"/>
    <w:link w:val="15"/>
    <w:autoRedefine/>
    <w:qFormat/>
    <w:locked/>
    <w:uiPriority w:val="99"/>
    <w:rPr>
      <w:sz w:val="18"/>
    </w:rPr>
  </w:style>
  <w:style w:type="character" w:customStyle="1" w:styleId="37">
    <w:name w:val="页眉 字符"/>
    <w:link w:val="16"/>
    <w:autoRedefine/>
    <w:qFormat/>
    <w:locked/>
    <w:uiPriority w:val="0"/>
    <w:rPr>
      <w:sz w:val="18"/>
    </w:rPr>
  </w:style>
  <w:style w:type="character" w:customStyle="1" w:styleId="38">
    <w:name w:val="普通(网站) 字符"/>
    <w:link w:val="18"/>
    <w:autoRedefine/>
    <w:qFormat/>
    <w:locked/>
    <w:uiPriority w:val="0"/>
    <w:rPr>
      <w:rFonts w:ascii="宋体" w:hAnsi="宋体"/>
      <w:sz w:val="24"/>
      <w:szCs w:val="20"/>
    </w:rPr>
  </w:style>
  <w:style w:type="character" w:customStyle="1" w:styleId="39">
    <w:name w:val="批注主题 字符"/>
    <w:link w:val="19"/>
    <w:autoRedefine/>
    <w:semiHidden/>
    <w:qFormat/>
    <w:locked/>
    <w:uiPriority w:val="0"/>
    <w:rPr>
      <w:rFonts w:ascii="Times New Roman" w:hAnsi="Times New Roman" w:eastAsia="宋体"/>
      <w:b/>
      <w:kern w:val="2"/>
      <w:sz w:val="24"/>
    </w:rPr>
  </w:style>
  <w:style w:type="character" w:customStyle="1" w:styleId="40">
    <w:name w:val="页脚 字符"/>
    <w:autoRedefine/>
    <w:qFormat/>
    <w:uiPriority w:val="99"/>
  </w:style>
  <w:style w:type="character" w:customStyle="1" w:styleId="41">
    <w:name w:val="正文文本 字符1"/>
    <w:autoRedefine/>
    <w:semiHidden/>
    <w:qFormat/>
    <w:uiPriority w:val="0"/>
    <w:rPr>
      <w:rFonts w:ascii="Times New Roman" w:hAnsi="Times New Roman" w:eastAsia="宋体"/>
      <w:sz w:val="24"/>
    </w:rPr>
  </w:style>
  <w:style w:type="character" w:customStyle="1" w:styleId="42">
    <w:name w:val="表格 Char"/>
    <w:link w:val="43"/>
    <w:autoRedefine/>
    <w:qFormat/>
    <w:locked/>
    <w:uiPriority w:val="0"/>
    <w:rPr>
      <w:rFonts w:ascii="宋体"/>
      <w:sz w:val="21"/>
    </w:rPr>
  </w:style>
  <w:style w:type="paragraph" w:customStyle="1" w:styleId="43">
    <w:name w:val="表格"/>
    <w:basedOn w:val="1"/>
    <w:next w:val="1"/>
    <w:link w:val="42"/>
    <w:qFormat/>
    <w:uiPriority w:val="0"/>
    <w:pPr>
      <w:adjustRightInd w:val="0"/>
      <w:snapToGrid w:val="0"/>
      <w:spacing w:beforeLines="10" w:afterLines="10" w:line="259" w:lineRule="auto"/>
      <w:jc w:val="center"/>
    </w:pPr>
    <w:rPr>
      <w:rFonts w:ascii="宋体"/>
      <w:szCs w:val="20"/>
    </w:rPr>
  </w:style>
  <w:style w:type="character" w:customStyle="1" w:styleId="44">
    <w:name w:val="日期 字符"/>
    <w:semiHidden/>
    <w:qFormat/>
    <w:uiPriority w:val="0"/>
    <w:rPr>
      <w:rFonts w:ascii="Times New Roman" w:hAnsi="Times New Roman" w:eastAsia="宋体"/>
      <w:sz w:val="24"/>
    </w:rPr>
  </w:style>
  <w:style w:type="character" w:customStyle="1" w:styleId="45">
    <w:name w:val="批注文字 字符1"/>
    <w:semiHidden/>
    <w:qFormat/>
    <w:uiPriority w:val="0"/>
    <w:rPr>
      <w:rFonts w:ascii="Times New Roman" w:hAnsi="Times New Roman" w:eastAsia="宋体"/>
      <w:sz w:val="24"/>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普通(网站)2"/>
    <w:basedOn w:val="1"/>
    <w:qFormat/>
    <w:uiPriority w:val="0"/>
    <w:pPr>
      <w:spacing w:before="100" w:beforeAutospacing="1" w:after="100" w:afterAutospacing="1"/>
      <w:jc w:val="left"/>
    </w:pPr>
    <w:rPr>
      <w:rFonts w:ascii="宋体" w:hAnsi="宋体"/>
      <w:sz w:val="24"/>
      <w:szCs w:val="20"/>
    </w:rPr>
  </w:style>
  <w:style w:type="character" w:customStyle="1" w:styleId="48">
    <w:name w:val="报告正文 字符"/>
    <w:link w:val="3"/>
    <w:qFormat/>
    <w:uiPriority w:val="0"/>
    <w:rPr>
      <w:snapToGrid w:val="0"/>
      <w:sz w:val="24"/>
      <w:szCs w:val="21"/>
      <w14:ligatures w14:val="standardContextual"/>
    </w:rPr>
  </w:style>
  <w:style w:type="paragraph" w:customStyle="1" w:styleId="49">
    <w:name w:val="LV-表头"/>
    <w:basedOn w:val="3"/>
    <w:next w:val="3"/>
    <w:qFormat/>
    <w:uiPriority w:val="0"/>
    <w:pPr>
      <w:ind w:firstLine="0" w:firstLineChars="0"/>
      <w:jc w:val="center"/>
    </w:pPr>
    <w:rPr>
      <w:b/>
      <w:bCs/>
      <w:snapToGrid/>
    </w:rPr>
  </w:style>
  <w:style w:type="table" w:customStyle="1" w:styleId="50">
    <w:name w:val="LV-三线表"/>
    <w:basedOn w:val="20"/>
    <w:qFormat/>
    <w:uiPriority w:val="99"/>
    <w:pPr>
      <w:widowControl w:val="0"/>
      <w:overflowPunct w:val="0"/>
      <w:autoSpaceDE w:val="0"/>
      <w:autoSpaceDN w:val="0"/>
      <w:snapToGrid w:val="0"/>
      <w:jc w:val="center"/>
    </w:pPr>
    <w:rPr>
      <w14:ligatures w14:val="standardContextual"/>
    </w:rPr>
    <w:tblPr>
      <w:jc w:val="center"/>
      <w:tblBorders>
        <w:top w:val="single" w:color="auto" w:sz="12" w:space="0"/>
        <w:bottom w:val="single" w:color="auto" w:sz="12" w:space="0"/>
        <w:insideH w:val="single" w:color="auto" w:sz="4" w:space="0"/>
        <w:insideV w:val="single" w:color="auto" w:sz="4" w:space="0"/>
      </w:tblBorders>
      <w:tblCellMar>
        <w:left w:w="57" w:type="dxa"/>
        <w:right w:w="57" w:type="dxa"/>
      </w:tblCellMar>
    </w:tblPr>
    <w:trPr>
      <w:jc w:val="center"/>
    </w:trPr>
    <w:tcPr>
      <w:vAlign w:val="center"/>
    </w:tcPr>
    <w:tblStylePr w:type="firstRow">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pPr>
      <w:rPr>
        <w:rFonts w:hint="default" w:ascii="Times New Roman" w:hAnsi="Times New Roman" w:eastAsia="宋体" w:cs="Times New Roman"/>
        <w:b/>
        <w:i w:val="0"/>
        <w:sz w:val="21"/>
        <w:szCs w:val="21"/>
      </w:rPr>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bottom w:val="single" w:color="auto" w:sz="12" w:space="0"/>
        </w:tcBorders>
      </w:tcPr>
    </w:tblStylePr>
  </w:style>
  <w:style w:type="paragraph" w:customStyle="1" w:styleId="51">
    <w:name w:val="LV图"/>
    <w:basedOn w:val="1"/>
    <w:next w:val="3"/>
    <w:qFormat/>
    <w:uiPriority w:val="99"/>
    <w:pPr>
      <w:jc w:val="center"/>
    </w:pPr>
    <w:rPr>
      <w:rFonts w:cstheme="minorBidi"/>
      <w:kern w:val="2"/>
      <w14:ligatures w14:val="standardContextual"/>
    </w:rPr>
  </w:style>
  <w:style w:type="paragraph" w:customStyle="1" w:styleId="52">
    <w:name w:val="报告加粗"/>
    <w:basedOn w:val="3"/>
    <w:next w:val="3"/>
    <w:qFormat/>
    <w:uiPriority w:val="0"/>
    <w:pPr>
      <w:ind w:firstLine="482"/>
      <w:jc w:val="left"/>
    </w:pPr>
    <w:rPr>
      <w:b/>
    </w:rPr>
  </w:style>
  <w:style w:type="character" w:customStyle="1" w:styleId="53">
    <w:name w:val="标题 1 字符"/>
    <w:link w:val="2"/>
    <w:qFormat/>
    <w:uiPriority w:val="9"/>
    <w:rPr>
      <w:rFonts w:eastAsia="黑体"/>
      <w:b/>
      <w:bCs/>
      <w:kern w:val="44"/>
      <w:sz w:val="30"/>
      <w:szCs w:val="44"/>
    </w:rPr>
  </w:style>
  <w:style w:type="character" w:customStyle="1" w:styleId="54">
    <w:name w:val="标题 2 字符"/>
    <w:link w:val="4"/>
    <w:qFormat/>
    <w:uiPriority w:val="9"/>
    <w:rPr>
      <w:b/>
      <w:bCs/>
      <w:kern w:val="2"/>
      <w:sz w:val="24"/>
      <w:szCs w:val="32"/>
    </w:rPr>
  </w:style>
  <w:style w:type="character" w:customStyle="1" w:styleId="55">
    <w:name w:val="标题 3 字符"/>
    <w:link w:val="5"/>
    <w:qFormat/>
    <w:uiPriority w:val="9"/>
    <w:rPr>
      <w:b/>
      <w:bCs/>
      <w:kern w:val="2"/>
      <w:sz w:val="24"/>
      <w:szCs w:val="32"/>
    </w:rPr>
  </w:style>
  <w:style w:type="character" w:customStyle="1" w:styleId="56">
    <w:name w:val="标题 4 字符"/>
    <w:link w:val="6"/>
    <w:qFormat/>
    <w:uiPriority w:val="9"/>
    <w:rPr>
      <w:b/>
      <w:bCs/>
      <w:kern w:val="2"/>
      <w:sz w:val="24"/>
      <w:szCs w:val="28"/>
    </w:rPr>
  </w:style>
  <w:style w:type="table" w:customStyle="1" w:styleId="57">
    <w:name w:val="网格型浅色1"/>
    <w:basedOn w:val="20"/>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
    <w:name w:val="无格式表格 31"/>
    <w:basedOn w:val="20"/>
    <w:qFormat/>
    <w:uiPriority w:val="43"/>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paragraph" w:customStyle="1" w:styleId="59">
    <w:name w:val="Table Paragraph"/>
    <w:basedOn w:val="1"/>
    <w:qFormat/>
    <w:uiPriority w:val="1"/>
    <w:pPr>
      <w:widowControl w:val="0"/>
      <w:autoSpaceDE w:val="0"/>
      <w:autoSpaceDN w:val="0"/>
      <w:jc w:val="left"/>
    </w:pPr>
    <w:rPr>
      <w:rFonts w:ascii="宋体" w:hAnsi="宋体" w:cs="宋体"/>
      <w:sz w:val="22"/>
      <w:szCs w:val="22"/>
      <w:lang w:eastAsia="en-US"/>
    </w:rPr>
  </w:style>
  <w:style w:type="character" w:customStyle="1" w:styleId="60">
    <w:name w:val="标题 5 字符"/>
    <w:link w:val="7"/>
    <w:qFormat/>
    <w:uiPriority w:val="0"/>
    <w:rPr>
      <w:b/>
      <w:bCs/>
      <w:sz w:val="24"/>
      <w:szCs w:val="28"/>
    </w:rPr>
  </w:style>
  <w:style w:type="table" w:customStyle="1" w:styleId="61">
    <w:name w:val="Table Normal"/>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paragraph" w:customStyle="1" w:styleId="62">
    <w:name w:val="0-1正文"/>
    <w:basedOn w:val="1"/>
    <w:link w:val="63"/>
    <w:autoRedefine/>
    <w:qFormat/>
    <w:uiPriority w:val="0"/>
    <w:pPr>
      <w:widowControl w:val="0"/>
      <w:autoSpaceDE w:val="0"/>
      <w:autoSpaceDN w:val="0"/>
      <w:adjustRightInd w:val="0"/>
      <w:snapToGrid w:val="0"/>
      <w:spacing w:line="360" w:lineRule="auto"/>
      <w:ind w:firstLine="200" w:firstLineChars="200"/>
    </w:pPr>
    <w:rPr>
      <w:rFonts w:cs="宋体"/>
    </w:rPr>
  </w:style>
  <w:style w:type="character" w:customStyle="1" w:styleId="63">
    <w:name w:val="0-1正文 Char"/>
    <w:link w:val="62"/>
    <w:qFormat/>
    <w:uiPriority w:val="0"/>
    <w:rPr>
      <w:rFonts w:cs="宋体"/>
      <w:sz w:val="21"/>
      <w:szCs w:val="21"/>
    </w:rPr>
  </w:style>
  <w:style w:type="paragraph" w:customStyle="1" w:styleId="64">
    <w:name w:val="小四表中"/>
    <w:basedOn w:val="1"/>
    <w:qFormat/>
    <w:uiPriority w:val="0"/>
    <w:pPr>
      <w:snapToGrid w:val="0"/>
      <w:jc w:val="center"/>
    </w:pPr>
    <w:rPr>
      <w:sz w:val="24"/>
    </w:rPr>
  </w:style>
  <w:style w:type="paragraph" w:customStyle="1" w:styleId="65">
    <w:name w:val="L-附图附件"/>
    <w:basedOn w:val="1"/>
    <w:next w:val="3"/>
    <w:qFormat/>
    <w:uiPriority w:val="0"/>
    <w:pPr>
      <w:adjustRightInd w:val="0"/>
      <w:snapToGrid w:val="0"/>
      <w:spacing w:line="360" w:lineRule="auto"/>
      <w:outlineLvl w:val="0"/>
    </w:pPr>
    <w:rPr>
      <w:rFonts w:eastAsia="黑体"/>
      <w:sz w:val="28"/>
      <w14:ligatures w14:val="standardContextual"/>
    </w:rPr>
  </w:style>
  <w:style w:type="paragraph" w:customStyle="1" w:styleId="66">
    <w:name w:val="备注"/>
    <w:basedOn w:val="3"/>
    <w:next w:val="3"/>
    <w:qFormat/>
    <w:uiPriority w:val="0"/>
    <w:pPr>
      <w:overflowPunct w:val="0"/>
      <w:spacing w:after="50" w:afterLines="50" w:line="240" w:lineRule="auto"/>
      <w:ind w:firstLine="0" w:firstLineChars="0"/>
    </w:pPr>
    <w:rPr>
      <w:sz w:val="18"/>
    </w:rPr>
  </w:style>
  <w:style w:type="paragraph" w:customStyle="1" w:styleId="67">
    <w:name w:val="表中文字"/>
    <w:basedOn w:val="18"/>
    <w:autoRedefine/>
    <w:qFormat/>
    <w:uiPriority w:val="0"/>
  </w:style>
  <w:style w:type="paragraph" w:styleId="68">
    <w:name w:val="List Paragraph"/>
    <w:basedOn w:val="1"/>
    <w:unhideWhenUsed/>
    <w:qFormat/>
    <w:uiPriority w:val="99"/>
    <w:pPr>
      <w:ind w:firstLine="420" w:firstLineChars="200"/>
    </w:pPr>
  </w:style>
  <w:style w:type="paragraph" w:customStyle="1" w:styleId="69">
    <w:name w:val="D表内"/>
    <w:basedOn w:val="43"/>
    <w:qFormat/>
    <w:uiPriority w:val="0"/>
    <w:pPr>
      <w:widowControl w:val="0"/>
      <w:spacing w:beforeLines="0" w:afterLines="0" w:line="240" w:lineRule="auto"/>
    </w:pPr>
    <w:rPr>
      <w:rFonts w:ascii="Times New Roman"/>
    </w:rPr>
  </w:style>
  <w:style w:type="paragraph" w:customStyle="1" w:styleId="70">
    <w:name w:val="TOC Heading"/>
    <w:basedOn w:val="2"/>
    <w:next w:val="1"/>
    <w:unhideWhenUsed/>
    <w:qFormat/>
    <w:uiPriority w:val="39"/>
    <w:pPr>
      <w:pageBreakBefore w:val="0"/>
      <w:numPr>
        <w:numId w:val="0"/>
      </w:numPr>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71">
    <w:name w:val="表头"/>
    <w:next w:val="1"/>
    <w:autoRedefine/>
    <w:qFormat/>
    <w:uiPriority w:val="0"/>
    <w:pPr>
      <w:ind w:firstLine="200" w:firstLineChars="200"/>
      <w:jc w:val="both"/>
    </w:pPr>
    <w:rPr>
      <w:rFonts w:ascii="Times New Roman" w:hAnsi="Times New Roman" w:eastAsia="宋体" w:cs="Times New Roman"/>
      <w:b/>
      <w:color w:val="000000"/>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jpeg"/><Relationship Id="rId24" Type="http://schemas.openxmlformats.org/officeDocument/2006/relationships/image" Target="media/image12.jpeg"/><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A8114-CC0A-4813-B9FC-AF4B088E5F47}">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45</Pages>
  <Words>254</Words>
  <Characters>290</Characters>
  <Lines>33</Lines>
  <Paragraphs>57</Paragraphs>
  <TotalTime>7</TotalTime>
  <ScaleCrop>false</ScaleCrop>
  <LinksUpToDate>false</LinksUpToDate>
  <CharactersWithSpaces>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2024-01-03T08:04:00Z</dcterms:created>
  <dc:creator>lhj</dc:creator>
  <cp:lastModifiedBy>王学珍</cp:lastModifiedBy>
  <cp:lastPrinted>2024-01-26T02:20:00Z</cp:lastPrinted>
  <dcterms:modified xsi:type="dcterms:W3CDTF">2024-11-10T06:39:24Z</dcterms:modified>
  <dc:title>附件2</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03B274D19BD24D5C91D4B48D1917C457</vt:lpwstr>
  </property>
</Properties>
</file>