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40AE5">
      <w:pPr>
        <w:pStyle w:val="3"/>
        <w:spacing w:line="279" w:lineRule="auto"/>
      </w:pPr>
    </w:p>
    <w:p w14:paraId="0065511A">
      <w:pPr>
        <w:pStyle w:val="3"/>
        <w:spacing w:line="279" w:lineRule="auto"/>
      </w:pPr>
    </w:p>
    <w:p w14:paraId="54B0A280">
      <w:pPr>
        <w:pStyle w:val="3"/>
        <w:spacing w:line="279" w:lineRule="auto"/>
      </w:pPr>
    </w:p>
    <w:p w14:paraId="598AA90C">
      <w:pPr>
        <w:pStyle w:val="3"/>
        <w:spacing w:line="279" w:lineRule="auto"/>
      </w:pPr>
    </w:p>
    <w:p w14:paraId="649F3E64">
      <w:pPr>
        <w:pStyle w:val="3"/>
        <w:spacing w:line="279" w:lineRule="auto"/>
      </w:pPr>
    </w:p>
    <w:p w14:paraId="2BDDA940">
      <w:pPr>
        <w:pStyle w:val="3"/>
        <w:spacing w:line="279" w:lineRule="auto"/>
      </w:pPr>
    </w:p>
    <w:p w14:paraId="68F94762">
      <w:pPr>
        <w:pStyle w:val="3"/>
        <w:spacing w:line="279" w:lineRule="auto"/>
      </w:pPr>
    </w:p>
    <w:p w14:paraId="2C40529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0"/>
        <w:rPr>
          <w:rFonts w:hint="eastAsia" w:ascii="宋体" w:hAnsi="宋体" w:eastAsia="宋体" w:cs="宋体"/>
          <w:sz w:val="52"/>
          <w:szCs w:val="52"/>
          <w:u w:val="none" w:color="auto"/>
          <w:lang w:eastAsia="zh-CN"/>
        </w:rPr>
      </w:pPr>
      <w:r>
        <w:rPr>
          <w:rFonts w:hint="eastAsia" w:ascii="宋体" w:hAnsi="宋体" w:eastAsia="宋体" w:cs="宋体"/>
          <w:spacing w:val="-4"/>
          <w:sz w:val="52"/>
          <w:szCs w:val="52"/>
          <w:u w:val="none" w:color="auto"/>
          <w:lang w:eastAsia="zh-CN"/>
          <w14:textOutline w14:w="9461" w14:cap="sq" w14:cmpd="sng">
            <w14:solidFill>
              <w14:srgbClr w14:val="000000"/>
            </w14:solidFill>
            <w14:prstDash w14:val="solid"/>
            <w14:bevel/>
          </w14:textOutline>
        </w:rPr>
        <w:t>艾丁湖生态保护治理项目（二期）</w:t>
      </w:r>
    </w:p>
    <w:p w14:paraId="69EE39E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0"/>
        <w:rPr>
          <w:rFonts w:ascii="宋体" w:hAnsi="宋体" w:eastAsia="宋体" w:cs="宋体"/>
          <w:spacing w:val="148"/>
          <w:sz w:val="72"/>
          <w:szCs w:val="72"/>
          <w14:textOutline w14:w="13075" w14:cap="sq" w14:cmpd="sng">
            <w14:solidFill>
              <w14:srgbClr w14:val="000000"/>
            </w14:solidFill>
            <w14:prstDash w14:val="solid"/>
            <w14:bevel/>
          </w14:textOutline>
        </w:rPr>
      </w:pPr>
      <w:r>
        <w:rPr>
          <w:rFonts w:ascii="宋体" w:hAnsi="宋体" w:eastAsia="宋体" w:cs="宋体"/>
          <w:spacing w:val="148"/>
          <w:sz w:val="72"/>
          <w:szCs w:val="72"/>
          <w14:textOutline w14:w="13075" w14:cap="sq" w14:cmpd="sng">
            <w14:solidFill>
              <w14:srgbClr w14:val="000000"/>
            </w14:solidFill>
            <w14:prstDash w14:val="solid"/>
            <w14:bevel/>
          </w14:textOutline>
        </w:rPr>
        <w:t>环境影响报告书</w:t>
      </w:r>
    </w:p>
    <w:p w14:paraId="426C3027">
      <w:pPr>
        <w:pStyle w:val="3"/>
        <w:jc w:val="center"/>
        <w:rPr>
          <w:rFonts w:hint="eastAsia" w:eastAsia="宋体"/>
          <w:lang w:eastAsia="zh-CN"/>
        </w:rPr>
      </w:pPr>
      <w:r>
        <w:rPr>
          <w:rFonts w:hint="eastAsia" w:ascii="宋体" w:hAnsi="宋体" w:eastAsia="宋体" w:cs="宋体"/>
          <w:spacing w:val="148"/>
          <w:sz w:val="44"/>
          <w:szCs w:val="44"/>
          <w:lang w:eastAsia="zh-CN"/>
          <w14:textOutline w14:w="13075" w14:cap="sq" w14:cmpd="sng">
            <w14:solidFill>
              <w14:srgbClr w14:val="000000"/>
            </w14:solidFill>
            <w14:prstDash w14:val="solid"/>
            <w14:bevel/>
          </w14:textOutline>
        </w:rPr>
        <w:t>（</w:t>
      </w:r>
      <w:r>
        <w:rPr>
          <w:rFonts w:hint="eastAsia" w:ascii="宋体" w:hAnsi="宋体" w:eastAsia="宋体" w:cs="宋体"/>
          <w:spacing w:val="148"/>
          <w:sz w:val="44"/>
          <w:szCs w:val="44"/>
          <w:lang w:val="en-US" w:eastAsia="zh-CN"/>
          <w14:textOutline w14:w="13075" w14:cap="sq" w14:cmpd="sng">
            <w14:solidFill>
              <w14:srgbClr w14:val="000000"/>
            </w14:solidFill>
            <w14:prstDash w14:val="solid"/>
            <w14:bevel/>
          </w14:textOutline>
        </w:rPr>
        <w:t>送审稿</w:t>
      </w:r>
      <w:r>
        <w:rPr>
          <w:rFonts w:hint="eastAsia" w:ascii="宋体" w:hAnsi="宋体" w:eastAsia="宋体" w:cs="宋体"/>
          <w:spacing w:val="148"/>
          <w:sz w:val="44"/>
          <w:szCs w:val="44"/>
          <w:lang w:eastAsia="zh-CN"/>
          <w14:textOutline w14:w="13075" w14:cap="sq" w14:cmpd="sng">
            <w14:solidFill>
              <w14:srgbClr w14:val="000000"/>
            </w14:solidFill>
            <w14:prstDash w14:val="solid"/>
            <w14:bevel/>
          </w14:textOutline>
        </w:rPr>
        <w:t>）</w:t>
      </w:r>
    </w:p>
    <w:p w14:paraId="71CABCF2">
      <w:pPr>
        <w:pStyle w:val="3"/>
        <w:spacing w:line="250" w:lineRule="auto"/>
      </w:pPr>
    </w:p>
    <w:p w14:paraId="5841DF28">
      <w:pPr>
        <w:pStyle w:val="3"/>
        <w:spacing w:line="250" w:lineRule="auto"/>
      </w:pPr>
    </w:p>
    <w:p w14:paraId="6C4651DB">
      <w:pPr>
        <w:pStyle w:val="3"/>
        <w:spacing w:line="250" w:lineRule="auto"/>
      </w:pPr>
    </w:p>
    <w:p w14:paraId="6CBDC5DE">
      <w:pPr>
        <w:pStyle w:val="3"/>
        <w:spacing w:line="250" w:lineRule="auto"/>
      </w:pPr>
    </w:p>
    <w:p w14:paraId="3377582E">
      <w:pPr>
        <w:pStyle w:val="3"/>
        <w:spacing w:line="250" w:lineRule="auto"/>
      </w:pPr>
    </w:p>
    <w:p w14:paraId="5F76941B">
      <w:pPr>
        <w:pStyle w:val="3"/>
        <w:spacing w:line="250" w:lineRule="auto"/>
      </w:pPr>
    </w:p>
    <w:p w14:paraId="51B70F14">
      <w:pPr>
        <w:pStyle w:val="3"/>
        <w:spacing w:line="250" w:lineRule="auto"/>
      </w:pPr>
    </w:p>
    <w:p w14:paraId="6213FEFB">
      <w:pPr>
        <w:pStyle w:val="3"/>
        <w:spacing w:line="250" w:lineRule="auto"/>
      </w:pPr>
    </w:p>
    <w:p w14:paraId="2D5F6012">
      <w:pPr>
        <w:pStyle w:val="3"/>
        <w:spacing w:line="250" w:lineRule="auto"/>
      </w:pPr>
    </w:p>
    <w:p w14:paraId="06A955EA">
      <w:pPr>
        <w:pStyle w:val="3"/>
        <w:spacing w:line="250" w:lineRule="auto"/>
      </w:pPr>
    </w:p>
    <w:p w14:paraId="695AFB3F">
      <w:pPr>
        <w:pStyle w:val="3"/>
        <w:spacing w:line="250" w:lineRule="auto"/>
      </w:pPr>
    </w:p>
    <w:p w14:paraId="7E6E48F1">
      <w:pPr>
        <w:pStyle w:val="3"/>
        <w:spacing w:line="251" w:lineRule="auto"/>
      </w:pPr>
    </w:p>
    <w:p w14:paraId="40D000B1">
      <w:pPr>
        <w:pStyle w:val="3"/>
        <w:spacing w:line="251" w:lineRule="auto"/>
      </w:pPr>
    </w:p>
    <w:p w14:paraId="339B357A">
      <w:pPr>
        <w:pStyle w:val="3"/>
        <w:spacing w:line="251" w:lineRule="auto"/>
      </w:pPr>
    </w:p>
    <w:p w14:paraId="5AB2BD52">
      <w:pPr>
        <w:pStyle w:val="3"/>
        <w:spacing w:line="251" w:lineRule="auto"/>
      </w:pPr>
    </w:p>
    <w:p w14:paraId="5DF92F23">
      <w:pPr>
        <w:pStyle w:val="3"/>
        <w:spacing w:line="251" w:lineRule="auto"/>
      </w:pPr>
    </w:p>
    <w:p w14:paraId="0FAF9674">
      <w:pPr>
        <w:pStyle w:val="3"/>
        <w:spacing w:line="251" w:lineRule="auto"/>
      </w:pPr>
    </w:p>
    <w:p w14:paraId="2F985ACE">
      <w:pPr>
        <w:pStyle w:val="3"/>
        <w:spacing w:line="251" w:lineRule="auto"/>
      </w:pPr>
    </w:p>
    <w:p w14:paraId="3F7C88C2">
      <w:pPr>
        <w:pStyle w:val="3"/>
        <w:spacing w:line="251" w:lineRule="auto"/>
      </w:pPr>
    </w:p>
    <w:p w14:paraId="62B223E7">
      <w:pPr>
        <w:pStyle w:val="3"/>
        <w:spacing w:line="251" w:lineRule="auto"/>
      </w:pPr>
    </w:p>
    <w:p w14:paraId="19886CC2">
      <w:pPr>
        <w:pStyle w:val="3"/>
        <w:spacing w:line="251" w:lineRule="auto"/>
      </w:pPr>
    </w:p>
    <w:p w14:paraId="42563669">
      <w:pPr>
        <w:pStyle w:val="3"/>
        <w:spacing w:line="251" w:lineRule="auto"/>
      </w:pPr>
    </w:p>
    <w:p w14:paraId="4512D78C">
      <w:pPr>
        <w:keepNext w:val="0"/>
        <w:keepLines w:val="0"/>
        <w:pageBreakBefore w:val="0"/>
        <w:widowControl/>
        <w:kinsoku w:val="0"/>
        <w:wordWrap/>
        <w:overflowPunct/>
        <w:topLinePunct w:val="0"/>
        <w:autoSpaceDE w:val="0"/>
        <w:autoSpaceDN w:val="0"/>
        <w:bidi w:val="0"/>
        <w:adjustRightInd w:val="0"/>
        <w:snapToGrid w:val="0"/>
        <w:spacing w:line="360" w:lineRule="auto"/>
        <w:ind w:firstLine="643" w:firstLineChars="200"/>
        <w:textAlignment w:val="baseline"/>
        <w:rPr>
          <w:rFonts w:hint="default" w:ascii="Times New Roman" w:hAnsi="Times New Roman" w:cs="Times New Roman" w:eastAsiaTheme="minorEastAsia"/>
          <w:b/>
          <w:bCs/>
          <w:sz w:val="32"/>
          <w:szCs w:val="32"/>
        </w:rPr>
      </w:pPr>
    </w:p>
    <w:p w14:paraId="24CBCA8E">
      <w:pPr>
        <w:keepNext w:val="0"/>
        <w:keepLines w:val="0"/>
        <w:pageBreakBefore w:val="0"/>
        <w:widowControl/>
        <w:kinsoku w:val="0"/>
        <w:wordWrap/>
        <w:overflowPunct/>
        <w:topLinePunct w:val="0"/>
        <w:autoSpaceDE w:val="0"/>
        <w:autoSpaceDN w:val="0"/>
        <w:bidi w:val="0"/>
        <w:adjustRightInd w:val="0"/>
        <w:snapToGrid w:val="0"/>
        <w:spacing w:line="360" w:lineRule="auto"/>
        <w:ind w:firstLine="643" w:firstLineChars="200"/>
        <w:textAlignment w:val="baseline"/>
        <w:rPr>
          <w:rFonts w:hint="default" w:ascii="Times New Roman" w:hAnsi="Times New Roman" w:cs="Times New Roman" w:eastAsiaTheme="minorEastAsia"/>
          <w:b/>
          <w:bCs/>
          <w:sz w:val="32"/>
          <w:szCs w:val="32"/>
          <w:lang w:eastAsia="zh-CN"/>
        </w:rPr>
      </w:pPr>
      <w:r>
        <w:rPr>
          <w:rFonts w:hint="default" w:ascii="Times New Roman" w:hAnsi="Times New Roman" w:cs="Times New Roman" w:eastAsiaTheme="minorEastAsia"/>
          <w:b/>
          <w:bCs/>
          <w:sz w:val="32"/>
          <w:szCs w:val="32"/>
        </w:rPr>
        <w:t>建设单位：</w:t>
      </w:r>
      <w:r>
        <w:rPr>
          <w:rFonts w:hint="default" w:ascii="Times New Roman" w:hAnsi="Times New Roman" w:cs="Times New Roman" w:eastAsiaTheme="minorEastAsia"/>
          <w:b/>
          <w:bCs/>
          <w:sz w:val="32"/>
          <w:szCs w:val="32"/>
          <w:lang w:eastAsia="zh-CN"/>
        </w:rPr>
        <w:t>吐鲁番市水务投资发展集团有限公司</w:t>
      </w:r>
    </w:p>
    <w:p w14:paraId="5EB7307C">
      <w:pPr>
        <w:keepNext w:val="0"/>
        <w:keepLines w:val="0"/>
        <w:pageBreakBefore w:val="0"/>
        <w:widowControl/>
        <w:kinsoku w:val="0"/>
        <w:wordWrap/>
        <w:overflowPunct/>
        <w:topLinePunct w:val="0"/>
        <w:autoSpaceDE w:val="0"/>
        <w:autoSpaceDN w:val="0"/>
        <w:bidi w:val="0"/>
        <w:adjustRightInd w:val="0"/>
        <w:snapToGrid w:val="0"/>
        <w:spacing w:line="360" w:lineRule="auto"/>
        <w:ind w:firstLine="643" w:firstLineChars="200"/>
        <w:textAlignment w:val="baseline"/>
        <w:rPr>
          <w:rFonts w:hint="default" w:ascii="Times New Roman" w:hAnsi="Times New Roman" w:cs="Times New Roman" w:eastAsiaTheme="minorEastAsia"/>
          <w:b/>
          <w:bCs/>
          <w:sz w:val="32"/>
          <w:szCs w:val="32"/>
          <w:lang w:eastAsia="zh-CN"/>
        </w:rPr>
      </w:pPr>
      <w:r>
        <w:rPr>
          <w:rFonts w:hint="default" w:ascii="Times New Roman" w:hAnsi="Times New Roman" w:cs="Times New Roman" w:eastAsiaTheme="minorEastAsia"/>
          <w:b/>
          <w:bCs/>
          <w:sz w:val="32"/>
          <w:szCs w:val="32"/>
        </w:rPr>
        <w:t>编制单位：</w:t>
      </w:r>
      <w:r>
        <w:rPr>
          <w:rFonts w:hint="default" w:ascii="Times New Roman" w:hAnsi="Times New Roman" w:cs="Times New Roman" w:eastAsiaTheme="minorEastAsia"/>
          <w:b/>
          <w:bCs/>
          <w:sz w:val="32"/>
          <w:szCs w:val="32"/>
          <w:lang w:eastAsia="zh-CN"/>
        </w:rPr>
        <w:t>新疆荣祥环保科技咨询有限公司</w:t>
      </w:r>
    </w:p>
    <w:p w14:paraId="5CDF10D7">
      <w:pPr>
        <w:keepNext w:val="0"/>
        <w:keepLines w:val="0"/>
        <w:pageBreakBefore w:val="0"/>
        <w:widowControl/>
        <w:kinsoku w:val="0"/>
        <w:wordWrap/>
        <w:overflowPunct/>
        <w:topLinePunct w:val="0"/>
        <w:autoSpaceDE w:val="0"/>
        <w:autoSpaceDN w:val="0"/>
        <w:bidi w:val="0"/>
        <w:adjustRightInd w:val="0"/>
        <w:snapToGrid w:val="0"/>
        <w:spacing w:line="360" w:lineRule="auto"/>
        <w:ind w:firstLine="3534" w:firstLineChars="1100"/>
        <w:textAlignment w:val="baseline"/>
        <w:rPr>
          <w:rFonts w:hint="default" w:ascii="Times New Roman" w:hAnsi="Times New Roman" w:cs="Times New Roman" w:eastAsiaTheme="minorEastAsia"/>
          <w:b/>
          <w:bCs/>
          <w:sz w:val="32"/>
          <w:szCs w:val="32"/>
        </w:rPr>
      </w:pPr>
      <w:r>
        <w:rPr>
          <w:rFonts w:hint="default" w:ascii="Times New Roman" w:hAnsi="Times New Roman" w:cs="Times New Roman" w:eastAsiaTheme="minorEastAsia"/>
          <w:b/>
          <w:bCs/>
          <w:sz w:val="32"/>
          <w:szCs w:val="32"/>
        </w:rPr>
        <w:t>202</w:t>
      </w:r>
      <w:r>
        <w:rPr>
          <w:rFonts w:hint="default" w:ascii="Times New Roman" w:hAnsi="Times New Roman" w:cs="Times New Roman" w:eastAsiaTheme="minorEastAsia"/>
          <w:b/>
          <w:bCs/>
          <w:sz w:val="32"/>
          <w:szCs w:val="32"/>
          <w:lang w:val="en-US" w:eastAsia="zh-CN"/>
        </w:rPr>
        <w:t>4</w:t>
      </w:r>
      <w:r>
        <w:rPr>
          <w:rFonts w:hint="default" w:ascii="Times New Roman" w:hAnsi="Times New Roman" w:cs="Times New Roman" w:eastAsiaTheme="minorEastAsia"/>
          <w:b/>
          <w:bCs/>
          <w:sz w:val="32"/>
          <w:szCs w:val="32"/>
        </w:rPr>
        <w:t xml:space="preserve"> 年</w:t>
      </w:r>
      <w:r>
        <w:rPr>
          <w:rFonts w:hint="default" w:ascii="Times New Roman" w:hAnsi="Times New Roman" w:cs="Times New Roman" w:eastAsiaTheme="minorEastAsia"/>
          <w:b/>
          <w:bCs/>
          <w:sz w:val="32"/>
          <w:szCs w:val="32"/>
          <w:lang w:val="en-US" w:eastAsia="zh-CN"/>
        </w:rPr>
        <w:t xml:space="preserve">6 </w:t>
      </w:r>
      <w:r>
        <w:rPr>
          <w:rFonts w:hint="default" w:ascii="Times New Roman" w:hAnsi="Times New Roman" w:cs="Times New Roman" w:eastAsiaTheme="minorEastAsia"/>
          <w:b/>
          <w:bCs/>
          <w:sz w:val="32"/>
          <w:szCs w:val="32"/>
        </w:rPr>
        <w:t>月</w:t>
      </w:r>
    </w:p>
    <w:p w14:paraId="6EE01BF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eastAsiaTheme="minorEastAsia"/>
          <w:b/>
          <w:bCs/>
          <w:sz w:val="32"/>
          <w:szCs w:val="32"/>
        </w:rPr>
        <w:sectPr>
          <w:pgSz w:w="11906" w:h="16839"/>
          <w:pgMar w:top="1431" w:right="1516" w:bottom="0" w:left="1539" w:header="0" w:footer="0" w:gutter="0"/>
          <w:pgBorders>
            <w:top w:val="none" w:sz="0" w:space="0"/>
            <w:left w:val="none" w:sz="0" w:space="0"/>
            <w:bottom w:val="none" w:sz="0" w:space="0"/>
            <w:right w:val="none" w:sz="0" w:space="0"/>
          </w:pgBorders>
          <w:cols w:space="720" w:num="1"/>
        </w:sectPr>
      </w:pPr>
    </w:p>
    <w:p w14:paraId="1877A069">
      <w:pPr>
        <w:pStyle w:val="3"/>
        <w:spacing w:line="312" w:lineRule="auto"/>
      </w:pPr>
    </w:p>
    <w:p w14:paraId="200316F9">
      <w:pPr>
        <w:pStyle w:val="3"/>
        <w:spacing w:line="312" w:lineRule="auto"/>
      </w:pPr>
    </w:p>
    <w:sdt>
      <w:sdtPr>
        <w:rPr>
          <w:rFonts w:ascii="宋体" w:hAnsi="宋体" w:eastAsia="宋体" w:cs="宋体"/>
          <w:sz w:val="35"/>
          <w:szCs w:val="35"/>
        </w:rPr>
        <w:id w:val="11"/>
        <w:docPartObj>
          <w:docPartGallery w:val="Table of Contents"/>
          <w:docPartUnique/>
        </w:docPartObj>
      </w:sdtPr>
      <w:sdtEndPr>
        <w:rPr>
          <w:rFonts w:ascii="宋体" w:hAnsi="宋体" w:eastAsia="宋体" w:cs="宋体"/>
          <w:sz w:val="24"/>
          <w:szCs w:val="24"/>
        </w:rPr>
      </w:sdtEndPr>
      <w:sdtContent>
        <w:p w14:paraId="62D1331F">
          <w:pPr>
            <w:spacing w:before="113" w:line="227" w:lineRule="auto"/>
            <w:ind w:left="3976"/>
            <w:rPr>
              <w:rFonts w:ascii="宋体" w:hAnsi="宋体" w:eastAsia="宋体" w:cs="宋体"/>
              <w:color w:val="0000FF"/>
              <w:sz w:val="35"/>
              <w:szCs w:val="35"/>
            </w:rPr>
          </w:pPr>
          <w:r>
            <w:rPr>
              <w:rFonts w:ascii="宋体" w:hAnsi="宋体" w:eastAsia="宋体" w:cs="宋体"/>
              <w:color w:val="0000FF"/>
              <w:spacing w:val="-37"/>
              <w:sz w:val="35"/>
              <w:szCs w:val="35"/>
              <w14:textOutline w14:w="6537" w14:cap="sq" w14:cmpd="sng">
                <w14:solidFill>
                  <w14:srgbClr w14:val="000000"/>
                </w14:solidFill>
                <w14:prstDash w14:val="solid"/>
                <w14:bevel/>
              </w14:textOutline>
            </w:rPr>
            <w:t>目</w:t>
          </w:r>
          <w:r>
            <w:rPr>
              <w:rFonts w:ascii="宋体" w:hAnsi="宋体" w:eastAsia="宋体" w:cs="宋体"/>
              <w:color w:val="0000FF"/>
              <w:spacing w:val="11"/>
              <w:sz w:val="35"/>
              <w:szCs w:val="35"/>
            </w:rPr>
            <w:t xml:space="preserve">   </w:t>
          </w:r>
          <w:r>
            <w:rPr>
              <w:rFonts w:ascii="宋体" w:hAnsi="宋体" w:eastAsia="宋体" w:cs="宋体"/>
              <w:color w:val="0000FF"/>
              <w:spacing w:val="-37"/>
              <w:sz w:val="35"/>
              <w:szCs w:val="35"/>
              <w14:textOutline w14:w="6537" w14:cap="sq" w14:cmpd="sng">
                <w14:solidFill>
                  <w14:srgbClr w14:val="000000"/>
                </w14:solidFill>
                <w14:prstDash w14:val="solid"/>
                <w14:bevel/>
              </w14:textOutline>
            </w:rPr>
            <w:t>录</w:t>
          </w:r>
        </w:p>
        <w:p w14:paraId="101D8FA4">
          <w:pPr>
            <w:pStyle w:val="3"/>
            <w:spacing w:line="409" w:lineRule="auto"/>
          </w:pPr>
        </w:p>
        <w:p w14:paraId="0BEC2B55">
          <w:pPr>
            <w:tabs>
              <w:tab w:val="right" w:leader="dot" w:pos="9060"/>
            </w:tabs>
            <w:spacing w:before="78" w:line="184" w:lineRule="auto"/>
            <w:ind w:left="18"/>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spacing w:val="-10"/>
              <w:sz w:val="24"/>
              <w:szCs w:val="24"/>
              <w14:textOutline w14:w="4358" w14:cap="sq" w14:cmpd="sng">
                <w14:solidFill>
                  <w14:srgbClr w14:val="000000"/>
                </w14:solidFill>
                <w14:prstDash w14:val="solid"/>
                <w14:bevel/>
              </w14:textOutline>
            </w:rPr>
            <w:t>1.</w:t>
          </w:r>
          <w:r>
            <w:rPr>
              <w:rFonts w:ascii="宋体" w:hAnsi="宋体" w:eastAsia="宋体" w:cs="宋体"/>
              <w:spacing w:val="14"/>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前言</w:t>
          </w:r>
          <w:r>
            <w:rPr>
              <w:rFonts w:ascii="宋体" w:hAnsi="宋体" w:eastAsia="宋体" w:cs="宋体"/>
              <w:sz w:val="24"/>
              <w:szCs w:val="24"/>
            </w:rPr>
            <w:tab/>
          </w:r>
          <w:r>
            <w:rPr>
              <w:rFonts w:ascii="宋体" w:hAnsi="宋体" w:eastAsia="宋体" w:cs="宋体"/>
              <w:spacing w:val="8"/>
              <w:sz w:val="24"/>
              <w:szCs w:val="24"/>
              <w14:textOutline w14:w="4358" w14:cap="sq" w14:cmpd="sng">
                <w14:solidFill>
                  <w14:srgbClr w14:val="000000"/>
                </w14:solidFill>
                <w14:prstDash w14:val="solid"/>
                <w14:bevel/>
              </w14:textOutline>
            </w:rPr>
            <w:t>1</w:t>
          </w:r>
          <w:r>
            <w:rPr>
              <w:rFonts w:ascii="宋体" w:hAnsi="宋体" w:eastAsia="宋体" w:cs="宋体"/>
              <w:spacing w:val="8"/>
              <w:sz w:val="24"/>
              <w:szCs w:val="24"/>
              <w14:textOutline w14:w="4358" w14:cap="sq" w14:cmpd="sng">
                <w14:solidFill>
                  <w14:srgbClr w14:val="000000"/>
                </w14:solidFill>
                <w14:prstDash w14:val="solid"/>
                <w14:bevel/>
              </w14:textOutline>
            </w:rPr>
            <w:fldChar w:fldCharType="end"/>
          </w:r>
        </w:p>
        <w:p w14:paraId="540B4301">
          <w:pPr>
            <w:tabs>
              <w:tab w:val="right" w:leader="dot" w:pos="9060"/>
            </w:tabs>
            <w:spacing w:before="161" w:line="184" w:lineRule="auto"/>
            <w:ind w:left="577"/>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spacing w:val="-6"/>
              <w:sz w:val="24"/>
              <w:szCs w:val="24"/>
            </w:rPr>
            <w:t>1.1.</w:t>
          </w:r>
          <w:r>
            <w:rPr>
              <w:rFonts w:ascii="宋体" w:hAnsi="宋体" w:eastAsia="宋体" w:cs="宋体"/>
              <w:spacing w:val="19"/>
              <w:sz w:val="24"/>
              <w:szCs w:val="24"/>
            </w:rPr>
            <w:t xml:space="preserve"> </w:t>
          </w:r>
          <w:r>
            <w:rPr>
              <w:rFonts w:ascii="宋体" w:hAnsi="宋体" w:eastAsia="宋体" w:cs="宋体"/>
              <w:spacing w:val="-6"/>
              <w:sz w:val="24"/>
              <w:szCs w:val="24"/>
            </w:rPr>
            <w:t>项目由来</w:t>
          </w:r>
          <w:r>
            <w:rPr>
              <w:rFonts w:ascii="宋体" w:hAnsi="宋体" w:eastAsia="宋体" w:cs="宋体"/>
              <w:sz w:val="24"/>
              <w:szCs w:val="24"/>
            </w:rPr>
            <w:tab/>
          </w:r>
          <w:r>
            <w:rPr>
              <w:rFonts w:ascii="宋体" w:hAnsi="宋体" w:eastAsia="宋体" w:cs="宋体"/>
              <w:spacing w:val="48"/>
              <w:w w:val="102"/>
              <w:sz w:val="24"/>
              <w:szCs w:val="24"/>
            </w:rPr>
            <w:t>1</w:t>
          </w:r>
          <w:r>
            <w:rPr>
              <w:rFonts w:ascii="宋体" w:hAnsi="宋体" w:eastAsia="宋体" w:cs="宋体"/>
              <w:spacing w:val="48"/>
              <w:w w:val="102"/>
              <w:sz w:val="24"/>
              <w:szCs w:val="24"/>
            </w:rPr>
            <w:fldChar w:fldCharType="end"/>
          </w:r>
        </w:p>
        <w:p w14:paraId="047CA739">
          <w:pPr>
            <w:tabs>
              <w:tab w:val="right" w:leader="dot" w:pos="9060"/>
            </w:tabs>
            <w:spacing w:before="159" w:line="184" w:lineRule="auto"/>
            <w:ind w:left="577"/>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spacing w:val="-3"/>
              <w:sz w:val="24"/>
              <w:szCs w:val="24"/>
            </w:rPr>
            <w:t>1.2. 评价工作过程</w:t>
          </w:r>
          <w:r>
            <w:rPr>
              <w:rFonts w:ascii="宋体" w:hAnsi="宋体" w:eastAsia="宋体" w:cs="宋体"/>
              <w:sz w:val="24"/>
              <w:szCs w:val="24"/>
            </w:rPr>
            <w:tab/>
          </w:r>
          <w:r>
            <w:rPr>
              <w:rFonts w:ascii="宋体" w:hAnsi="宋体" w:eastAsia="宋体" w:cs="宋体"/>
              <w:spacing w:val="24"/>
              <w:w w:val="122"/>
              <w:sz w:val="24"/>
              <w:szCs w:val="24"/>
            </w:rPr>
            <w:t>2</w:t>
          </w:r>
          <w:r>
            <w:rPr>
              <w:rFonts w:ascii="宋体" w:hAnsi="宋体" w:eastAsia="宋体" w:cs="宋体"/>
              <w:spacing w:val="24"/>
              <w:w w:val="122"/>
              <w:sz w:val="24"/>
              <w:szCs w:val="24"/>
            </w:rPr>
            <w:fldChar w:fldCharType="end"/>
          </w:r>
        </w:p>
        <w:p w14:paraId="387DF7ED">
          <w:pPr>
            <w:tabs>
              <w:tab w:val="right" w:leader="dot" w:pos="9060"/>
            </w:tabs>
            <w:spacing w:before="161" w:line="184" w:lineRule="auto"/>
            <w:ind w:left="577"/>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spacing w:val="-2"/>
              <w:sz w:val="24"/>
              <w:szCs w:val="24"/>
            </w:rPr>
            <w:t>1.3. 关注的主要环境问题</w:t>
          </w:r>
          <w:r>
            <w:rPr>
              <w:rFonts w:ascii="宋体" w:hAnsi="宋体" w:eastAsia="宋体" w:cs="宋体"/>
              <w:sz w:val="24"/>
              <w:szCs w:val="24"/>
            </w:rPr>
            <w:tab/>
          </w:r>
          <w:r>
            <w:rPr>
              <w:rFonts w:ascii="宋体" w:hAnsi="宋体" w:eastAsia="宋体" w:cs="宋体"/>
              <w:spacing w:val="28"/>
              <w:w w:val="119"/>
              <w:sz w:val="24"/>
              <w:szCs w:val="24"/>
            </w:rPr>
            <w:t>3</w:t>
          </w:r>
          <w:r>
            <w:rPr>
              <w:rFonts w:ascii="宋体" w:hAnsi="宋体" w:eastAsia="宋体" w:cs="宋体"/>
              <w:spacing w:val="28"/>
              <w:w w:val="119"/>
              <w:sz w:val="24"/>
              <w:szCs w:val="24"/>
            </w:rPr>
            <w:fldChar w:fldCharType="end"/>
          </w:r>
        </w:p>
        <w:p w14:paraId="178D90A6">
          <w:pPr>
            <w:tabs>
              <w:tab w:val="right" w:leader="dot" w:pos="9060"/>
            </w:tabs>
            <w:spacing w:before="162" w:line="184" w:lineRule="auto"/>
            <w:ind w:left="577"/>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spacing w:val="-3"/>
              <w:sz w:val="24"/>
              <w:szCs w:val="24"/>
            </w:rPr>
            <w:t>1.4. 分析判定相关情况</w:t>
          </w:r>
          <w:r>
            <w:rPr>
              <w:rFonts w:ascii="宋体" w:hAnsi="宋体" w:eastAsia="宋体" w:cs="宋体"/>
              <w:sz w:val="24"/>
              <w:szCs w:val="24"/>
            </w:rPr>
            <w:tab/>
          </w:r>
          <w:r>
            <w:rPr>
              <w:rFonts w:hint="eastAsia" w:ascii="宋体" w:hAnsi="宋体" w:eastAsia="宋体" w:cs="宋体"/>
              <w:spacing w:val="21"/>
              <w:w w:val="125"/>
              <w:sz w:val="24"/>
              <w:szCs w:val="24"/>
              <w:lang w:val="en-US" w:eastAsia="zh-CN"/>
            </w:rPr>
            <w:t>3</w:t>
          </w:r>
          <w:r>
            <w:rPr>
              <w:rFonts w:ascii="宋体" w:hAnsi="宋体" w:eastAsia="宋体" w:cs="宋体"/>
              <w:spacing w:val="21"/>
              <w:w w:val="125"/>
              <w:sz w:val="24"/>
              <w:szCs w:val="24"/>
            </w:rPr>
            <w:fldChar w:fldCharType="end"/>
          </w:r>
        </w:p>
        <w:p w14:paraId="0CA1EABF">
          <w:pPr>
            <w:tabs>
              <w:tab w:val="right" w:leader="dot" w:pos="9060"/>
            </w:tabs>
            <w:spacing w:before="159" w:line="184" w:lineRule="auto"/>
            <w:ind w:left="577"/>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spacing w:val="-3"/>
              <w:sz w:val="24"/>
              <w:szCs w:val="24"/>
            </w:rPr>
            <w:t>1.5. 主要评价结论</w:t>
          </w:r>
          <w:r>
            <w:rPr>
              <w:rFonts w:ascii="宋体" w:hAnsi="宋体" w:eastAsia="宋体" w:cs="宋体"/>
              <w:sz w:val="24"/>
              <w:szCs w:val="24"/>
            </w:rPr>
            <w:tab/>
          </w:r>
          <w:r>
            <w:rPr>
              <w:rFonts w:ascii="宋体" w:hAnsi="宋体" w:eastAsia="宋体" w:cs="宋体"/>
              <w:spacing w:val="21"/>
              <w:w w:val="125"/>
              <w:sz w:val="24"/>
              <w:szCs w:val="24"/>
            </w:rPr>
            <w:t>4</w:t>
          </w:r>
          <w:r>
            <w:rPr>
              <w:rFonts w:ascii="宋体" w:hAnsi="宋体" w:eastAsia="宋体" w:cs="宋体"/>
              <w:spacing w:val="21"/>
              <w:w w:val="125"/>
              <w:sz w:val="24"/>
              <w:szCs w:val="24"/>
            </w:rPr>
            <w:fldChar w:fldCharType="end"/>
          </w:r>
        </w:p>
        <w:p w14:paraId="7855AED5">
          <w:pPr>
            <w:tabs>
              <w:tab w:val="right" w:leader="dot" w:pos="9060"/>
            </w:tabs>
            <w:spacing w:before="161" w:line="184" w:lineRule="auto"/>
            <w:ind w:left="3"/>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spacing w:val="-7"/>
              <w:sz w:val="24"/>
              <w:szCs w:val="24"/>
              <w14:textOutline w14:w="4358" w14:cap="sq" w14:cmpd="sng">
                <w14:solidFill>
                  <w14:srgbClr w14:val="000000"/>
                </w14:solidFill>
                <w14:prstDash w14:val="solid"/>
                <w14:bevel/>
              </w14:textOutline>
            </w:rPr>
            <w:t>2.</w:t>
          </w:r>
          <w:r>
            <w:rPr>
              <w:rFonts w:ascii="宋体" w:hAnsi="宋体" w:eastAsia="宋体" w:cs="宋体"/>
              <w:spacing w:val="1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总则</w:t>
          </w:r>
          <w:r>
            <w:rPr>
              <w:rFonts w:ascii="宋体" w:hAnsi="宋体" w:eastAsia="宋体" w:cs="宋体"/>
              <w:sz w:val="24"/>
              <w:szCs w:val="24"/>
            </w:rPr>
            <w:tab/>
          </w:r>
          <w:r>
            <w:rPr>
              <w:rFonts w:ascii="宋体" w:hAnsi="宋体" w:eastAsia="宋体" w:cs="宋体"/>
              <w:spacing w:val="8"/>
              <w:sz w:val="24"/>
              <w:szCs w:val="24"/>
              <w14:textOutline w14:w="4358" w14:cap="sq" w14:cmpd="sng">
                <w14:solidFill>
                  <w14:srgbClr w14:val="000000"/>
                </w14:solidFill>
                <w14:prstDash w14:val="solid"/>
                <w14:bevel/>
              </w14:textOutline>
            </w:rPr>
            <w:t>5</w:t>
          </w:r>
          <w:r>
            <w:rPr>
              <w:rFonts w:ascii="宋体" w:hAnsi="宋体" w:eastAsia="宋体" w:cs="宋体"/>
              <w:spacing w:val="8"/>
              <w:sz w:val="24"/>
              <w:szCs w:val="24"/>
              <w14:textOutline w14:w="4358" w14:cap="sq" w14:cmpd="sng">
                <w14:solidFill>
                  <w14:srgbClr w14:val="000000"/>
                </w14:solidFill>
                <w14:prstDash w14:val="solid"/>
                <w14:bevel/>
              </w14:textOutline>
            </w:rPr>
            <w:fldChar w:fldCharType="end"/>
          </w:r>
        </w:p>
        <w:p w14:paraId="20643696">
          <w:pPr>
            <w:tabs>
              <w:tab w:val="right" w:leader="dot" w:pos="9060"/>
            </w:tabs>
            <w:spacing w:before="162" w:line="184" w:lineRule="auto"/>
            <w:ind w:left="563"/>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spacing w:val="-2"/>
              <w:sz w:val="24"/>
              <w:szCs w:val="24"/>
            </w:rPr>
            <w:t>2.1. 编制依据</w:t>
          </w:r>
          <w:r>
            <w:rPr>
              <w:rFonts w:ascii="宋体" w:hAnsi="宋体" w:eastAsia="宋体" w:cs="宋体"/>
              <w:sz w:val="24"/>
              <w:szCs w:val="24"/>
            </w:rPr>
            <w:tab/>
          </w:r>
          <w:r>
            <w:rPr>
              <w:rFonts w:ascii="宋体" w:hAnsi="宋体" w:eastAsia="宋体" w:cs="宋体"/>
              <w:spacing w:val="28"/>
              <w:w w:val="119"/>
              <w:sz w:val="24"/>
              <w:szCs w:val="24"/>
            </w:rPr>
            <w:t>5</w:t>
          </w:r>
          <w:r>
            <w:rPr>
              <w:rFonts w:ascii="宋体" w:hAnsi="宋体" w:eastAsia="宋体" w:cs="宋体"/>
              <w:spacing w:val="28"/>
              <w:w w:val="119"/>
              <w:sz w:val="24"/>
              <w:szCs w:val="24"/>
            </w:rPr>
            <w:fldChar w:fldCharType="end"/>
          </w:r>
        </w:p>
        <w:p w14:paraId="1C51BE11">
          <w:pPr>
            <w:tabs>
              <w:tab w:val="right" w:leader="dot" w:pos="9060"/>
            </w:tabs>
            <w:spacing w:before="159" w:line="184" w:lineRule="auto"/>
            <w:ind w:left="563"/>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1"/>
              <w:sz w:val="24"/>
              <w:szCs w:val="24"/>
            </w:rPr>
            <w:t>2.2. 评价目的、原则及重点</w:t>
          </w:r>
          <w:r>
            <w:rPr>
              <w:rFonts w:ascii="宋体" w:hAnsi="宋体" w:eastAsia="宋体" w:cs="宋体"/>
              <w:sz w:val="24"/>
              <w:szCs w:val="24"/>
            </w:rPr>
            <w:tab/>
          </w:r>
          <w:r>
            <w:rPr>
              <w:rFonts w:ascii="宋体" w:hAnsi="宋体" w:eastAsia="宋体" w:cs="宋体"/>
              <w:spacing w:val="21"/>
              <w:w w:val="125"/>
              <w:sz w:val="24"/>
              <w:szCs w:val="24"/>
            </w:rPr>
            <w:t>8</w:t>
          </w:r>
          <w:r>
            <w:rPr>
              <w:rFonts w:ascii="宋体" w:hAnsi="宋体" w:eastAsia="宋体" w:cs="宋体"/>
              <w:spacing w:val="21"/>
              <w:w w:val="125"/>
              <w:sz w:val="24"/>
              <w:szCs w:val="24"/>
            </w:rPr>
            <w:fldChar w:fldCharType="end"/>
          </w:r>
        </w:p>
        <w:p w14:paraId="24B2D3F8">
          <w:pPr>
            <w:tabs>
              <w:tab w:val="right" w:leader="dot" w:pos="9060"/>
            </w:tabs>
            <w:spacing w:before="162" w:line="184" w:lineRule="auto"/>
            <w:ind w:left="563"/>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spacing w:val="-1"/>
              <w:sz w:val="24"/>
              <w:szCs w:val="24"/>
            </w:rPr>
            <w:t>2.3. 评价因子及评价标准</w:t>
          </w:r>
          <w:r>
            <w:rPr>
              <w:rFonts w:ascii="宋体" w:hAnsi="宋体" w:eastAsia="宋体" w:cs="宋体"/>
              <w:sz w:val="24"/>
              <w:szCs w:val="24"/>
            </w:rPr>
            <w:tab/>
          </w:r>
          <w:r>
            <w:rPr>
              <w:rFonts w:ascii="宋体" w:hAnsi="宋体" w:eastAsia="宋体" w:cs="宋体"/>
              <w:spacing w:val="21"/>
              <w:w w:val="125"/>
              <w:sz w:val="24"/>
              <w:szCs w:val="24"/>
            </w:rPr>
            <w:t>9</w:t>
          </w:r>
          <w:r>
            <w:rPr>
              <w:rFonts w:ascii="宋体" w:hAnsi="宋体" w:eastAsia="宋体" w:cs="宋体"/>
              <w:spacing w:val="21"/>
              <w:w w:val="125"/>
              <w:sz w:val="24"/>
              <w:szCs w:val="24"/>
            </w:rPr>
            <w:fldChar w:fldCharType="end"/>
          </w:r>
        </w:p>
        <w:p w14:paraId="1F419976">
          <w:pPr>
            <w:tabs>
              <w:tab w:val="right" w:leader="dot" w:pos="9060"/>
            </w:tabs>
            <w:spacing w:before="161" w:line="184" w:lineRule="auto"/>
            <w:ind w:left="563"/>
            <w:rPr>
              <w:rFonts w:hint="eastAsia" w:ascii="宋体" w:hAnsi="宋体" w:eastAsia="宋体" w:cs="宋体"/>
              <w:sz w:val="24"/>
              <w:szCs w:val="24"/>
              <w:lang w:val="en-US" w:eastAsia="zh-CN"/>
            </w:rPr>
          </w:pPr>
          <w:r>
            <w:fldChar w:fldCharType="begin"/>
          </w:r>
          <w:r>
            <w:instrText xml:space="preserve"> HYPERLINK \l "bookmark11" </w:instrText>
          </w:r>
          <w:r>
            <w:fldChar w:fldCharType="separate"/>
          </w:r>
          <w:r>
            <w:rPr>
              <w:rFonts w:ascii="宋体" w:hAnsi="宋体" w:eastAsia="宋体" w:cs="宋体"/>
              <w:spacing w:val="-2"/>
              <w:sz w:val="24"/>
              <w:szCs w:val="24"/>
            </w:rPr>
            <w:t>2.4. 环境功能区划</w:t>
          </w:r>
          <w:r>
            <w:rPr>
              <w:rFonts w:ascii="宋体" w:hAnsi="宋体" w:eastAsia="宋体" w:cs="宋体"/>
              <w:sz w:val="24"/>
              <w:szCs w:val="24"/>
            </w:rPr>
            <w:tab/>
          </w:r>
          <w:r>
            <w:rPr>
              <w:rFonts w:hint="eastAsia" w:ascii="宋体" w:hAnsi="宋体" w:eastAsia="宋体" w:cs="宋体"/>
              <w:spacing w:val="25"/>
              <w:sz w:val="24"/>
              <w:szCs w:val="24"/>
              <w:lang w:val="en-US" w:eastAsia="zh-CN"/>
            </w:rPr>
            <w:t>1</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3</w:t>
          </w:r>
        </w:p>
        <w:p w14:paraId="6F8346A3">
          <w:pPr>
            <w:tabs>
              <w:tab w:val="right" w:leader="dot" w:pos="9060"/>
            </w:tabs>
            <w:spacing w:before="160" w:line="184" w:lineRule="auto"/>
            <w:ind w:left="563"/>
            <w:rPr>
              <w:rFonts w:hint="eastAsia" w:ascii="宋体" w:hAnsi="宋体" w:eastAsia="宋体" w:cs="宋体"/>
              <w:sz w:val="24"/>
              <w:szCs w:val="24"/>
              <w:lang w:val="en-US" w:eastAsia="zh-CN"/>
            </w:rPr>
          </w:pPr>
          <w:r>
            <w:fldChar w:fldCharType="begin"/>
          </w:r>
          <w:r>
            <w:instrText xml:space="preserve"> HYPERLINK \l "bookmark12" </w:instrText>
          </w:r>
          <w:r>
            <w:fldChar w:fldCharType="separate"/>
          </w:r>
          <w:r>
            <w:rPr>
              <w:rFonts w:ascii="宋体" w:hAnsi="宋体" w:eastAsia="宋体" w:cs="宋体"/>
              <w:spacing w:val="-2"/>
              <w:sz w:val="24"/>
              <w:szCs w:val="24"/>
            </w:rPr>
            <w:t>2.5. 评价工作等级</w:t>
          </w:r>
          <w:r>
            <w:rPr>
              <w:rFonts w:ascii="宋体" w:hAnsi="宋体" w:eastAsia="宋体" w:cs="宋体"/>
              <w:sz w:val="24"/>
              <w:szCs w:val="24"/>
            </w:rPr>
            <w:tab/>
          </w:r>
          <w:r>
            <w:rPr>
              <w:rFonts w:hint="eastAsia" w:ascii="宋体" w:hAnsi="宋体" w:eastAsia="宋体" w:cs="宋体"/>
              <w:spacing w:val="25"/>
              <w:sz w:val="24"/>
              <w:szCs w:val="24"/>
              <w:lang w:val="en-US" w:eastAsia="zh-CN"/>
            </w:rPr>
            <w:t>1</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4</w:t>
          </w:r>
        </w:p>
        <w:p w14:paraId="441E93E0">
          <w:pPr>
            <w:tabs>
              <w:tab w:val="right" w:leader="dot" w:pos="9060"/>
            </w:tabs>
            <w:spacing w:before="161" w:line="184" w:lineRule="auto"/>
            <w:ind w:left="563"/>
            <w:rPr>
              <w:rFonts w:hint="eastAsia" w:ascii="宋体" w:hAnsi="宋体" w:eastAsia="宋体" w:cs="宋体"/>
              <w:sz w:val="24"/>
              <w:szCs w:val="24"/>
              <w:lang w:val="en-US" w:eastAsia="zh-CN"/>
            </w:rPr>
          </w:pPr>
          <w:r>
            <w:fldChar w:fldCharType="begin"/>
          </w:r>
          <w:r>
            <w:instrText xml:space="preserve"> HYPERLINK \l "bookmark13" </w:instrText>
          </w:r>
          <w:r>
            <w:fldChar w:fldCharType="separate"/>
          </w:r>
          <w:r>
            <w:rPr>
              <w:rFonts w:ascii="宋体" w:hAnsi="宋体" w:eastAsia="宋体" w:cs="宋体"/>
              <w:spacing w:val="-2"/>
              <w:sz w:val="24"/>
              <w:szCs w:val="24"/>
            </w:rPr>
            <w:t>2.6. 评价范围</w:t>
          </w:r>
          <w:r>
            <w:rPr>
              <w:rFonts w:ascii="宋体" w:hAnsi="宋体" w:eastAsia="宋体" w:cs="宋体"/>
              <w:sz w:val="24"/>
              <w:szCs w:val="24"/>
            </w:rPr>
            <w:tab/>
          </w:r>
          <w:r>
            <w:rPr>
              <w:rFonts w:hint="eastAsia" w:ascii="宋体" w:hAnsi="宋体" w:eastAsia="宋体" w:cs="宋体"/>
              <w:spacing w:val="25"/>
              <w:sz w:val="24"/>
              <w:szCs w:val="24"/>
              <w:lang w:val="en-US" w:eastAsia="zh-CN"/>
            </w:rPr>
            <w:t>1</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5</w:t>
          </w:r>
        </w:p>
        <w:p w14:paraId="3100394C">
          <w:pPr>
            <w:tabs>
              <w:tab w:val="right" w:leader="dot" w:pos="9060"/>
            </w:tabs>
            <w:spacing w:before="162" w:line="184" w:lineRule="auto"/>
            <w:ind w:left="563"/>
            <w:rPr>
              <w:rFonts w:hint="eastAsia" w:ascii="宋体" w:hAnsi="宋体" w:eastAsia="宋体" w:cs="宋体"/>
              <w:sz w:val="24"/>
              <w:szCs w:val="24"/>
              <w:lang w:val="en-US" w:eastAsia="zh-CN"/>
            </w:rPr>
          </w:pPr>
          <w:r>
            <w:fldChar w:fldCharType="begin"/>
          </w:r>
          <w:r>
            <w:instrText xml:space="preserve"> HYPERLINK \l "bookmark14" </w:instrText>
          </w:r>
          <w:r>
            <w:fldChar w:fldCharType="separate"/>
          </w:r>
          <w:r>
            <w:rPr>
              <w:rFonts w:ascii="宋体" w:hAnsi="宋体" w:eastAsia="宋体" w:cs="宋体"/>
              <w:spacing w:val="-1"/>
              <w:sz w:val="24"/>
              <w:szCs w:val="24"/>
            </w:rPr>
            <w:t>2.7. 污染控制与环境保护目标</w:t>
          </w:r>
          <w:r>
            <w:rPr>
              <w:rFonts w:ascii="宋体" w:hAnsi="宋体" w:eastAsia="宋体" w:cs="宋体"/>
              <w:sz w:val="24"/>
              <w:szCs w:val="24"/>
            </w:rPr>
            <w:tab/>
          </w:r>
          <w:r>
            <w:rPr>
              <w:rFonts w:hint="eastAsia" w:ascii="宋体" w:hAnsi="宋体" w:eastAsia="宋体" w:cs="宋体"/>
              <w:spacing w:val="25"/>
              <w:sz w:val="24"/>
              <w:szCs w:val="24"/>
              <w:lang w:val="en-US" w:eastAsia="zh-CN"/>
            </w:rPr>
            <w:t>1</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6</w:t>
          </w:r>
        </w:p>
        <w:p w14:paraId="47427910">
          <w:pPr>
            <w:tabs>
              <w:tab w:val="right" w:leader="dot" w:pos="9060"/>
            </w:tabs>
            <w:spacing w:before="159" w:line="184" w:lineRule="auto"/>
            <w:ind w:left="5"/>
            <w:rPr>
              <w:rFonts w:hint="eastAsia" w:ascii="宋体" w:hAnsi="宋体" w:eastAsia="宋体" w:cs="宋体"/>
              <w:sz w:val="24"/>
              <w:szCs w:val="24"/>
              <w:lang w:val="en-US" w:eastAsia="zh-CN"/>
            </w:rPr>
          </w:pPr>
          <w:r>
            <w:fldChar w:fldCharType="begin"/>
          </w:r>
          <w:r>
            <w:instrText xml:space="preserve"> HYPERLINK \l "bookmark15"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3.</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建设项目概况与</w:t>
          </w: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工程</w:t>
          </w:r>
          <w:r>
            <w:rPr>
              <w:rFonts w:ascii="宋体" w:hAnsi="宋体" w:eastAsia="宋体" w:cs="宋体"/>
              <w:spacing w:val="-1"/>
              <w:sz w:val="24"/>
              <w:szCs w:val="24"/>
              <w14:textOutline w14:w="4358" w14:cap="sq" w14:cmpd="sng">
                <w14:solidFill>
                  <w14:srgbClr w14:val="000000"/>
                </w14:solidFill>
                <w14:prstDash w14:val="solid"/>
                <w14:bevel/>
              </w14:textOutline>
            </w:rPr>
            <w:t>分析</w:t>
          </w:r>
          <w:r>
            <w:rPr>
              <w:rFonts w:ascii="宋体" w:hAnsi="宋体" w:eastAsia="宋体" w:cs="宋体"/>
              <w:sz w:val="24"/>
              <w:szCs w:val="24"/>
            </w:rPr>
            <w:tab/>
          </w:r>
          <w:r>
            <w:rPr>
              <w:rFonts w:hint="eastAsia" w:ascii="宋体" w:hAnsi="宋体" w:eastAsia="宋体" w:cs="宋体"/>
              <w:spacing w:val="30"/>
              <w:sz w:val="24"/>
              <w:szCs w:val="24"/>
              <w:lang w:val="en-US" w:eastAsia="zh-CN"/>
              <w14:textOutline w14:w="4358" w14:cap="sq" w14:cmpd="sng">
                <w14:solidFill>
                  <w14:srgbClr w14:val="000000"/>
                </w14:solidFill>
                <w14:prstDash w14:val="solid"/>
                <w14:bevel/>
              </w14:textOutline>
            </w:rPr>
            <w:t>1</w:t>
          </w:r>
          <w:r>
            <w:rPr>
              <w:rFonts w:ascii="宋体" w:hAnsi="宋体" w:eastAsia="宋体" w:cs="宋体"/>
              <w:spacing w:val="30"/>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30"/>
              <w:sz w:val="24"/>
              <w:szCs w:val="24"/>
              <w:lang w:val="en-US" w:eastAsia="zh-CN"/>
              <w14:textOutline w14:w="4358" w14:cap="sq" w14:cmpd="sng">
                <w14:solidFill>
                  <w14:srgbClr w14:val="000000"/>
                </w14:solidFill>
                <w14:prstDash w14:val="solid"/>
                <w14:bevel/>
              </w14:textOutline>
            </w:rPr>
            <w:t>8</w:t>
          </w:r>
        </w:p>
        <w:p w14:paraId="75FA690B">
          <w:pPr>
            <w:tabs>
              <w:tab w:val="right" w:leader="dot" w:pos="9060"/>
            </w:tabs>
            <w:spacing w:before="162" w:line="184" w:lineRule="auto"/>
            <w:ind w:left="564"/>
            <w:rPr>
              <w:rFonts w:hint="eastAsia" w:ascii="宋体" w:hAnsi="宋体" w:eastAsia="宋体" w:cs="宋体"/>
              <w:sz w:val="24"/>
              <w:szCs w:val="24"/>
              <w:lang w:val="en-US" w:eastAsia="zh-CN"/>
            </w:rPr>
          </w:pPr>
          <w:r>
            <w:fldChar w:fldCharType="begin"/>
          </w:r>
          <w:r>
            <w:instrText xml:space="preserve"> HYPERLINK \l "bookmark16" </w:instrText>
          </w:r>
          <w:r>
            <w:fldChar w:fldCharType="separate"/>
          </w:r>
          <w:r>
            <w:rPr>
              <w:rFonts w:ascii="宋体" w:hAnsi="宋体" w:eastAsia="宋体" w:cs="宋体"/>
              <w:spacing w:val="-2"/>
              <w:sz w:val="24"/>
              <w:szCs w:val="24"/>
            </w:rPr>
            <w:t>3.1. 原有工程回顾性分析</w:t>
          </w:r>
          <w:r>
            <w:rPr>
              <w:rFonts w:ascii="宋体" w:hAnsi="宋体" w:eastAsia="宋体" w:cs="宋体"/>
              <w:sz w:val="24"/>
              <w:szCs w:val="24"/>
            </w:rPr>
            <w:tab/>
          </w:r>
          <w:r>
            <w:rPr>
              <w:rFonts w:hint="eastAsia" w:ascii="宋体" w:hAnsi="宋体" w:eastAsia="宋体" w:cs="宋体"/>
              <w:spacing w:val="25"/>
              <w:sz w:val="24"/>
              <w:szCs w:val="24"/>
              <w:lang w:val="en-US" w:eastAsia="zh-CN"/>
            </w:rPr>
            <w:t>1</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8</w:t>
          </w:r>
        </w:p>
        <w:p w14:paraId="6342ED5F">
          <w:pPr>
            <w:tabs>
              <w:tab w:val="right" w:leader="dot" w:pos="9060"/>
            </w:tabs>
            <w:spacing w:before="161" w:line="184" w:lineRule="auto"/>
            <w:ind w:left="564"/>
            <w:rPr>
              <w:rFonts w:hint="eastAsia" w:ascii="宋体" w:hAnsi="宋体" w:eastAsia="宋体" w:cs="宋体"/>
              <w:sz w:val="24"/>
              <w:szCs w:val="24"/>
              <w:lang w:val="en-US" w:eastAsia="zh-CN"/>
            </w:rPr>
          </w:pPr>
          <w:r>
            <w:fldChar w:fldCharType="begin"/>
          </w:r>
          <w:r>
            <w:instrText xml:space="preserve"> HYPERLINK \l "bookmark17" </w:instrText>
          </w:r>
          <w:r>
            <w:fldChar w:fldCharType="separate"/>
          </w:r>
          <w:r>
            <w:rPr>
              <w:rFonts w:ascii="宋体" w:hAnsi="宋体" w:eastAsia="宋体" w:cs="宋体"/>
              <w:spacing w:val="-1"/>
              <w:sz w:val="24"/>
              <w:szCs w:val="24"/>
            </w:rPr>
            <w:t xml:space="preserve">3.2. </w:t>
          </w:r>
          <w:r>
            <w:rPr>
              <w:rFonts w:hint="eastAsia" w:ascii="宋体" w:hAnsi="宋体" w:eastAsia="宋体" w:cs="宋体"/>
              <w:spacing w:val="-1"/>
              <w:sz w:val="24"/>
              <w:szCs w:val="24"/>
              <w:lang w:val="en-US" w:eastAsia="zh-CN"/>
            </w:rPr>
            <w:t>本项目</w:t>
          </w:r>
          <w:r>
            <w:rPr>
              <w:rFonts w:ascii="宋体" w:hAnsi="宋体" w:eastAsia="宋体" w:cs="宋体"/>
              <w:spacing w:val="-1"/>
              <w:sz w:val="24"/>
              <w:szCs w:val="24"/>
            </w:rPr>
            <w:t>概况及工程分析</w:t>
          </w:r>
          <w:r>
            <w:rPr>
              <w:rFonts w:ascii="宋体" w:hAnsi="宋体" w:eastAsia="宋体" w:cs="宋体"/>
              <w:sz w:val="24"/>
              <w:szCs w:val="24"/>
            </w:rPr>
            <w:tab/>
          </w:r>
          <w:r>
            <w:rPr>
              <w:rFonts w:hint="eastAsia" w:ascii="宋体" w:hAnsi="宋体" w:eastAsia="宋体" w:cs="宋体"/>
              <w:spacing w:val="25"/>
              <w:sz w:val="24"/>
              <w:szCs w:val="24"/>
              <w:lang w:val="en-US" w:eastAsia="zh-CN"/>
            </w:rPr>
            <w:t>2</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3</w:t>
          </w:r>
        </w:p>
        <w:p w14:paraId="692C2FE8">
          <w:pPr>
            <w:tabs>
              <w:tab w:val="right" w:leader="dot" w:pos="9060"/>
            </w:tabs>
            <w:spacing w:before="159" w:line="184" w:lineRule="auto"/>
            <w:ind w:left="564"/>
            <w:rPr>
              <w:rFonts w:hint="eastAsia" w:ascii="宋体" w:hAnsi="宋体" w:eastAsia="宋体" w:cs="宋体"/>
              <w:sz w:val="24"/>
              <w:szCs w:val="24"/>
              <w:lang w:val="en-US" w:eastAsia="zh-CN"/>
            </w:rPr>
          </w:pPr>
          <w:r>
            <w:fldChar w:fldCharType="begin"/>
          </w:r>
          <w:r>
            <w:instrText xml:space="preserve"> HYPERLINK \l "bookmark18" </w:instrText>
          </w:r>
          <w:r>
            <w:fldChar w:fldCharType="separate"/>
          </w:r>
          <w:r>
            <w:rPr>
              <w:rFonts w:ascii="宋体" w:hAnsi="宋体" w:eastAsia="宋体" w:cs="宋体"/>
              <w:spacing w:val="-1"/>
              <w:sz w:val="24"/>
              <w:szCs w:val="24"/>
            </w:rPr>
            <w:t>3.3. 工程与产业政策、规划相符性</w:t>
          </w:r>
          <w:r>
            <w:rPr>
              <w:rFonts w:ascii="宋体" w:hAnsi="宋体" w:eastAsia="宋体" w:cs="宋体"/>
              <w:sz w:val="24"/>
              <w:szCs w:val="24"/>
            </w:rPr>
            <w:tab/>
          </w:r>
          <w:r>
            <w:rPr>
              <w:rFonts w:hint="eastAsia" w:ascii="宋体" w:hAnsi="宋体" w:eastAsia="宋体" w:cs="宋体"/>
              <w:spacing w:val="25"/>
              <w:sz w:val="24"/>
              <w:szCs w:val="24"/>
              <w:lang w:val="en-US" w:eastAsia="zh-CN"/>
            </w:rPr>
            <w:t>4</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2</w:t>
          </w:r>
        </w:p>
        <w:p w14:paraId="6722EF21">
          <w:pPr>
            <w:tabs>
              <w:tab w:val="right" w:leader="dot" w:pos="9060"/>
            </w:tabs>
            <w:spacing w:before="162" w:line="184" w:lineRule="auto"/>
            <w:rPr>
              <w:rFonts w:hint="eastAsia" w:ascii="宋体" w:hAnsi="宋体" w:eastAsia="宋体" w:cs="宋体"/>
              <w:sz w:val="24"/>
              <w:szCs w:val="24"/>
              <w:lang w:val="en-US" w:eastAsia="zh-CN"/>
            </w:rPr>
          </w:pPr>
          <w:r>
            <w:fldChar w:fldCharType="begin"/>
          </w:r>
          <w:r>
            <w:instrText xml:space="preserve"> HYPERLINK \l "bookmark19" </w:instrText>
          </w:r>
          <w:r>
            <w:fldChar w:fldCharType="separate"/>
          </w:r>
          <w:r>
            <w:rPr>
              <w:rFonts w:ascii="宋体" w:hAnsi="宋体" w:eastAsia="宋体" w:cs="宋体"/>
              <w:sz w:val="24"/>
              <w:szCs w:val="24"/>
              <w14:textOutline w14:w="4358" w14:cap="sq" w14:cmpd="sng">
                <w14:solidFill>
                  <w14:srgbClr w14:val="000000"/>
                </w14:solidFill>
                <w14:prstDash w14:val="solid"/>
                <w14:bevel/>
              </w14:textOutline>
            </w:rPr>
            <w:t>4.</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环境现状调查与评价</w:t>
          </w:r>
          <w:r>
            <w:rPr>
              <w:rFonts w:ascii="宋体" w:hAnsi="宋体" w:eastAsia="宋体" w:cs="宋体"/>
              <w:sz w:val="24"/>
              <w:szCs w:val="24"/>
            </w:rPr>
            <w:tab/>
          </w:r>
          <w:r>
            <w:rPr>
              <w:rFonts w:hint="eastAsia" w:ascii="宋体" w:hAnsi="宋体" w:eastAsia="宋体" w:cs="宋体"/>
              <w:spacing w:val="25"/>
              <w:w w:val="104"/>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25"/>
              <w:w w:val="104"/>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25"/>
              <w:w w:val="104"/>
              <w:sz w:val="24"/>
              <w:szCs w:val="24"/>
              <w:lang w:val="en-US" w:eastAsia="zh-CN"/>
              <w14:textOutline w14:w="4358" w14:cap="sq" w14:cmpd="sng">
                <w14:solidFill>
                  <w14:srgbClr w14:val="000000"/>
                </w14:solidFill>
                <w14:prstDash w14:val="solid"/>
                <w14:bevel/>
              </w14:textOutline>
            </w:rPr>
            <w:t>8</w:t>
          </w:r>
        </w:p>
        <w:p w14:paraId="495A4EA4">
          <w:pPr>
            <w:tabs>
              <w:tab w:val="right" w:leader="dot" w:pos="9060"/>
            </w:tabs>
            <w:spacing w:before="162" w:line="184" w:lineRule="auto"/>
            <w:ind w:left="559"/>
            <w:rPr>
              <w:rFonts w:hint="eastAsia" w:ascii="宋体" w:hAnsi="宋体" w:eastAsia="宋体" w:cs="宋体"/>
              <w:sz w:val="24"/>
              <w:szCs w:val="24"/>
              <w:lang w:val="en-US" w:eastAsia="zh-CN"/>
            </w:rPr>
          </w:pPr>
          <w:r>
            <w:fldChar w:fldCharType="begin"/>
          </w:r>
          <w:r>
            <w:instrText xml:space="preserve"> HYPERLINK \l "bookmark20" </w:instrText>
          </w:r>
          <w:r>
            <w:fldChar w:fldCharType="separate"/>
          </w:r>
          <w:r>
            <w:rPr>
              <w:rFonts w:ascii="宋体" w:hAnsi="宋体" w:eastAsia="宋体" w:cs="宋体"/>
              <w:spacing w:val="-6"/>
              <w:sz w:val="24"/>
              <w:szCs w:val="24"/>
            </w:rPr>
            <w:t>4.1.</w:t>
          </w:r>
          <w:r>
            <w:rPr>
              <w:rFonts w:ascii="宋体" w:hAnsi="宋体" w:eastAsia="宋体" w:cs="宋体"/>
              <w:spacing w:val="50"/>
              <w:sz w:val="24"/>
              <w:szCs w:val="24"/>
            </w:rPr>
            <w:t xml:space="preserve"> </w:t>
          </w:r>
          <w:r>
            <w:rPr>
              <w:rFonts w:ascii="宋体" w:hAnsi="宋体" w:eastAsia="宋体" w:cs="宋体"/>
              <w:spacing w:val="-6"/>
              <w:sz w:val="24"/>
              <w:szCs w:val="24"/>
            </w:rPr>
            <w:t>自然环境概况</w:t>
          </w:r>
          <w:r>
            <w:rPr>
              <w:rFonts w:ascii="宋体" w:hAnsi="宋体" w:eastAsia="宋体" w:cs="宋体"/>
              <w:sz w:val="24"/>
              <w:szCs w:val="24"/>
            </w:rPr>
            <w:tab/>
          </w:r>
          <w:r>
            <w:rPr>
              <w:rFonts w:hint="eastAsia" w:ascii="宋体" w:hAnsi="宋体" w:eastAsia="宋体" w:cs="宋体"/>
              <w:spacing w:val="25"/>
              <w:sz w:val="24"/>
              <w:szCs w:val="24"/>
              <w:lang w:val="en-US" w:eastAsia="zh-CN"/>
            </w:rPr>
            <w:t>5</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8</w:t>
          </w:r>
        </w:p>
        <w:p w14:paraId="4DE4915F">
          <w:pPr>
            <w:tabs>
              <w:tab w:val="right" w:leader="dot" w:pos="9060"/>
            </w:tabs>
            <w:spacing w:before="159" w:line="184" w:lineRule="auto"/>
            <w:ind w:left="559"/>
            <w:rPr>
              <w:rFonts w:hint="eastAsia" w:ascii="宋体" w:hAnsi="宋体" w:eastAsia="宋体" w:cs="宋体"/>
              <w:sz w:val="24"/>
              <w:szCs w:val="24"/>
              <w:lang w:val="en-US" w:eastAsia="zh-CN"/>
            </w:rPr>
          </w:pPr>
          <w:r>
            <w:fldChar w:fldCharType="begin"/>
          </w:r>
          <w:r>
            <w:instrText xml:space="preserve"> HYPERLINK \l "bookmark21" </w:instrText>
          </w:r>
          <w:r>
            <w:fldChar w:fldCharType="separate"/>
          </w:r>
          <w:r>
            <w:rPr>
              <w:rFonts w:ascii="宋体" w:hAnsi="宋体" w:eastAsia="宋体" w:cs="宋体"/>
              <w:spacing w:val="-1"/>
              <w:sz w:val="24"/>
              <w:szCs w:val="24"/>
            </w:rPr>
            <w:t>4.2. 环境空气质量现状</w:t>
          </w:r>
          <w:r>
            <w:rPr>
              <w:rFonts w:ascii="宋体" w:hAnsi="宋体" w:eastAsia="宋体" w:cs="宋体"/>
              <w:sz w:val="24"/>
              <w:szCs w:val="24"/>
            </w:rPr>
            <w:tab/>
          </w:r>
          <w:r>
            <w:rPr>
              <w:rFonts w:hint="eastAsia" w:ascii="宋体" w:hAnsi="宋体" w:eastAsia="宋体" w:cs="宋体"/>
              <w:spacing w:val="25"/>
              <w:sz w:val="24"/>
              <w:szCs w:val="24"/>
              <w:lang w:val="en-US" w:eastAsia="zh-CN"/>
            </w:rPr>
            <w:t>6</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0</w:t>
          </w:r>
        </w:p>
        <w:p w14:paraId="7D6E7C12">
          <w:pPr>
            <w:tabs>
              <w:tab w:val="right" w:leader="dot" w:pos="9060"/>
            </w:tabs>
            <w:spacing w:before="161" w:line="184" w:lineRule="auto"/>
            <w:ind w:left="559"/>
            <w:rPr>
              <w:rFonts w:hint="eastAsia" w:ascii="宋体" w:hAnsi="宋体" w:eastAsia="宋体" w:cs="宋体"/>
              <w:sz w:val="24"/>
              <w:szCs w:val="24"/>
              <w:lang w:val="en-US" w:eastAsia="zh-CN"/>
            </w:rPr>
          </w:pPr>
          <w:r>
            <w:fldChar w:fldCharType="begin"/>
          </w:r>
          <w:r>
            <w:instrText xml:space="preserve"> HYPERLINK \l "bookmark22" </w:instrText>
          </w:r>
          <w:r>
            <w:fldChar w:fldCharType="separate"/>
          </w:r>
          <w:r>
            <w:rPr>
              <w:rFonts w:ascii="宋体" w:hAnsi="宋体" w:eastAsia="宋体" w:cs="宋体"/>
              <w:spacing w:val="-1"/>
              <w:sz w:val="24"/>
              <w:szCs w:val="24"/>
            </w:rPr>
            <w:t>4.3. 地表水环境现状评价</w:t>
          </w:r>
          <w:r>
            <w:rPr>
              <w:rFonts w:ascii="宋体" w:hAnsi="宋体" w:eastAsia="宋体" w:cs="宋体"/>
              <w:sz w:val="24"/>
              <w:szCs w:val="24"/>
            </w:rPr>
            <w:tab/>
          </w:r>
          <w:r>
            <w:rPr>
              <w:rFonts w:hint="eastAsia" w:ascii="宋体" w:hAnsi="宋体" w:eastAsia="宋体" w:cs="宋体"/>
              <w:spacing w:val="25"/>
              <w:sz w:val="24"/>
              <w:szCs w:val="24"/>
              <w:lang w:val="en-US" w:eastAsia="zh-CN"/>
            </w:rPr>
            <w:t>6</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1</w:t>
          </w:r>
        </w:p>
        <w:p w14:paraId="3E01EE90">
          <w:pPr>
            <w:tabs>
              <w:tab w:val="right" w:leader="dot" w:pos="9060"/>
            </w:tabs>
            <w:spacing w:before="162" w:line="184" w:lineRule="auto"/>
            <w:ind w:left="559"/>
            <w:rPr>
              <w:rFonts w:hint="eastAsia" w:ascii="宋体" w:hAnsi="宋体" w:eastAsia="宋体" w:cs="宋体"/>
              <w:sz w:val="24"/>
              <w:szCs w:val="24"/>
              <w:lang w:val="en-US" w:eastAsia="zh-CN"/>
            </w:rPr>
          </w:pPr>
          <w:r>
            <w:fldChar w:fldCharType="begin"/>
          </w:r>
          <w:r>
            <w:instrText xml:space="preserve"> HYPERLINK \l "bookmark23" </w:instrText>
          </w:r>
          <w:r>
            <w:fldChar w:fldCharType="separate"/>
          </w:r>
          <w:r>
            <w:rPr>
              <w:rFonts w:ascii="宋体" w:hAnsi="宋体" w:eastAsia="宋体" w:cs="宋体"/>
              <w:spacing w:val="-1"/>
              <w:sz w:val="24"/>
              <w:szCs w:val="24"/>
            </w:rPr>
            <w:t>4.4. 声环境现状评价</w:t>
          </w:r>
          <w:r>
            <w:rPr>
              <w:rFonts w:ascii="宋体" w:hAnsi="宋体" w:eastAsia="宋体" w:cs="宋体"/>
              <w:sz w:val="24"/>
              <w:szCs w:val="24"/>
            </w:rPr>
            <w:tab/>
          </w:r>
          <w:r>
            <w:rPr>
              <w:rFonts w:hint="eastAsia" w:ascii="宋体" w:hAnsi="宋体" w:eastAsia="宋体" w:cs="宋体"/>
              <w:spacing w:val="25"/>
              <w:sz w:val="24"/>
              <w:szCs w:val="24"/>
              <w:lang w:val="en-US" w:eastAsia="zh-CN"/>
            </w:rPr>
            <w:t>6</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3</w:t>
          </w:r>
        </w:p>
        <w:p w14:paraId="4CB66CBE">
          <w:pPr>
            <w:tabs>
              <w:tab w:val="right" w:leader="dot" w:pos="9060"/>
            </w:tabs>
            <w:spacing w:before="159" w:line="184" w:lineRule="auto"/>
            <w:ind w:left="559"/>
            <w:rPr>
              <w:rFonts w:hint="eastAsia" w:ascii="宋体" w:hAnsi="宋体" w:eastAsia="宋体" w:cs="宋体"/>
              <w:sz w:val="24"/>
              <w:szCs w:val="24"/>
              <w:lang w:val="en-US" w:eastAsia="zh-CN"/>
            </w:rPr>
          </w:pPr>
          <w:r>
            <w:fldChar w:fldCharType="begin"/>
          </w:r>
          <w:r>
            <w:instrText xml:space="preserve"> HYPERLINK \l "bookmark24" </w:instrText>
          </w:r>
          <w:r>
            <w:fldChar w:fldCharType="separate"/>
          </w:r>
          <w:r>
            <w:rPr>
              <w:rFonts w:ascii="宋体" w:hAnsi="宋体" w:eastAsia="宋体" w:cs="宋体"/>
              <w:spacing w:val="-1"/>
              <w:sz w:val="24"/>
              <w:szCs w:val="24"/>
            </w:rPr>
            <w:t>4.5. 土壤环境现状评价</w:t>
          </w:r>
          <w:r>
            <w:rPr>
              <w:rFonts w:ascii="宋体" w:hAnsi="宋体" w:eastAsia="宋体" w:cs="宋体"/>
              <w:sz w:val="24"/>
              <w:szCs w:val="24"/>
            </w:rPr>
            <w:tab/>
          </w:r>
          <w:r>
            <w:rPr>
              <w:rFonts w:hint="eastAsia" w:ascii="宋体" w:hAnsi="宋体" w:eastAsia="宋体" w:cs="宋体"/>
              <w:spacing w:val="25"/>
              <w:sz w:val="24"/>
              <w:szCs w:val="24"/>
              <w:lang w:val="en-US" w:eastAsia="zh-CN"/>
            </w:rPr>
            <w:t>6</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4</w:t>
          </w:r>
        </w:p>
        <w:p w14:paraId="7AF26756">
          <w:pPr>
            <w:tabs>
              <w:tab w:val="right" w:leader="dot" w:pos="9060"/>
            </w:tabs>
            <w:spacing w:before="162" w:line="184" w:lineRule="auto"/>
            <w:ind w:left="559"/>
            <w:rPr>
              <w:rFonts w:hint="eastAsia" w:ascii="宋体" w:hAnsi="宋体" w:eastAsia="宋体" w:cs="宋体"/>
              <w:sz w:val="24"/>
              <w:szCs w:val="24"/>
              <w:lang w:val="en-US" w:eastAsia="zh-CN"/>
            </w:rPr>
          </w:pPr>
          <w:r>
            <w:fldChar w:fldCharType="begin"/>
          </w:r>
          <w:r>
            <w:instrText xml:space="preserve"> HYPERLINK \l "bookmark25" </w:instrText>
          </w:r>
          <w:r>
            <w:fldChar w:fldCharType="separate"/>
          </w:r>
          <w:r>
            <w:rPr>
              <w:rFonts w:ascii="宋体" w:hAnsi="宋体" w:eastAsia="宋体" w:cs="宋体"/>
              <w:spacing w:val="-1"/>
              <w:sz w:val="24"/>
              <w:szCs w:val="24"/>
            </w:rPr>
            <w:t>4.6. 生态环境现状评价</w:t>
          </w:r>
          <w:r>
            <w:rPr>
              <w:rFonts w:ascii="宋体" w:hAnsi="宋体" w:eastAsia="宋体" w:cs="宋体"/>
              <w:sz w:val="24"/>
              <w:szCs w:val="24"/>
            </w:rPr>
            <w:tab/>
          </w:r>
          <w:r>
            <w:rPr>
              <w:rFonts w:hint="eastAsia" w:ascii="宋体" w:hAnsi="宋体" w:eastAsia="宋体" w:cs="宋体"/>
              <w:spacing w:val="25"/>
              <w:sz w:val="24"/>
              <w:szCs w:val="24"/>
              <w:lang w:val="en-US" w:eastAsia="zh-CN"/>
            </w:rPr>
            <w:t>6</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4</w:t>
          </w:r>
        </w:p>
        <w:p w14:paraId="2EBE5FA2">
          <w:pPr>
            <w:tabs>
              <w:tab w:val="right" w:leader="dot" w:pos="9060"/>
            </w:tabs>
            <w:spacing w:before="161" w:line="184" w:lineRule="auto"/>
            <w:ind w:left="559"/>
            <w:rPr>
              <w:rFonts w:hint="eastAsia" w:ascii="宋体" w:hAnsi="宋体" w:eastAsia="宋体" w:cs="宋体"/>
              <w:sz w:val="24"/>
              <w:szCs w:val="24"/>
              <w:lang w:val="en-US" w:eastAsia="zh-CN"/>
            </w:rPr>
          </w:pPr>
          <w:r>
            <w:fldChar w:fldCharType="begin"/>
          </w:r>
          <w:r>
            <w:instrText xml:space="preserve"> HYPERLINK \l "bookmark26" </w:instrText>
          </w:r>
          <w:r>
            <w:fldChar w:fldCharType="separate"/>
          </w:r>
          <w:r>
            <w:rPr>
              <w:rFonts w:ascii="宋体" w:hAnsi="宋体" w:eastAsia="宋体" w:cs="宋体"/>
              <w:spacing w:val="-3"/>
              <w:sz w:val="24"/>
              <w:szCs w:val="24"/>
            </w:rPr>
            <w:t>4.7.</w:t>
          </w:r>
          <w:r>
            <w:rPr>
              <w:rFonts w:ascii="宋体" w:hAnsi="宋体" w:eastAsia="宋体" w:cs="宋体"/>
              <w:spacing w:val="27"/>
              <w:sz w:val="24"/>
              <w:szCs w:val="24"/>
            </w:rPr>
            <w:t xml:space="preserve"> </w:t>
          </w:r>
          <w:r>
            <w:rPr>
              <w:rFonts w:ascii="宋体" w:hAnsi="宋体" w:eastAsia="宋体" w:cs="宋体"/>
              <w:spacing w:val="-3"/>
              <w:sz w:val="24"/>
              <w:szCs w:val="24"/>
            </w:rPr>
            <w:t>区域沙化土地现状</w:t>
          </w:r>
          <w:r>
            <w:rPr>
              <w:rFonts w:ascii="宋体" w:hAnsi="宋体" w:eastAsia="宋体" w:cs="宋体"/>
              <w:sz w:val="24"/>
              <w:szCs w:val="24"/>
            </w:rPr>
            <w:tab/>
          </w:r>
          <w:r>
            <w:rPr>
              <w:rFonts w:hint="eastAsia" w:ascii="宋体" w:hAnsi="宋体" w:eastAsia="宋体" w:cs="宋体"/>
              <w:spacing w:val="25"/>
              <w:sz w:val="24"/>
              <w:szCs w:val="24"/>
              <w:lang w:val="en-US" w:eastAsia="zh-CN"/>
            </w:rPr>
            <w:t>6</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4</w:t>
          </w:r>
        </w:p>
        <w:p w14:paraId="3FDE5AE3">
          <w:pPr>
            <w:tabs>
              <w:tab w:val="right" w:leader="dot" w:pos="9060"/>
            </w:tabs>
            <w:spacing w:before="160" w:line="184" w:lineRule="auto"/>
            <w:ind w:left="5"/>
            <w:rPr>
              <w:rFonts w:hint="eastAsia" w:ascii="宋体" w:hAnsi="宋体" w:eastAsia="宋体" w:cs="宋体"/>
              <w:sz w:val="24"/>
              <w:szCs w:val="24"/>
              <w:lang w:val="en-US" w:eastAsia="zh-CN"/>
            </w:rPr>
          </w:pPr>
          <w:r>
            <w:fldChar w:fldCharType="begin"/>
          </w:r>
          <w:r>
            <w:instrText xml:space="preserve"> HYPERLINK \l "bookmark27"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5.</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环境影响预测与评价</w:t>
          </w:r>
          <w:r>
            <w:rPr>
              <w:rFonts w:ascii="宋体" w:hAnsi="宋体" w:eastAsia="宋体" w:cs="宋体"/>
              <w:sz w:val="24"/>
              <w:szCs w:val="24"/>
            </w:rPr>
            <w:tab/>
          </w:r>
          <w:r>
            <w:rPr>
              <w:rFonts w:hint="eastAsia" w:ascii="宋体" w:hAnsi="宋体" w:eastAsia="宋体" w:cs="宋体"/>
              <w:spacing w:val="22"/>
              <w:w w:val="106"/>
              <w:sz w:val="24"/>
              <w:szCs w:val="24"/>
              <w:lang w:val="en-US" w:eastAsia="zh-CN"/>
              <w14:textOutline w14:w="4358" w14:cap="sq" w14:cmpd="sng">
                <w14:solidFill>
                  <w14:srgbClr w14:val="000000"/>
                </w14:solidFill>
                <w14:prstDash w14:val="solid"/>
                <w14:bevel/>
              </w14:textOutline>
            </w:rPr>
            <w:t>7</w:t>
          </w:r>
          <w:r>
            <w:rPr>
              <w:rFonts w:ascii="宋体" w:hAnsi="宋体" w:eastAsia="宋体" w:cs="宋体"/>
              <w:spacing w:val="22"/>
              <w:w w:val="106"/>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22"/>
              <w:w w:val="106"/>
              <w:sz w:val="24"/>
              <w:szCs w:val="24"/>
              <w:lang w:val="en-US" w:eastAsia="zh-CN"/>
              <w14:textOutline w14:w="4358" w14:cap="sq" w14:cmpd="sng">
                <w14:solidFill>
                  <w14:srgbClr w14:val="000000"/>
                </w14:solidFill>
                <w14:prstDash w14:val="solid"/>
                <w14:bevel/>
              </w14:textOutline>
            </w:rPr>
            <w:t>3</w:t>
          </w:r>
        </w:p>
        <w:p w14:paraId="1AC5B971">
          <w:pPr>
            <w:tabs>
              <w:tab w:val="right" w:leader="dot" w:pos="9060"/>
            </w:tabs>
            <w:spacing w:before="161" w:line="184" w:lineRule="auto"/>
            <w:ind w:left="564"/>
            <w:rPr>
              <w:rFonts w:hint="eastAsia" w:ascii="宋体" w:hAnsi="宋体" w:eastAsia="宋体" w:cs="宋体"/>
              <w:sz w:val="24"/>
              <w:szCs w:val="24"/>
              <w:lang w:val="en-US" w:eastAsia="zh-CN"/>
            </w:rPr>
          </w:pPr>
          <w:r>
            <w:fldChar w:fldCharType="begin"/>
          </w:r>
          <w:r>
            <w:instrText xml:space="preserve"> HYPERLINK \l "bookmark28" </w:instrText>
          </w:r>
          <w:r>
            <w:fldChar w:fldCharType="separate"/>
          </w:r>
          <w:r>
            <w:rPr>
              <w:rFonts w:ascii="宋体" w:hAnsi="宋体" w:eastAsia="宋体" w:cs="宋体"/>
              <w:spacing w:val="-2"/>
              <w:sz w:val="24"/>
              <w:szCs w:val="24"/>
            </w:rPr>
            <w:t>5.1. 施工期环境影响分析</w:t>
          </w:r>
          <w:r>
            <w:rPr>
              <w:rFonts w:ascii="宋体" w:hAnsi="宋体" w:eastAsia="宋体" w:cs="宋体"/>
              <w:sz w:val="24"/>
              <w:szCs w:val="24"/>
            </w:rPr>
            <w:tab/>
          </w:r>
          <w:r>
            <w:rPr>
              <w:rFonts w:hint="eastAsia" w:ascii="宋体" w:hAnsi="宋体" w:eastAsia="宋体" w:cs="宋体"/>
              <w:spacing w:val="25"/>
              <w:sz w:val="24"/>
              <w:szCs w:val="24"/>
              <w:lang w:val="en-US" w:eastAsia="zh-CN"/>
            </w:rPr>
            <w:t>7</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3</w:t>
          </w:r>
        </w:p>
        <w:p w14:paraId="1F748D0B">
          <w:pPr>
            <w:tabs>
              <w:tab w:val="right" w:leader="dot" w:pos="9060"/>
            </w:tabs>
            <w:spacing w:before="162" w:line="184" w:lineRule="auto"/>
            <w:ind w:left="564"/>
            <w:rPr>
              <w:rFonts w:hint="eastAsia" w:ascii="宋体" w:hAnsi="宋体" w:eastAsia="宋体" w:cs="宋体"/>
              <w:sz w:val="24"/>
              <w:szCs w:val="24"/>
              <w:lang w:val="en-US" w:eastAsia="zh-CN"/>
            </w:rPr>
          </w:pPr>
          <w:r>
            <w:fldChar w:fldCharType="begin"/>
          </w:r>
          <w:r>
            <w:instrText xml:space="preserve"> HYPERLINK \l "bookmark29" </w:instrText>
          </w:r>
          <w:r>
            <w:fldChar w:fldCharType="separate"/>
          </w:r>
          <w:r>
            <w:rPr>
              <w:rFonts w:ascii="宋体" w:hAnsi="宋体" w:eastAsia="宋体" w:cs="宋体"/>
              <w:spacing w:val="-2"/>
              <w:sz w:val="24"/>
              <w:szCs w:val="24"/>
            </w:rPr>
            <w:t>5.2. 运营期环境影响分析</w:t>
          </w:r>
          <w:r>
            <w:rPr>
              <w:rFonts w:ascii="宋体" w:hAnsi="宋体" w:eastAsia="宋体" w:cs="宋体"/>
              <w:sz w:val="24"/>
              <w:szCs w:val="24"/>
            </w:rPr>
            <w:tab/>
          </w:r>
          <w:r>
            <w:rPr>
              <w:rFonts w:hint="eastAsia" w:ascii="宋体" w:hAnsi="宋体" w:eastAsia="宋体" w:cs="宋体"/>
              <w:spacing w:val="25"/>
              <w:sz w:val="24"/>
              <w:szCs w:val="24"/>
              <w:lang w:val="en-US" w:eastAsia="zh-CN"/>
            </w:rPr>
            <w:t>8</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1</w:t>
          </w:r>
        </w:p>
        <w:p w14:paraId="67B0C2A5">
          <w:pPr>
            <w:tabs>
              <w:tab w:val="right" w:leader="dot" w:pos="9060"/>
            </w:tabs>
            <w:spacing w:before="159" w:line="184" w:lineRule="auto"/>
            <w:ind w:left="2"/>
            <w:rPr>
              <w:rFonts w:hint="eastAsia" w:ascii="宋体" w:hAnsi="宋体" w:eastAsia="宋体" w:cs="宋体"/>
              <w:sz w:val="24"/>
              <w:szCs w:val="24"/>
              <w:lang w:val="en-US" w:eastAsia="zh-CN"/>
            </w:rPr>
          </w:pPr>
          <w:r>
            <w:fldChar w:fldCharType="begin"/>
          </w:r>
          <w:r>
            <w:instrText xml:space="preserve"> HYPERLINK \l "bookmark30" </w:instrText>
          </w:r>
          <w:r>
            <w:fldChar w:fldCharType="separate"/>
          </w:r>
          <w:r>
            <w:rPr>
              <w:rFonts w:ascii="宋体" w:hAnsi="宋体" w:eastAsia="宋体" w:cs="宋体"/>
              <w:sz w:val="24"/>
              <w:szCs w:val="24"/>
              <w14:textOutline w14:w="4358" w14:cap="sq" w14:cmpd="sng">
                <w14:solidFill>
                  <w14:srgbClr w14:val="000000"/>
                </w14:solidFill>
                <w14:prstDash w14:val="solid"/>
                <w14:bevel/>
              </w14:textOutline>
            </w:rPr>
            <w:t>6.</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环境保护措施及其技术、经济论证</w:t>
          </w:r>
          <w:r>
            <w:rPr>
              <w:rFonts w:ascii="宋体" w:hAnsi="宋体" w:eastAsia="宋体" w:cs="宋体"/>
              <w:sz w:val="24"/>
              <w:szCs w:val="24"/>
            </w:rPr>
            <w:tab/>
          </w:r>
          <w:r>
            <w:rPr>
              <w:rFonts w:hint="eastAsia" w:ascii="宋体" w:hAnsi="宋体" w:eastAsia="宋体" w:cs="宋体"/>
              <w:spacing w:val="27"/>
              <w:sz w:val="24"/>
              <w:szCs w:val="24"/>
              <w:lang w:val="en-US" w:eastAsia="zh-CN"/>
              <w14:textOutline w14:w="4358" w14:cap="sq" w14:cmpd="sng">
                <w14:solidFill>
                  <w14:srgbClr w14:val="000000"/>
                </w14:solidFill>
                <w14:prstDash w14:val="solid"/>
                <w14:bevel/>
              </w14:textOutline>
            </w:rPr>
            <w:t>8</w:t>
          </w:r>
          <w:r>
            <w:rPr>
              <w:rFonts w:ascii="宋体" w:hAnsi="宋体" w:eastAsia="宋体" w:cs="宋体"/>
              <w:spacing w:val="27"/>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27"/>
              <w:sz w:val="24"/>
              <w:szCs w:val="24"/>
              <w:lang w:val="en-US" w:eastAsia="zh-CN"/>
              <w14:textOutline w14:w="4358" w14:cap="sq" w14:cmpd="sng">
                <w14:solidFill>
                  <w14:srgbClr w14:val="000000"/>
                </w14:solidFill>
                <w14:prstDash w14:val="solid"/>
                <w14:bevel/>
              </w14:textOutline>
            </w:rPr>
            <w:t>6</w:t>
          </w:r>
        </w:p>
        <w:p w14:paraId="0C571E39">
          <w:pPr>
            <w:tabs>
              <w:tab w:val="right" w:leader="dot" w:pos="9060"/>
            </w:tabs>
            <w:spacing w:before="161" w:line="220" w:lineRule="auto"/>
            <w:ind w:left="562"/>
            <w:rPr>
              <w:rFonts w:ascii="宋体" w:hAnsi="宋体" w:eastAsia="宋体" w:cs="宋体"/>
              <w:sz w:val="24"/>
              <w:szCs w:val="24"/>
            </w:rPr>
          </w:pPr>
          <w:r>
            <w:fldChar w:fldCharType="begin"/>
          </w:r>
          <w:r>
            <w:instrText xml:space="preserve"> HYPERLINK \l "bookmark31" </w:instrText>
          </w:r>
          <w:r>
            <w:fldChar w:fldCharType="separate"/>
          </w:r>
          <w:r>
            <w:rPr>
              <w:rFonts w:ascii="宋体" w:hAnsi="宋体" w:eastAsia="宋体" w:cs="宋体"/>
              <w:spacing w:val="-1"/>
              <w:sz w:val="24"/>
              <w:szCs w:val="24"/>
            </w:rPr>
            <w:t>6.1. 施工期环境保护措施及可行性</w:t>
          </w:r>
          <w:r>
            <w:rPr>
              <w:rFonts w:ascii="宋体" w:hAnsi="宋体" w:eastAsia="宋体" w:cs="宋体"/>
              <w:sz w:val="24"/>
              <w:szCs w:val="24"/>
            </w:rPr>
            <w:tab/>
          </w:r>
          <w:r>
            <w:rPr>
              <w:rFonts w:hint="eastAsia" w:ascii="宋体" w:hAnsi="宋体" w:eastAsia="宋体" w:cs="宋体"/>
              <w:spacing w:val="25"/>
              <w:sz w:val="24"/>
              <w:szCs w:val="24"/>
              <w:lang w:val="en-US" w:eastAsia="zh-CN"/>
            </w:rPr>
            <w:t>8</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6</w:t>
          </w:r>
        </w:p>
      </w:sdtContent>
    </w:sdt>
    <w:p w14:paraId="17BB85E4">
      <w:pPr>
        <w:spacing w:line="220" w:lineRule="auto"/>
        <w:rPr>
          <w:rFonts w:ascii="宋体" w:hAnsi="宋体" w:eastAsia="宋体" w:cs="宋体"/>
          <w:sz w:val="24"/>
          <w:szCs w:val="24"/>
        </w:rPr>
        <w:sectPr>
          <w:footerReference r:id="rId5" w:type="default"/>
          <w:pgSz w:w="11906" w:h="16839"/>
          <w:pgMar w:top="1431" w:right="1417" w:bottom="1185" w:left="1426" w:header="0" w:footer="1025" w:gutter="0"/>
          <w:pgBorders>
            <w:top w:val="none" w:sz="0" w:space="0"/>
            <w:left w:val="none" w:sz="0" w:space="0"/>
            <w:bottom w:val="none" w:sz="0" w:space="0"/>
            <w:right w:val="none" w:sz="0" w:space="0"/>
          </w:pgBorders>
          <w:cols w:space="720" w:num="1"/>
        </w:sectPr>
      </w:pPr>
    </w:p>
    <w:sdt>
      <w:sdtPr>
        <w:rPr>
          <w:rFonts w:ascii="宋体" w:hAnsi="宋体" w:eastAsia="宋体" w:cs="宋体"/>
          <w:sz w:val="24"/>
          <w:szCs w:val="24"/>
        </w:rPr>
        <w:id w:val="12"/>
        <w:docPartObj>
          <w:docPartGallery w:val="Table of Contents"/>
          <w:docPartUnique/>
        </w:docPartObj>
      </w:sdtPr>
      <w:sdtEndPr>
        <w:rPr>
          <w:rFonts w:ascii="宋体" w:hAnsi="宋体" w:eastAsia="宋体" w:cs="宋体"/>
          <w:sz w:val="24"/>
          <w:szCs w:val="24"/>
        </w:rPr>
      </w:sdtEndPr>
      <w:sdtContent>
        <w:p w14:paraId="6543E76F">
          <w:pPr>
            <w:tabs>
              <w:tab w:val="right" w:leader="dot" w:pos="9059"/>
            </w:tabs>
            <w:spacing w:before="101" w:line="184" w:lineRule="auto"/>
            <w:ind w:left="560"/>
            <w:rPr>
              <w:rFonts w:hint="eastAsia" w:ascii="宋体" w:hAnsi="宋体" w:eastAsia="宋体" w:cs="宋体"/>
              <w:sz w:val="24"/>
              <w:szCs w:val="24"/>
              <w:lang w:val="en-US" w:eastAsia="zh-CN"/>
            </w:rPr>
          </w:pPr>
          <w:r>
            <w:fldChar w:fldCharType="begin"/>
          </w:r>
          <w:r>
            <w:instrText xml:space="preserve"> HYPERLINK \l "bookmark32" </w:instrText>
          </w:r>
          <w:r>
            <w:fldChar w:fldCharType="separate"/>
          </w:r>
          <w:r>
            <w:rPr>
              <w:rFonts w:ascii="宋体" w:hAnsi="宋体" w:eastAsia="宋体" w:cs="宋体"/>
              <w:spacing w:val="-1"/>
              <w:sz w:val="24"/>
              <w:szCs w:val="24"/>
            </w:rPr>
            <w:t>6.2. 运营期环境保护措施及可行性</w:t>
          </w:r>
          <w:r>
            <w:rPr>
              <w:rFonts w:ascii="宋体" w:hAnsi="宋体" w:eastAsia="宋体" w:cs="宋体"/>
              <w:sz w:val="24"/>
              <w:szCs w:val="24"/>
            </w:rPr>
            <w:tab/>
          </w:r>
          <w:r>
            <w:rPr>
              <w:rFonts w:hint="eastAsia" w:ascii="宋体" w:hAnsi="宋体" w:eastAsia="宋体" w:cs="宋体"/>
              <w:spacing w:val="25"/>
              <w:sz w:val="24"/>
              <w:szCs w:val="24"/>
              <w:lang w:val="en-US" w:eastAsia="zh-CN"/>
            </w:rPr>
            <w:t>9</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2</w:t>
          </w:r>
        </w:p>
        <w:p w14:paraId="2B7C0306">
          <w:pPr>
            <w:tabs>
              <w:tab w:val="right" w:leader="dot" w:pos="9059"/>
            </w:tabs>
            <w:spacing w:before="161" w:line="184" w:lineRule="auto"/>
            <w:ind w:left="560"/>
            <w:rPr>
              <w:rFonts w:hint="eastAsia" w:ascii="宋体" w:hAnsi="宋体" w:eastAsia="宋体" w:cs="宋体"/>
              <w:sz w:val="24"/>
              <w:szCs w:val="24"/>
              <w:lang w:val="en-US" w:eastAsia="zh-CN"/>
            </w:rPr>
          </w:pPr>
          <w:r>
            <w:fldChar w:fldCharType="begin"/>
          </w:r>
          <w:r>
            <w:instrText xml:space="preserve"> HYPERLINK \l "bookmark33" </w:instrText>
          </w:r>
          <w:r>
            <w:fldChar w:fldCharType="separate"/>
          </w:r>
          <w:r>
            <w:rPr>
              <w:rFonts w:ascii="宋体" w:hAnsi="宋体" w:eastAsia="宋体" w:cs="宋体"/>
              <w:spacing w:val="-2"/>
              <w:sz w:val="24"/>
              <w:szCs w:val="24"/>
            </w:rPr>
            <w:t>6.3. 环保投资估算</w:t>
          </w:r>
          <w:r>
            <w:rPr>
              <w:rFonts w:ascii="宋体" w:hAnsi="宋体" w:eastAsia="宋体" w:cs="宋体"/>
              <w:sz w:val="24"/>
              <w:szCs w:val="24"/>
            </w:rPr>
            <w:tab/>
          </w:r>
          <w:r>
            <w:rPr>
              <w:rFonts w:hint="eastAsia" w:ascii="宋体" w:hAnsi="宋体" w:eastAsia="宋体" w:cs="宋体"/>
              <w:spacing w:val="25"/>
              <w:sz w:val="24"/>
              <w:szCs w:val="24"/>
              <w:lang w:val="en-US" w:eastAsia="zh-CN"/>
            </w:rPr>
            <w:t>9</w:t>
          </w:r>
          <w:r>
            <w:rPr>
              <w:rFonts w:ascii="宋体" w:hAnsi="宋体" w:eastAsia="宋体" w:cs="宋体"/>
              <w:spacing w:val="25"/>
              <w:sz w:val="24"/>
              <w:szCs w:val="24"/>
            </w:rPr>
            <w:fldChar w:fldCharType="end"/>
          </w:r>
          <w:r>
            <w:rPr>
              <w:rFonts w:hint="eastAsia" w:ascii="宋体" w:hAnsi="宋体" w:eastAsia="宋体" w:cs="宋体"/>
              <w:spacing w:val="25"/>
              <w:sz w:val="24"/>
              <w:szCs w:val="24"/>
              <w:lang w:val="en-US" w:eastAsia="zh-CN"/>
            </w:rPr>
            <w:t>3</w:t>
          </w:r>
        </w:p>
        <w:p w14:paraId="6D47E7A0">
          <w:pPr>
            <w:tabs>
              <w:tab w:val="right" w:leader="dot" w:pos="9059"/>
            </w:tabs>
            <w:spacing w:before="159" w:line="184" w:lineRule="auto"/>
            <w:ind w:left="4"/>
            <w:rPr>
              <w:rFonts w:hint="eastAsia" w:ascii="宋体" w:hAnsi="宋体" w:eastAsia="宋体" w:cs="宋体"/>
              <w:sz w:val="24"/>
              <w:szCs w:val="24"/>
              <w:lang w:val="en-US" w:eastAsia="zh-CN"/>
            </w:rPr>
          </w:pPr>
          <w:r>
            <w:fldChar w:fldCharType="begin"/>
          </w:r>
          <w:r>
            <w:instrText xml:space="preserve"> HYPERLINK \l "bookmark34"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7.</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环境经济损益分析</w:t>
          </w:r>
          <w:r>
            <w:rPr>
              <w:rFonts w:ascii="宋体" w:hAnsi="宋体" w:eastAsia="宋体" w:cs="宋体"/>
              <w:sz w:val="24"/>
              <w:szCs w:val="24"/>
            </w:rPr>
            <w:tab/>
          </w:r>
          <w:r>
            <w:rPr>
              <w:rFonts w:hint="eastAsia" w:ascii="宋体" w:hAnsi="宋体" w:eastAsia="宋体" w:cs="宋体"/>
              <w:spacing w:val="20"/>
              <w:sz w:val="24"/>
              <w:szCs w:val="24"/>
              <w:lang w:val="en-US" w:eastAsia="zh-CN"/>
              <w14:textOutline w14:w="4358" w14:cap="sq" w14:cmpd="sng">
                <w14:solidFill>
                  <w14:srgbClr w14:val="000000"/>
                </w14:solidFill>
                <w14:prstDash w14:val="solid"/>
                <w14:bevel/>
              </w14:textOutline>
            </w:rPr>
            <w:t>9</w:t>
          </w:r>
          <w:r>
            <w:rPr>
              <w:rFonts w:ascii="宋体" w:hAnsi="宋体" w:eastAsia="宋体" w:cs="宋体"/>
              <w:spacing w:val="20"/>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20"/>
              <w:sz w:val="24"/>
              <w:szCs w:val="24"/>
              <w:lang w:val="en-US" w:eastAsia="zh-CN"/>
              <w14:textOutline w14:w="4358" w14:cap="sq" w14:cmpd="sng">
                <w14:solidFill>
                  <w14:srgbClr w14:val="000000"/>
                </w14:solidFill>
                <w14:prstDash w14:val="solid"/>
                <w14:bevel/>
              </w14:textOutline>
            </w:rPr>
            <w:t>5</w:t>
          </w:r>
        </w:p>
        <w:p w14:paraId="0B2287F7">
          <w:pPr>
            <w:tabs>
              <w:tab w:val="right" w:leader="dot" w:pos="9059"/>
            </w:tabs>
            <w:spacing w:before="161" w:line="184" w:lineRule="auto"/>
            <w:ind w:left="564"/>
            <w:rPr>
              <w:rFonts w:hint="eastAsia" w:ascii="宋体" w:hAnsi="宋体" w:eastAsia="宋体" w:cs="宋体"/>
              <w:sz w:val="24"/>
              <w:szCs w:val="24"/>
              <w:lang w:val="en-US" w:eastAsia="zh-CN"/>
            </w:rPr>
          </w:pPr>
          <w:r>
            <w:fldChar w:fldCharType="begin"/>
          </w:r>
          <w:r>
            <w:instrText xml:space="preserve"> HYPERLINK \l "bookmark35" </w:instrText>
          </w:r>
          <w:r>
            <w:fldChar w:fldCharType="separate"/>
          </w:r>
          <w:r>
            <w:rPr>
              <w:rFonts w:ascii="宋体" w:hAnsi="宋体" w:eastAsia="宋体" w:cs="宋体"/>
              <w:spacing w:val="-4"/>
              <w:sz w:val="24"/>
              <w:szCs w:val="24"/>
            </w:rPr>
            <w:t>7.1.</w:t>
          </w:r>
          <w:r>
            <w:rPr>
              <w:rFonts w:ascii="宋体" w:hAnsi="宋体" w:eastAsia="宋体" w:cs="宋体"/>
              <w:spacing w:val="15"/>
              <w:sz w:val="24"/>
              <w:szCs w:val="24"/>
            </w:rPr>
            <w:t xml:space="preserve"> </w:t>
          </w:r>
          <w:r>
            <w:rPr>
              <w:rFonts w:ascii="宋体" w:hAnsi="宋体" w:eastAsia="宋体" w:cs="宋体"/>
              <w:spacing w:val="-4"/>
              <w:sz w:val="24"/>
              <w:szCs w:val="24"/>
            </w:rPr>
            <w:t>效益分析</w:t>
          </w:r>
          <w:r>
            <w:rPr>
              <w:rFonts w:ascii="宋体" w:hAnsi="宋体" w:eastAsia="宋体" w:cs="宋体"/>
              <w:sz w:val="24"/>
              <w:szCs w:val="24"/>
            </w:rPr>
            <w:tab/>
          </w:r>
          <w:r>
            <w:rPr>
              <w:rFonts w:hint="eastAsia" w:ascii="宋体" w:hAnsi="宋体" w:eastAsia="宋体" w:cs="宋体"/>
              <w:spacing w:val="17"/>
              <w:sz w:val="24"/>
              <w:szCs w:val="24"/>
              <w:lang w:val="en-US" w:eastAsia="zh-CN"/>
            </w:rPr>
            <w:t>9</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5</w:t>
          </w:r>
        </w:p>
        <w:p w14:paraId="406E5DE9">
          <w:pPr>
            <w:tabs>
              <w:tab w:val="right" w:leader="dot" w:pos="9059"/>
            </w:tabs>
            <w:spacing w:before="161" w:line="184" w:lineRule="auto"/>
            <w:ind w:left="564"/>
            <w:rPr>
              <w:rFonts w:hint="eastAsia" w:ascii="宋体" w:hAnsi="宋体" w:eastAsia="宋体" w:cs="宋体"/>
              <w:sz w:val="24"/>
              <w:szCs w:val="24"/>
              <w:lang w:val="en-US" w:eastAsia="zh-CN"/>
            </w:rPr>
          </w:pPr>
          <w:r>
            <w:fldChar w:fldCharType="begin"/>
          </w:r>
          <w:r>
            <w:instrText xml:space="preserve"> HYPERLINK \l "bookmark36" </w:instrText>
          </w:r>
          <w:r>
            <w:fldChar w:fldCharType="separate"/>
          </w:r>
          <w:r>
            <w:rPr>
              <w:rFonts w:ascii="宋体" w:hAnsi="宋体" w:eastAsia="宋体" w:cs="宋体"/>
              <w:spacing w:val="-1"/>
              <w:sz w:val="24"/>
              <w:szCs w:val="24"/>
            </w:rPr>
            <w:t>7.2. 环境影响经济损益分析结论</w:t>
          </w:r>
          <w:r>
            <w:rPr>
              <w:rFonts w:ascii="宋体" w:hAnsi="宋体" w:eastAsia="宋体" w:cs="宋体"/>
              <w:sz w:val="24"/>
              <w:szCs w:val="24"/>
            </w:rPr>
            <w:tab/>
          </w:r>
          <w:r>
            <w:rPr>
              <w:rFonts w:hint="eastAsia" w:ascii="宋体" w:hAnsi="宋体" w:eastAsia="宋体" w:cs="宋体"/>
              <w:spacing w:val="17"/>
              <w:sz w:val="24"/>
              <w:szCs w:val="24"/>
              <w:lang w:val="en-US" w:eastAsia="zh-CN"/>
            </w:rPr>
            <w:t>9</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6</w:t>
          </w:r>
        </w:p>
        <w:p w14:paraId="516F1C7C">
          <w:pPr>
            <w:tabs>
              <w:tab w:val="right" w:leader="dot" w:pos="9059"/>
            </w:tabs>
            <w:spacing w:before="159" w:line="184" w:lineRule="auto"/>
            <w:rPr>
              <w:rFonts w:ascii="宋体" w:hAnsi="宋体" w:eastAsia="宋体" w:cs="宋体"/>
              <w:sz w:val="24"/>
              <w:szCs w:val="24"/>
            </w:rPr>
          </w:pPr>
          <w:r>
            <w:fldChar w:fldCharType="begin"/>
          </w:r>
          <w:r>
            <w:instrText xml:space="preserve"> HYPERLINK \l "bookmark37"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8.</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环境管理与监测计划</w:t>
          </w:r>
          <w:r>
            <w:rPr>
              <w:rFonts w:ascii="宋体" w:hAnsi="宋体" w:eastAsia="宋体" w:cs="宋体"/>
              <w:sz w:val="24"/>
              <w:szCs w:val="24"/>
            </w:rPr>
            <w:tab/>
          </w:r>
          <w:r>
            <w:rPr>
              <w:rFonts w:hint="eastAsia" w:ascii="宋体" w:hAnsi="宋体" w:eastAsia="宋体" w:cs="宋体"/>
              <w:spacing w:val="20"/>
              <w:sz w:val="24"/>
              <w:szCs w:val="24"/>
              <w:lang w:val="en-US" w:eastAsia="zh-CN"/>
              <w14:textOutline w14:w="4358" w14:cap="sq" w14:cmpd="sng">
                <w14:solidFill>
                  <w14:srgbClr w14:val="000000"/>
                </w14:solidFill>
                <w14:prstDash w14:val="solid"/>
                <w14:bevel/>
              </w14:textOutline>
            </w:rPr>
            <w:t>97</w:t>
          </w:r>
          <w:r>
            <w:rPr>
              <w:rFonts w:ascii="宋体" w:hAnsi="宋体" w:eastAsia="宋体" w:cs="宋体"/>
              <w:spacing w:val="20"/>
              <w:sz w:val="24"/>
              <w:szCs w:val="24"/>
              <w14:textOutline w14:w="4358" w14:cap="sq" w14:cmpd="sng">
                <w14:solidFill>
                  <w14:srgbClr w14:val="000000"/>
                </w14:solidFill>
                <w14:prstDash w14:val="solid"/>
                <w14:bevel/>
              </w14:textOutline>
            </w:rPr>
            <w:fldChar w:fldCharType="end"/>
          </w:r>
        </w:p>
        <w:p w14:paraId="705CFC3C">
          <w:pPr>
            <w:tabs>
              <w:tab w:val="right" w:leader="dot" w:pos="9059"/>
            </w:tabs>
            <w:spacing w:before="162" w:line="184" w:lineRule="auto"/>
            <w:ind w:left="559"/>
            <w:rPr>
              <w:rFonts w:hint="eastAsia" w:ascii="宋体" w:hAnsi="宋体" w:eastAsia="宋体" w:cs="宋体"/>
              <w:sz w:val="24"/>
              <w:szCs w:val="24"/>
              <w:lang w:val="en-US" w:eastAsia="zh-CN"/>
            </w:rPr>
          </w:pPr>
          <w:r>
            <w:fldChar w:fldCharType="begin"/>
          </w:r>
          <w:r>
            <w:instrText xml:space="preserve"> HYPERLINK \l "bookmark38" </w:instrText>
          </w:r>
          <w:r>
            <w:fldChar w:fldCharType="separate"/>
          </w:r>
          <w:r>
            <w:rPr>
              <w:rFonts w:ascii="宋体" w:hAnsi="宋体" w:eastAsia="宋体" w:cs="宋体"/>
              <w:spacing w:val="-2"/>
              <w:sz w:val="24"/>
              <w:szCs w:val="24"/>
            </w:rPr>
            <w:t>8.1. 环境管理</w:t>
          </w:r>
          <w:r>
            <w:rPr>
              <w:rFonts w:ascii="宋体" w:hAnsi="宋体" w:eastAsia="宋体" w:cs="宋体"/>
              <w:sz w:val="24"/>
              <w:szCs w:val="24"/>
            </w:rPr>
            <w:tab/>
          </w:r>
          <w:r>
            <w:rPr>
              <w:rFonts w:hint="eastAsia" w:ascii="宋体" w:hAnsi="宋体" w:eastAsia="宋体" w:cs="宋体"/>
              <w:spacing w:val="17"/>
              <w:sz w:val="24"/>
              <w:szCs w:val="24"/>
              <w:lang w:val="en-US" w:eastAsia="zh-CN"/>
            </w:rPr>
            <w:t>9</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7</w:t>
          </w:r>
        </w:p>
        <w:p w14:paraId="3F100485">
          <w:pPr>
            <w:tabs>
              <w:tab w:val="right" w:leader="dot" w:pos="9059"/>
            </w:tabs>
            <w:spacing w:before="162" w:line="184" w:lineRule="auto"/>
            <w:ind w:left="559"/>
            <w:rPr>
              <w:rFonts w:hint="eastAsia" w:ascii="宋体" w:hAnsi="宋体" w:eastAsia="宋体" w:cs="宋体"/>
              <w:sz w:val="24"/>
              <w:szCs w:val="24"/>
              <w:lang w:val="en-US" w:eastAsia="zh-CN"/>
            </w:rPr>
          </w:pPr>
          <w:r>
            <w:fldChar w:fldCharType="begin"/>
          </w:r>
          <w:r>
            <w:instrText xml:space="preserve"> HYPERLINK \l "bookmark39" </w:instrText>
          </w:r>
          <w:r>
            <w:fldChar w:fldCharType="separate"/>
          </w:r>
          <w:r>
            <w:rPr>
              <w:rFonts w:ascii="宋体" w:hAnsi="宋体" w:eastAsia="宋体" w:cs="宋体"/>
              <w:spacing w:val="-1"/>
              <w:sz w:val="24"/>
              <w:szCs w:val="24"/>
            </w:rPr>
            <w:t>8.2. 环境监测计划</w:t>
          </w:r>
          <w:r>
            <w:rPr>
              <w:rFonts w:ascii="宋体" w:hAnsi="宋体" w:eastAsia="宋体" w:cs="宋体"/>
              <w:sz w:val="24"/>
              <w:szCs w:val="24"/>
            </w:rPr>
            <w:tab/>
          </w:r>
          <w:r>
            <w:rPr>
              <w:rFonts w:hint="eastAsia" w:ascii="宋体" w:hAnsi="宋体" w:eastAsia="宋体" w:cs="宋体"/>
              <w:sz w:val="24"/>
              <w:szCs w:val="24"/>
              <w:lang w:val="en-US" w:eastAsia="zh-CN"/>
            </w:rPr>
            <w:t>1</w:t>
          </w:r>
          <w:r>
            <w:rPr>
              <w:rFonts w:hint="eastAsia" w:ascii="宋体" w:hAnsi="宋体" w:eastAsia="宋体" w:cs="宋体"/>
              <w:spacing w:val="17"/>
              <w:sz w:val="24"/>
              <w:szCs w:val="24"/>
              <w:lang w:val="en-US" w:eastAsia="zh-CN"/>
            </w:rPr>
            <w:t>0</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w:t>
          </w:r>
        </w:p>
        <w:p w14:paraId="711E55ED">
          <w:pPr>
            <w:tabs>
              <w:tab w:val="right" w:leader="dot" w:pos="9059"/>
            </w:tabs>
            <w:spacing w:before="159" w:line="184" w:lineRule="auto"/>
            <w:rPr>
              <w:rFonts w:hint="default" w:ascii="宋体" w:hAnsi="宋体" w:eastAsia="宋体" w:cs="宋体"/>
              <w:sz w:val="24"/>
              <w:szCs w:val="24"/>
              <w:lang w:val="en-US" w:eastAsia="zh-CN"/>
            </w:rPr>
          </w:pPr>
          <w:r>
            <w:fldChar w:fldCharType="begin"/>
          </w:r>
          <w:r>
            <w:instrText xml:space="preserve"> HYPERLINK \l "bookmark40" </w:instrText>
          </w:r>
          <w:r>
            <w:fldChar w:fldCharType="separate"/>
          </w:r>
          <w:r>
            <w:rPr>
              <w:rFonts w:ascii="宋体" w:hAnsi="宋体" w:eastAsia="宋体" w:cs="宋体"/>
              <w:spacing w:val="-6"/>
              <w:sz w:val="24"/>
              <w:szCs w:val="24"/>
              <w14:textOutline w14:w="4358" w14:cap="sq" w14:cmpd="sng">
                <w14:solidFill>
                  <w14:srgbClr w14:val="000000"/>
                </w14:solidFill>
                <w14:prstDash w14:val="solid"/>
                <w14:bevel/>
              </w14:textOutline>
            </w:rPr>
            <w:t>9.</w:t>
          </w:r>
          <w:r>
            <w:rPr>
              <w:rFonts w:ascii="宋体" w:hAnsi="宋体" w:eastAsia="宋体" w:cs="宋体"/>
              <w:spacing w:val="15"/>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结论</w:t>
          </w:r>
          <w:r>
            <w:rPr>
              <w:rFonts w:ascii="宋体" w:hAnsi="宋体" w:eastAsia="宋体" w:cs="宋体"/>
              <w:sz w:val="24"/>
              <w:szCs w:val="24"/>
            </w:rPr>
            <w:tab/>
          </w: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t>1</w:t>
          </w:r>
          <w:r>
            <w:rPr>
              <w:rFonts w:ascii="宋体" w:hAnsi="宋体" w:eastAsia="宋体" w:cs="宋体"/>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t>02</w:t>
          </w:r>
        </w:p>
        <w:p w14:paraId="53B1E451">
          <w:pPr>
            <w:tabs>
              <w:tab w:val="right" w:leader="dot" w:pos="9059"/>
            </w:tabs>
            <w:spacing w:before="161" w:line="184" w:lineRule="auto"/>
            <w:ind w:left="559"/>
            <w:rPr>
              <w:rFonts w:hint="default" w:ascii="宋体" w:hAnsi="宋体" w:eastAsia="宋体" w:cs="宋体"/>
              <w:sz w:val="24"/>
              <w:szCs w:val="24"/>
              <w:lang w:val="en-US" w:eastAsia="zh-CN"/>
            </w:rPr>
          </w:pPr>
          <w:r>
            <w:fldChar w:fldCharType="begin"/>
          </w:r>
          <w:r>
            <w:instrText xml:space="preserve"> HYPERLINK \l "bookmark41" </w:instrText>
          </w:r>
          <w:r>
            <w:fldChar w:fldCharType="separate"/>
          </w:r>
          <w:r>
            <w:rPr>
              <w:rFonts w:ascii="宋体" w:hAnsi="宋体" w:eastAsia="宋体" w:cs="宋体"/>
              <w:spacing w:val="-3"/>
              <w:sz w:val="24"/>
              <w:szCs w:val="24"/>
            </w:rPr>
            <w:t>9.1.</w:t>
          </w:r>
          <w:r>
            <w:rPr>
              <w:rFonts w:ascii="宋体" w:hAnsi="宋体" w:eastAsia="宋体" w:cs="宋体"/>
              <w:spacing w:val="12"/>
              <w:sz w:val="24"/>
              <w:szCs w:val="24"/>
            </w:rPr>
            <w:t xml:space="preserve"> </w:t>
          </w:r>
          <w:r>
            <w:rPr>
              <w:rFonts w:ascii="宋体" w:hAnsi="宋体" w:eastAsia="宋体" w:cs="宋体"/>
              <w:spacing w:val="-3"/>
              <w:sz w:val="24"/>
              <w:szCs w:val="24"/>
            </w:rPr>
            <w:t>工程概况</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02</w:t>
          </w:r>
        </w:p>
        <w:p w14:paraId="54C984E9">
          <w:pPr>
            <w:tabs>
              <w:tab w:val="right" w:leader="dot" w:pos="9059"/>
            </w:tabs>
            <w:spacing w:before="162" w:line="184" w:lineRule="auto"/>
            <w:ind w:left="559"/>
            <w:rPr>
              <w:rFonts w:hint="default" w:ascii="宋体" w:hAnsi="宋体" w:eastAsia="宋体" w:cs="宋体"/>
              <w:sz w:val="24"/>
              <w:szCs w:val="24"/>
              <w:lang w:val="en-US" w:eastAsia="zh-CN"/>
            </w:rPr>
          </w:pPr>
          <w:r>
            <w:fldChar w:fldCharType="begin"/>
          </w:r>
          <w:r>
            <w:instrText xml:space="preserve"> HYPERLINK \l "bookmark42" </w:instrText>
          </w:r>
          <w:r>
            <w:fldChar w:fldCharType="separate"/>
          </w:r>
          <w:r>
            <w:rPr>
              <w:rFonts w:ascii="宋体" w:hAnsi="宋体" w:eastAsia="宋体" w:cs="宋体"/>
              <w:spacing w:val="-1"/>
              <w:sz w:val="24"/>
              <w:szCs w:val="24"/>
            </w:rPr>
            <w:t>9.2. 工程与产业政策、相关规划的符合性分析</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02</w:t>
          </w:r>
        </w:p>
        <w:p w14:paraId="5D56B708">
          <w:pPr>
            <w:tabs>
              <w:tab w:val="right" w:leader="dot" w:pos="9059"/>
            </w:tabs>
            <w:spacing w:before="159" w:line="184" w:lineRule="auto"/>
            <w:ind w:left="559"/>
            <w:rPr>
              <w:rFonts w:hint="default" w:ascii="宋体" w:hAnsi="宋体" w:eastAsia="宋体" w:cs="宋体"/>
              <w:sz w:val="24"/>
              <w:szCs w:val="24"/>
              <w:lang w:val="en-US" w:eastAsia="zh-CN"/>
            </w:rPr>
          </w:pPr>
          <w:r>
            <w:fldChar w:fldCharType="begin"/>
          </w:r>
          <w:r>
            <w:instrText xml:space="preserve"> HYPERLINK \l "bookmark43" </w:instrText>
          </w:r>
          <w:r>
            <w:fldChar w:fldCharType="separate"/>
          </w:r>
          <w:r>
            <w:rPr>
              <w:rFonts w:ascii="宋体" w:hAnsi="宋体" w:eastAsia="宋体" w:cs="宋体"/>
              <w:spacing w:val="-1"/>
              <w:sz w:val="24"/>
              <w:szCs w:val="24"/>
            </w:rPr>
            <w:t>9.3. 环境质量现状</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03</w:t>
          </w:r>
        </w:p>
        <w:p w14:paraId="36008549">
          <w:pPr>
            <w:tabs>
              <w:tab w:val="right" w:leader="dot" w:pos="9059"/>
            </w:tabs>
            <w:spacing w:before="162" w:line="184" w:lineRule="auto"/>
            <w:ind w:left="559"/>
            <w:rPr>
              <w:rFonts w:hint="default" w:ascii="宋体" w:hAnsi="宋体" w:eastAsia="宋体" w:cs="宋体"/>
              <w:sz w:val="24"/>
              <w:szCs w:val="24"/>
              <w:lang w:val="en-US" w:eastAsia="zh-CN"/>
            </w:rPr>
          </w:pPr>
          <w:r>
            <w:fldChar w:fldCharType="begin"/>
          </w:r>
          <w:r>
            <w:instrText xml:space="preserve"> HYPERLINK \l "bookmark44" </w:instrText>
          </w:r>
          <w:r>
            <w:fldChar w:fldCharType="separate"/>
          </w:r>
          <w:r>
            <w:rPr>
              <w:rFonts w:ascii="宋体" w:hAnsi="宋体" w:eastAsia="宋体" w:cs="宋体"/>
              <w:spacing w:val="-1"/>
              <w:sz w:val="24"/>
              <w:szCs w:val="24"/>
            </w:rPr>
            <w:t>9.4. 环境影响及环境保护措施结论</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04</w:t>
          </w:r>
        </w:p>
        <w:p w14:paraId="23DC0D3F">
          <w:pPr>
            <w:tabs>
              <w:tab w:val="right" w:leader="dot" w:pos="9059"/>
            </w:tabs>
            <w:spacing w:before="161" w:line="184" w:lineRule="auto"/>
            <w:ind w:left="559"/>
            <w:rPr>
              <w:rFonts w:hint="default" w:ascii="宋体" w:hAnsi="宋体" w:eastAsia="宋体" w:cs="宋体"/>
              <w:sz w:val="24"/>
              <w:szCs w:val="24"/>
              <w:lang w:val="en-US" w:eastAsia="zh-CN"/>
            </w:rPr>
          </w:pPr>
          <w:r>
            <w:fldChar w:fldCharType="begin"/>
          </w:r>
          <w:r>
            <w:instrText xml:space="preserve"> HYPERLINK \l "bookmark45" </w:instrText>
          </w:r>
          <w:r>
            <w:fldChar w:fldCharType="separate"/>
          </w:r>
          <w:r>
            <w:rPr>
              <w:rFonts w:ascii="宋体" w:hAnsi="宋体" w:eastAsia="宋体" w:cs="宋体"/>
              <w:spacing w:val="-1"/>
              <w:sz w:val="24"/>
              <w:szCs w:val="24"/>
            </w:rPr>
            <w:t>9.5. 环境经济损益分析</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06</w:t>
          </w:r>
        </w:p>
        <w:p w14:paraId="34286985">
          <w:pPr>
            <w:tabs>
              <w:tab w:val="right" w:leader="dot" w:pos="9059"/>
            </w:tabs>
            <w:spacing w:before="160" w:line="184" w:lineRule="auto"/>
            <w:ind w:left="559"/>
            <w:rPr>
              <w:rFonts w:hint="default" w:ascii="宋体" w:hAnsi="宋体" w:eastAsia="宋体" w:cs="宋体"/>
              <w:sz w:val="24"/>
              <w:szCs w:val="24"/>
              <w:lang w:val="en-US" w:eastAsia="zh-CN"/>
            </w:rPr>
          </w:pPr>
          <w:r>
            <w:fldChar w:fldCharType="begin"/>
          </w:r>
          <w:r>
            <w:instrText xml:space="preserve"> HYPERLINK \l "bookmark46" </w:instrText>
          </w:r>
          <w:r>
            <w:fldChar w:fldCharType="separate"/>
          </w:r>
          <w:r>
            <w:rPr>
              <w:rFonts w:ascii="宋体" w:hAnsi="宋体" w:eastAsia="宋体" w:cs="宋体"/>
              <w:spacing w:val="-1"/>
              <w:sz w:val="24"/>
              <w:szCs w:val="24"/>
            </w:rPr>
            <w:t>9.6. 环境管理及监测计划</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06</w:t>
          </w:r>
        </w:p>
        <w:p w14:paraId="283D1BF1">
          <w:pPr>
            <w:tabs>
              <w:tab w:val="right" w:leader="dot" w:pos="9059"/>
            </w:tabs>
            <w:spacing w:before="161" w:line="184" w:lineRule="auto"/>
            <w:ind w:left="559"/>
            <w:rPr>
              <w:rFonts w:hint="default" w:ascii="宋体" w:hAnsi="宋体" w:eastAsia="宋体" w:cs="宋体"/>
              <w:sz w:val="24"/>
              <w:szCs w:val="24"/>
              <w:lang w:val="en-US" w:eastAsia="zh-CN"/>
            </w:rPr>
          </w:pPr>
          <w:r>
            <w:fldChar w:fldCharType="begin"/>
          </w:r>
          <w:r>
            <w:instrText xml:space="preserve"> HYPERLINK \l "bookmark47" </w:instrText>
          </w:r>
          <w:r>
            <w:fldChar w:fldCharType="separate"/>
          </w:r>
          <w:r>
            <w:rPr>
              <w:rFonts w:ascii="宋体" w:hAnsi="宋体" w:eastAsia="宋体" w:cs="宋体"/>
              <w:spacing w:val="-4"/>
              <w:sz w:val="24"/>
              <w:szCs w:val="24"/>
            </w:rPr>
            <w:t>9.7.</w:t>
          </w:r>
          <w:r>
            <w:rPr>
              <w:rFonts w:ascii="宋体" w:hAnsi="宋体" w:eastAsia="宋体" w:cs="宋体"/>
              <w:spacing w:val="20"/>
              <w:sz w:val="24"/>
              <w:szCs w:val="24"/>
            </w:rPr>
            <w:t xml:space="preserve"> </w:t>
          </w:r>
          <w:r>
            <w:rPr>
              <w:rFonts w:ascii="宋体" w:hAnsi="宋体" w:eastAsia="宋体" w:cs="宋体"/>
              <w:spacing w:val="-4"/>
              <w:sz w:val="24"/>
              <w:szCs w:val="24"/>
            </w:rPr>
            <w:t>公众参与</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06</w:t>
          </w:r>
        </w:p>
        <w:p w14:paraId="20120171">
          <w:pPr>
            <w:tabs>
              <w:tab w:val="right" w:leader="dot" w:pos="9059"/>
            </w:tabs>
            <w:spacing w:before="161" w:line="218" w:lineRule="auto"/>
            <w:ind w:left="559"/>
            <w:rPr>
              <w:rFonts w:hint="default" w:ascii="宋体" w:hAnsi="宋体" w:eastAsia="宋体" w:cs="宋体"/>
              <w:spacing w:val="17"/>
              <w:sz w:val="24"/>
              <w:szCs w:val="24"/>
              <w:lang w:val="en-US" w:eastAsia="zh-CN"/>
            </w:rPr>
          </w:pPr>
          <w:r>
            <w:fldChar w:fldCharType="begin"/>
          </w:r>
          <w:r>
            <w:instrText xml:space="preserve"> HYPERLINK \l "bookmark48" </w:instrText>
          </w:r>
          <w:r>
            <w:fldChar w:fldCharType="separate"/>
          </w:r>
          <w:r>
            <w:rPr>
              <w:rFonts w:ascii="宋体" w:hAnsi="宋体" w:eastAsia="宋体" w:cs="宋体"/>
              <w:spacing w:val="-1"/>
              <w:sz w:val="24"/>
              <w:szCs w:val="24"/>
            </w:rPr>
            <w:t>9.8. 环境影响评价综合结论</w:t>
          </w:r>
          <w:r>
            <w:rPr>
              <w:rFonts w:ascii="宋体" w:hAnsi="宋体" w:eastAsia="宋体" w:cs="宋体"/>
              <w:sz w:val="24"/>
              <w:szCs w:val="24"/>
            </w:rPr>
            <w:tab/>
          </w:r>
          <w:r>
            <w:rPr>
              <w:rFonts w:hint="eastAsia" w:ascii="宋体" w:hAnsi="宋体" w:eastAsia="宋体" w:cs="宋体"/>
              <w:spacing w:val="17"/>
              <w:sz w:val="24"/>
              <w:szCs w:val="24"/>
              <w:lang w:val="en-US" w:eastAsia="zh-CN"/>
            </w:rPr>
            <w:t>1</w:t>
          </w:r>
          <w:r>
            <w:rPr>
              <w:rFonts w:ascii="宋体" w:hAnsi="宋体" w:eastAsia="宋体" w:cs="宋体"/>
              <w:spacing w:val="17"/>
              <w:sz w:val="24"/>
              <w:szCs w:val="24"/>
            </w:rPr>
            <w:fldChar w:fldCharType="end"/>
          </w:r>
          <w:r>
            <w:rPr>
              <w:rFonts w:hint="eastAsia" w:ascii="宋体" w:hAnsi="宋体" w:eastAsia="宋体" w:cs="宋体"/>
              <w:spacing w:val="17"/>
              <w:sz w:val="24"/>
              <w:szCs w:val="24"/>
              <w:lang w:val="en-US" w:eastAsia="zh-CN"/>
            </w:rPr>
            <w:t>06</w:t>
          </w:r>
        </w:p>
        <w:p w14:paraId="05D745E4">
          <w:pPr>
            <w:tabs>
              <w:tab w:val="right" w:leader="dot" w:pos="9059"/>
            </w:tabs>
            <w:spacing w:before="161" w:line="218" w:lineRule="auto"/>
            <w:ind w:left="559"/>
            <w:rPr>
              <w:rFonts w:ascii="宋体" w:hAnsi="宋体" w:eastAsia="宋体" w:cs="宋体"/>
              <w:sz w:val="24"/>
              <w:szCs w:val="24"/>
            </w:rPr>
          </w:pPr>
        </w:p>
        <w:p w14:paraId="07346AAA">
          <w:pPr>
            <w:tabs>
              <w:tab w:val="right" w:leader="dot" w:pos="9059"/>
            </w:tabs>
            <w:spacing w:before="161" w:line="218" w:lineRule="auto"/>
            <w:ind w:left="559"/>
            <w:rPr>
              <w:rFonts w:ascii="宋体" w:hAnsi="宋体" w:eastAsia="宋体" w:cs="宋体"/>
              <w:sz w:val="24"/>
              <w:szCs w:val="24"/>
            </w:rPr>
          </w:pPr>
        </w:p>
        <w:p w14:paraId="72D27162">
          <w:pPr>
            <w:tabs>
              <w:tab w:val="right" w:leader="dot" w:pos="9059"/>
            </w:tabs>
            <w:spacing w:before="161" w:line="218" w:lineRule="auto"/>
            <w:ind w:left="559"/>
            <w:rPr>
              <w:rFonts w:ascii="宋体" w:hAnsi="宋体" w:eastAsia="宋体" w:cs="宋体"/>
              <w:sz w:val="24"/>
              <w:szCs w:val="24"/>
            </w:rPr>
          </w:pPr>
        </w:p>
      </w:sdtContent>
    </w:sdt>
    <w:p w14:paraId="404ECB74">
      <w:pPr>
        <w:bidi w:val="0"/>
        <w:rPr>
          <w:rFonts w:ascii="Arial" w:hAnsi="Arial" w:eastAsia="Arial" w:cs="Arial"/>
          <w:snapToGrid w:val="0"/>
          <w:color w:val="000000"/>
          <w:kern w:val="0"/>
          <w:sz w:val="21"/>
          <w:szCs w:val="21"/>
          <w:lang w:val="en-US" w:eastAsia="en-US" w:bidi="ar-SA"/>
        </w:rPr>
      </w:pPr>
    </w:p>
    <w:p w14:paraId="7F63372E">
      <w:pPr>
        <w:bidi w:val="0"/>
        <w:rPr>
          <w:lang w:val="en-US" w:eastAsia="en-US"/>
        </w:rPr>
      </w:pPr>
    </w:p>
    <w:p w14:paraId="4176C32B">
      <w:pPr>
        <w:bidi w:val="0"/>
        <w:rPr>
          <w:lang w:val="en-US" w:eastAsia="en-US"/>
        </w:rPr>
      </w:pPr>
    </w:p>
    <w:p w14:paraId="4DC220B3">
      <w:pPr>
        <w:tabs>
          <w:tab w:val="left" w:pos="6841"/>
        </w:tabs>
        <w:bidi w:val="0"/>
        <w:jc w:val="left"/>
        <w:rPr>
          <w:rFonts w:hint="eastAsia" w:eastAsia="宋体"/>
          <w:lang w:val="en-US" w:eastAsia="zh-CN"/>
        </w:rPr>
        <w:sectPr>
          <w:footerReference r:id="rId6" w:type="default"/>
          <w:pgSz w:w="11906" w:h="16839"/>
          <w:pgMar w:top="1431" w:right="1417" w:bottom="1185" w:left="1428" w:header="0" w:footer="1025" w:gutter="0"/>
          <w:pgBorders>
            <w:top w:val="none" w:sz="0" w:space="0"/>
            <w:left w:val="none" w:sz="0" w:space="0"/>
            <w:bottom w:val="none" w:sz="0" w:space="0"/>
            <w:right w:val="none" w:sz="0" w:space="0"/>
          </w:pgBorders>
          <w:cols w:space="720" w:num="1"/>
        </w:sectPr>
      </w:pPr>
      <w:r>
        <w:rPr>
          <w:rFonts w:hint="eastAsia" w:eastAsia="宋体"/>
          <w:lang w:val="en-US" w:eastAsia="zh-CN"/>
        </w:rPr>
        <w:tab/>
      </w:r>
    </w:p>
    <w:p w14:paraId="035B3987">
      <w:pPr>
        <w:pStyle w:val="3"/>
        <w:spacing w:line="282" w:lineRule="auto"/>
      </w:pPr>
    </w:p>
    <w:p w14:paraId="74CAB0A3">
      <w:pPr>
        <w:spacing w:before="314" w:line="226" w:lineRule="auto"/>
        <w:ind w:left="36"/>
        <w:outlineLvl w:val="0"/>
        <w:rPr>
          <w:rFonts w:hint="eastAsia" w:ascii="黑体" w:hAnsi="黑体" w:eastAsia="黑体" w:cs="黑体"/>
          <w:sz w:val="32"/>
          <w:szCs w:val="32"/>
        </w:rPr>
      </w:pPr>
      <w:bookmarkStart w:id="0" w:name="bookmark1"/>
      <w:bookmarkEnd w:id="0"/>
      <w:bookmarkStart w:id="1" w:name="bookmark2"/>
      <w:bookmarkEnd w:id="1"/>
      <w:r>
        <w:rPr>
          <w:rFonts w:hint="eastAsia" w:ascii="黑体" w:hAnsi="黑体" w:eastAsia="黑体" w:cs="黑体"/>
          <w:spacing w:val="-6"/>
          <w:sz w:val="32"/>
          <w:szCs w:val="32"/>
          <w14:textOutline w14:w="5793" w14:cap="sq" w14:cmpd="sng">
            <w14:solidFill>
              <w14:srgbClr w14:val="000000"/>
            </w14:solidFill>
            <w14:prstDash w14:val="solid"/>
            <w14:bevel/>
          </w14:textOutline>
        </w:rPr>
        <w:t>1</w:t>
      </w:r>
      <w:r>
        <w:rPr>
          <w:rFonts w:hint="eastAsia" w:ascii="黑体" w:hAnsi="黑体" w:eastAsia="黑体" w:cs="黑体"/>
          <w:spacing w:val="-6"/>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33"/>
          <w:sz w:val="32"/>
          <w:szCs w:val="32"/>
        </w:rPr>
        <w:t xml:space="preserve"> </w:t>
      </w:r>
      <w:r>
        <w:rPr>
          <w:rFonts w:hint="eastAsia" w:ascii="黑体" w:hAnsi="黑体" w:eastAsia="黑体" w:cs="黑体"/>
          <w:spacing w:val="-6"/>
          <w:sz w:val="32"/>
          <w:szCs w:val="32"/>
          <w14:textOutline w14:w="5793" w14:cap="sq" w14:cmpd="sng">
            <w14:solidFill>
              <w14:srgbClr w14:val="000000"/>
            </w14:solidFill>
            <w14:prstDash w14:val="solid"/>
            <w14:bevel/>
          </w14:textOutline>
        </w:rPr>
        <w:t>前言</w:t>
      </w:r>
    </w:p>
    <w:p w14:paraId="5FB36323">
      <w:pPr>
        <w:keepNext w:val="0"/>
        <w:keepLines w:val="0"/>
        <w:pageBreakBefore w:val="0"/>
        <w:widowControl/>
        <w:kinsoku w:val="0"/>
        <w:wordWrap/>
        <w:overflowPunct/>
        <w:topLinePunct w:val="0"/>
        <w:autoSpaceDE w:val="0"/>
        <w:autoSpaceDN w:val="0"/>
        <w:bidi w:val="0"/>
        <w:adjustRightInd w:val="0"/>
        <w:snapToGrid w:val="0"/>
        <w:spacing w:before="239" w:line="360" w:lineRule="auto"/>
        <w:ind w:left="34"/>
        <w:textAlignment w:val="baseline"/>
        <w:outlineLvl w:val="1"/>
        <w:rPr>
          <w:rFonts w:hint="eastAsia" w:ascii="黑体" w:hAnsi="黑体" w:eastAsia="黑体" w:cs="黑体"/>
          <w:sz w:val="30"/>
          <w:szCs w:val="30"/>
        </w:rPr>
      </w:pPr>
      <w:r>
        <w:rPr>
          <w:rFonts w:hint="eastAsia" w:ascii="黑体" w:hAnsi="黑体" w:eastAsia="黑体" w:cs="黑体"/>
          <w:spacing w:val="-1"/>
          <w:sz w:val="30"/>
          <w:szCs w:val="30"/>
          <w14:textOutline w14:w="5448" w14:cap="sq" w14:cmpd="sng">
            <w14:solidFill>
              <w14:srgbClr w14:val="000000"/>
            </w14:solidFill>
            <w14:prstDash w14:val="solid"/>
            <w14:bevel/>
          </w14:textOutline>
        </w:rPr>
        <w:t>1.1</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项目由来</w:t>
      </w:r>
    </w:p>
    <w:p w14:paraId="28A53CB0">
      <w:pPr>
        <w:pStyle w:val="16"/>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艾丁湖位于吐鲁番市南部，我国海拔的最低点、世界第三低地，最低点海拔高程</w:t>
      </w:r>
      <w:r>
        <w:rPr>
          <w:rFonts w:hint="eastAsia" w:asciiTheme="minorEastAsia" w:hAnsiTheme="minorEastAsia" w:eastAsiaTheme="minorEastAsia" w:cstheme="minorEastAsia"/>
          <w:sz w:val="24"/>
          <w:szCs w:val="24"/>
          <w:lang w:val="en-US" w:eastAsia="zh-CN"/>
        </w:rPr>
        <w:t>为</w:t>
      </w:r>
      <w:r>
        <w:rPr>
          <w:rFonts w:hint="eastAsia" w:asciiTheme="minorEastAsia" w:hAnsiTheme="minorEastAsia" w:eastAsiaTheme="minorEastAsia" w:cstheme="minorEastAsia"/>
          <w:sz w:val="24"/>
          <w:szCs w:val="24"/>
        </w:rPr>
        <w:t>-154.31m，</w:t>
      </w:r>
      <w:r>
        <w:rPr>
          <w:rFonts w:hint="eastAsia" w:asciiTheme="minorEastAsia" w:hAnsiTheme="minorEastAsia" w:eastAsiaTheme="minorEastAsia" w:cstheme="minorEastAsia"/>
          <w:sz w:val="24"/>
          <w:szCs w:val="24"/>
          <w:lang w:val="en-US" w:eastAsia="zh-CN"/>
        </w:rPr>
        <w:t>是</w:t>
      </w:r>
      <w:r>
        <w:rPr>
          <w:rFonts w:hint="eastAsia" w:asciiTheme="minorEastAsia" w:hAnsiTheme="minorEastAsia" w:eastAsiaTheme="minorEastAsia" w:cstheme="minorEastAsia"/>
          <w:sz w:val="24"/>
          <w:szCs w:val="24"/>
        </w:rPr>
        <w:t>吐鲁番盆地地表径流的“归宿”。其周边分布的全世界最大的骆驼刺生长区域。多年以来，受上游水资源开发利用影响，入湖水量减少，全市 14 条主要河流仅有白杨河季节性补给艾丁湖，其他主要河流除较大洪水外均不能流入艾丁湖，地下水补给也在逐年减少，艾丁湖的湖水面积不断缩小，湖面面积已由 1909 年的 230km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，逐步缩减至 1940年的 150km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、1970 年的 60km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、1989 年的 11km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、2015 年的 3km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。随着 50、60 年代全市开始大规模开发地表水和地表水，扩大种植面积，艾丁湖也逐渐演变为季节性湖泊，湖床已演变为盐沼地或盐壳地。艾丁湖周边生物多样性锐减，区域生态环境持续恶化，土地荒漠化（盐化）程度不断加剧，其周边分布的骆驼刺生长区域，已由 20 世纪 80 年代的 220 万亩，减至2010年的180万亩</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2015年</w:t>
      </w:r>
      <w:r>
        <w:rPr>
          <w:rFonts w:hint="eastAsia" w:asciiTheme="minorEastAsia" w:hAnsiTheme="minorEastAsia" w:eastAsiaTheme="minorEastAsia" w:cstheme="minorEastAsia"/>
          <w:sz w:val="24"/>
          <w:szCs w:val="24"/>
        </w:rPr>
        <w:t>的 160 万亩，其中近90 万亩生长不良。若不及时实施艾丁湖生态保护治理，将造成艾丁湖生态系统的崩溃，成为新疆和全国新的盐尘和风沙起源地，对东疆生态环境与经济社会造成灾难性后果。同时随着流域补给下游尾闾的水量减少，湖泊生态系统整体退化，特别是地下水超采，坎儿井逐步消亡，泉水衰竭及盐碱化等，导致社会经济发展的支撑条件在恶化，影响边疆稳定和长治久安。</w:t>
      </w:r>
      <w:r>
        <w:rPr>
          <w:rFonts w:hint="eastAsia" w:asciiTheme="minorEastAsia" w:hAnsiTheme="minorEastAsia" w:eastAsiaTheme="minorEastAsia" w:cstheme="minorEastAsia"/>
          <w:sz w:val="24"/>
          <w:szCs w:val="24"/>
          <w:lang w:val="en-US" w:eastAsia="zh-CN"/>
        </w:rPr>
        <w:t>因此，实施</w:t>
      </w:r>
      <w:r>
        <w:rPr>
          <w:rFonts w:hint="eastAsia" w:asciiTheme="minorEastAsia" w:hAnsiTheme="minorEastAsia" w:eastAsiaTheme="minorEastAsia" w:cstheme="minorEastAsia"/>
          <w:sz w:val="24"/>
          <w:szCs w:val="24"/>
        </w:rPr>
        <w:t>艾丁湖生态保护治理迫在眉睫。</w:t>
      </w:r>
    </w:p>
    <w:p w14:paraId="717C0254">
      <w:pPr>
        <w:keepNext w:val="0"/>
        <w:keepLines w:val="0"/>
        <w:pageBreakBefore w:val="0"/>
        <w:widowControl/>
        <w:kinsoku w:val="0"/>
        <w:wordWrap/>
        <w:overflowPunct/>
        <w:topLinePunct w:val="0"/>
        <w:autoSpaceDE w:val="0"/>
        <w:autoSpaceDN w:val="0"/>
        <w:bidi w:val="0"/>
        <w:adjustRightInd w:val="0"/>
        <w:snapToGrid w:val="0"/>
        <w:spacing w:line="360" w:lineRule="auto"/>
        <w:ind w:left="53"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保护艾丁湖，补水是关键。</w:t>
      </w:r>
      <w:r>
        <w:rPr>
          <w:rFonts w:hint="eastAsia" w:asciiTheme="minorEastAsia" w:hAnsiTheme="minorEastAsia" w:eastAsiaTheme="minorEastAsia" w:cstheme="minorEastAsia"/>
          <w:sz w:val="24"/>
          <w:szCs w:val="24"/>
        </w:rPr>
        <w:t>2013年12月25日，吐鲁番市启动《艾丁湖生态保护治理规划》编制工作，2014年11月，中国水利水电科学研究院完成《艾丁湖生态保护治理规划》，规划主要包括建立和完善节水、水资源配置、生态环境保护、水资源与生态监测四大工程体系。为进行艾丁湖保护，需要满足艾丁湖基本生态需水、压缩社会经济用水，需改变现有水资源开发利用模式，通过退地、节水、调整产业结构，控制水资源利用总量，提高水资源利用效率，构建补水体系，对艾丁湖区域进行全面监测，加强管理措施</w:t>
      </w:r>
      <w:r>
        <w:rPr>
          <w:rFonts w:hint="eastAsia" w:asciiTheme="minorEastAsia" w:hAnsiTheme="minorEastAsia" w:eastAsiaTheme="minorEastAsia" w:cstheme="minorEastAsia"/>
          <w:sz w:val="24"/>
          <w:szCs w:val="24"/>
          <w:lang w:eastAsia="zh-CN"/>
        </w:rPr>
        <w:t>。</w:t>
      </w:r>
    </w:p>
    <w:p w14:paraId="5A62C23C">
      <w:pPr>
        <w:keepNext w:val="0"/>
        <w:keepLines w:val="0"/>
        <w:pageBreakBefore w:val="0"/>
        <w:widowControl/>
        <w:kinsoku w:val="0"/>
        <w:wordWrap/>
        <w:overflowPunct/>
        <w:topLinePunct w:val="0"/>
        <w:autoSpaceDE w:val="0"/>
        <w:autoSpaceDN w:val="0"/>
        <w:bidi w:val="0"/>
        <w:adjustRightInd w:val="0"/>
        <w:snapToGrid w:val="0"/>
        <w:spacing w:line="360" w:lineRule="auto"/>
        <w:ind w:left="53" w:firstLine="480" w:firstLineChars="200"/>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依据《艾丁湖生态保护治理规划》，</w:t>
      </w:r>
      <w:r>
        <w:rPr>
          <w:rFonts w:hint="eastAsia" w:asciiTheme="minorEastAsia" w:hAnsiTheme="minorEastAsia" w:eastAsiaTheme="minorEastAsia" w:cstheme="minorEastAsia"/>
          <w:sz w:val="24"/>
          <w:szCs w:val="24"/>
          <w:lang w:val="en-US" w:eastAsia="zh-CN"/>
        </w:rPr>
        <w:t>吐鲁番市2016年起实施了艾丁湖生态保护治理项目（“十三五”期间），取得了一定成效。</w:t>
      </w:r>
      <w:r>
        <w:rPr>
          <w:rFonts w:hint="eastAsia" w:asciiTheme="minorEastAsia" w:hAnsiTheme="minorEastAsia" w:eastAsiaTheme="minorEastAsia" w:cstheme="minorEastAsia"/>
          <w:sz w:val="24"/>
          <w:szCs w:val="24"/>
          <w:lang w:eastAsia="zh-CN"/>
        </w:rPr>
        <w:t>吐鲁番14条主要河流中已有5条主要河流的生态基流具备了给艾丁湖补水的工程条件，初步构建了补水体系，缓解了艾丁湖水位下降趋势。同时，人工造林、退耕还林、沙化治理、封禁保护项目也稳步推行。</w:t>
      </w:r>
      <w:r>
        <w:rPr>
          <w:rFonts w:hint="eastAsia" w:asciiTheme="minorEastAsia" w:hAnsiTheme="minorEastAsia" w:eastAsiaTheme="minorEastAsia" w:cstheme="minorEastAsia"/>
          <w:sz w:val="24"/>
          <w:szCs w:val="24"/>
          <w:lang w:val="en-US" w:eastAsia="zh-CN"/>
        </w:rPr>
        <w:t>骆驼刺生长区域从2010年的180万亩恢复至220万亩，多年未见的天鹅、野鸭、大雁数量也大幅增加，湿地功能已得到了极大改善，艾丁湖正在由季节性湖泊逐渐恢复为常年性湖泊。</w:t>
      </w:r>
    </w:p>
    <w:p w14:paraId="6CE2DC41">
      <w:pPr>
        <w:keepNext w:val="0"/>
        <w:keepLines w:val="0"/>
        <w:pageBreakBefore w:val="0"/>
        <w:widowControl/>
        <w:kinsoku w:val="0"/>
        <w:wordWrap/>
        <w:overflowPunct/>
        <w:topLinePunct w:val="0"/>
        <w:autoSpaceDE w:val="0"/>
        <w:autoSpaceDN w:val="0"/>
        <w:bidi w:val="0"/>
        <w:adjustRightInd w:val="0"/>
        <w:snapToGrid w:val="0"/>
        <w:spacing w:line="360" w:lineRule="auto"/>
        <w:ind w:left="53" w:firstLine="480" w:firstLineChars="200"/>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持续推进艾丁湖生态保护治理，根据《艾丁湖生态保护治理规划》和实际情况，吐鲁番市水资源管理中心作为项目建设法人单位启动了艾丁湖生态保护治理项目（二期）。2023年2月6日，吐鲁番市发改委批复《艾丁湖生态保护治理项目（二期）可行性研究报告》（可研编制单位：吐鲁番市清源水利水电勘测设计院有限公司）。2023年7月，吐鲁番市清源水利水电勘测设计院有限公司完成《艾丁湖生态保护治理项目（二期）初步设计报告》。2023年9月18日，吐鲁番市人民政府批准项目建设法人变更为吐鲁番市水务投资发展集团有限公司。</w:t>
      </w:r>
    </w:p>
    <w:p w14:paraId="716BB429">
      <w:pPr>
        <w:keepNext w:val="0"/>
        <w:keepLines w:val="0"/>
        <w:pageBreakBefore w:val="0"/>
        <w:widowControl/>
        <w:kinsoku w:val="0"/>
        <w:wordWrap/>
        <w:overflowPunct/>
        <w:topLinePunct w:val="0"/>
        <w:autoSpaceDE w:val="0"/>
        <w:autoSpaceDN w:val="0"/>
        <w:bidi w:val="0"/>
        <w:adjustRightInd w:val="0"/>
        <w:snapToGrid w:val="0"/>
        <w:spacing w:line="360" w:lineRule="auto"/>
        <w:ind w:left="53" w:firstLine="48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根</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rPr>
        <w:t>据《中华人民共和国环境影响评价法》、国务</w:t>
      </w:r>
      <w:r>
        <w:rPr>
          <w:rFonts w:hint="eastAsia" w:asciiTheme="minorEastAsia" w:hAnsiTheme="minorEastAsia" w:eastAsiaTheme="minorEastAsia" w:cstheme="minorEastAsia"/>
          <w:spacing w:val="-4"/>
          <w:sz w:val="24"/>
          <w:szCs w:val="24"/>
        </w:rPr>
        <w:t>院令第</w:t>
      </w:r>
      <w:r>
        <w:rPr>
          <w:rFonts w:hint="eastAsia" w:asciiTheme="minorEastAsia" w:hAnsiTheme="minorEastAsia" w:eastAsiaTheme="minorEastAsia" w:cstheme="minorEastAsia"/>
          <w:spacing w:val="-55"/>
          <w:sz w:val="24"/>
          <w:szCs w:val="24"/>
        </w:rPr>
        <w:t xml:space="preserve"> </w:t>
      </w:r>
      <w:r>
        <w:rPr>
          <w:rFonts w:hint="eastAsia" w:asciiTheme="minorEastAsia" w:hAnsiTheme="minorEastAsia" w:eastAsiaTheme="minorEastAsia" w:cstheme="minorEastAsia"/>
          <w:spacing w:val="-4"/>
          <w:sz w:val="24"/>
          <w:szCs w:val="24"/>
        </w:rPr>
        <w:t>253</w:t>
      </w:r>
      <w:r>
        <w:rPr>
          <w:rFonts w:hint="eastAsia" w:asciiTheme="minorEastAsia" w:hAnsiTheme="minorEastAsia" w:eastAsiaTheme="minorEastAsia" w:cstheme="minorEastAsia"/>
          <w:spacing w:val="15"/>
          <w:w w:val="101"/>
          <w:sz w:val="24"/>
          <w:szCs w:val="24"/>
        </w:rPr>
        <w:t xml:space="preserve"> </w:t>
      </w:r>
      <w:r>
        <w:rPr>
          <w:rFonts w:hint="eastAsia" w:asciiTheme="minorEastAsia" w:hAnsiTheme="minorEastAsia" w:eastAsiaTheme="minorEastAsia" w:cstheme="minorEastAsia"/>
          <w:spacing w:val="-4"/>
          <w:sz w:val="24"/>
          <w:szCs w:val="24"/>
        </w:rPr>
        <w:t>号《建设项目环境保护</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rPr>
        <w:t>管理条例》中的有关规定，为贯彻国家相关环保法律、法规的要求，项目建设</w:t>
      </w:r>
      <w:bookmarkStart w:id="2" w:name="_Toc28426"/>
      <w:r>
        <w:rPr>
          <w:rFonts w:hint="eastAsia" w:asciiTheme="minorEastAsia" w:hAnsiTheme="minorEastAsia" w:eastAsiaTheme="minorEastAsia" w:cstheme="minorEastAsia"/>
          <w:spacing w:val="-3"/>
          <w:sz w:val="24"/>
          <w:szCs w:val="24"/>
          <w:lang w:val="en-US" w:eastAsia="zh-CN"/>
        </w:rPr>
        <w:t>法人单位</w:t>
      </w:r>
      <w:r>
        <w:rPr>
          <w:rFonts w:hint="eastAsia" w:asciiTheme="minorEastAsia" w:hAnsiTheme="minorEastAsia" w:eastAsiaTheme="minorEastAsia" w:cstheme="minorEastAsia"/>
          <w:spacing w:val="4"/>
          <w:sz w:val="24"/>
          <w:szCs w:val="24"/>
          <w:lang w:eastAsia="zh-CN"/>
        </w:rPr>
        <w:t>吐鲁番市水务投资发展集团有限公司</w:t>
      </w:r>
      <w:r>
        <w:rPr>
          <w:rFonts w:hint="eastAsia" w:asciiTheme="minorEastAsia" w:hAnsiTheme="minorEastAsia" w:eastAsiaTheme="minorEastAsia" w:cstheme="minorEastAsia"/>
          <w:spacing w:val="4"/>
          <w:sz w:val="24"/>
          <w:szCs w:val="24"/>
        </w:rPr>
        <w:t>委托</w:t>
      </w:r>
      <w:r>
        <w:rPr>
          <w:rFonts w:hint="eastAsia" w:asciiTheme="minorEastAsia" w:hAnsiTheme="minorEastAsia" w:eastAsiaTheme="minorEastAsia" w:cstheme="minorEastAsia"/>
          <w:spacing w:val="4"/>
          <w:sz w:val="24"/>
          <w:szCs w:val="24"/>
          <w:lang w:val="en-US" w:eastAsia="zh-CN"/>
        </w:rPr>
        <w:t>新疆荣祥环保科技咨询有限公司</w:t>
      </w:r>
      <w:r>
        <w:rPr>
          <w:rFonts w:hint="eastAsia" w:asciiTheme="minorEastAsia" w:hAnsiTheme="minorEastAsia" w:eastAsiaTheme="minorEastAsia" w:cstheme="minorEastAsia"/>
          <w:spacing w:val="3"/>
          <w:sz w:val="24"/>
          <w:szCs w:val="24"/>
        </w:rPr>
        <w:t>进行环</w:t>
      </w:r>
      <w:bookmarkEnd w:id="2"/>
      <w:r>
        <w:rPr>
          <w:rFonts w:hint="eastAsia" w:asciiTheme="minorEastAsia" w:hAnsiTheme="minorEastAsia" w:eastAsiaTheme="minorEastAsia" w:cstheme="minorEastAsia"/>
          <w:spacing w:val="-3"/>
          <w:sz w:val="24"/>
          <w:szCs w:val="24"/>
        </w:rPr>
        <w:t>境影响评价工作。接到委托后，我公司立即组织</w:t>
      </w:r>
      <w:r>
        <w:rPr>
          <w:rFonts w:hint="eastAsia" w:asciiTheme="minorEastAsia" w:hAnsiTheme="minorEastAsia" w:eastAsiaTheme="minorEastAsia" w:cstheme="minorEastAsia"/>
          <w:spacing w:val="-3"/>
          <w:sz w:val="24"/>
          <w:szCs w:val="24"/>
          <w:lang w:val="en-US" w:eastAsia="zh-CN"/>
        </w:rPr>
        <w:t>技术</w:t>
      </w:r>
      <w:r>
        <w:rPr>
          <w:rFonts w:hint="eastAsia" w:asciiTheme="minorEastAsia" w:hAnsiTheme="minorEastAsia" w:eastAsiaTheme="minorEastAsia" w:cstheme="minorEastAsia"/>
          <w:spacing w:val="-3"/>
          <w:sz w:val="24"/>
          <w:szCs w:val="24"/>
        </w:rPr>
        <w:t>人员进行现场踏勘和资料收集，并在现状监测、公众参与调查</w:t>
      </w:r>
      <w:r>
        <w:rPr>
          <w:rFonts w:hint="eastAsia" w:asciiTheme="minorEastAsia" w:hAnsiTheme="minorEastAsia" w:eastAsiaTheme="minorEastAsia" w:cstheme="minorEastAsia"/>
          <w:spacing w:val="-3"/>
          <w:sz w:val="24"/>
          <w:szCs w:val="24"/>
          <w:lang w:val="en-US" w:eastAsia="zh-CN"/>
        </w:rPr>
        <w:t>的</w:t>
      </w:r>
      <w:r>
        <w:rPr>
          <w:rFonts w:hint="eastAsia" w:asciiTheme="minorEastAsia" w:hAnsiTheme="minorEastAsia" w:eastAsiaTheme="minorEastAsia" w:cstheme="minorEastAsia"/>
          <w:spacing w:val="-3"/>
          <w:sz w:val="24"/>
          <w:szCs w:val="24"/>
        </w:rPr>
        <w:t>基础上，</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pacing w:val="-3"/>
          <w:sz w:val="24"/>
          <w:szCs w:val="24"/>
        </w:rPr>
        <w:t>针对本项目区的环境特征和项目特点，依据环境影响评价法律法规</w:t>
      </w:r>
      <w:r>
        <w:rPr>
          <w:rFonts w:hint="eastAsia" w:asciiTheme="minorEastAsia" w:hAnsiTheme="minorEastAsia" w:eastAsiaTheme="minorEastAsia" w:cstheme="minorEastAsia"/>
          <w:spacing w:val="-3"/>
          <w:sz w:val="24"/>
          <w:szCs w:val="24"/>
          <w:lang w:val="en-US" w:eastAsia="zh-CN"/>
        </w:rPr>
        <w:t>及相关</w:t>
      </w:r>
      <w:r>
        <w:rPr>
          <w:rFonts w:hint="eastAsia" w:asciiTheme="minorEastAsia" w:hAnsiTheme="minorEastAsia" w:eastAsiaTheme="minorEastAsia" w:cstheme="minorEastAsia"/>
          <w:spacing w:val="-3"/>
          <w:sz w:val="24"/>
          <w:szCs w:val="24"/>
        </w:rPr>
        <w:t>技</w:t>
      </w:r>
      <w:r>
        <w:rPr>
          <w:rFonts w:hint="eastAsia" w:asciiTheme="minorEastAsia" w:hAnsiTheme="minorEastAsia" w:eastAsiaTheme="minorEastAsia" w:cstheme="minorEastAsia"/>
          <w:spacing w:val="-1"/>
          <w:sz w:val="24"/>
          <w:szCs w:val="24"/>
        </w:rPr>
        <w:t>术规范要求，于</w:t>
      </w:r>
      <w:r>
        <w:rPr>
          <w:rFonts w:hint="eastAsia" w:asciiTheme="minorEastAsia" w:hAnsiTheme="minorEastAsia" w:eastAsiaTheme="minorEastAsia" w:cstheme="minorEastAsia"/>
          <w:spacing w:val="-37"/>
          <w:sz w:val="24"/>
          <w:szCs w:val="24"/>
        </w:rPr>
        <w:t xml:space="preserve"> </w:t>
      </w:r>
      <w:r>
        <w:rPr>
          <w:rFonts w:hint="eastAsia" w:asciiTheme="minorEastAsia" w:hAnsiTheme="minorEastAsia" w:eastAsiaTheme="minorEastAsia" w:cstheme="minorEastAsia"/>
          <w:spacing w:val="-1"/>
          <w:sz w:val="24"/>
          <w:szCs w:val="24"/>
        </w:rPr>
        <w:t>202</w:t>
      </w:r>
      <w:r>
        <w:rPr>
          <w:rFonts w:hint="eastAsia" w:asciiTheme="minorEastAsia" w:hAnsiTheme="minorEastAsia" w:eastAsiaTheme="minorEastAsia" w:cstheme="minorEastAsia"/>
          <w:spacing w:val="-1"/>
          <w:sz w:val="24"/>
          <w:szCs w:val="24"/>
          <w:lang w:val="en-US" w:eastAsia="zh-CN"/>
        </w:rPr>
        <w:t>4</w:t>
      </w:r>
      <w:r>
        <w:rPr>
          <w:rFonts w:hint="eastAsia" w:asciiTheme="minorEastAsia" w:hAnsiTheme="minorEastAsia" w:eastAsiaTheme="minorEastAsia" w:cstheme="minorEastAsia"/>
          <w:spacing w:val="-1"/>
          <w:sz w:val="24"/>
          <w:szCs w:val="24"/>
        </w:rPr>
        <w:t xml:space="preserve"> 年</w:t>
      </w:r>
      <w:r>
        <w:rPr>
          <w:rFonts w:hint="eastAsia" w:asciiTheme="minorEastAsia" w:hAnsiTheme="minorEastAsia" w:eastAsiaTheme="minorEastAsia" w:cstheme="minorEastAsia"/>
          <w:spacing w:val="-48"/>
          <w:sz w:val="24"/>
          <w:szCs w:val="24"/>
        </w:rPr>
        <w:t xml:space="preserve"> </w:t>
      </w:r>
      <w:r>
        <w:rPr>
          <w:rFonts w:hint="eastAsia" w:asciiTheme="minorEastAsia" w:hAnsiTheme="minorEastAsia" w:eastAsiaTheme="minorEastAsia" w:cstheme="minorEastAsia"/>
          <w:spacing w:val="-1"/>
          <w:sz w:val="24"/>
          <w:szCs w:val="24"/>
          <w:lang w:val="en-US" w:eastAsia="zh-CN"/>
        </w:rPr>
        <w:t>5</w:t>
      </w:r>
      <w:r>
        <w:rPr>
          <w:rFonts w:hint="eastAsia" w:asciiTheme="minorEastAsia" w:hAnsiTheme="minorEastAsia" w:eastAsiaTheme="minorEastAsia" w:cstheme="minorEastAsia"/>
          <w:spacing w:val="-1"/>
          <w:sz w:val="24"/>
          <w:szCs w:val="24"/>
        </w:rPr>
        <w:t>月编制完成了《</w:t>
      </w:r>
      <w:r>
        <w:rPr>
          <w:rFonts w:hint="eastAsia" w:asciiTheme="minorEastAsia" w:hAnsiTheme="minorEastAsia" w:eastAsiaTheme="minorEastAsia" w:cstheme="minorEastAsia"/>
          <w:spacing w:val="-1"/>
          <w:sz w:val="24"/>
          <w:szCs w:val="24"/>
          <w:lang w:eastAsia="zh-CN"/>
        </w:rPr>
        <w:t>艾丁湖生态保护治理项目（二期）</w:t>
      </w:r>
      <w:r>
        <w:rPr>
          <w:rFonts w:hint="eastAsia" w:asciiTheme="minorEastAsia" w:hAnsiTheme="minorEastAsia" w:eastAsiaTheme="minorEastAsia" w:cstheme="minorEastAsia"/>
          <w:spacing w:val="-2"/>
          <w:sz w:val="24"/>
          <w:szCs w:val="24"/>
        </w:rPr>
        <w:t>环境影响报告书》</w:t>
      </w:r>
      <w:r>
        <w:rPr>
          <w:rFonts w:hint="eastAsia" w:asciiTheme="minorEastAsia" w:hAnsiTheme="minorEastAsia" w:eastAsiaTheme="minorEastAsia" w:cstheme="minorEastAsia"/>
          <w:spacing w:val="-6"/>
          <w:sz w:val="24"/>
          <w:szCs w:val="24"/>
        </w:rPr>
        <w:t>。</w:t>
      </w:r>
    </w:p>
    <w:p w14:paraId="13E71D4B">
      <w:pPr>
        <w:pStyle w:val="3"/>
        <w:spacing w:line="360" w:lineRule="auto"/>
        <w:rPr>
          <w:rFonts w:hint="eastAsia" w:asciiTheme="minorEastAsia" w:hAnsiTheme="minorEastAsia" w:eastAsiaTheme="minorEastAsia" w:cstheme="minorEastAsia"/>
          <w:sz w:val="24"/>
          <w:szCs w:val="24"/>
        </w:rPr>
      </w:pPr>
    </w:p>
    <w:p w14:paraId="0BF49040">
      <w:pPr>
        <w:spacing w:before="98" w:line="218" w:lineRule="auto"/>
        <w:ind w:left="34"/>
        <w:outlineLvl w:val="1"/>
        <w:rPr>
          <w:rFonts w:hint="eastAsia" w:ascii="黑体" w:hAnsi="黑体" w:eastAsia="黑体" w:cs="黑体"/>
          <w:sz w:val="30"/>
          <w:szCs w:val="30"/>
        </w:rPr>
      </w:pPr>
      <w:bookmarkStart w:id="3" w:name="bookmark3"/>
      <w:bookmarkEnd w:id="3"/>
      <w:r>
        <w:rPr>
          <w:rFonts w:hint="eastAsia" w:ascii="黑体" w:hAnsi="黑体" w:eastAsia="黑体" w:cs="黑体"/>
          <w:spacing w:val="-1"/>
          <w:sz w:val="30"/>
          <w:szCs w:val="30"/>
          <w14:textOutline w14:w="5448" w14:cap="sq" w14:cmpd="sng">
            <w14:solidFill>
              <w14:srgbClr w14:val="000000"/>
            </w14:solidFill>
            <w14:prstDash w14:val="solid"/>
            <w14:bevel/>
          </w14:textOutline>
        </w:rPr>
        <w:t>1.2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评价工作过程</w:t>
      </w:r>
    </w:p>
    <w:p w14:paraId="4734877F">
      <w:pPr>
        <w:spacing w:before="184" w:line="360" w:lineRule="auto"/>
        <w:ind w:left="10" w:right="115" w:firstLine="479"/>
        <w:rPr>
          <w:rFonts w:ascii="宋体" w:hAnsi="宋体" w:eastAsia="宋体" w:cs="宋体"/>
          <w:spacing w:val="-2"/>
          <w:sz w:val="24"/>
          <w:szCs w:val="24"/>
        </w:rPr>
      </w:pPr>
      <w:r>
        <w:rPr>
          <w:rFonts w:ascii="宋体" w:hAnsi="宋体" w:eastAsia="宋体" w:cs="宋体"/>
          <w:spacing w:val="-2"/>
          <w:sz w:val="24"/>
          <w:szCs w:val="24"/>
        </w:rPr>
        <w:t>根据《中华人民共和国环境保护法》、《中华人民共和国环境影响评价法》、《建</w:t>
      </w:r>
      <w:r>
        <w:rPr>
          <w:rFonts w:ascii="宋体" w:hAnsi="宋体" w:eastAsia="宋体" w:cs="宋体"/>
          <w:spacing w:val="11"/>
          <w:sz w:val="24"/>
          <w:szCs w:val="24"/>
        </w:rPr>
        <w:t xml:space="preserve"> </w:t>
      </w:r>
      <w:r>
        <w:rPr>
          <w:rFonts w:ascii="宋体" w:hAnsi="宋体" w:eastAsia="宋体" w:cs="宋体"/>
          <w:spacing w:val="-2"/>
          <w:sz w:val="24"/>
          <w:szCs w:val="24"/>
        </w:rPr>
        <w:t>设项目环境保护管理条例》(国务院第</w:t>
      </w:r>
      <w:r>
        <w:rPr>
          <w:rFonts w:ascii="宋体" w:hAnsi="宋体" w:eastAsia="宋体" w:cs="宋体"/>
          <w:spacing w:val="-48"/>
          <w:sz w:val="24"/>
          <w:szCs w:val="24"/>
        </w:rPr>
        <w:t xml:space="preserve"> </w:t>
      </w:r>
      <w:r>
        <w:rPr>
          <w:rFonts w:ascii="宋体" w:hAnsi="宋体" w:eastAsia="宋体" w:cs="宋体"/>
          <w:spacing w:val="-2"/>
          <w:sz w:val="24"/>
          <w:szCs w:val="24"/>
        </w:rPr>
        <w:t>682</w:t>
      </w:r>
      <w:r>
        <w:rPr>
          <w:rFonts w:ascii="宋体" w:hAnsi="宋体" w:eastAsia="宋体" w:cs="宋体"/>
          <w:spacing w:val="-45"/>
          <w:sz w:val="24"/>
          <w:szCs w:val="24"/>
        </w:rPr>
        <w:t xml:space="preserve"> </w:t>
      </w:r>
      <w:r>
        <w:rPr>
          <w:rFonts w:ascii="宋体" w:hAnsi="宋体" w:eastAsia="宋体" w:cs="宋体"/>
          <w:spacing w:val="-2"/>
          <w:sz w:val="24"/>
          <w:szCs w:val="24"/>
        </w:rPr>
        <w:t>号令)、《建设项目环境</w:t>
      </w:r>
      <w:r>
        <w:rPr>
          <w:rFonts w:ascii="宋体" w:hAnsi="宋体" w:eastAsia="宋体" w:cs="宋体"/>
          <w:spacing w:val="-3"/>
          <w:sz w:val="24"/>
          <w:szCs w:val="24"/>
        </w:rPr>
        <w:t>影响评价分类管理名</w:t>
      </w:r>
      <w:r>
        <w:rPr>
          <w:rFonts w:ascii="宋体" w:hAnsi="宋体" w:eastAsia="宋体" w:cs="宋体"/>
          <w:sz w:val="24"/>
          <w:szCs w:val="24"/>
        </w:rPr>
        <w:t xml:space="preserve"> </w:t>
      </w:r>
      <w:r>
        <w:rPr>
          <w:rFonts w:ascii="宋体" w:hAnsi="宋体" w:eastAsia="宋体" w:cs="宋体"/>
          <w:spacing w:val="-4"/>
          <w:sz w:val="24"/>
          <w:szCs w:val="24"/>
        </w:rPr>
        <w:t>录》等有关环保法律法规，</w:t>
      </w:r>
      <w:r>
        <w:rPr>
          <w:rFonts w:hint="default" w:ascii="Times New Roman" w:hAnsi="Times New Roman" w:cs="Times New Roman"/>
        </w:rPr>
        <w:t>202</w:t>
      </w:r>
      <w:r>
        <w:rPr>
          <w:rFonts w:hint="default" w:ascii="Times New Roman" w:hAnsi="Times New Roman" w:cs="Times New Roman"/>
          <w:lang w:val="en-US" w:eastAsia="zh-CN"/>
        </w:rPr>
        <w:t>4</w:t>
      </w:r>
      <w:r>
        <w:rPr>
          <w:rFonts w:hint="default" w:ascii="Times New Roman" w:hAnsi="Times New Roman" w:cs="Times New Roman"/>
        </w:rPr>
        <w:t xml:space="preserve"> 年 </w:t>
      </w:r>
      <w:r>
        <w:rPr>
          <w:rFonts w:hint="default" w:ascii="Times New Roman" w:hAnsi="Times New Roman" w:cs="Times New Roman"/>
          <w:lang w:val="en-US" w:eastAsia="zh-CN"/>
        </w:rPr>
        <w:t>1</w:t>
      </w:r>
      <w:r>
        <w:rPr>
          <w:rFonts w:hint="default" w:ascii="Times New Roman" w:hAnsi="Times New Roman" w:cs="Times New Roman"/>
        </w:rPr>
        <w:t>2 月，</w:t>
      </w:r>
      <w:r>
        <w:rPr>
          <w:rFonts w:hint="eastAsia" w:ascii="宋体" w:hAnsi="宋体" w:eastAsia="宋体" w:cs="宋体"/>
          <w:spacing w:val="-4"/>
          <w:sz w:val="24"/>
          <w:szCs w:val="24"/>
          <w:lang w:eastAsia="zh-CN"/>
        </w:rPr>
        <w:t>吐鲁番市水务投资发展集团有限公司</w:t>
      </w:r>
      <w:r>
        <w:rPr>
          <w:rFonts w:ascii="宋体" w:hAnsi="宋体" w:eastAsia="宋体" w:cs="宋体"/>
          <w:spacing w:val="-4"/>
          <w:sz w:val="24"/>
          <w:szCs w:val="24"/>
        </w:rPr>
        <w:t>委托</w:t>
      </w:r>
      <w:r>
        <w:rPr>
          <w:rFonts w:hint="eastAsia" w:ascii="宋体" w:hAnsi="宋体" w:eastAsia="宋体" w:cs="宋体"/>
          <w:spacing w:val="-4"/>
          <w:sz w:val="24"/>
          <w:szCs w:val="24"/>
          <w:lang w:eastAsia="zh-CN"/>
        </w:rPr>
        <w:t>新疆荣祥环保科技咨询有限公司</w:t>
      </w:r>
      <w:r>
        <w:rPr>
          <w:rFonts w:ascii="宋体" w:hAnsi="宋体" w:eastAsia="宋体" w:cs="宋体"/>
          <w:spacing w:val="-2"/>
          <w:sz w:val="24"/>
          <w:szCs w:val="24"/>
        </w:rPr>
        <w:t>(以下简称“我公司</w:t>
      </w:r>
      <w:r>
        <w:rPr>
          <w:rFonts w:ascii="宋体" w:hAnsi="宋体" w:eastAsia="宋体" w:cs="宋体"/>
          <w:spacing w:val="-71"/>
          <w:sz w:val="24"/>
          <w:szCs w:val="24"/>
        </w:rPr>
        <w:t xml:space="preserve"> </w:t>
      </w:r>
      <w:r>
        <w:rPr>
          <w:rFonts w:ascii="宋体" w:hAnsi="宋体" w:eastAsia="宋体" w:cs="宋体"/>
          <w:spacing w:val="-2"/>
          <w:sz w:val="24"/>
          <w:szCs w:val="24"/>
        </w:rPr>
        <w:t>”)开展本工程环境影响评价工作。</w:t>
      </w:r>
    </w:p>
    <w:p w14:paraId="73665522">
      <w:pPr>
        <w:spacing w:line="240" w:lineRule="auto"/>
        <w:ind w:left="0" w:right="0" w:firstLine="480" w:firstLineChars="200"/>
        <w:rPr>
          <w:rFonts w:ascii="宋体" w:hAnsi="宋体" w:eastAsia="宋体" w:cs="宋体"/>
          <w:sz w:val="24"/>
          <w:szCs w:val="24"/>
        </w:rPr>
      </w:pPr>
      <w:r>
        <w:rPr>
          <w:rFonts w:ascii="宋体" w:hAnsi="宋体" w:eastAsia="宋体" w:cs="宋体"/>
          <w:position w:val="17"/>
          <w:sz w:val="24"/>
          <w:szCs w:val="24"/>
        </w:rPr>
        <w:t>按照《环境影响评价技术导则 总纲》</w:t>
      </w:r>
      <w:r>
        <w:rPr>
          <w:rFonts w:ascii="宋体" w:hAnsi="宋体" w:eastAsia="宋体" w:cs="宋体"/>
          <w:spacing w:val="-63"/>
          <w:position w:val="17"/>
          <w:sz w:val="24"/>
          <w:szCs w:val="24"/>
        </w:rPr>
        <w:t xml:space="preserve"> </w:t>
      </w:r>
      <w:r>
        <w:rPr>
          <w:rFonts w:ascii="宋体" w:hAnsi="宋体" w:eastAsia="宋体" w:cs="宋体"/>
          <w:position w:val="17"/>
          <w:sz w:val="24"/>
          <w:szCs w:val="24"/>
        </w:rPr>
        <w:t>(HJ2.1-2016)的要求，本次环境影响评价采</w:t>
      </w:r>
    </w:p>
    <w:p w14:paraId="6AC7DCE2">
      <w:pPr>
        <w:spacing w:line="360" w:lineRule="auto"/>
        <w:ind w:left="11"/>
        <w:rPr>
          <w:rFonts w:ascii="宋体" w:hAnsi="宋体" w:eastAsia="宋体" w:cs="宋体"/>
          <w:sz w:val="24"/>
          <w:szCs w:val="24"/>
        </w:rPr>
      </w:pPr>
      <w:r>
        <w:rPr>
          <w:rFonts w:ascii="宋体" w:hAnsi="宋体" w:eastAsia="宋体" w:cs="宋体"/>
          <w:spacing w:val="-3"/>
          <w:sz w:val="24"/>
          <w:szCs w:val="24"/>
        </w:rPr>
        <w:t>用的工作过程详见图</w:t>
      </w:r>
      <w:r>
        <w:rPr>
          <w:rFonts w:ascii="宋体" w:hAnsi="宋体" w:eastAsia="宋体" w:cs="宋体"/>
          <w:spacing w:val="-28"/>
          <w:sz w:val="24"/>
          <w:szCs w:val="24"/>
        </w:rPr>
        <w:t xml:space="preserve"> </w:t>
      </w:r>
      <w:r>
        <w:rPr>
          <w:rFonts w:ascii="宋体" w:hAnsi="宋体" w:eastAsia="宋体" w:cs="宋体"/>
          <w:spacing w:val="-3"/>
          <w:sz w:val="24"/>
          <w:szCs w:val="24"/>
        </w:rPr>
        <w:t>1-2-1。</w:t>
      </w:r>
    </w:p>
    <w:p w14:paraId="39B4CBC9">
      <w:pPr>
        <w:spacing w:before="186" w:line="9281" w:lineRule="exact"/>
        <w:ind w:firstLine="374"/>
      </w:pPr>
      <w:r>
        <w:rPr>
          <w:position w:val="-185"/>
        </w:rPr>
        <w:drawing>
          <wp:inline distT="0" distB="0" distL="0" distR="0">
            <wp:extent cx="5283200" cy="5892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8"/>
                    <a:stretch>
                      <a:fillRect/>
                    </a:stretch>
                  </pic:blipFill>
                  <pic:spPr>
                    <a:xfrm>
                      <a:off x="0" y="0"/>
                      <a:ext cx="5283707" cy="5893307"/>
                    </a:xfrm>
                    <a:prstGeom prst="rect">
                      <a:avLst/>
                    </a:prstGeom>
                  </pic:spPr>
                </pic:pic>
              </a:graphicData>
            </a:graphic>
          </wp:inline>
        </w:drawing>
      </w:r>
    </w:p>
    <w:p w14:paraId="526100CA">
      <w:pPr>
        <w:pStyle w:val="3"/>
        <w:spacing w:line="278" w:lineRule="auto"/>
      </w:pPr>
    </w:p>
    <w:p w14:paraId="4DF147AF">
      <w:pPr>
        <w:spacing w:before="78" w:line="218" w:lineRule="auto"/>
        <w:ind w:left="213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图</w:t>
      </w:r>
      <w:r>
        <w:rPr>
          <w:rFonts w:ascii="宋体" w:hAnsi="宋体" w:eastAsia="宋体" w:cs="宋体"/>
          <w:spacing w:val="-2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1-2-1</w:t>
      </w:r>
      <w:r>
        <w:rPr>
          <w:rFonts w:ascii="宋体" w:hAnsi="宋体" w:eastAsia="宋体" w:cs="宋体"/>
          <w:spacing w:val="-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本次环境影响评价采用的工作过程图</w:t>
      </w:r>
    </w:p>
    <w:p w14:paraId="1B35CA3D">
      <w:pPr>
        <w:pStyle w:val="3"/>
        <w:spacing w:line="280" w:lineRule="auto"/>
      </w:pPr>
    </w:p>
    <w:p w14:paraId="19E6FA28">
      <w:pPr>
        <w:spacing w:before="98" w:line="220" w:lineRule="auto"/>
        <w:ind w:left="34"/>
        <w:outlineLvl w:val="1"/>
        <w:rPr>
          <w:rFonts w:hint="eastAsia" w:ascii="黑体" w:hAnsi="黑体" w:eastAsia="黑体" w:cs="黑体"/>
          <w:sz w:val="30"/>
          <w:szCs w:val="30"/>
        </w:rPr>
      </w:pPr>
      <w:bookmarkStart w:id="4" w:name="bookmark4"/>
      <w:bookmarkEnd w:id="4"/>
      <w:r>
        <w:rPr>
          <w:rFonts w:hint="eastAsia" w:ascii="黑体" w:hAnsi="黑体" w:eastAsia="黑体" w:cs="黑体"/>
          <w:sz w:val="30"/>
          <w:szCs w:val="30"/>
          <w14:textOutline w14:w="5448" w14:cap="sq" w14:cmpd="sng">
            <w14:solidFill>
              <w14:srgbClr w14:val="000000"/>
            </w14:solidFill>
            <w14:prstDash w14:val="solid"/>
            <w14:bevel/>
          </w14:textOutline>
        </w:rPr>
        <w:t>1.3</w:t>
      </w:r>
      <w:r>
        <w:rPr>
          <w:rFonts w:hint="eastAsia" w:ascii="黑体" w:hAnsi="黑体" w:eastAsia="黑体" w:cs="黑体"/>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z w:val="30"/>
          <w:szCs w:val="30"/>
          <w14:textOutline w14:w="5448" w14:cap="sq" w14:cmpd="sng">
            <w14:solidFill>
              <w14:srgbClr w14:val="000000"/>
            </w14:solidFill>
            <w14:prstDash w14:val="solid"/>
            <w14:bevel/>
          </w14:textOutline>
        </w:rPr>
        <w:t>关注的主要环境问题</w:t>
      </w:r>
    </w:p>
    <w:p w14:paraId="7FBCC4B5">
      <w:pPr>
        <w:spacing w:before="217" w:line="360" w:lineRule="auto"/>
        <w:ind w:left="10" w:right="669" w:firstLine="480"/>
        <w:jc w:val="both"/>
        <w:rPr>
          <w:rFonts w:ascii="宋体" w:hAnsi="宋体" w:eastAsia="宋体" w:cs="宋体"/>
          <w:sz w:val="24"/>
          <w:szCs w:val="24"/>
        </w:rPr>
      </w:pPr>
      <w:r>
        <w:rPr>
          <w:rFonts w:ascii="宋体" w:hAnsi="宋体" w:eastAsia="宋体" w:cs="宋体"/>
          <w:sz w:val="24"/>
          <w:szCs w:val="24"/>
        </w:rPr>
        <w:t>本工程环境影响评价过程中关注的主要环境问题</w:t>
      </w:r>
      <w:r>
        <w:rPr>
          <w:rFonts w:ascii="宋体" w:hAnsi="宋体" w:eastAsia="宋体" w:cs="宋体"/>
          <w:spacing w:val="-1"/>
          <w:sz w:val="24"/>
          <w:szCs w:val="24"/>
        </w:rPr>
        <w:t>是：施工期水渠、施工场对</w:t>
      </w:r>
      <w:r>
        <w:rPr>
          <w:rFonts w:ascii="宋体" w:hAnsi="宋体" w:eastAsia="宋体" w:cs="宋体"/>
          <w:sz w:val="24"/>
          <w:szCs w:val="24"/>
        </w:rPr>
        <w:t xml:space="preserve"> 周边环境的影响，主要影响有废气、噪声、固废、生</w:t>
      </w:r>
      <w:r>
        <w:rPr>
          <w:rFonts w:ascii="宋体" w:hAnsi="宋体" w:eastAsia="宋体" w:cs="宋体"/>
          <w:spacing w:val="-1"/>
          <w:sz w:val="24"/>
          <w:szCs w:val="24"/>
        </w:rPr>
        <w:t>物多样性和景观，但影响较</w:t>
      </w:r>
    </w:p>
    <w:p w14:paraId="4DF97628">
      <w:pPr>
        <w:pStyle w:val="3"/>
        <w:spacing w:line="337" w:lineRule="auto"/>
      </w:pPr>
      <w:r>
        <w:rPr>
          <w:rFonts w:ascii="宋体" w:hAnsi="宋体" w:eastAsia="宋体" w:cs="宋体"/>
          <w:spacing w:val="-1"/>
          <w:sz w:val="24"/>
          <w:szCs w:val="24"/>
        </w:rPr>
        <w:t>小，影响时间较短；项目运营后对周边环境不利影响较小。</w:t>
      </w:r>
    </w:p>
    <w:p w14:paraId="58C57FA4">
      <w:pPr>
        <w:spacing w:before="98" w:line="220" w:lineRule="auto"/>
        <w:ind w:left="36"/>
        <w:outlineLvl w:val="1"/>
        <w:rPr>
          <w:rFonts w:hint="eastAsia" w:ascii="黑体" w:hAnsi="黑体" w:eastAsia="黑体" w:cs="黑体"/>
          <w:sz w:val="30"/>
          <w:szCs w:val="30"/>
        </w:rPr>
      </w:pPr>
      <w:bookmarkStart w:id="5" w:name="bookmark5"/>
      <w:bookmarkEnd w:id="5"/>
      <w:r>
        <w:rPr>
          <w:rFonts w:hint="eastAsia" w:ascii="黑体" w:hAnsi="黑体" w:eastAsia="黑体" w:cs="黑体"/>
          <w:sz w:val="30"/>
          <w:szCs w:val="30"/>
          <w14:textOutline w14:w="5448" w14:cap="sq" w14:cmpd="sng">
            <w14:solidFill>
              <w14:srgbClr w14:val="000000"/>
            </w14:solidFill>
            <w14:prstDash w14:val="solid"/>
            <w14:bevel/>
          </w14:textOutline>
        </w:rPr>
        <w:t>1.4</w:t>
      </w:r>
      <w:r>
        <w:rPr>
          <w:rFonts w:hint="eastAsia" w:ascii="黑体" w:hAnsi="黑体" w:eastAsia="黑体" w:cs="黑体"/>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z w:val="30"/>
          <w:szCs w:val="30"/>
          <w14:textOutline w14:w="5448" w14:cap="sq" w14:cmpd="sng">
            <w14:solidFill>
              <w14:srgbClr w14:val="000000"/>
            </w14:solidFill>
            <w14:prstDash w14:val="solid"/>
            <w14:bevel/>
          </w14:textOutline>
        </w:rPr>
        <w:t>分析判定相关情况</w:t>
      </w:r>
    </w:p>
    <w:p w14:paraId="37425390">
      <w:pPr>
        <w:spacing w:before="178" w:line="360" w:lineRule="auto"/>
        <w:ind w:left="503"/>
        <w:rPr>
          <w:rFonts w:ascii="宋体" w:hAnsi="宋体" w:eastAsia="宋体" w:cs="宋体"/>
          <w:sz w:val="24"/>
          <w:szCs w:val="24"/>
        </w:rPr>
      </w:pPr>
      <w:r>
        <w:rPr>
          <w:rFonts w:ascii="宋体" w:hAnsi="宋体" w:eastAsia="宋体" w:cs="宋体"/>
          <w:spacing w:val="-2"/>
          <w:sz w:val="24"/>
          <w:szCs w:val="24"/>
        </w:rPr>
        <w:t>（</w:t>
      </w: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）与产业政策的相符性</w:t>
      </w:r>
    </w:p>
    <w:p w14:paraId="1202780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本工程为</w:t>
      </w:r>
      <w:r>
        <w:rPr>
          <w:rFonts w:hint="eastAsia" w:ascii="宋体" w:hAnsi="宋体" w:eastAsia="宋体" w:cs="宋体"/>
          <w:color w:val="auto"/>
          <w:spacing w:val="-2"/>
          <w:sz w:val="24"/>
          <w:szCs w:val="24"/>
          <w:highlight w:val="none"/>
          <w:lang w:val="en-US" w:eastAsia="zh-CN"/>
        </w:rPr>
        <w:t>艾丁湖生态保护治理项目（二期），建设内容属于灌区水利工程</w:t>
      </w:r>
      <w:r>
        <w:rPr>
          <w:rFonts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rPr>
        <w:t>根据《产业结构调整指导目录（2024年本）》，本项目属于“鼓励类”中“二、水利”中的“2、节水供水工程：农村供水工程，灌区及配套设施建设、改造，高效输配水、节水灌溉技术推广应用，灌溉排水泵站更新改造工程，合同节水管理，节水改造工程，节水工艺、技术和装备推广应用，城镇用水单位智慧节水系统开发与应用，非常规水源开发利用”，因此，本项目的建设符合国家产业政策</w:t>
      </w:r>
      <w:r>
        <w:rPr>
          <w:rFonts w:ascii="宋体" w:hAnsi="宋体" w:eastAsia="宋体" w:cs="宋体"/>
          <w:color w:val="auto"/>
          <w:spacing w:val="-4"/>
          <w:sz w:val="24"/>
          <w:szCs w:val="24"/>
          <w:highlight w:val="none"/>
        </w:rPr>
        <w:t>。</w:t>
      </w:r>
    </w:p>
    <w:p w14:paraId="05F135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pacing w:val="-4"/>
          <w:sz w:val="24"/>
          <w:szCs w:val="24"/>
        </w:rPr>
      </w:pPr>
      <w:r>
        <w:rPr>
          <w:rFonts w:ascii="宋体" w:hAnsi="宋体" w:eastAsia="宋体" w:cs="宋体"/>
          <w:spacing w:val="-4"/>
          <w:sz w:val="24"/>
          <w:szCs w:val="24"/>
        </w:rPr>
        <w:t>（</w:t>
      </w:r>
      <w:r>
        <w:rPr>
          <w:rFonts w:hint="eastAsia" w:ascii="宋体" w:hAnsi="宋体" w:eastAsia="宋体" w:cs="宋体"/>
          <w:spacing w:val="-4"/>
          <w:sz w:val="24"/>
          <w:szCs w:val="24"/>
          <w:lang w:val="en-US" w:eastAsia="zh-CN"/>
        </w:rPr>
        <w:t>2</w:t>
      </w:r>
      <w:r>
        <w:rPr>
          <w:rFonts w:ascii="宋体" w:hAnsi="宋体" w:eastAsia="宋体" w:cs="宋体"/>
          <w:spacing w:val="-4"/>
          <w:sz w:val="24"/>
          <w:szCs w:val="24"/>
        </w:rPr>
        <w:t>）与主体功能区划的相符性</w:t>
      </w:r>
    </w:p>
    <w:p w14:paraId="28EE3D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pacing w:val="-4"/>
          <w:sz w:val="24"/>
          <w:szCs w:val="24"/>
        </w:rPr>
      </w:pPr>
      <w:r>
        <w:rPr>
          <w:rFonts w:ascii="宋体" w:hAnsi="宋体" w:eastAsia="宋体" w:cs="宋体"/>
          <w:spacing w:val="-4"/>
          <w:sz w:val="24"/>
          <w:szCs w:val="24"/>
        </w:rPr>
        <w:t>建设项目所经区域不属于《新疆主体功能区划》禁止开发区，与主体功能区划原则相符。</w:t>
      </w:r>
    </w:p>
    <w:p w14:paraId="080791D8">
      <w:pPr>
        <w:spacing w:line="240" w:lineRule="auto"/>
        <w:ind w:right="0" w:firstLine="460" w:firstLineChars="200"/>
        <w:jc w:val="both"/>
        <w:rPr>
          <w:rFonts w:ascii="宋体" w:hAnsi="宋体" w:eastAsia="宋体" w:cs="宋体"/>
          <w:sz w:val="24"/>
          <w:szCs w:val="24"/>
        </w:rPr>
      </w:pPr>
      <w:r>
        <w:rPr>
          <w:rFonts w:ascii="宋体" w:hAnsi="宋体" w:eastAsia="宋体" w:cs="宋体"/>
          <w:spacing w:val="-5"/>
          <w:sz w:val="24"/>
          <w:szCs w:val="24"/>
        </w:rPr>
        <w:t>（</w:t>
      </w:r>
      <w:r>
        <w:rPr>
          <w:rFonts w:hint="eastAsia" w:ascii="宋体" w:hAnsi="宋体" w:eastAsia="宋体" w:cs="宋体"/>
          <w:spacing w:val="-5"/>
          <w:sz w:val="24"/>
          <w:szCs w:val="24"/>
          <w:lang w:val="en-US" w:eastAsia="zh-CN"/>
        </w:rPr>
        <w:t>3</w:t>
      </w:r>
      <w:r>
        <w:rPr>
          <w:rFonts w:ascii="宋体" w:hAnsi="宋体" w:eastAsia="宋体" w:cs="宋体"/>
          <w:spacing w:val="-5"/>
          <w:sz w:val="24"/>
          <w:szCs w:val="24"/>
        </w:rPr>
        <w:t>）“三线一单</w:t>
      </w:r>
      <w:r>
        <w:rPr>
          <w:rFonts w:ascii="宋体" w:hAnsi="宋体" w:eastAsia="宋体" w:cs="宋体"/>
          <w:spacing w:val="-82"/>
          <w:sz w:val="24"/>
          <w:szCs w:val="24"/>
        </w:rPr>
        <w:t xml:space="preserve"> </w:t>
      </w:r>
      <w:r>
        <w:rPr>
          <w:rFonts w:ascii="宋体" w:hAnsi="宋体" w:eastAsia="宋体" w:cs="宋体"/>
          <w:spacing w:val="-5"/>
          <w:sz w:val="24"/>
          <w:szCs w:val="24"/>
        </w:rPr>
        <w:t>”符合性</w:t>
      </w:r>
    </w:p>
    <w:p w14:paraId="10C114E3">
      <w:pPr>
        <w:spacing w:before="183" w:line="360" w:lineRule="auto"/>
        <w:ind w:left="15" w:firstLine="479"/>
        <w:rPr>
          <w:rFonts w:ascii="宋体" w:hAnsi="宋体" w:eastAsia="宋体" w:cs="宋体"/>
          <w:sz w:val="24"/>
          <w:szCs w:val="24"/>
        </w:rPr>
      </w:pPr>
      <w:r>
        <w:rPr>
          <w:rFonts w:ascii="宋体" w:hAnsi="宋体" w:eastAsia="宋体" w:cs="宋体"/>
          <w:spacing w:val="-3"/>
          <w:sz w:val="24"/>
          <w:szCs w:val="24"/>
        </w:rPr>
        <w:t>建设项目满足《新疆维吾尔自治区“三线一单</w:t>
      </w:r>
      <w:r>
        <w:rPr>
          <w:rFonts w:ascii="宋体" w:hAnsi="宋体" w:eastAsia="宋体" w:cs="宋体"/>
          <w:spacing w:val="-74"/>
          <w:sz w:val="24"/>
          <w:szCs w:val="24"/>
        </w:rPr>
        <w:t xml:space="preserve"> </w:t>
      </w:r>
      <w:r>
        <w:rPr>
          <w:rFonts w:ascii="宋体" w:hAnsi="宋体" w:eastAsia="宋体" w:cs="宋体"/>
          <w:spacing w:val="-3"/>
          <w:sz w:val="24"/>
          <w:szCs w:val="24"/>
        </w:rPr>
        <w:t>”生态环境分区管控方案》、《新疆</w:t>
      </w:r>
      <w:r>
        <w:rPr>
          <w:rFonts w:ascii="宋体" w:hAnsi="宋体" w:eastAsia="宋体" w:cs="宋体"/>
          <w:sz w:val="24"/>
          <w:szCs w:val="24"/>
        </w:rPr>
        <w:t xml:space="preserve"> </w:t>
      </w:r>
      <w:r>
        <w:rPr>
          <w:rFonts w:ascii="宋体" w:hAnsi="宋体" w:eastAsia="宋体" w:cs="宋体"/>
          <w:spacing w:val="-3"/>
          <w:sz w:val="24"/>
          <w:szCs w:val="24"/>
        </w:rPr>
        <w:t>维吾尔自治区七大片区“三线一单</w:t>
      </w:r>
      <w:r>
        <w:rPr>
          <w:rFonts w:ascii="宋体" w:hAnsi="宋体" w:eastAsia="宋体" w:cs="宋体"/>
          <w:spacing w:val="-71"/>
          <w:sz w:val="24"/>
          <w:szCs w:val="24"/>
        </w:rPr>
        <w:t xml:space="preserve"> </w:t>
      </w:r>
      <w:r>
        <w:rPr>
          <w:rFonts w:ascii="宋体" w:hAnsi="宋体" w:eastAsia="宋体" w:cs="宋体"/>
          <w:spacing w:val="-3"/>
          <w:sz w:val="24"/>
          <w:szCs w:val="24"/>
        </w:rPr>
        <w:t>”生态环境分区管控要求》、《</w:t>
      </w:r>
      <w:r>
        <w:rPr>
          <w:rFonts w:hint="eastAsia" w:ascii="宋体" w:hAnsi="宋体" w:eastAsia="宋体" w:cs="宋体"/>
          <w:spacing w:val="-3"/>
          <w:sz w:val="24"/>
          <w:szCs w:val="24"/>
          <w:lang w:eastAsia="zh-CN"/>
        </w:rPr>
        <w:t>吐鲁番市</w:t>
      </w:r>
      <w:r>
        <w:rPr>
          <w:rFonts w:ascii="宋体" w:hAnsi="宋体" w:eastAsia="宋体" w:cs="宋体"/>
          <w:spacing w:val="-2"/>
          <w:sz w:val="24"/>
          <w:szCs w:val="24"/>
        </w:rPr>
        <w:t>“三线一单</w:t>
      </w:r>
      <w:r>
        <w:rPr>
          <w:rFonts w:ascii="宋体" w:hAnsi="宋体" w:eastAsia="宋体" w:cs="宋体"/>
          <w:spacing w:val="-73"/>
          <w:sz w:val="24"/>
          <w:szCs w:val="24"/>
        </w:rPr>
        <w:t xml:space="preserve"> </w:t>
      </w:r>
      <w:r>
        <w:rPr>
          <w:rFonts w:ascii="宋体" w:hAnsi="宋体" w:eastAsia="宋体" w:cs="宋体"/>
          <w:spacing w:val="-2"/>
          <w:sz w:val="24"/>
          <w:szCs w:val="24"/>
        </w:rPr>
        <w:t>”生态环境分区管控方案》的相关要求。</w:t>
      </w:r>
    </w:p>
    <w:p w14:paraId="26613CD9">
      <w:pPr>
        <w:pStyle w:val="3"/>
        <w:spacing w:line="277" w:lineRule="auto"/>
      </w:pPr>
    </w:p>
    <w:p w14:paraId="3559E8CA">
      <w:pPr>
        <w:spacing w:before="99" w:line="218" w:lineRule="auto"/>
        <w:ind w:left="36"/>
        <w:outlineLvl w:val="1"/>
        <w:rPr>
          <w:rFonts w:hint="eastAsia" w:ascii="黑体" w:hAnsi="黑体" w:eastAsia="黑体" w:cs="黑体"/>
          <w:sz w:val="30"/>
          <w:szCs w:val="30"/>
        </w:rPr>
      </w:pPr>
      <w:bookmarkStart w:id="6" w:name="bookmark6"/>
      <w:bookmarkEnd w:id="6"/>
      <w:r>
        <w:rPr>
          <w:rFonts w:hint="eastAsia" w:ascii="黑体" w:hAnsi="黑体" w:eastAsia="黑体" w:cs="黑体"/>
          <w:spacing w:val="-1"/>
          <w:sz w:val="30"/>
          <w:szCs w:val="30"/>
          <w14:textOutline w14:w="5448" w14:cap="sq" w14:cmpd="sng">
            <w14:solidFill>
              <w14:srgbClr w14:val="000000"/>
            </w14:solidFill>
            <w14:prstDash w14:val="solid"/>
            <w14:bevel/>
          </w14:textOutline>
        </w:rPr>
        <w:t>1.5</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主要评价结论</w:t>
      </w:r>
    </w:p>
    <w:p w14:paraId="60C82FD6">
      <w:pPr>
        <w:spacing w:before="300" w:line="360" w:lineRule="auto"/>
        <w:ind w:left="11" w:right="2" w:firstLine="482"/>
        <w:jc w:val="both"/>
        <w:rPr>
          <w:rFonts w:ascii="宋体" w:hAnsi="宋体" w:eastAsia="宋体" w:cs="宋体"/>
          <w:spacing w:val="-1"/>
          <w:sz w:val="24"/>
          <w:szCs w:val="24"/>
        </w:rPr>
      </w:pPr>
      <w:r>
        <w:rPr>
          <w:rFonts w:ascii="宋体" w:hAnsi="宋体" w:eastAsia="宋体" w:cs="宋体"/>
          <w:spacing w:val="-2"/>
          <w:sz w:val="24"/>
          <w:szCs w:val="24"/>
        </w:rPr>
        <w:t>工程在设计、施工、运行阶段将按照国家相关环境保护要求，分别采取一系列的环</w:t>
      </w:r>
      <w:r>
        <w:rPr>
          <w:rFonts w:ascii="宋体" w:hAnsi="宋体" w:eastAsia="宋体" w:cs="宋体"/>
          <w:spacing w:val="8"/>
          <w:sz w:val="24"/>
          <w:szCs w:val="24"/>
        </w:rPr>
        <w:t xml:space="preserve"> </w:t>
      </w:r>
      <w:r>
        <w:rPr>
          <w:rFonts w:ascii="宋体" w:hAnsi="宋体" w:eastAsia="宋体" w:cs="宋体"/>
          <w:spacing w:val="-2"/>
          <w:sz w:val="24"/>
          <w:szCs w:val="24"/>
        </w:rPr>
        <w:t>境保护措施来减小工程的环境影响，本环评在对其进行论证的基础上，结合建设项目的</w:t>
      </w:r>
      <w:r>
        <w:rPr>
          <w:rFonts w:ascii="宋体" w:hAnsi="宋体" w:eastAsia="宋体" w:cs="宋体"/>
          <w:spacing w:val="15"/>
          <w:sz w:val="24"/>
          <w:szCs w:val="24"/>
        </w:rPr>
        <w:t xml:space="preserve"> </w:t>
      </w:r>
      <w:r>
        <w:rPr>
          <w:rFonts w:ascii="宋体" w:hAnsi="宋体" w:eastAsia="宋体" w:cs="宋体"/>
          <w:spacing w:val="-2"/>
          <w:sz w:val="24"/>
          <w:szCs w:val="24"/>
        </w:rPr>
        <w:t>特点又增加了相应的环境保护措施。在严格执行各项环境保护措施后，可将工程建设对</w:t>
      </w:r>
      <w:r>
        <w:rPr>
          <w:rFonts w:ascii="宋体" w:hAnsi="宋体" w:eastAsia="宋体" w:cs="宋体"/>
          <w:spacing w:val="15"/>
          <w:sz w:val="24"/>
          <w:szCs w:val="24"/>
        </w:rPr>
        <w:t xml:space="preserve"> </w:t>
      </w:r>
      <w:r>
        <w:rPr>
          <w:rFonts w:ascii="宋体" w:hAnsi="宋体" w:eastAsia="宋体" w:cs="宋体"/>
          <w:spacing w:val="-2"/>
          <w:sz w:val="24"/>
          <w:szCs w:val="24"/>
        </w:rPr>
        <w:t>环境的影响控制在国家环保标准要求的范围内，使建设项目建设对环境的影响满足国家</w:t>
      </w:r>
      <w:r>
        <w:rPr>
          <w:rFonts w:ascii="宋体" w:hAnsi="宋体" w:eastAsia="宋体" w:cs="宋体"/>
          <w:spacing w:val="-1"/>
          <w:sz w:val="24"/>
          <w:szCs w:val="24"/>
        </w:rPr>
        <w:t>相关标准要求。从环保角度分析，建设项目的建设是合理可行的。</w:t>
      </w:r>
      <w:bookmarkStart w:id="7" w:name="bookmark8"/>
      <w:bookmarkEnd w:id="7"/>
      <w:bookmarkStart w:id="8" w:name="bookmark7"/>
      <w:bookmarkEnd w:id="8"/>
    </w:p>
    <w:p w14:paraId="29B90899">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30783705">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12DC386D">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011ABCDF">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1CCA5160">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6423C695">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0251123E">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0EC53C77">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3BCD1C1C">
      <w:pPr>
        <w:spacing w:before="315" w:line="225" w:lineRule="auto"/>
        <w:ind w:left="16"/>
        <w:outlineLvl w:val="0"/>
        <w:rPr>
          <w:rFonts w:hint="eastAsia" w:ascii="黑体" w:hAnsi="黑体" w:eastAsia="黑体" w:cs="黑体"/>
          <w:spacing w:val="-2"/>
          <w:sz w:val="32"/>
          <w:szCs w:val="32"/>
          <w14:textOutline w14:w="5793" w14:cap="sq" w14:cmpd="sng">
            <w14:solidFill>
              <w14:srgbClr w14:val="000000"/>
            </w14:solidFill>
            <w14:prstDash w14:val="solid"/>
            <w14:bevel/>
          </w14:textOutline>
        </w:rPr>
      </w:pPr>
    </w:p>
    <w:p w14:paraId="76D6364D">
      <w:pPr>
        <w:spacing w:before="315" w:line="225" w:lineRule="auto"/>
        <w:ind w:left="16"/>
        <w:outlineLvl w:val="0"/>
        <w:rPr>
          <w:rFonts w:hint="eastAsia" w:ascii="黑体" w:hAnsi="黑体" w:eastAsia="黑体" w:cs="黑体"/>
          <w:sz w:val="32"/>
          <w:szCs w:val="32"/>
        </w:rPr>
      </w:pPr>
      <w:r>
        <w:rPr>
          <w:rFonts w:hint="eastAsia" w:ascii="黑体" w:hAnsi="黑体" w:eastAsia="黑体" w:cs="黑体"/>
          <w:spacing w:val="-2"/>
          <w:sz w:val="32"/>
          <w:szCs w:val="32"/>
          <w14:textOutline w14:w="5793" w14:cap="sq" w14:cmpd="sng">
            <w14:solidFill>
              <w14:srgbClr w14:val="000000"/>
            </w14:solidFill>
            <w14:prstDash w14:val="solid"/>
            <w14:bevel/>
          </w14:textOutline>
        </w:rPr>
        <w:t>2</w:t>
      </w:r>
      <w:r>
        <w:rPr>
          <w:rFonts w:hint="eastAsia" w:ascii="黑体" w:hAnsi="黑体" w:eastAsia="黑体" w:cs="黑体"/>
          <w:spacing w:val="-2"/>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2"/>
          <w:sz w:val="32"/>
          <w:szCs w:val="32"/>
          <w14:textOutline w14:w="5793" w14:cap="sq" w14:cmpd="sng">
            <w14:solidFill>
              <w14:srgbClr w14:val="000000"/>
            </w14:solidFill>
            <w14:prstDash w14:val="solid"/>
            <w14:bevel/>
          </w14:textOutline>
        </w:rPr>
        <w:t>总则</w:t>
      </w:r>
    </w:p>
    <w:p w14:paraId="17B9E02D">
      <w:pPr>
        <w:spacing w:before="239" w:line="219" w:lineRule="auto"/>
        <w:ind w:left="15"/>
        <w:outlineLvl w:val="1"/>
        <w:rPr>
          <w:rFonts w:hint="eastAsia" w:ascii="黑体" w:hAnsi="黑体" w:eastAsia="黑体" w:cs="黑体"/>
          <w:sz w:val="30"/>
          <w:szCs w:val="30"/>
        </w:rPr>
      </w:pPr>
      <w:r>
        <w:rPr>
          <w:rFonts w:hint="eastAsia" w:ascii="黑体" w:hAnsi="黑体" w:eastAsia="黑体" w:cs="黑体"/>
          <w:spacing w:val="-4"/>
          <w:sz w:val="30"/>
          <w:szCs w:val="30"/>
          <w14:textOutline w14:w="5448" w14:cap="sq" w14:cmpd="sng">
            <w14:solidFill>
              <w14:srgbClr w14:val="000000"/>
            </w14:solidFill>
            <w14:prstDash w14:val="solid"/>
            <w14:bevel/>
          </w14:textOutline>
        </w:rPr>
        <w:t>2.1</w:t>
      </w:r>
      <w:r>
        <w:rPr>
          <w:rFonts w:hint="eastAsia" w:ascii="黑体" w:hAnsi="黑体" w:eastAsia="黑体" w:cs="黑体"/>
          <w:spacing w:val="-4"/>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4"/>
          <w:sz w:val="30"/>
          <w:szCs w:val="30"/>
          <w14:textOutline w14:w="5448" w14:cap="sq" w14:cmpd="sng">
            <w14:solidFill>
              <w14:srgbClr w14:val="000000"/>
            </w14:solidFill>
            <w14:prstDash w14:val="solid"/>
            <w14:bevel/>
          </w14:textOutline>
        </w:rPr>
        <w:t>编制依据</w:t>
      </w:r>
    </w:p>
    <w:p w14:paraId="683BD8E3">
      <w:pPr>
        <w:spacing w:before="225" w:line="220" w:lineRule="auto"/>
        <w:ind w:left="14"/>
        <w:outlineLvl w:val="2"/>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t>2.1.1</w:t>
      </w:r>
      <w:r>
        <w:rPr>
          <w:rFonts w:hint="eastAsia" w:asciiTheme="majorEastAsia" w:hAnsiTheme="majorEastAsia" w:eastAsiaTheme="majorEastAsia" w:cstheme="majorEastAsia"/>
          <w:b/>
          <w:bCs/>
          <w:spacing w:val="-2"/>
          <w:sz w:val="28"/>
          <w:szCs w:val="28"/>
          <w:lang w:val="en-US" w:eastAsia="zh-CN"/>
          <w14:textOutline w14:w="5103" w14:cap="sq" w14:cmpd="sng">
            <w14:solidFill>
              <w14:srgbClr w14:val="000000"/>
            </w14:solidFill>
            <w14:prstDash w14:val="solid"/>
            <w14:bevel/>
          </w14:textOutline>
        </w:rPr>
        <w:t xml:space="preserve"> </w:t>
      </w:r>
      <w:r>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t>法律、法规</w:t>
      </w:r>
    </w:p>
    <w:p w14:paraId="1548909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ascii="宋体" w:hAnsi="宋体" w:eastAsia="宋体" w:cs="宋体"/>
          <w:snapToGrid w:val="0"/>
          <w:color w:val="000000"/>
          <w:kern w:val="0"/>
          <w:sz w:val="24"/>
          <w:szCs w:val="24"/>
          <w:lang w:val="en-US" w:eastAsia="en-US" w:bidi="ar-SA"/>
        </w:rPr>
        <w:t>《中华人民共和国环境保护法》(2014 年 4 月 24 日修订，2015 年 1 月 1 日起施行)；</w:t>
      </w:r>
    </w:p>
    <w:p w14:paraId="7DA7421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（2）《中华人民共和国环境影响评价法》(2018 年 12 月 29 日起修订版实施)；</w:t>
      </w:r>
    </w:p>
    <w:p w14:paraId="0B4C68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（3）《中华人民共和国水污染防治法》(2017 年 6 月 27 日修订，2018 年 1 月 1 日起施行)；</w:t>
      </w:r>
    </w:p>
    <w:p w14:paraId="0B97B16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（4）</w:t>
      </w:r>
      <w:r>
        <w:rPr>
          <w:rFonts w:ascii="宋体" w:hAnsi="宋体" w:eastAsia="宋体" w:cs="宋体"/>
          <w:snapToGrid w:val="0"/>
          <w:color w:val="000000"/>
          <w:kern w:val="0"/>
          <w:sz w:val="24"/>
          <w:szCs w:val="24"/>
          <w:lang w:val="en-US" w:eastAsia="en-US" w:bidi="ar-SA"/>
        </w:rPr>
        <w:t>《中华人民共和国噪声污染防治法》 (2022 年 6 月 5 日起实施)；</w:t>
      </w:r>
    </w:p>
    <w:p w14:paraId="598C0FF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（5）</w:t>
      </w:r>
      <w:r>
        <w:rPr>
          <w:rFonts w:ascii="宋体" w:hAnsi="宋体" w:eastAsia="宋体" w:cs="宋体"/>
          <w:snapToGrid w:val="0"/>
          <w:color w:val="000000"/>
          <w:kern w:val="0"/>
          <w:sz w:val="24"/>
          <w:szCs w:val="24"/>
          <w:lang w:val="en-US" w:eastAsia="en-US" w:bidi="ar-SA"/>
        </w:rPr>
        <w:t>《中华人民共和国大气污染防治法》 (2018 年 10 月 26 日修订并施行)；</w:t>
      </w:r>
    </w:p>
    <w:p w14:paraId="1596DE2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《中华人民共和国固体废物污染环境防治法》 (2020 年 9 月 1 日实施)；</w:t>
      </w:r>
    </w:p>
    <w:p w14:paraId="18E625B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（7）</w:t>
      </w:r>
      <w:r>
        <w:rPr>
          <w:rFonts w:ascii="宋体" w:hAnsi="宋体" w:eastAsia="宋体" w:cs="宋体"/>
          <w:snapToGrid w:val="0"/>
          <w:color w:val="000000"/>
          <w:kern w:val="0"/>
          <w:sz w:val="24"/>
          <w:szCs w:val="24"/>
          <w:lang w:val="en-US" w:eastAsia="en-US" w:bidi="ar-SA"/>
        </w:rPr>
        <w:t>《中华人民共和国水土保持法》 (2011 年 3 月 1 日起修订版施行)；</w:t>
      </w:r>
    </w:p>
    <w:p w14:paraId="12F975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（8）</w:t>
      </w:r>
      <w:r>
        <w:rPr>
          <w:rFonts w:ascii="宋体" w:hAnsi="宋体" w:eastAsia="宋体" w:cs="宋体"/>
          <w:snapToGrid w:val="0"/>
          <w:color w:val="000000"/>
          <w:kern w:val="0"/>
          <w:sz w:val="24"/>
          <w:szCs w:val="24"/>
          <w:lang w:val="en-US" w:eastAsia="en-US" w:bidi="ar-SA"/>
        </w:rPr>
        <w:t>《中华人民共和国野生动物保护法》 (2022 年 12 月 30 日修订，2023 年 5 月 1日起施行)；</w:t>
      </w:r>
    </w:p>
    <w:p w14:paraId="34A878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（9）</w:t>
      </w:r>
      <w:r>
        <w:rPr>
          <w:rFonts w:ascii="宋体" w:hAnsi="宋体" w:eastAsia="宋体" w:cs="宋体"/>
          <w:snapToGrid w:val="0"/>
          <w:color w:val="000000"/>
          <w:kern w:val="0"/>
          <w:sz w:val="24"/>
          <w:szCs w:val="24"/>
          <w:lang w:val="en-US" w:eastAsia="en-US" w:bidi="ar-SA"/>
        </w:rPr>
        <w:t>《中华人民共和国土地管理法》 (2020 年 1 月 1 日起修订版施行)；</w:t>
      </w:r>
    </w:p>
    <w:p w14:paraId="49BD18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（10）</w:t>
      </w:r>
      <w:r>
        <w:rPr>
          <w:rFonts w:ascii="宋体" w:hAnsi="宋体" w:eastAsia="宋体" w:cs="宋体"/>
          <w:snapToGrid w:val="0"/>
          <w:color w:val="000000"/>
          <w:kern w:val="0"/>
          <w:sz w:val="24"/>
          <w:szCs w:val="24"/>
          <w:lang w:val="en-US" w:eastAsia="en-US" w:bidi="ar-SA"/>
        </w:rPr>
        <w:t>《中华人民共和国城乡规划法》 (2019 年 4 月 23 日起修正版施行)；</w:t>
      </w:r>
    </w:p>
    <w:p w14:paraId="22AEAC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（11）</w:t>
      </w:r>
      <w:r>
        <w:rPr>
          <w:rFonts w:ascii="宋体" w:hAnsi="宋体" w:eastAsia="宋体" w:cs="宋体"/>
          <w:snapToGrid w:val="0"/>
          <w:color w:val="000000"/>
          <w:kern w:val="0"/>
          <w:sz w:val="24"/>
          <w:szCs w:val="24"/>
          <w:lang w:val="en-US" w:eastAsia="en-US" w:bidi="ar-SA"/>
        </w:rPr>
        <w:t>《中华人民共和国水法》 (2016 年 7 月 2 日修订，2016 年 9 月 1 日起实施)；</w:t>
      </w:r>
    </w:p>
    <w:p w14:paraId="6F3E73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（12）</w:t>
      </w:r>
      <w:r>
        <w:rPr>
          <w:rFonts w:ascii="宋体" w:hAnsi="宋体" w:eastAsia="宋体" w:cs="宋体"/>
          <w:snapToGrid w:val="0"/>
          <w:color w:val="000000"/>
          <w:kern w:val="0"/>
          <w:sz w:val="24"/>
          <w:szCs w:val="24"/>
          <w:lang w:val="en-US" w:eastAsia="en-US" w:bidi="ar-SA"/>
        </w:rPr>
        <w:t xml:space="preserve">《中华人民共和国土壤污染防治法》（2018 年 8 月 31 立审议通过，2019 年 1月 1 </w:t>
      </w:r>
      <w:r>
        <w:rPr>
          <w:rFonts w:hint="eastAsia" w:ascii="宋体" w:hAnsi="宋体" w:eastAsia="宋体" w:cs="宋体"/>
          <w:snapToGrid w:val="0"/>
          <w:color w:val="000000"/>
          <w:kern w:val="0"/>
          <w:sz w:val="24"/>
          <w:szCs w:val="24"/>
          <w:lang w:val="en-US" w:eastAsia="zh-CN" w:bidi="ar-SA"/>
        </w:rPr>
        <w:t>鈤</w:t>
      </w:r>
      <w:r>
        <w:rPr>
          <w:rFonts w:ascii="宋体" w:hAnsi="宋体" w:eastAsia="宋体" w:cs="宋体"/>
          <w:snapToGrid w:val="0"/>
          <w:color w:val="000000"/>
          <w:kern w:val="0"/>
          <w:sz w:val="24"/>
          <w:szCs w:val="24"/>
          <w:lang w:val="en-US" w:eastAsia="en-US" w:bidi="ar-SA"/>
        </w:rPr>
        <w:t>立起施行；</w:t>
      </w:r>
    </w:p>
    <w:p w14:paraId="184FCC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（13）《中华人民共和国湿地保护法》（2021 年 12 月 24 日发布，2022 年 6 月 1 日实施）；</w:t>
      </w:r>
    </w:p>
    <w:p w14:paraId="7A4F34E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（14）《中华人民共和国野生动植物保护条例》(国务院令第 687 号，2017 年 10 月 7日修订，2017 年 10 月 23 日起施行)；</w:t>
      </w:r>
    </w:p>
    <w:p w14:paraId="37472F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（15）</w:t>
      </w:r>
      <w:r>
        <w:rPr>
          <w:rFonts w:ascii="宋体" w:hAnsi="宋体" w:eastAsia="宋体" w:cs="宋体"/>
          <w:snapToGrid w:val="0"/>
          <w:color w:val="000000"/>
          <w:kern w:val="0"/>
          <w:sz w:val="24"/>
          <w:szCs w:val="24"/>
          <w:lang w:val="en-US" w:eastAsia="en-US" w:bidi="ar-SA"/>
        </w:rPr>
        <w:t>《建设项目环境保护管理条例》，国务院令第 682 号(2017 年 10 月 1 日起施行)；</w:t>
      </w:r>
    </w:p>
    <w:p w14:paraId="09CE1B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（16）</w:t>
      </w:r>
      <w:r>
        <w:rPr>
          <w:rFonts w:ascii="宋体" w:hAnsi="宋体" w:eastAsia="宋体" w:cs="宋体"/>
          <w:snapToGrid w:val="0"/>
          <w:color w:val="000000"/>
          <w:kern w:val="0"/>
          <w:sz w:val="24"/>
          <w:szCs w:val="24"/>
          <w:lang w:val="en-US" w:eastAsia="en-US" w:bidi="ar-SA"/>
        </w:rPr>
        <w:t>《土地复垦条例》，国务院令第 592 号(2011 年 3 月 5 日起施行)；</w:t>
      </w:r>
    </w:p>
    <w:p w14:paraId="6638E6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（17）</w:t>
      </w:r>
      <w:r>
        <w:rPr>
          <w:rFonts w:ascii="宋体" w:hAnsi="宋体" w:eastAsia="宋体" w:cs="宋体"/>
          <w:snapToGrid w:val="0"/>
          <w:color w:val="000000"/>
          <w:kern w:val="0"/>
          <w:sz w:val="24"/>
          <w:szCs w:val="24"/>
          <w:lang w:val="en-US" w:eastAsia="en-US" w:bidi="ar-SA"/>
        </w:rPr>
        <w:t>《关于划定并严守生态保护红线的若干意见》 (中共中央办公厅、国务院办公厅 2017 年 2 月印发)；</w:t>
      </w:r>
    </w:p>
    <w:p w14:paraId="01BDE4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（18）</w:t>
      </w:r>
      <w:r>
        <w:rPr>
          <w:rFonts w:ascii="宋体" w:hAnsi="宋体" w:eastAsia="宋体" w:cs="宋体"/>
          <w:snapToGrid w:val="0"/>
          <w:color w:val="000000"/>
          <w:kern w:val="0"/>
          <w:sz w:val="24"/>
          <w:szCs w:val="24"/>
          <w:lang w:val="en-US" w:eastAsia="en-US" w:bidi="ar-SA"/>
        </w:rPr>
        <w:t>《关于在国土空间规划中统筹划定落实三条控制线的指导意见》 (</w:t>
      </w:r>
      <w:r>
        <w:rPr>
          <w:rFonts w:hint="eastAsia" w:ascii="宋体" w:hAnsi="宋体" w:eastAsia="宋体" w:cs="宋体"/>
          <w:snapToGrid w:val="0"/>
          <w:color w:val="000000"/>
          <w:kern w:val="0"/>
          <w:sz w:val="24"/>
          <w:szCs w:val="24"/>
          <w:lang w:val="en-US" w:eastAsia="en-US" w:bidi="ar-SA"/>
        </w:rPr>
        <w:t>中共中央、国务院</w:t>
      </w:r>
      <w:r>
        <w:rPr>
          <w:rFonts w:ascii="宋体" w:hAnsi="宋体" w:eastAsia="宋体" w:cs="宋体"/>
          <w:snapToGrid w:val="0"/>
          <w:color w:val="000000"/>
          <w:kern w:val="0"/>
          <w:sz w:val="24"/>
          <w:szCs w:val="24"/>
          <w:lang w:val="en-US" w:eastAsia="en-US" w:bidi="ar-SA"/>
        </w:rPr>
        <w:t>办公厅 2019 年 11 月印发)。</w:t>
      </w:r>
    </w:p>
    <w:p w14:paraId="634F2461">
      <w:pPr>
        <w:spacing w:before="91" w:line="219" w:lineRule="auto"/>
        <w:ind w:left="14"/>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2.1.2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部委规章</w:t>
      </w:r>
    </w:p>
    <w:p w14:paraId="1B90FB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《国家发展改革委关于修改&lt;产业结构调整指导目录（2019 年本）&gt;的决定》(中华人民共和国国家发展和改革委员会令第 49 号，2021 年 12 月 30 日实施)；</w:t>
      </w:r>
    </w:p>
    <w:p w14:paraId="492C487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eastAsia="zh-CN"/>
        </w:rPr>
        <w:t>（</w:t>
      </w:r>
      <w:r>
        <w:rPr>
          <w:rFonts w:hint="eastAsia" w:asciiTheme="minorEastAsia" w:hAnsiTheme="minorEastAsia" w:eastAsiaTheme="minorEastAsia" w:cstheme="minorEastAsia"/>
          <w:spacing w:val="-4"/>
          <w:sz w:val="24"/>
          <w:szCs w:val="24"/>
          <w:lang w:val="en-US" w:eastAsia="zh-CN"/>
        </w:rPr>
        <w:t>2</w:t>
      </w:r>
      <w:r>
        <w:rPr>
          <w:rFonts w:hint="eastAsia" w:asciiTheme="minorEastAsia" w:hAnsiTheme="minorEastAsia" w:eastAsiaTheme="minorEastAsia" w:cstheme="minorEastAsia"/>
          <w:spacing w:val="-4"/>
          <w:sz w:val="24"/>
          <w:szCs w:val="24"/>
          <w:lang w:eastAsia="zh-CN"/>
        </w:rPr>
        <w:t>）</w:t>
      </w:r>
      <w:r>
        <w:rPr>
          <w:rFonts w:hint="eastAsia" w:asciiTheme="minorEastAsia" w:hAnsiTheme="minorEastAsia" w:eastAsiaTheme="minorEastAsia" w:cstheme="minorEastAsia"/>
          <w:spacing w:val="-4"/>
          <w:sz w:val="24"/>
          <w:szCs w:val="24"/>
        </w:rPr>
        <w:t>《建设项目环境影响评价分类管理名录》</w:t>
      </w:r>
      <w:r>
        <w:rPr>
          <w:rFonts w:hint="eastAsia" w:asciiTheme="minorEastAsia" w:hAnsiTheme="minorEastAsia" w:eastAsiaTheme="minorEastAsia" w:cstheme="minorEastAsia"/>
          <w:spacing w:val="-69"/>
          <w:sz w:val="24"/>
          <w:szCs w:val="24"/>
        </w:rPr>
        <w:t xml:space="preserve"> </w:t>
      </w:r>
      <w:r>
        <w:rPr>
          <w:rFonts w:hint="eastAsia" w:asciiTheme="minorEastAsia" w:hAnsiTheme="minorEastAsia" w:eastAsiaTheme="minorEastAsia" w:cstheme="minorEastAsia"/>
          <w:spacing w:val="-4"/>
          <w:sz w:val="24"/>
          <w:szCs w:val="24"/>
        </w:rPr>
        <w:t>(生态环境</w:t>
      </w:r>
      <w:r>
        <w:rPr>
          <w:rFonts w:hint="eastAsia" w:asciiTheme="minorEastAsia" w:hAnsiTheme="minorEastAsia" w:eastAsiaTheme="minorEastAsia" w:cstheme="minorEastAsia"/>
          <w:spacing w:val="-5"/>
          <w:sz w:val="24"/>
          <w:szCs w:val="24"/>
        </w:rPr>
        <w:t>部令</w:t>
      </w:r>
      <w:r>
        <w:rPr>
          <w:rFonts w:hint="eastAsia" w:asciiTheme="minorEastAsia" w:hAnsiTheme="minorEastAsia" w:eastAsiaTheme="minorEastAsia" w:cstheme="minorEastAsia"/>
          <w:spacing w:val="-48"/>
          <w:sz w:val="24"/>
          <w:szCs w:val="24"/>
        </w:rPr>
        <w:t xml:space="preserve"> </w:t>
      </w:r>
      <w:r>
        <w:rPr>
          <w:rFonts w:hint="eastAsia" w:asciiTheme="minorEastAsia" w:hAnsiTheme="minorEastAsia" w:eastAsiaTheme="minorEastAsia" w:cstheme="minorEastAsia"/>
          <w:spacing w:val="-5"/>
          <w:sz w:val="24"/>
          <w:szCs w:val="24"/>
        </w:rPr>
        <w:t>2020</w:t>
      </w:r>
      <w:r>
        <w:rPr>
          <w:rFonts w:hint="eastAsia" w:asciiTheme="minorEastAsia" w:hAnsiTheme="minorEastAsia" w:eastAsiaTheme="minorEastAsia" w:cstheme="minorEastAsia"/>
          <w:spacing w:val="-49"/>
          <w:sz w:val="24"/>
          <w:szCs w:val="24"/>
        </w:rPr>
        <w:t xml:space="preserve"> </w:t>
      </w:r>
      <w:r>
        <w:rPr>
          <w:rFonts w:hint="eastAsia" w:asciiTheme="minorEastAsia" w:hAnsiTheme="minorEastAsia" w:eastAsiaTheme="minorEastAsia" w:cstheme="minorEastAsia"/>
          <w:spacing w:val="-5"/>
          <w:sz w:val="24"/>
          <w:szCs w:val="24"/>
        </w:rPr>
        <w:t>年第</w:t>
      </w:r>
      <w:r>
        <w:rPr>
          <w:rFonts w:hint="eastAsia" w:asciiTheme="minorEastAsia" w:hAnsiTheme="minorEastAsia" w:eastAsiaTheme="minorEastAsia" w:cstheme="minorEastAsia"/>
          <w:spacing w:val="-33"/>
          <w:sz w:val="24"/>
          <w:szCs w:val="24"/>
        </w:rPr>
        <w:t xml:space="preserve"> </w:t>
      </w:r>
      <w:r>
        <w:rPr>
          <w:rFonts w:hint="eastAsia" w:asciiTheme="minorEastAsia" w:hAnsiTheme="minorEastAsia" w:eastAsiaTheme="minorEastAsia" w:cstheme="minorEastAsia"/>
          <w:spacing w:val="-5"/>
          <w:sz w:val="24"/>
          <w:szCs w:val="24"/>
        </w:rPr>
        <w:t>16</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5"/>
          <w:sz w:val="24"/>
          <w:szCs w:val="24"/>
        </w:rPr>
        <w:t>号)；</w:t>
      </w:r>
    </w:p>
    <w:p w14:paraId="3F5CB3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《环境影响评价公众参与办法》(生态环境部部令第 4 号)，自 2019 年 1 月 1 立起施行；</w:t>
      </w:r>
    </w:p>
    <w:p w14:paraId="0617C2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《关于发布&lt;环境影响评价公众参与办法&gt;配套文件的公告》 (生态环境部公告2018 年第 48 号)；</w:t>
      </w:r>
    </w:p>
    <w:p w14:paraId="0B8C3C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《全国生态功能区划(修编版)》原国家环保部，中国科学院，2015 年第 61 号公告；</w:t>
      </w:r>
    </w:p>
    <w:p w14:paraId="79B38F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《关于实施“三线一单 ”生态环境分区管控的指导意见(试行)》(环环评〔2021〕108 号)；</w:t>
      </w:r>
    </w:p>
    <w:p w14:paraId="1A6FE4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关于印发《建设项目环境影响评价信息公开机制方案》的通知(环发〔2015〕162号)，2015 年 12 月 10 日起实施；</w:t>
      </w:r>
    </w:p>
    <w:p w14:paraId="2A4D6A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《自然资源部国家林业和草原局关于做好自然保护区范围及功能分区优化调整前期有关工作的函》 自然资函(2020)71 号，2020 年 2 月 10 日；</w:t>
      </w:r>
    </w:p>
    <w:p w14:paraId="2D890C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eastAsia"/>
        </w:rPr>
      </w:pP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lang w:val="en-US" w:eastAsia="zh-CN"/>
        </w:rPr>
        <w:t>9</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《关于加强生态保护红线管理的通知（试行）》</w:t>
      </w:r>
      <w:r>
        <w:rPr>
          <w:rFonts w:hint="eastAsia" w:ascii="宋体" w:hAnsi="宋体" w:eastAsia="宋体" w:cs="宋体"/>
          <w:sz w:val="24"/>
          <w:szCs w:val="24"/>
        </w:rPr>
        <w:t>自然资发〔2022〕142 号</w:t>
      </w:r>
      <w:r>
        <w:rPr>
          <w:rFonts w:hint="eastAsia" w:ascii="宋体" w:hAnsi="宋体" w:eastAsia="宋体" w:cs="宋体"/>
          <w:sz w:val="24"/>
          <w:szCs w:val="24"/>
          <w:lang w:eastAsia="zh-CN"/>
        </w:rPr>
        <w:t>；</w:t>
      </w:r>
    </w:p>
    <w:p w14:paraId="59FD42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《生态保护红线生态环境监督办法（试行）》国环规生态〔2022〕2 号，2022年 12 月 27 日；</w:t>
      </w:r>
    </w:p>
    <w:p w14:paraId="54ECC8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《国家危险废物名录》(2020年11月25日发布，2024 年 12 月 1 日实施)。</w:t>
      </w:r>
    </w:p>
    <w:p w14:paraId="5ACFC13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《危险废物转移管理办法》 (部令 23 号，2022 年 1 月 1 日起施行)；</w:t>
      </w:r>
    </w:p>
    <w:p w14:paraId="51DEA0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《国家重点保护野生动物名录》 (2021 年 2 月 5 日起施行)；</w:t>
      </w:r>
    </w:p>
    <w:p w14:paraId="78B5F4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《国家重点保护野生植物名录》 (2021 年 8 月 7 日起施行)；</w:t>
      </w:r>
    </w:p>
    <w:p w14:paraId="780E6C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《全国湿地保护规划(2022-2030 年)》 (2022 年 10 月发布)。</w:t>
      </w:r>
    </w:p>
    <w:p w14:paraId="302E3E8A">
      <w:pPr>
        <w:spacing w:before="91" w:line="221" w:lineRule="auto"/>
        <w:ind w:left="14"/>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2.1.3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地方性法规及规划</w:t>
      </w:r>
    </w:p>
    <w:p w14:paraId="48AB6A0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《新疆维吾尔自治区环境保护条例》，2018 年 9 月 21 日，新疆维吾尔自治区十三届人民代表大会常务委员会第六次会议审议第二次修正；</w:t>
      </w:r>
    </w:p>
    <w:p w14:paraId="127315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新疆维吾尔自治区实施《中华人民共和国野生动物保护法》办法(第二次修正)，新疆维吾尔自治区人大常委会公告，2021 年 6 月 22 日发布；</w:t>
      </w:r>
    </w:p>
    <w:p w14:paraId="1B5FBF7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《新疆维吾尔自治区野生植物保护条例》，2018 年 9 月 21 日，新疆维吾尔自治区十三届人民代表大会常务委员会第六次会议审议第二次修正；</w:t>
      </w:r>
    </w:p>
    <w:p w14:paraId="4F76B08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《新疆维吾尔自治区湿地保护条例》（2012 年 7 月 27 日发布，20112 年 10 月 1日起施行）；</w:t>
      </w:r>
    </w:p>
    <w:p w14:paraId="6CC64C4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5</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《新疆维吾尔自治区实施&lt;风景名胜区条例&gt;办法》(2011 年 11 月 21 日颁布，2012年 2 月 1 日实施)；</w:t>
      </w:r>
    </w:p>
    <w:p w14:paraId="7C3887E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6</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《新疆生态功能区划》，新疆维吾尔自治区人民政府，2005 年 8 月；</w:t>
      </w:r>
    </w:p>
    <w:p w14:paraId="7C49C5D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7</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《新疆生态环境保护“十四五 ”规划》；</w:t>
      </w:r>
    </w:p>
    <w:p w14:paraId="433D77B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8</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《新疆维吾尔自治区三线一单分区管控方案》（新政发〔2021〕18 号）；</w:t>
      </w:r>
    </w:p>
    <w:p w14:paraId="67E0ECB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9</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《新疆维吾尔自治区主体功能区规划》，新疆维吾尔自治区发改委，2012 年 12 月；</w:t>
      </w:r>
    </w:p>
    <w:p w14:paraId="2EBD98D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10</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《新疆维吾尔自治区重点保护野生动物名录（修订）》2022年 9 月 18 日</w:t>
      </w:r>
    </w:p>
    <w:p w14:paraId="666D59C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11</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《新疆国家重点保护野生植物名录》新林护字〔2022〕8 号；</w:t>
      </w:r>
    </w:p>
    <w:p w14:paraId="5D98E0B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12</w:t>
      </w:r>
      <w:r>
        <w:rPr>
          <w:rFonts w:hint="eastAsia" w:ascii="宋体" w:hAnsi="宋体" w:eastAsia="宋体" w:cs="宋体"/>
          <w:spacing w:val="-1"/>
          <w:sz w:val="24"/>
          <w:szCs w:val="24"/>
          <w:lang w:eastAsia="zh-CN"/>
        </w:rPr>
        <w:t>）</w:t>
      </w:r>
      <w:r>
        <w:rPr>
          <w:rFonts w:ascii="宋体" w:hAnsi="宋体" w:eastAsia="宋体" w:cs="宋体"/>
          <w:spacing w:val="-1"/>
          <w:sz w:val="24"/>
          <w:szCs w:val="24"/>
        </w:rPr>
        <w:t>《新疆维吾尔自治区七大片区“三线一单”生态环境分区管控要求（2021 年版）》新疆维吾尔自治区生态环境厅；</w:t>
      </w:r>
    </w:p>
    <w:p w14:paraId="76B8734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13</w:t>
      </w:r>
      <w:r>
        <w:rPr>
          <w:rFonts w:hint="eastAsia" w:ascii="宋体" w:hAnsi="宋体" w:eastAsia="宋体" w:cs="宋体"/>
          <w:spacing w:val="-1"/>
          <w:sz w:val="24"/>
          <w:szCs w:val="24"/>
          <w:lang w:eastAsia="zh-CN"/>
        </w:rPr>
        <w:t>）</w:t>
      </w:r>
      <w:r>
        <w:rPr>
          <w:rFonts w:ascii="宋体" w:hAnsi="宋体" w:eastAsia="宋体" w:cs="宋体"/>
          <w:spacing w:val="-1"/>
          <w:sz w:val="24"/>
          <w:szCs w:val="24"/>
        </w:rPr>
        <w:t>《</w:t>
      </w:r>
      <w:r>
        <w:rPr>
          <w:rFonts w:hint="eastAsia" w:ascii="宋体" w:hAnsi="宋体" w:eastAsia="宋体" w:cs="宋体"/>
          <w:spacing w:val="-1"/>
          <w:sz w:val="24"/>
          <w:szCs w:val="24"/>
          <w:lang w:eastAsia="zh-CN"/>
        </w:rPr>
        <w:t>吐鲁番市</w:t>
      </w:r>
      <w:r>
        <w:rPr>
          <w:rFonts w:ascii="宋体" w:hAnsi="宋体" w:eastAsia="宋体" w:cs="宋体"/>
          <w:spacing w:val="-1"/>
          <w:sz w:val="24"/>
          <w:szCs w:val="24"/>
        </w:rPr>
        <w:t>“三线一单”生态环境分区管控方案》</w:t>
      </w:r>
    </w:p>
    <w:p w14:paraId="23CBDD0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14</w:t>
      </w:r>
      <w:r>
        <w:rPr>
          <w:rFonts w:hint="eastAsia" w:ascii="宋体" w:hAnsi="宋体" w:eastAsia="宋体" w:cs="宋体"/>
          <w:spacing w:val="-1"/>
          <w:sz w:val="24"/>
          <w:szCs w:val="24"/>
          <w:lang w:eastAsia="zh-CN"/>
        </w:rPr>
        <w:t>）</w:t>
      </w:r>
      <w:r>
        <w:rPr>
          <w:rFonts w:ascii="宋体" w:hAnsi="宋体" w:eastAsia="宋体" w:cs="宋体"/>
          <w:spacing w:val="-1"/>
          <w:sz w:val="24"/>
          <w:szCs w:val="24"/>
        </w:rPr>
        <w:t>《</w:t>
      </w:r>
      <w:r>
        <w:rPr>
          <w:rFonts w:hint="eastAsia" w:ascii="宋体" w:hAnsi="宋体" w:eastAsia="宋体" w:cs="宋体"/>
          <w:spacing w:val="-1"/>
          <w:sz w:val="24"/>
          <w:szCs w:val="24"/>
          <w:lang w:eastAsia="zh-CN"/>
        </w:rPr>
        <w:t>吐鲁番市</w:t>
      </w:r>
      <w:r>
        <w:rPr>
          <w:rFonts w:ascii="宋体" w:hAnsi="宋体" w:eastAsia="宋体" w:cs="宋体"/>
          <w:spacing w:val="-1"/>
          <w:sz w:val="24"/>
          <w:szCs w:val="24"/>
        </w:rPr>
        <w:t>生态环境“十四五”规划；</w:t>
      </w:r>
    </w:p>
    <w:p w14:paraId="0E88458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15</w:t>
      </w:r>
      <w:r>
        <w:rPr>
          <w:rFonts w:hint="eastAsia" w:ascii="宋体" w:hAnsi="宋体" w:eastAsia="宋体" w:cs="宋体"/>
          <w:spacing w:val="-1"/>
          <w:sz w:val="24"/>
          <w:szCs w:val="24"/>
          <w:lang w:eastAsia="zh-CN"/>
        </w:rPr>
        <w:t>）</w:t>
      </w:r>
      <w:r>
        <w:rPr>
          <w:rFonts w:ascii="宋体" w:hAnsi="宋体" w:eastAsia="宋体" w:cs="宋体"/>
          <w:spacing w:val="-1"/>
          <w:sz w:val="24"/>
          <w:szCs w:val="24"/>
        </w:rPr>
        <w:t>《</w:t>
      </w:r>
      <w:r>
        <w:rPr>
          <w:rFonts w:hint="eastAsia" w:ascii="宋体" w:hAnsi="宋体" w:eastAsia="宋体" w:cs="宋体"/>
          <w:spacing w:val="-1"/>
          <w:sz w:val="24"/>
          <w:szCs w:val="24"/>
          <w:lang w:eastAsia="zh-CN"/>
        </w:rPr>
        <w:t>艾丁湖国家湿地公园</w:t>
      </w:r>
      <w:r>
        <w:rPr>
          <w:rFonts w:ascii="宋体" w:hAnsi="宋体" w:eastAsia="宋体" w:cs="宋体"/>
          <w:spacing w:val="-1"/>
          <w:sz w:val="24"/>
          <w:szCs w:val="24"/>
        </w:rPr>
        <w:t>总体规划（2017-20</w:t>
      </w:r>
      <w:r>
        <w:rPr>
          <w:rFonts w:hint="eastAsia" w:ascii="宋体" w:hAnsi="宋体" w:eastAsia="宋体" w:cs="宋体"/>
          <w:spacing w:val="-1"/>
          <w:sz w:val="24"/>
          <w:szCs w:val="24"/>
          <w:lang w:val="en-US" w:eastAsia="zh-CN"/>
        </w:rPr>
        <w:t>21</w:t>
      </w:r>
      <w:r>
        <w:rPr>
          <w:rFonts w:ascii="宋体" w:hAnsi="宋体" w:eastAsia="宋体" w:cs="宋体"/>
          <w:spacing w:val="-1"/>
          <w:sz w:val="24"/>
          <w:szCs w:val="24"/>
        </w:rPr>
        <w:t>年）》。</w:t>
      </w:r>
    </w:p>
    <w:p w14:paraId="4A8FBFDD">
      <w:pPr>
        <w:spacing w:line="240" w:lineRule="auto"/>
        <w:ind w:left="0" w:firstLine="0" w:firstLineChars="0"/>
        <w:jc w:val="left"/>
        <w:rPr>
          <w:rFonts w:ascii="宋体" w:hAnsi="宋体" w:eastAsia="宋体" w:cs="宋体"/>
          <w:sz w:val="24"/>
          <w:szCs w:val="24"/>
        </w:rPr>
      </w:pPr>
    </w:p>
    <w:p w14:paraId="1135DA31">
      <w:pPr>
        <w:spacing w:before="92" w:line="219" w:lineRule="auto"/>
        <w:ind w:left="14"/>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2.1.4</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评价规范及导则</w:t>
      </w:r>
    </w:p>
    <w:p w14:paraId="58CD59AC">
      <w:pPr>
        <w:spacing w:before="208" w:line="218" w:lineRule="auto"/>
        <w:ind w:left="12"/>
        <w:outlineLvl w:val="3"/>
        <w:rPr>
          <w:rFonts w:ascii="宋体" w:hAnsi="宋体" w:eastAsia="宋体" w:cs="宋体"/>
          <w:sz w:val="24"/>
          <w:szCs w:val="24"/>
        </w:rPr>
      </w:pPr>
      <w:r>
        <w:rPr>
          <w:b/>
          <w:bCs/>
          <w:sz w:val="24"/>
          <w:szCs w:val="24"/>
        </w:rPr>
        <w:fldChar w:fldCharType="begin"/>
      </w:r>
      <w:r>
        <w:rPr>
          <w:b/>
          <w:bCs/>
          <w:sz w:val="24"/>
          <w:szCs w:val="24"/>
        </w:rPr>
        <w:instrText xml:space="preserve"> HYPERLINK "2.1.4.1" </w:instrText>
      </w:r>
      <w:r>
        <w:rPr>
          <w:b/>
          <w:bCs/>
          <w:sz w:val="24"/>
          <w:szCs w:val="24"/>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2.1.4.1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评价技术规范的名称及标准</w:t>
      </w:r>
    </w:p>
    <w:p w14:paraId="781656A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w:t>
      </w:r>
      <w:r>
        <w:rPr>
          <w:rFonts w:ascii="宋体" w:hAnsi="宋体" w:eastAsia="宋体" w:cs="宋体"/>
          <w:spacing w:val="-1"/>
          <w:sz w:val="24"/>
          <w:szCs w:val="24"/>
        </w:rPr>
        <w:t>《声环境质量标准》 (GB3096-2008)；</w:t>
      </w:r>
    </w:p>
    <w:p w14:paraId="519422D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lang w:eastAsia="zh-CN"/>
        </w:rPr>
        <w:t>）</w:t>
      </w:r>
      <w:r>
        <w:rPr>
          <w:rFonts w:ascii="宋体" w:hAnsi="宋体" w:eastAsia="宋体" w:cs="宋体"/>
          <w:spacing w:val="-1"/>
          <w:sz w:val="24"/>
          <w:szCs w:val="24"/>
        </w:rPr>
        <w:t>《工业企业厂界环境噪声排放标准》 (GB12348-2008)；</w:t>
      </w:r>
    </w:p>
    <w:p w14:paraId="4BE4DD4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ascii="宋体" w:hAnsi="宋体" w:eastAsia="宋体" w:cs="宋体"/>
          <w:spacing w:val="-1"/>
          <w:sz w:val="24"/>
          <w:szCs w:val="24"/>
        </w:rPr>
        <w:t>《农村生活污水处理排放标准》 (DB654275—2019)；</w:t>
      </w:r>
    </w:p>
    <w:p w14:paraId="7700417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lang w:eastAsia="zh-CN"/>
        </w:rPr>
        <w:t>）</w:t>
      </w:r>
      <w:r>
        <w:rPr>
          <w:rFonts w:ascii="宋体" w:hAnsi="宋体" w:eastAsia="宋体" w:cs="宋体"/>
          <w:spacing w:val="-1"/>
          <w:sz w:val="24"/>
          <w:szCs w:val="24"/>
        </w:rPr>
        <w:t>《建筑施工场界环境噪声排放标准》 (GB12523-2011)；</w:t>
      </w:r>
    </w:p>
    <w:p w14:paraId="1559CDD4">
      <w:pPr>
        <w:keepNext w:val="0"/>
        <w:keepLines w:val="0"/>
        <w:pageBreakBefore w:val="0"/>
        <w:widowControl/>
        <w:kinsoku w:val="0"/>
        <w:wordWrap/>
        <w:overflowPunct/>
        <w:topLinePunct w:val="0"/>
        <w:autoSpaceDE w:val="0"/>
        <w:autoSpaceDN w:val="0"/>
        <w:bidi w:val="0"/>
        <w:adjustRightInd w:val="0"/>
        <w:snapToGrid w:val="0"/>
        <w:spacing w:before="300" w:line="360" w:lineRule="auto"/>
        <w:ind w:left="11"/>
        <w:textAlignment w:val="baseline"/>
        <w:outlineLvl w:val="3"/>
        <w:rPr>
          <w:rFonts w:ascii="宋体" w:hAnsi="宋体" w:eastAsia="宋体" w:cs="宋体"/>
          <w:sz w:val="24"/>
          <w:szCs w:val="24"/>
        </w:rPr>
      </w:pPr>
      <w:r>
        <w:rPr>
          <w:rFonts w:hint="eastAsia" w:asciiTheme="majorEastAsia" w:hAnsiTheme="majorEastAsia" w:eastAsiaTheme="majorEastAsia" w:cstheme="majorEastAsia"/>
          <w:b/>
          <w:bCs/>
          <w:sz w:val="24"/>
          <w:szCs w:val="24"/>
        </w:rPr>
        <w:fldChar w:fldCharType="begin"/>
      </w:r>
      <w:r>
        <w:rPr>
          <w:rFonts w:hint="eastAsia" w:asciiTheme="majorEastAsia" w:hAnsiTheme="majorEastAsia" w:eastAsiaTheme="majorEastAsia" w:cstheme="majorEastAsia"/>
          <w:b/>
          <w:bCs/>
          <w:sz w:val="24"/>
          <w:szCs w:val="24"/>
        </w:rPr>
        <w:instrText xml:space="preserve"> HYPERLINK "2.1.4.2" </w:instrText>
      </w:r>
      <w:r>
        <w:rPr>
          <w:rFonts w:hint="eastAsia" w:asciiTheme="majorEastAsia" w:hAnsiTheme="majorEastAsia" w:eastAsiaTheme="majorEastAsia" w:cstheme="majorEastAsia"/>
          <w:b/>
          <w:bCs/>
          <w:sz w:val="24"/>
          <w:szCs w:val="24"/>
        </w:rPr>
        <w:fldChar w:fldCharType="separate"/>
      </w:r>
      <w:r>
        <w:rPr>
          <w:rFonts w:hint="eastAsia" w:asciiTheme="majorEastAsia" w:hAnsiTheme="majorEastAsia" w:eastAsiaTheme="majorEastAsia" w:cstheme="majorEastAsia"/>
          <w:b/>
          <w:bCs/>
          <w:spacing w:val="-1"/>
          <w:sz w:val="24"/>
          <w:szCs w:val="24"/>
          <w14:textOutline w14:w="4358" w14:cap="sq" w14:cmpd="sng">
            <w14:solidFill>
              <w14:srgbClr w14:val="000000"/>
            </w14:solidFill>
            <w14:prstDash w14:val="solid"/>
            <w14:bevel/>
          </w14:textOutline>
        </w:rPr>
        <w:t>2.1.4.2</w:t>
      </w:r>
      <w:r>
        <w:rPr>
          <w:rFonts w:hint="eastAsia" w:asciiTheme="majorEastAsia" w:hAnsiTheme="majorEastAsia" w:eastAsiaTheme="majorEastAsia" w:cstheme="majorEastAsia"/>
          <w:b/>
          <w:bCs/>
          <w:spacing w:val="-1"/>
          <w:sz w:val="24"/>
          <w:szCs w:val="24"/>
          <w14:textOutline w14:w="4358" w14:cap="sq" w14:cmpd="sng">
            <w14:solidFill>
              <w14:srgbClr w14:val="000000"/>
            </w14:solidFill>
            <w14:prstDash w14:val="solid"/>
            <w14:bevel/>
          </w14:textOutline>
        </w:rPr>
        <w:fldChar w:fldCharType="end"/>
      </w:r>
      <w:r>
        <w:rPr>
          <w:rFonts w:hint="eastAsia" w:asciiTheme="majorEastAsia" w:hAnsiTheme="majorEastAsia" w:eastAsiaTheme="majorEastAsia" w:cstheme="majorEastAsia"/>
          <w:b/>
          <w:bCs/>
          <w:spacing w:val="-1"/>
          <w:sz w:val="24"/>
          <w:szCs w:val="24"/>
          <w:lang w:val="en-US" w:eastAsia="zh-CN"/>
          <w14:textOutline w14:w="4358" w14:cap="sq" w14:cmpd="sng">
            <w14:solidFill>
              <w14:srgbClr w14:val="000000"/>
            </w14:solidFill>
            <w14:prstDash w14:val="solid"/>
            <w14:bevel/>
          </w14:textOutline>
        </w:rPr>
        <w:t xml:space="preserve"> </w:t>
      </w:r>
      <w:r>
        <w:rPr>
          <w:rFonts w:hint="eastAsia" w:asciiTheme="majorEastAsia" w:hAnsiTheme="majorEastAsia" w:eastAsiaTheme="majorEastAsia" w:cstheme="majorEastAsia"/>
          <w:b/>
          <w:bCs/>
          <w:spacing w:val="-1"/>
          <w:sz w:val="24"/>
          <w:szCs w:val="24"/>
          <w14:textOutline w14:w="4358" w14:cap="sq" w14:cmpd="sng">
            <w14:solidFill>
              <w14:srgbClr w14:val="000000"/>
            </w14:solidFill>
            <w14:prstDash w14:val="solid"/>
            <w14:bevel/>
          </w14:textOutline>
        </w:rPr>
        <w:t>评价技术导则</w:t>
      </w:r>
    </w:p>
    <w:p w14:paraId="410505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w:t>
      </w:r>
      <w:r>
        <w:rPr>
          <w:rFonts w:ascii="宋体" w:hAnsi="宋体" w:eastAsia="宋体" w:cs="宋体"/>
          <w:spacing w:val="-1"/>
          <w:sz w:val="24"/>
          <w:szCs w:val="24"/>
        </w:rPr>
        <w:t>《建设项目环境影响评价技术导则 总纲》(HJ2.1-2016)；</w:t>
      </w:r>
    </w:p>
    <w:p w14:paraId="263F4A3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lang w:eastAsia="zh-CN"/>
        </w:rPr>
        <w:t>）</w:t>
      </w:r>
      <w:r>
        <w:rPr>
          <w:rFonts w:ascii="宋体" w:hAnsi="宋体" w:eastAsia="宋体" w:cs="宋体"/>
          <w:spacing w:val="-1"/>
          <w:sz w:val="24"/>
          <w:szCs w:val="24"/>
        </w:rPr>
        <w:t>《环境影响评价技术导则 生态影响》 (HJ19-2022)；</w:t>
      </w:r>
    </w:p>
    <w:p w14:paraId="417D622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ascii="宋体" w:hAnsi="宋体" w:eastAsia="宋体" w:cs="宋体"/>
          <w:spacing w:val="-1"/>
          <w:sz w:val="24"/>
          <w:szCs w:val="24"/>
        </w:rPr>
        <w:t>《环境影响评价技术导则 地表水环境》 (HJ/T2.3-2018)；</w:t>
      </w:r>
    </w:p>
    <w:p w14:paraId="57DBBB8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lang w:eastAsia="zh-CN"/>
        </w:rPr>
        <w:t>）</w:t>
      </w:r>
      <w:r>
        <w:rPr>
          <w:rFonts w:ascii="宋体" w:hAnsi="宋体" w:eastAsia="宋体" w:cs="宋体"/>
          <w:spacing w:val="-1"/>
          <w:sz w:val="24"/>
          <w:szCs w:val="24"/>
        </w:rPr>
        <w:t>《环境影响评价技术导则 地下水环境》 (HJ610-2016)；</w:t>
      </w:r>
    </w:p>
    <w:p w14:paraId="53C9C33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5</w:t>
      </w:r>
      <w:r>
        <w:rPr>
          <w:rFonts w:hint="eastAsia" w:ascii="宋体" w:hAnsi="宋体" w:eastAsia="宋体" w:cs="宋体"/>
          <w:spacing w:val="-1"/>
          <w:sz w:val="24"/>
          <w:szCs w:val="24"/>
          <w:lang w:eastAsia="zh-CN"/>
        </w:rPr>
        <w:t>）</w:t>
      </w:r>
      <w:r>
        <w:rPr>
          <w:rFonts w:ascii="宋体" w:hAnsi="宋体" w:eastAsia="宋体" w:cs="宋体"/>
          <w:spacing w:val="-1"/>
          <w:sz w:val="24"/>
          <w:szCs w:val="24"/>
        </w:rPr>
        <w:t>《环境影响评价技术导则 声环境》(HJ2.4-2021)；</w:t>
      </w:r>
    </w:p>
    <w:p w14:paraId="71E6FF8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6</w:t>
      </w:r>
      <w:r>
        <w:rPr>
          <w:rFonts w:hint="eastAsia" w:ascii="宋体" w:hAnsi="宋体" w:eastAsia="宋体" w:cs="宋体"/>
          <w:spacing w:val="-1"/>
          <w:sz w:val="24"/>
          <w:szCs w:val="24"/>
          <w:lang w:eastAsia="zh-CN"/>
        </w:rPr>
        <w:t>）</w:t>
      </w:r>
      <w:r>
        <w:rPr>
          <w:rFonts w:ascii="宋体" w:hAnsi="宋体" w:eastAsia="宋体" w:cs="宋体"/>
          <w:spacing w:val="-1"/>
          <w:sz w:val="24"/>
          <w:szCs w:val="24"/>
        </w:rPr>
        <w:t>《环境影响评价技术导则 大气环境》 (HJ22-2018)；</w:t>
      </w:r>
    </w:p>
    <w:p w14:paraId="51D7C06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7</w:t>
      </w:r>
      <w:r>
        <w:rPr>
          <w:rFonts w:hint="eastAsia" w:ascii="宋体" w:hAnsi="宋体" w:eastAsia="宋体" w:cs="宋体"/>
          <w:spacing w:val="-1"/>
          <w:sz w:val="24"/>
          <w:szCs w:val="24"/>
          <w:lang w:eastAsia="zh-CN"/>
        </w:rPr>
        <w:t>）</w:t>
      </w:r>
      <w:r>
        <w:rPr>
          <w:rFonts w:ascii="宋体" w:hAnsi="宋体" w:eastAsia="宋体" w:cs="宋体"/>
          <w:spacing w:val="-1"/>
          <w:sz w:val="24"/>
          <w:szCs w:val="24"/>
        </w:rPr>
        <w:t>《环境影响评价技术导则 土壤环境（试行）》（HJ964-2018）；</w:t>
      </w:r>
    </w:p>
    <w:p w14:paraId="774FB90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8</w:t>
      </w:r>
      <w:r>
        <w:rPr>
          <w:rFonts w:hint="eastAsia" w:ascii="宋体" w:hAnsi="宋体" w:eastAsia="宋体" w:cs="宋体"/>
          <w:spacing w:val="-1"/>
          <w:sz w:val="24"/>
          <w:szCs w:val="24"/>
          <w:lang w:eastAsia="zh-CN"/>
        </w:rPr>
        <w:t>）</w:t>
      </w:r>
      <w:r>
        <w:rPr>
          <w:rFonts w:ascii="宋体" w:hAnsi="宋体" w:eastAsia="宋体" w:cs="宋体"/>
          <w:spacing w:val="-1"/>
          <w:sz w:val="24"/>
          <w:szCs w:val="24"/>
        </w:rPr>
        <w:t>《建设项目环境风险评价技术导则》 (HJ 169-2018)。</w:t>
      </w:r>
    </w:p>
    <w:p w14:paraId="4E721F9B">
      <w:pPr>
        <w:keepNext w:val="0"/>
        <w:keepLines w:val="0"/>
        <w:pageBreakBefore w:val="0"/>
        <w:widowControl/>
        <w:kinsoku w:val="0"/>
        <w:wordWrap/>
        <w:overflowPunct/>
        <w:topLinePunct w:val="0"/>
        <w:autoSpaceDE w:val="0"/>
        <w:autoSpaceDN w:val="0"/>
        <w:bidi w:val="0"/>
        <w:adjustRightInd w:val="0"/>
        <w:snapToGrid w:val="0"/>
        <w:spacing w:before="92" w:line="360" w:lineRule="auto"/>
        <w:ind w:left="11"/>
        <w:textAlignment w:val="baseline"/>
        <w:outlineLvl w:val="2"/>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t>2.1.5</w:t>
      </w:r>
      <w:r>
        <w:rPr>
          <w:rFonts w:hint="eastAsia" w:asciiTheme="majorEastAsia" w:hAnsiTheme="majorEastAsia" w:eastAsiaTheme="majorEastAsia" w:cstheme="majorEastAsia"/>
          <w:b/>
          <w:bCs/>
          <w:spacing w:val="-2"/>
          <w:sz w:val="28"/>
          <w:szCs w:val="28"/>
          <w:lang w:val="en-US" w:eastAsia="zh-CN"/>
          <w14:textOutline w14:w="5103" w14:cap="sq" w14:cmpd="sng">
            <w14:solidFill>
              <w14:srgbClr w14:val="000000"/>
            </w14:solidFill>
            <w14:prstDash w14:val="solid"/>
            <w14:bevel/>
          </w14:textOutline>
        </w:rPr>
        <w:t xml:space="preserve"> </w:t>
      </w:r>
      <w:r>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t>任务依据</w:t>
      </w:r>
    </w:p>
    <w:p w14:paraId="08D919D3">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pPr>
      <w:r>
        <w:rPr>
          <w:rFonts w:hint="eastAsia" w:ascii="宋体" w:hAnsi="宋体" w:eastAsia="宋体" w:cs="宋体"/>
          <w:sz w:val="24"/>
          <w:szCs w:val="24"/>
        </w:rPr>
        <w:t>《</w:t>
      </w:r>
      <w:r>
        <w:rPr>
          <w:rFonts w:hint="eastAsia" w:ascii="宋体" w:hAnsi="宋体" w:eastAsia="宋体" w:cs="宋体"/>
          <w:sz w:val="24"/>
          <w:szCs w:val="24"/>
          <w:lang w:eastAsia="zh-CN"/>
        </w:rPr>
        <w:t>艾丁湖生态保护治理项目（二期）</w:t>
      </w:r>
      <w:r>
        <w:rPr>
          <w:rFonts w:hint="eastAsia" w:ascii="宋体" w:hAnsi="宋体" w:eastAsia="宋体" w:cs="宋体"/>
          <w:sz w:val="24"/>
          <w:szCs w:val="24"/>
        </w:rPr>
        <w:t>环境影响评价委托书》</w:t>
      </w:r>
    </w:p>
    <w:p w14:paraId="3D118454">
      <w:pPr>
        <w:keepNext w:val="0"/>
        <w:keepLines w:val="0"/>
        <w:pageBreakBefore w:val="0"/>
        <w:widowControl/>
        <w:kinsoku w:val="0"/>
        <w:wordWrap/>
        <w:overflowPunct/>
        <w:topLinePunct w:val="0"/>
        <w:autoSpaceDE w:val="0"/>
        <w:autoSpaceDN w:val="0"/>
        <w:bidi w:val="0"/>
        <w:adjustRightInd w:val="0"/>
        <w:snapToGrid w:val="0"/>
        <w:spacing w:before="92" w:line="360" w:lineRule="auto"/>
        <w:ind w:left="11"/>
        <w:textAlignment w:val="baseline"/>
        <w:outlineLvl w:val="2"/>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pPr>
      <w:r>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t>2.1.6</w:t>
      </w:r>
      <w:r>
        <w:rPr>
          <w:rFonts w:hint="eastAsia" w:asciiTheme="majorEastAsia" w:hAnsiTheme="majorEastAsia" w:eastAsiaTheme="majorEastAsia" w:cstheme="majorEastAsia"/>
          <w:b/>
          <w:bCs/>
          <w:spacing w:val="-2"/>
          <w:sz w:val="28"/>
          <w:szCs w:val="28"/>
          <w:lang w:val="en-US" w:eastAsia="zh-CN"/>
          <w14:textOutline w14:w="5103" w14:cap="sq" w14:cmpd="sng">
            <w14:solidFill>
              <w14:srgbClr w14:val="000000"/>
            </w14:solidFill>
            <w14:prstDash w14:val="solid"/>
            <w14:bevel/>
          </w14:textOutline>
        </w:rPr>
        <w:t xml:space="preserve"> </w:t>
      </w:r>
      <w:r>
        <w:rPr>
          <w:rFonts w:hint="eastAsia" w:asciiTheme="majorEastAsia" w:hAnsiTheme="majorEastAsia" w:eastAsiaTheme="majorEastAsia" w:cstheme="majorEastAsia"/>
          <w:b/>
          <w:bCs/>
          <w:spacing w:val="-2"/>
          <w:sz w:val="28"/>
          <w:szCs w:val="28"/>
          <w14:textOutline w14:w="5103" w14:cap="sq" w14:cmpd="sng">
            <w14:solidFill>
              <w14:srgbClr w14:val="000000"/>
            </w14:solidFill>
            <w14:prstDash w14:val="solid"/>
            <w14:bevel/>
          </w14:textOutline>
        </w:rPr>
        <w:t>技术文件及资料</w:t>
      </w:r>
    </w:p>
    <w:p w14:paraId="07961633">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《艾丁湖生态保护治理规划》（中国水利水电科学研究院）；</w:t>
      </w:r>
    </w:p>
    <w:p w14:paraId="63DACE3F">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《新疆吐鲁番艾丁湖国家湿地公园总体规划（2017—2021）》</w:t>
      </w:r>
      <w:r>
        <w:rPr>
          <w:rFonts w:hint="eastAsia" w:ascii="宋体" w:hAnsi="宋体" w:eastAsia="宋体" w:cs="宋体"/>
          <w:sz w:val="24"/>
          <w:szCs w:val="24"/>
          <w:lang w:eastAsia="zh-CN"/>
        </w:rPr>
        <w:t>；</w:t>
      </w:r>
    </w:p>
    <w:p w14:paraId="32F090FB">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艾丁湖生态保护治理项目（二期）</w:t>
      </w:r>
      <w:r>
        <w:rPr>
          <w:rFonts w:hint="eastAsia" w:ascii="宋体" w:hAnsi="宋体" w:eastAsia="宋体" w:cs="宋体"/>
          <w:sz w:val="24"/>
          <w:szCs w:val="24"/>
          <w:lang w:val="en-US" w:eastAsia="zh-CN"/>
        </w:rPr>
        <w:t>初步设计</w:t>
      </w:r>
      <w:r>
        <w:rPr>
          <w:rFonts w:hint="eastAsia" w:ascii="宋体" w:hAnsi="宋体" w:eastAsia="宋体" w:cs="宋体"/>
          <w:sz w:val="24"/>
          <w:szCs w:val="24"/>
        </w:rPr>
        <w:t>报告》（</w:t>
      </w:r>
      <w:r>
        <w:rPr>
          <w:rFonts w:hint="eastAsia" w:ascii="宋体" w:hAnsi="宋体" w:eastAsia="宋体" w:cs="宋体"/>
          <w:sz w:val="24"/>
          <w:szCs w:val="24"/>
          <w:lang w:val="en-US" w:eastAsia="zh-CN"/>
        </w:rPr>
        <w:t>吐鲁番市清源水利</w:t>
      </w:r>
      <w:r>
        <w:rPr>
          <w:rFonts w:hint="eastAsia" w:ascii="宋体" w:hAnsi="宋体" w:eastAsia="宋体" w:cs="宋体"/>
          <w:sz w:val="24"/>
          <w:szCs w:val="24"/>
        </w:rPr>
        <w:t>利水电勘测设计院有限公司，2023 年</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月）</w:t>
      </w:r>
      <w:r>
        <w:rPr>
          <w:rFonts w:hint="eastAsia" w:ascii="宋体" w:hAnsi="宋体" w:eastAsia="宋体" w:cs="宋体"/>
          <w:sz w:val="24"/>
          <w:szCs w:val="24"/>
          <w:lang w:eastAsia="zh-CN"/>
        </w:rPr>
        <w:t>；</w:t>
      </w:r>
    </w:p>
    <w:p w14:paraId="403316A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建设项目环境现状监测报告；</w:t>
      </w:r>
    </w:p>
    <w:p w14:paraId="6A8487B7">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与建设项目有关的其它技术资料。</w:t>
      </w:r>
    </w:p>
    <w:p w14:paraId="4E413422">
      <w:pPr>
        <w:pStyle w:val="3"/>
        <w:spacing w:line="240" w:lineRule="auto"/>
        <w:ind w:left="0" w:firstLine="0" w:firstLineChars="0"/>
      </w:pPr>
    </w:p>
    <w:p w14:paraId="32ED732F">
      <w:pPr>
        <w:spacing w:before="98" w:line="218" w:lineRule="auto"/>
        <w:ind w:left="15"/>
        <w:outlineLvl w:val="1"/>
        <w:rPr>
          <w:rFonts w:hint="eastAsia" w:ascii="黑体" w:hAnsi="黑体" w:eastAsia="黑体" w:cs="黑体"/>
          <w:sz w:val="30"/>
          <w:szCs w:val="30"/>
        </w:rPr>
      </w:pPr>
      <w:bookmarkStart w:id="9" w:name="bookmark9"/>
      <w:bookmarkEnd w:id="9"/>
      <w:r>
        <w:rPr>
          <w:rFonts w:hint="eastAsia" w:ascii="黑体" w:hAnsi="黑体" w:eastAsia="黑体" w:cs="黑体"/>
          <w:spacing w:val="1"/>
          <w:sz w:val="30"/>
          <w:szCs w:val="30"/>
          <w14:textOutline w14:w="5448" w14:cap="sq" w14:cmpd="sng">
            <w14:solidFill>
              <w14:srgbClr w14:val="000000"/>
            </w14:solidFill>
            <w14:prstDash w14:val="solid"/>
            <w14:bevel/>
          </w14:textOutline>
        </w:rPr>
        <w:t>2.2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评价目的、原则及重点</w:t>
      </w:r>
    </w:p>
    <w:p w14:paraId="26780C4A">
      <w:pPr>
        <w:spacing w:before="225" w:line="219" w:lineRule="auto"/>
        <w:ind w:left="14"/>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2.2.1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评价目的</w:t>
      </w:r>
    </w:p>
    <w:p w14:paraId="3C726E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（1）通过环境现状调查，在详细的工程分析基础上，分析项目施工期和运营期对</w:t>
      </w:r>
    </w:p>
    <w:p w14:paraId="222885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环境可能造成的影响程度、范围以及环境质量的变化趋势。</w:t>
      </w:r>
    </w:p>
    <w:p w14:paraId="6721E5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（2）论证项目污染防治措施在技术上的可行性和经济上的合理性，提出污染物轻或防治污染的建议。</w:t>
      </w:r>
    </w:p>
    <w:p w14:paraId="5CD30F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（3）从环境保护角度对建设的环境可行性得出明确结论。</w:t>
      </w:r>
    </w:p>
    <w:p w14:paraId="21C012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（4）为工程下阶段设计、建设和环境管理提供决策依据。</w:t>
      </w:r>
    </w:p>
    <w:p w14:paraId="3EC021C3">
      <w:pPr>
        <w:spacing w:before="188" w:line="219" w:lineRule="auto"/>
        <w:ind w:left="14"/>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2.2.2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评价原则</w:t>
      </w:r>
    </w:p>
    <w:p w14:paraId="5EB4D44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ascii="宋体" w:hAnsi="宋体" w:eastAsia="宋体" w:cs="宋体"/>
          <w:spacing w:val="-1"/>
          <w:sz w:val="24"/>
          <w:szCs w:val="24"/>
        </w:rPr>
        <w:t>突出环境影响评价的源头预防作用，坚持保护和改善环境质量。</w:t>
      </w:r>
    </w:p>
    <w:p w14:paraId="3A01011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w:t>
      </w:r>
      <w:r>
        <w:rPr>
          <w:rFonts w:ascii="宋体" w:hAnsi="宋体" w:eastAsia="宋体" w:cs="宋体"/>
          <w:spacing w:val="-1"/>
          <w:sz w:val="24"/>
          <w:szCs w:val="24"/>
        </w:rPr>
        <w:t>依法评价</w:t>
      </w:r>
    </w:p>
    <w:p w14:paraId="50698E9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ascii="宋体" w:hAnsi="宋体" w:eastAsia="宋体" w:cs="宋体"/>
          <w:spacing w:val="-1"/>
          <w:sz w:val="24"/>
          <w:szCs w:val="24"/>
        </w:rPr>
        <w:t>贯彻执行我国环境保护相关法律法规、标准、政策和规划等，优化项目建设，服务环境管理。</w:t>
      </w:r>
    </w:p>
    <w:p w14:paraId="480239E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lang w:eastAsia="zh-CN"/>
        </w:rPr>
        <w:t>）</w:t>
      </w:r>
      <w:r>
        <w:rPr>
          <w:rFonts w:ascii="宋体" w:hAnsi="宋体" w:eastAsia="宋体" w:cs="宋体"/>
          <w:spacing w:val="-1"/>
          <w:sz w:val="24"/>
          <w:szCs w:val="24"/>
        </w:rPr>
        <w:t>科学评价</w:t>
      </w:r>
    </w:p>
    <w:p w14:paraId="6F1A7C0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ascii="宋体" w:hAnsi="宋体" w:eastAsia="宋体" w:cs="宋体"/>
          <w:spacing w:val="-1"/>
          <w:sz w:val="24"/>
          <w:szCs w:val="24"/>
        </w:rPr>
        <w:t>规范环境影响评价方法，科学分析项目建设对环境质量的影响。</w:t>
      </w:r>
    </w:p>
    <w:p w14:paraId="2510E27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ascii="宋体" w:hAnsi="宋体" w:eastAsia="宋体" w:cs="宋体"/>
          <w:spacing w:val="-1"/>
          <w:sz w:val="24"/>
          <w:szCs w:val="24"/>
        </w:rPr>
        <w:t>突出重点</w:t>
      </w:r>
    </w:p>
    <w:p w14:paraId="690D0D9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pacing w:val="-1"/>
          <w:sz w:val="24"/>
          <w:szCs w:val="24"/>
        </w:rPr>
      </w:pPr>
      <w:r>
        <w:rPr>
          <w:rFonts w:ascii="宋体" w:hAnsi="宋体" w:eastAsia="宋体" w:cs="宋体"/>
          <w:spacing w:val="-1"/>
          <w:sz w:val="24"/>
          <w:szCs w:val="24"/>
        </w:rPr>
        <w:t>根据建设项目的工程内容及其特点，明确与环境要素间的作用效应关系，根据规划 环境影响评价结论和审查意见，充分利用符合时效的数据资料及成果，对建设项目主要环境影响予以重点分析和评价。</w:t>
      </w:r>
    </w:p>
    <w:p w14:paraId="12A87056">
      <w:pPr>
        <w:spacing w:before="92" w:line="219" w:lineRule="auto"/>
        <w:ind w:left="14"/>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2.2.3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评价重点</w:t>
      </w:r>
    </w:p>
    <w:p w14:paraId="3212F25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宋体" w:hAnsi="宋体" w:eastAsia="宋体" w:cs="宋体"/>
          <w:sz w:val="24"/>
          <w:szCs w:val="24"/>
        </w:rPr>
      </w:pPr>
      <w:r>
        <w:rPr>
          <w:rFonts w:ascii="宋体" w:hAnsi="宋体" w:eastAsia="宋体" w:cs="宋体"/>
          <w:spacing w:val="-1"/>
          <w:sz w:val="24"/>
          <w:szCs w:val="24"/>
        </w:rPr>
        <w:t>根据项目工程分析，本工程主要关注的环境问题如下：</w:t>
      </w:r>
    </w:p>
    <w:p w14:paraId="7BB189F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ascii="宋体" w:hAnsi="宋体" w:eastAsia="宋体" w:cs="宋体"/>
          <w:sz w:val="24"/>
          <w:szCs w:val="24"/>
        </w:rPr>
        <w:t>施工期扬尘、粉尘、施工废水、噪声和固废对周围环境的影响，施工期不利影响是暂时的，采取一定的环境保护措施可以减轻对环境产生的不利影响。</w:t>
      </w:r>
    </w:p>
    <w:p w14:paraId="1D91F3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ascii="宋体" w:hAnsi="宋体" w:eastAsia="宋体" w:cs="宋体"/>
          <w:sz w:val="24"/>
          <w:szCs w:val="24"/>
        </w:rPr>
        <w:t>本工程重点关注施工期对生态红线内保护区的生态影响，针对施工期的生态影响提出生态减缓措施，确保各污染物达标排放。</w:t>
      </w:r>
    </w:p>
    <w:p w14:paraId="43FF50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ascii="宋体" w:hAnsi="宋体" w:eastAsia="宋体" w:cs="宋体"/>
          <w:sz w:val="24"/>
          <w:szCs w:val="24"/>
        </w:rPr>
        <w:t>运营期简单分析项目对地下水、土壤、大气环境、声环境和生态环境的影响并提出 减缓措施。本工程建设以有利影响为主，工程建设完成后，将改善农业生产条件和农村 生态环境，促进农业经济的发展，有利于当地水土资源的可持续利用，其社会效益、经济效益、环境效益显著。</w:t>
      </w:r>
    </w:p>
    <w:p w14:paraId="62EE40AB">
      <w:pPr>
        <w:pStyle w:val="3"/>
        <w:spacing w:line="317" w:lineRule="auto"/>
      </w:pPr>
    </w:p>
    <w:p w14:paraId="4F82BB7D">
      <w:pPr>
        <w:spacing w:before="98" w:line="218" w:lineRule="auto"/>
        <w:ind w:left="15"/>
        <w:outlineLvl w:val="1"/>
        <w:rPr>
          <w:rFonts w:hint="eastAsia" w:ascii="黑体" w:hAnsi="黑体" w:eastAsia="黑体" w:cs="黑体"/>
          <w:sz w:val="30"/>
          <w:szCs w:val="30"/>
        </w:rPr>
      </w:pPr>
      <w:bookmarkStart w:id="10" w:name="bookmark10"/>
      <w:bookmarkEnd w:id="10"/>
      <w:r>
        <w:rPr>
          <w:rFonts w:hint="eastAsia" w:ascii="黑体" w:hAnsi="黑体" w:eastAsia="黑体" w:cs="黑体"/>
          <w:spacing w:val="1"/>
          <w:sz w:val="30"/>
          <w:szCs w:val="30"/>
          <w14:textOutline w14:w="5448" w14:cap="sq" w14:cmpd="sng">
            <w14:solidFill>
              <w14:srgbClr w14:val="000000"/>
            </w14:solidFill>
            <w14:prstDash w14:val="solid"/>
            <w14:bevel/>
          </w14:textOutline>
        </w:rPr>
        <w:t>2.3</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评价因子及评价标准</w:t>
      </w:r>
    </w:p>
    <w:p w14:paraId="179C7294">
      <w:pPr>
        <w:spacing w:before="223" w:line="219" w:lineRule="auto"/>
        <w:ind w:left="14"/>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2.3.1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评价因子</w:t>
      </w:r>
    </w:p>
    <w:p w14:paraId="08879D57">
      <w:pPr>
        <w:spacing w:before="303" w:line="211" w:lineRule="auto"/>
        <w:ind w:left="131" w:firstLine="476" w:firstLineChars="200"/>
        <w:jc w:val="both"/>
        <w:rPr>
          <w:rFonts w:ascii="宋体" w:hAnsi="宋体" w:eastAsia="宋体" w:cs="宋体"/>
          <w:spacing w:val="-1"/>
          <w:sz w:val="24"/>
          <w:szCs w:val="24"/>
        </w:rPr>
      </w:pPr>
      <w:r>
        <w:rPr>
          <w:rFonts w:ascii="宋体" w:hAnsi="宋体" w:eastAsia="宋体" w:cs="宋体"/>
          <w:spacing w:val="-1"/>
          <w:sz w:val="24"/>
          <w:szCs w:val="24"/>
        </w:rPr>
        <w:t>建设项目主要环境影响评价因子，见表2-3-1。</w:t>
      </w:r>
    </w:p>
    <w:p w14:paraId="282480C3">
      <w:pPr>
        <w:spacing w:before="303" w:line="211" w:lineRule="auto"/>
        <w:ind w:left="131"/>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2-3-1</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建设项目主要环境影响评价因子</w:t>
      </w:r>
    </w:p>
    <w:tbl>
      <w:tblPr>
        <w:tblStyle w:val="14"/>
        <w:tblW w:w="9131" w:type="dxa"/>
        <w:tblInd w:w="1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1257"/>
        <w:gridCol w:w="2048"/>
        <w:gridCol w:w="1427"/>
        <w:gridCol w:w="2040"/>
        <w:gridCol w:w="1226"/>
      </w:tblGrid>
      <w:tr w14:paraId="7EC6F2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33" w:type="dxa"/>
            <w:tcBorders>
              <w:tl2br w:val="nil"/>
              <w:tr2bl w:val="nil"/>
            </w:tcBorders>
            <w:vAlign w:val="top"/>
          </w:tcPr>
          <w:p w14:paraId="38BB3794">
            <w:pPr>
              <w:pStyle w:val="15"/>
              <w:spacing w:before="56" w:line="226" w:lineRule="auto"/>
              <w:ind w:left="138"/>
            </w:pPr>
            <w:r>
              <w:rPr>
                <w:spacing w:val="7"/>
              </w:rPr>
              <w:t>评价阶段</w:t>
            </w:r>
          </w:p>
        </w:tc>
        <w:tc>
          <w:tcPr>
            <w:tcW w:w="1257" w:type="dxa"/>
            <w:tcBorders>
              <w:tl2br w:val="nil"/>
              <w:tr2bl w:val="nil"/>
            </w:tcBorders>
            <w:vAlign w:val="top"/>
          </w:tcPr>
          <w:p w14:paraId="4AF4B633">
            <w:pPr>
              <w:pStyle w:val="15"/>
              <w:spacing w:before="56" w:line="226" w:lineRule="auto"/>
              <w:ind w:left="206"/>
            </w:pPr>
            <w:r>
              <w:rPr>
                <w:spacing w:val="7"/>
              </w:rPr>
              <w:t>评价项目</w:t>
            </w:r>
          </w:p>
        </w:tc>
        <w:tc>
          <w:tcPr>
            <w:tcW w:w="2048" w:type="dxa"/>
            <w:tcBorders>
              <w:tl2br w:val="nil"/>
              <w:tr2bl w:val="nil"/>
            </w:tcBorders>
            <w:vAlign w:val="top"/>
          </w:tcPr>
          <w:p w14:paraId="452655A8">
            <w:pPr>
              <w:pStyle w:val="15"/>
              <w:spacing w:before="56" w:line="226" w:lineRule="auto"/>
              <w:ind w:left="398"/>
            </w:pPr>
            <w:r>
              <w:rPr>
                <w:spacing w:val="7"/>
              </w:rPr>
              <w:t>现状评价因子</w:t>
            </w:r>
          </w:p>
        </w:tc>
        <w:tc>
          <w:tcPr>
            <w:tcW w:w="1427" w:type="dxa"/>
            <w:tcBorders>
              <w:tl2br w:val="nil"/>
              <w:tr2bl w:val="nil"/>
            </w:tcBorders>
            <w:vAlign w:val="top"/>
          </w:tcPr>
          <w:p w14:paraId="451BAFEE">
            <w:pPr>
              <w:pStyle w:val="15"/>
              <w:spacing w:before="56" w:line="228" w:lineRule="auto"/>
              <w:ind w:left="513"/>
            </w:pPr>
            <w:r>
              <w:rPr>
                <w:spacing w:val="3"/>
              </w:rPr>
              <w:t>单位</w:t>
            </w:r>
          </w:p>
        </w:tc>
        <w:tc>
          <w:tcPr>
            <w:tcW w:w="2040" w:type="dxa"/>
            <w:tcBorders>
              <w:tl2br w:val="nil"/>
              <w:tr2bl w:val="nil"/>
            </w:tcBorders>
            <w:vAlign w:val="top"/>
          </w:tcPr>
          <w:p w14:paraId="79D84961">
            <w:pPr>
              <w:pStyle w:val="15"/>
              <w:spacing w:before="56" w:line="226" w:lineRule="auto"/>
              <w:ind w:left="403"/>
            </w:pPr>
            <w:r>
              <w:rPr>
                <w:spacing w:val="7"/>
              </w:rPr>
              <w:t>预测评价因子</w:t>
            </w:r>
          </w:p>
        </w:tc>
        <w:tc>
          <w:tcPr>
            <w:tcW w:w="1226" w:type="dxa"/>
            <w:tcBorders>
              <w:tl2br w:val="nil"/>
              <w:tr2bl w:val="nil"/>
            </w:tcBorders>
            <w:vAlign w:val="top"/>
          </w:tcPr>
          <w:p w14:paraId="4248E03C">
            <w:pPr>
              <w:pStyle w:val="15"/>
              <w:spacing w:before="56" w:line="228" w:lineRule="auto"/>
              <w:ind w:left="413"/>
            </w:pPr>
            <w:r>
              <w:rPr>
                <w:spacing w:val="3"/>
              </w:rPr>
              <w:t>单位</w:t>
            </w:r>
          </w:p>
        </w:tc>
      </w:tr>
      <w:tr w14:paraId="565590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33" w:type="dxa"/>
            <w:vMerge w:val="restart"/>
            <w:tcBorders>
              <w:tl2br w:val="nil"/>
              <w:tr2bl w:val="nil"/>
            </w:tcBorders>
            <w:vAlign w:val="top"/>
          </w:tcPr>
          <w:p w14:paraId="73A5C291">
            <w:pPr>
              <w:spacing w:line="245" w:lineRule="auto"/>
              <w:rPr>
                <w:rFonts w:ascii="Arial"/>
                <w:sz w:val="21"/>
              </w:rPr>
            </w:pPr>
          </w:p>
          <w:p w14:paraId="39260324">
            <w:pPr>
              <w:spacing w:line="245" w:lineRule="auto"/>
              <w:rPr>
                <w:rFonts w:ascii="Arial"/>
                <w:sz w:val="21"/>
              </w:rPr>
            </w:pPr>
          </w:p>
          <w:p w14:paraId="51BA8659">
            <w:pPr>
              <w:spacing w:line="245" w:lineRule="auto"/>
              <w:rPr>
                <w:rFonts w:ascii="Arial"/>
                <w:sz w:val="21"/>
              </w:rPr>
            </w:pPr>
          </w:p>
          <w:p w14:paraId="37B1938E">
            <w:pPr>
              <w:pStyle w:val="15"/>
              <w:spacing w:before="65" w:line="228" w:lineRule="auto"/>
              <w:ind w:left="241"/>
            </w:pPr>
            <w:r>
              <w:rPr>
                <w:spacing w:val="7"/>
              </w:rPr>
              <w:t>施工期</w:t>
            </w:r>
          </w:p>
        </w:tc>
        <w:tc>
          <w:tcPr>
            <w:tcW w:w="1257" w:type="dxa"/>
            <w:tcBorders>
              <w:tl2br w:val="nil"/>
              <w:tr2bl w:val="nil"/>
            </w:tcBorders>
            <w:vAlign w:val="top"/>
          </w:tcPr>
          <w:p w14:paraId="5DA35139">
            <w:pPr>
              <w:pStyle w:val="15"/>
              <w:spacing w:before="210" w:line="228" w:lineRule="auto"/>
              <w:ind w:left="316"/>
            </w:pPr>
            <w:r>
              <w:rPr>
                <w:spacing w:val="5"/>
              </w:rPr>
              <w:t>声环境</w:t>
            </w:r>
          </w:p>
        </w:tc>
        <w:tc>
          <w:tcPr>
            <w:tcW w:w="2048" w:type="dxa"/>
            <w:tcBorders>
              <w:tl2br w:val="nil"/>
              <w:tr2bl w:val="nil"/>
            </w:tcBorders>
            <w:vAlign w:val="top"/>
          </w:tcPr>
          <w:p w14:paraId="20C3470E">
            <w:pPr>
              <w:pStyle w:val="15"/>
              <w:spacing w:before="54" w:line="255" w:lineRule="auto"/>
              <w:ind w:left="109" w:right="108" w:hanging="4"/>
            </w:pPr>
            <w:r>
              <w:rPr>
                <w:spacing w:val="17"/>
              </w:rPr>
              <w:t>昼间</w:t>
            </w:r>
            <w:r>
              <w:rPr>
                <w:spacing w:val="-50"/>
              </w:rPr>
              <w:t xml:space="preserve"> </w:t>
            </w:r>
            <w:r>
              <w:rPr>
                <w:spacing w:val="17"/>
              </w:rPr>
              <w:t>、</w:t>
            </w:r>
            <w:r>
              <w:rPr>
                <w:spacing w:val="-59"/>
              </w:rPr>
              <w:t xml:space="preserve"> </w:t>
            </w:r>
            <w:r>
              <w:rPr>
                <w:spacing w:val="17"/>
              </w:rPr>
              <w:t>夜间等效声</w:t>
            </w:r>
            <w:r>
              <w:t xml:space="preserve"> </w:t>
            </w:r>
            <w:r>
              <w:rPr>
                <w:spacing w:val="12"/>
              </w:rPr>
              <w:t>级，</w:t>
            </w:r>
            <w:r>
              <w:t>Leq</w:t>
            </w:r>
          </w:p>
        </w:tc>
        <w:tc>
          <w:tcPr>
            <w:tcW w:w="1427" w:type="dxa"/>
            <w:tcBorders>
              <w:tl2br w:val="nil"/>
              <w:tr2bl w:val="nil"/>
            </w:tcBorders>
            <w:vAlign w:val="top"/>
          </w:tcPr>
          <w:p w14:paraId="7E5D3FFE">
            <w:pPr>
              <w:pStyle w:val="15"/>
              <w:spacing w:before="209" w:line="231" w:lineRule="auto"/>
              <w:ind w:left="462"/>
            </w:pPr>
            <w:r>
              <w:t>dB</w:t>
            </w:r>
            <w:r>
              <w:rPr>
                <w:spacing w:val="4"/>
              </w:rPr>
              <w:t>(A)</w:t>
            </w:r>
          </w:p>
        </w:tc>
        <w:tc>
          <w:tcPr>
            <w:tcW w:w="2040" w:type="dxa"/>
            <w:tcBorders>
              <w:tl2br w:val="nil"/>
              <w:tr2bl w:val="nil"/>
            </w:tcBorders>
            <w:vAlign w:val="top"/>
          </w:tcPr>
          <w:p w14:paraId="1BF0F19C">
            <w:pPr>
              <w:pStyle w:val="15"/>
              <w:spacing w:before="54" w:line="255" w:lineRule="auto"/>
              <w:ind w:left="119" w:right="97" w:hanging="4"/>
            </w:pPr>
            <w:r>
              <w:rPr>
                <w:spacing w:val="21"/>
              </w:rPr>
              <w:t>昼间</w:t>
            </w:r>
            <w:r>
              <w:rPr>
                <w:spacing w:val="-48"/>
              </w:rPr>
              <w:t xml:space="preserve"> </w:t>
            </w:r>
            <w:r>
              <w:rPr>
                <w:spacing w:val="21"/>
              </w:rPr>
              <w:t>、夜间等效声</w:t>
            </w:r>
            <w:r>
              <w:t xml:space="preserve"> </w:t>
            </w:r>
            <w:r>
              <w:rPr>
                <w:spacing w:val="12"/>
              </w:rPr>
              <w:t>级，</w:t>
            </w:r>
            <w:r>
              <w:t>Leq</w:t>
            </w:r>
          </w:p>
        </w:tc>
        <w:tc>
          <w:tcPr>
            <w:tcW w:w="1226" w:type="dxa"/>
            <w:tcBorders>
              <w:tl2br w:val="nil"/>
              <w:tr2bl w:val="nil"/>
            </w:tcBorders>
            <w:vAlign w:val="top"/>
          </w:tcPr>
          <w:p w14:paraId="1FA87B70">
            <w:pPr>
              <w:pStyle w:val="15"/>
              <w:spacing w:before="209" w:line="231" w:lineRule="auto"/>
              <w:ind w:left="365"/>
            </w:pPr>
            <w:r>
              <w:t>dB</w:t>
            </w:r>
            <w:r>
              <w:rPr>
                <w:spacing w:val="4"/>
              </w:rPr>
              <w:t>(A)</w:t>
            </w:r>
          </w:p>
        </w:tc>
      </w:tr>
      <w:tr w14:paraId="220580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133" w:type="dxa"/>
            <w:vMerge w:val="continue"/>
            <w:tcBorders>
              <w:tl2br w:val="nil"/>
              <w:tr2bl w:val="nil"/>
            </w:tcBorders>
            <w:vAlign w:val="top"/>
          </w:tcPr>
          <w:p w14:paraId="130DF57F">
            <w:pPr>
              <w:rPr>
                <w:rFonts w:ascii="Arial"/>
                <w:sz w:val="21"/>
              </w:rPr>
            </w:pPr>
          </w:p>
        </w:tc>
        <w:tc>
          <w:tcPr>
            <w:tcW w:w="1257" w:type="dxa"/>
            <w:tcBorders>
              <w:tl2br w:val="nil"/>
              <w:tr2bl w:val="nil"/>
            </w:tcBorders>
            <w:vAlign w:val="top"/>
          </w:tcPr>
          <w:p w14:paraId="2825E11D">
            <w:pPr>
              <w:pStyle w:val="15"/>
              <w:spacing w:before="174" w:line="228" w:lineRule="auto"/>
              <w:ind w:left="315"/>
            </w:pPr>
            <w:r>
              <w:rPr>
                <w:spacing w:val="6"/>
              </w:rPr>
              <w:t>水环境</w:t>
            </w:r>
          </w:p>
        </w:tc>
        <w:tc>
          <w:tcPr>
            <w:tcW w:w="2048" w:type="dxa"/>
            <w:tcBorders>
              <w:tl2br w:val="nil"/>
              <w:tr2bl w:val="nil"/>
            </w:tcBorders>
            <w:vAlign w:val="top"/>
          </w:tcPr>
          <w:p w14:paraId="6DCF6DDD">
            <w:pPr>
              <w:pStyle w:val="15"/>
              <w:spacing w:before="70" w:line="215" w:lineRule="auto"/>
              <w:ind w:left="107" w:right="37" w:hanging="3"/>
            </w:pPr>
            <w:r>
              <w:rPr>
                <w:spacing w:val="-12"/>
              </w:rPr>
              <w:t>pH、COD、BOD</w:t>
            </w:r>
            <w:r>
              <w:rPr>
                <w:spacing w:val="1"/>
                <w:position w:val="-2"/>
                <w:sz w:val="10"/>
                <w:szCs w:val="10"/>
              </w:rPr>
              <w:t>5</w:t>
            </w:r>
            <w:r>
              <w:rPr>
                <w:spacing w:val="-17"/>
                <w:w w:val="95"/>
              </w:rPr>
              <w:t>、NH</w:t>
            </w:r>
            <w:r>
              <w:rPr>
                <w:spacing w:val="-3"/>
                <w:position w:val="-2"/>
                <w:sz w:val="10"/>
                <w:szCs w:val="10"/>
              </w:rPr>
              <w:t>3</w:t>
            </w:r>
            <w:r>
              <w:rPr>
                <w:spacing w:val="-3"/>
              </w:rPr>
              <w:t>-N、</w:t>
            </w:r>
            <w:r>
              <w:rPr>
                <w:spacing w:val="2"/>
              </w:rPr>
              <w:t xml:space="preserve"> </w:t>
            </w:r>
            <w:r>
              <w:rPr>
                <w:spacing w:val="6"/>
              </w:rPr>
              <w:t>石油类</w:t>
            </w:r>
          </w:p>
        </w:tc>
        <w:tc>
          <w:tcPr>
            <w:tcW w:w="1427" w:type="dxa"/>
            <w:tcBorders>
              <w:tl2br w:val="nil"/>
              <w:tr2bl w:val="nil"/>
            </w:tcBorders>
            <w:vAlign w:val="top"/>
          </w:tcPr>
          <w:p w14:paraId="05434537">
            <w:pPr>
              <w:pStyle w:val="15"/>
              <w:spacing w:before="172" w:line="222" w:lineRule="auto"/>
              <w:ind w:left="479"/>
              <w:rPr>
                <w:sz w:val="10"/>
                <w:szCs w:val="10"/>
              </w:rPr>
            </w:pPr>
            <w:r>
              <w:t>mg</w:t>
            </w:r>
            <w:r>
              <w:rPr>
                <w:spacing w:val="6"/>
              </w:rPr>
              <w:t>/m</w:t>
            </w:r>
            <w:r>
              <w:rPr>
                <w:spacing w:val="6"/>
                <w:position w:val="9"/>
                <w:sz w:val="10"/>
                <w:szCs w:val="10"/>
              </w:rPr>
              <w:t>3</w:t>
            </w:r>
          </w:p>
        </w:tc>
        <w:tc>
          <w:tcPr>
            <w:tcW w:w="2040" w:type="dxa"/>
            <w:tcBorders>
              <w:tl2br w:val="nil"/>
              <w:tr2bl w:val="nil"/>
            </w:tcBorders>
            <w:vAlign w:val="top"/>
          </w:tcPr>
          <w:p w14:paraId="78D6A6A7">
            <w:pPr>
              <w:pStyle w:val="15"/>
              <w:spacing w:before="70" w:line="215" w:lineRule="auto"/>
              <w:ind w:left="717" w:right="26" w:hanging="603"/>
            </w:pPr>
            <w:r>
              <w:rPr>
                <w:spacing w:val="-13"/>
              </w:rPr>
              <w:t>pH、COD、BOD</w:t>
            </w:r>
            <w:r>
              <w:rPr>
                <w:spacing w:val="6"/>
                <w:position w:val="-2"/>
                <w:sz w:val="10"/>
                <w:szCs w:val="10"/>
              </w:rPr>
              <w:t>5</w:t>
            </w:r>
            <w:r>
              <w:rPr>
                <w:spacing w:val="-17"/>
                <w:w w:val="95"/>
              </w:rPr>
              <w:t>、NH</w:t>
            </w:r>
            <w:r>
              <w:rPr>
                <w:spacing w:val="-3"/>
                <w:position w:val="-2"/>
                <w:sz w:val="10"/>
                <w:szCs w:val="10"/>
              </w:rPr>
              <w:t>3</w:t>
            </w:r>
            <w:r>
              <w:rPr>
                <w:spacing w:val="-3"/>
              </w:rPr>
              <w:t>-N、</w:t>
            </w:r>
            <w:r>
              <w:t xml:space="preserve"> </w:t>
            </w:r>
            <w:r>
              <w:rPr>
                <w:spacing w:val="6"/>
              </w:rPr>
              <w:t>石油类</w:t>
            </w:r>
          </w:p>
        </w:tc>
        <w:tc>
          <w:tcPr>
            <w:tcW w:w="1226" w:type="dxa"/>
            <w:tcBorders>
              <w:tl2br w:val="nil"/>
              <w:tr2bl w:val="nil"/>
            </w:tcBorders>
            <w:vAlign w:val="top"/>
          </w:tcPr>
          <w:p w14:paraId="74CD69F0">
            <w:pPr>
              <w:pStyle w:val="15"/>
              <w:spacing w:before="172" w:line="222" w:lineRule="auto"/>
              <w:ind w:left="379"/>
              <w:rPr>
                <w:sz w:val="10"/>
                <w:szCs w:val="10"/>
              </w:rPr>
            </w:pPr>
            <w:r>
              <w:t>mg</w:t>
            </w:r>
            <w:r>
              <w:rPr>
                <w:spacing w:val="6"/>
              </w:rPr>
              <w:t>/m</w:t>
            </w:r>
            <w:r>
              <w:rPr>
                <w:spacing w:val="6"/>
                <w:position w:val="9"/>
                <w:sz w:val="10"/>
                <w:szCs w:val="10"/>
              </w:rPr>
              <w:t>3</w:t>
            </w:r>
          </w:p>
        </w:tc>
      </w:tr>
      <w:tr w14:paraId="54CE79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33" w:type="dxa"/>
            <w:vMerge w:val="continue"/>
            <w:tcBorders>
              <w:tl2br w:val="nil"/>
              <w:tr2bl w:val="nil"/>
            </w:tcBorders>
            <w:vAlign w:val="top"/>
          </w:tcPr>
          <w:p w14:paraId="43441CAA">
            <w:pPr>
              <w:rPr>
                <w:rFonts w:ascii="Arial"/>
                <w:sz w:val="21"/>
              </w:rPr>
            </w:pPr>
          </w:p>
        </w:tc>
        <w:tc>
          <w:tcPr>
            <w:tcW w:w="1257" w:type="dxa"/>
            <w:tcBorders>
              <w:tl2br w:val="nil"/>
              <w:tr2bl w:val="nil"/>
            </w:tcBorders>
            <w:vAlign w:val="top"/>
          </w:tcPr>
          <w:p w14:paraId="564CCE65">
            <w:pPr>
              <w:pStyle w:val="15"/>
              <w:spacing w:before="217" w:line="228" w:lineRule="auto"/>
              <w:ind w:left="208"/>
            </w:pPr>
            <w:r>
              <w:rPr>
                <w:spacing w:val="6"/>
              </w:rPr>
              <w:t>生态环境</w:t>
            </w:r>
          </w:p>
        </w:tc>
        <w:tc>
          <w:tcPr>
            <w:tcW w:w="2048" w:type="dxa"/>
            <w:tcBorders>
              <w:tl2br w:val="nil"/>
              <w:tr2bl w:val="nil"/>
            </w:tcBorders>
            <w:vAlign w:val="top"/>
          </w:tcPr>
          <w:p w14:paraId="1F35A7E0">
            <w:pPr>
              <w:pStyle w:val="15"/>
              <w:spacing w:before="61" w:line="255" w:lineRule="auto"/>
              <w:ind w:left="832" w:right="187" w:hanging="645"/>
            </w:pPr>
            <w:r>
              <w:rPr>
                <w:spacing w:val="8"/>
              </w:rPr>
              <w:t>生态系统及其生物</w:t>
            </w:r>
            <w:r>
              <w:rPr>
                <w:spacing w:val="2"/>
              </w:rPr>
              <w:t xml:space="preserve"> </w:t>
            </w:r>
            <w:r>
              <w:rPr>
                <w:spacing w:val="-4"/>
              </w:rPr>
              <w:t>因子</w:t>
            </w:r>
          </w:p>
        </w:tc>
        <w:tc>
          <w:tcPr>
            <w:tcW w:w="1427" w:type="dxa"/>
            <w:tcBorders>
              <w:tl2br w:val="nil"/>
              <w:tr2bl w:val="nil"/>
            </w:tcBorders>
            <w:vAlign w:val="top"/>
          </w:tcPr>
          <w:p w14:paraId="74A9A0D1">
            <w:pPr>
              <w:pStyle w:val="15"/>
              <w:spacing w:before="216" w:line="233" w:lineRule="auto"/>
              <w:ind w:left="666"/>
            </w:pPr>
            <w:r>
              <w:t>/</w:t>
            </w:r>
          </w:p>
        </w:tc>
        <w:tc>
          <w:tcPr>
            <w:tcW w:w="2040" w:type="dxa"/>
            <w:tcBorders>
              <w:tl2br w:val="nil"/>
              <w:tr2bl w:val="nil"/>
            </w:tcBorders>
            <w:vAlign w:val="top"/>
          </w:tcPr>
          <w:p w14:paraId="2173A5BE">
            <w:pPr>
              <w:pStyle w:val="15"/>
              <w:spacing w:before="61" w:line="255" w:lineRule="auto"/>
              <w:ind w:left="838" w:right="172" w:hanging="643"/>
            </w:pPr>
            <w:r>
              <w:rPr>
                <w:spacing w:val="8"/>
              </w:rPr>
              <w:t>生态系统及其生物</w:t>
            </w:r>
            <w:r>
              <w:rPr>
                <w:spacing w:val="2"/>
              </w:rPr>
              <w:t xml:space="preserve"> </w:t>
            </w:r>
            <w:r>
              <w:rPr>
                <w:spacing w:val="-4"/>
              </w:rPr>
              <w:t>因子</w:t>
            </w:r>
          </w:p>
        </w:tc>
        <w:tc>
          <w:tcPr>
            <w:tcW w:w="1226" w:type="dxa"/>
            <w:tcBorders>
              <w:tl2br w:val="nil"/>
              <w:tr2bl w:val="nil"/>
            </w:tcBorders>
            <w:vAlign w:val="top"/>
          </w:tcPr>
          <w:p w14:paraId="50CE56AE">
            <w:pPr>
              <w:pStyle w:val="15"/>
              <w:spacing w:before="216" w:line="233" w:lineRule="auto"/>
              <w:ind w:left="569"/>
            </w:pPr>
            <w:r>
              <w:t>/</w:t>
            </w:r>
          </w:p>
        </w:tc>
      </w:tr>
      <w:tr w14:paraId="25B68F5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33" w:type="dxa"/>
            <w:vMerge w:val="restart"/>
            <w:tcBorders>
              <w:tl2br w:val="nil"/>
              <w:tr2bl w:val="nil"/>
            </w:tcBorders>
            <w:vAlign w:val="top"/>
          </w:tcPr>
          <w:p w14:paraId="72080048">
            <w:pPr>
              <w:spacing w:line="472" w:lineRule="auto"/>
              <w:rPr>
                <w:rFonts w:ascii="Arial"/>
                <w:sz w:val="21"/>
              </w:rPr>
            </w:pPr>
          </w:p>
          <w:p w14:paraId="19CB59CE">
            <w:pPr>
              <w:pStyle w:val="15"/>
              <w:spacing w:before="65" w:line="228" w:lineRule="auto"/>
              <w:ind w:left="242"/>
            </w:pPr>
            <w:r>
              <w:rPr>
                <w:spacing w:val="6"/>
              </w:rPr>
              <w:t>运行期</w:t>
            </w:r>
          </w:p>
        </w:tc>
        <w:tc>
          <w:tcPr>
            <w:tcW w:w="1257" w:type="dxa"/>
            <w:tcBorders>
              <w:tl2br w:val="nil"/>
              <w:tr2bl w:val="nil"/>
            </w:tcBorders>
            <w:vAlign w:val="top"/>
          </w:tcPr>
          <w:p w14:paraId="73C6E241">
            <w:pPr>
              <w:pStyle w:val="15"/>
              <w:spacing w:before="221" w:line="228" w:lineRule="auto"/>
              <w:ind w:left="208"/>
            </w:pPr>
            <w:r>
              <w:rPr>
                <w:spacing w:val="6"/>
              </w:rPr>
              <w:t>生态环境</w:t>
            </w:r>
          </w:p>
        </w:tc>
        <w:tc>
          <w:tcPr>
            <w:tcW w:w="2048" w:type="dxa"/>
            <w:tcBorders>
              <w:tl2br w:val="nil"/>
              <w:tr2bl w:val="nil"/>
            </w:tcBorders>
            <w:vAlign w:val="top"/>
          </w:tcPr>
          <w:p w14:paraId="7AAD1B1F">
            <w:pPr>
              <w:pStyle w:val="15"/>
              <w:spacing w:before="65" w:line="253" w:lineRule="auto"/>
              <w:ind w:left="122" w:right="108" w:hanging="14"/>
            </w:pPr>
            <w:r>
              <w:rPr>
                <w:spacing w:val="28"/>
              </w:rPr>
              <w:t>生态系统及其生物</w:t>
            </w:r>
            <w:r>
              <w:rPr>
                <w:spacing w:val="1"/>
              </w:rPr>
              <w:t xml:space="preserve"> </w:t>
            </w:r>
            <w:r>
              <w:rPr>
                <w:spacing w:val="-4"/>
              </w:rPr>
              <w:t>因子</w:t>
            </w:r>
          </w:p>
        </w:tc>
        <w:tc>
          <w:tcPr>
            <w:tcW w:w="1427" w:type="dxa"/>
            <w:tcBorders>
              <w:tl2br w:val="nil"/>
              <w:tr2bl w:val="nil"/>
            </w:tcBorders>
            <w:vAlign w:val="top"/>
          </w:tcPr>
          <w:p w14:paraId="03F0AB7B">
            <w:pPr>
              <w:pStyle w:val="15"/>
              <w:spacing w:before="220" w:line="233" w:lineRule="auto"/>
              <w:ind w:left="666"/>
            </w:pPr>
            <w:r>
              <w:t>/</w:t>
            </w:r>
          </w:p>
        </w:tc>
        <w:tc>
          <w:tcPr>
            <w:tcW w:w="2040" w:type="dxa"/>
            <w:tcBorders>
              <w:tl2br w:val="nil"/>
              <w:tr2bl w:val="nil"/>
            </w:tcBorders>
            <w:vAlign w:val="top"/>
          </w:tcPr>
          <w:p w14:paraId="2985462F">
            <w:pPr>
              <w:pStyle w:val="15"/>
              <w:spacing w:before="65" w:line="253" w:lineRule="auto"/>
              <w:ind w:left="838" w:right="172" w:hanging="643"/>
            </w:pPr>
            <w:r>
              <w:rPr>
                <w:spacing w:val="8"/>
              </w:rPr>
              <w:t>生态系统及其生物</w:t>
            </w:r>
            <w:r>
              <w:rPr>
                <w:spacing w:val="2"/>
              </w:rPr>
              <w:t xml:space="preserve"> </w:t>
            </w:r>
            <w:r>
              <w:rPr>
                <w:spacing w:val="-4"/>
              </w:rPr>
              <w:t>因子</w:t>
            </w:r>
          </w:p>
        </w:tc>
        <w:tc>
          <w:tcPr>
            <w:tcW w:w="1226" w:type="dxa"/>
            <w:tcBorders>
              <w:tl2br w:val="nil"/>
              <w:tr2bl w:val="nil"/>
            </w:tcBorders>
            <w:vAlign w:val="top"/>
          </w:tcPr>
          <w:p w14:paraId="23812C97">
            <w:pPr>
              <w:pStyle w:val="15"/>
              <w:spacing w:before="220" w:line="233" w:lineRule="auto"/>
              <w:ind w:left="569"/>
            </w:pPr>
            <w:r>
              <w:t>/</w:t>
            </w:r>
          </w:p>
        </w:tc>
      </w:tr>
      <w:tr w14:paraId="46283D3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133" w:type="dxa"/>
            <w:vMerge w:val="continue"/>
            <w:tcBorders>
              <w:tl2br w:val="nil"/>
              <w:tr2bl w:val="nil"/>
            </w:tcBorders>
            <w:vAlign w:val="top"/>
          </w:tcPr>
          <w:p w14:paraId="7C1C6B03">
            <w:pPr>
              <w:rPr>
                <w:rFonts w:ascii="Arial"/>
                <w:sz w:val="21"/>
              </w:rPr>
            </w:pPr>
          </w:p>
        </w:tc>
        <w:tc>
          <w:tcPr>
            <w:tcW w:w="1257" w:type="dxa"/>
            <w:tcBorders>
              <w:tl2br w:val="nil"/>
              <w:tr2bl w:val="nil"/>
            </w:tcBorders>
            <w:vAlign w:val="top"/>
          </w:tcPr>
          <w:p w14:paraId="1B85F96C">
            <w:pPr>
              <w:pStyle w:val="15"/>
              <w:spacing w:before="228" w:line="228" w:lineRule="auto"/>
              <w:ind w:left="316"/>
            </w:pPr>
            <w:r>
              <w:rPr>
                <w:spacing w:val="5"/>
              </w:rPr>
              <w:t>声环境</w:t>
            </w:r>
          </w:p>
        </w:tc>
        <w:tc>
          <w:tcPr>
            <w:tcW w:w="2048" w:type="dxa"/>
            <w:tcBorders>
              <w:tl2br w:val="nil"/>
              <w:tr2bl w:val="nil"/>
            </w:tcBorders>
            <w:vAlign w:val="top"/>
          </w:tcPr>
          <w:p w14:paraId="4380E4D2">
            <w:pPr>
              <w:pStyle w:val="15"/>
              <w:spacing w:before="72" w:line="255" w:lineRule="auto"/>
              <w:ind w:left="109" w:right="108" w:hanging="4"/>
            </w:pPr>
            <w:r>
              <w:rPr>
                <w:spacing w:val="17"/>
              </w:rPr>
              <w:t>昼间</w:t>
            </w:r>
            <w:r>
              <w:rPr>
                <w:spacing w:val="-50"/>
              </w:rPr>
              <w:t xml:space="preserve"> </w:t>
            </w:r>
            <w:r>
              <w:rPr>
                <w:spacing w:val="17"/>
              </w:rPr>
              <w:t>、</w:t>
            </w:r>
            <w:r>
              <w:rPr>
                <w:spacing w:val="-59"/>
              </w:rPr>
              <w:t xml:space="preserve"> </w:t>
            </w:r>
            <w:r>
              <w:rPr>
                <w:spacing w:val="17"/>
              </w:rPr>
              <w:t>夜间等效声</w:t>
            </w:r>
            <w:r>
              <w:t xml:space="preserve"> </w:t>
            </w:r>
            <w:r>
              <w:rPr>
                <w:spacing w:val="12"/>
              </w:rPr>
              <w:t>级，</w:t>
            </w:r>
            <w:r>
              <w:t>Leq</w:t>
            </w:r>
          </w:p>
        </w:tc>
        <w:tc>
          <w:tcPr>
            <w:tcW w:w="1427" w:type="dxa"/>
            <w:tcBorders>
              <w:tl2br w:val="nil"/>
              <w:tr2bl w:val="nil"/>
            </w:tcBorders>
            <w:vAlign w:val="top"/>
          </w:tcPr>
          <w:p w14:paraId="6D95894B">
            <w:pPr>
              <w:pStyle w:val="15"/>
              <w:spacing w:before="227" w:line="231" w:lineRule="auto"/>
              <w:ind w:left="462"/>
            </w:pPr>
            <w:r>
              <w:t>dB</w:t>
            </w:r>
            <w:r>
              <w:rPr>
                <w:spacing w:val="4"/>
              </w:rPr>
              <w:t>(A)</w:t>
            </w:r>
          </w:p>
        </w:tc>
        <w:tc>
          <w:tcPr>
            <w:tcW w:w="2040" w:type="dxa"/>
            <w:tcBorders>
              <w:tl2br w:val="nil"/>
              <w:tr2bl w:val="nil"/>
            </w:tcBorders>
            <w:vAlign w:val="top"/>
          </w:tcPr>
          <w:p w14:paraId="41729DDA">
            <w:pPr>
              <w:pStyle w:val="15"/>
              <w:spacing w:before="72" w:line="255" w:lineRule="auto"/>
              <w:ind w:left="119" w:right="97" w:hanging="4"/>
            </w:pPr>
            <w:r>
              <w:rPr>
                <w:spacing w:val="21"/>
              </w:rPr>
              <w:t>昼间</w:t>
            </w:r>
            <w:r>
              <w:rPr>
                <w:spacing w:val="-48"/>
              </w:rPr>
              <w:t xml:space="preserve"> </w:t>
            </w:r>
            <w:r>
              <w:rPr>
                <w:spacing w:val="21"/>
              </w:rPr>
              <w:t>、夜间等效声</w:t>
            </w:r>
            <w:r>
              <w:t xml:space="preserve"> </w:t>
            </w:r>
            <w:r>
              <w:rPr>
                <w:spacing w:val="12"/>
              </w:rPr>
              <w:t>级，</w:t>
            </w:r>
            <w:r>
              <w:t>Leq</w:t>
            </w:r>
          </w:p>
        </w:tc>
        <w:tc>
          <w:tcPr>
            <w:tcW w:w="1226" w:type="dxa"/>
            <w:tcBorders>
              <w:tl2br w:val="nil"/>
              <w:tr2bl w:val="nil"/>
            </w:tcBorders>
            <w:vAlign w:val="top"/>
          </w:tcPr>
          <w:p w14:paraId="5E0C7775">
            <w:pPr>
              <w:pStyle w:val="15"/>
              <w:spacing w:before="227" w:line="231" w:lineRule="auto"/>
              <w:ind w:left="365"/>
            </w:pPr>
            <w:r>
              <w:t>dB</w:t>
            </w:r>
            <w:r>
              <w:rPr>
                <w:spacing w:val="4"/>
              </w:rPr>
              <w:t>(A)</w:t>
            </w:r>
          </w:p>
        </w:tc>
      </w:tr>
    </w:tbl>
    <w:p w14:paraId="4BA94303">
      <w:pPr>
        <w:spacing w:before="91" w:line="219" w:lineRule="auto"/>
        <w:ind w:left="137"/>
        <w:outlineLvl w:val="2"/>
        <w:rPr>
          <w:rFonts w:ascii="宋体" w:hAnsi="宋体" w:eastAsia="宋体" w:cs="宋体"/>
          <w:b/>
          <w:bCs/>
          <w:spacing w:val="-2"/>
          <w:sz w:val="28"/>
          <w:szCs w:val="28"/>
          <w14:textOutline w14:w="5103" w14:cap="sq" w14:cmpd="sng">
            <w14:solidFill>
              <w14:srgbClr w14:val="000000"/>
            </w14:solidFill>
            <w14:prstDash w14:val="solid"/>
            <w14:bevel/>
          </w14:textOutline>
        </w:rPr>
      </w:pPr>
    </w:p>
    <w:p w14:paraId="5EB3ACFD">
      <w:pPr>
        <w:spacing w:before="91" w:line="219" w:lineRule="auto"/>
        <w:ind w:left="137"/>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2.3.2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评价标准</w:t>
      </w:r>
    </w:p>
    <w:p w14:paraId="693010F2">
      <w:pPr>
        <w:spacing w:before="207" w:line="220" w:lineRule="auto"/>
        <w:ind w:left="135"/>
        <w:outlineLvl w:val="3"/>
        <w:rPr>
          <w:rFonts w:ascii="宋体" w:hAnsi="宋体" w:eastAsia="宋体" w:cs="宋体"/>
          <w:sz w:val="24"/>
          <w:szCs w:val="24"/>
        </w:rPr>
      </w:pPr>
      <w:r>
        <w:rPr>
          <w:b/>
          <w:bCs/>
        </w:rPr>
        <w:fldChar w:fldCharType="begin"/>
      </w:r>
      <w:r>
        <w:rPr>
          <w:b/>
          <w:bCs/>
        </w:rPr>
        <w:instrText xml:space="preserve"> HYPERLINK "2.3.2.1"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2.3.2.1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环境质量标准</w:t>
      </w:r>
    </w:p>
    <w:p w14:paraId="370466A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环境空气质量标准</w:t>
      </w:r>
    </w:p>
    <w:p w14:paraId="2BB4E27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宋体" w:hAnsi="宋体" w:eastAsia="宋体" w:cs="宋体"/>
          <w:sz w:val="24"/>
          <w:szCs w:val="24"/>
        </w:rPr>
      </w:pPr>
      <w:r>
        <w:rPr>
          <w:rFonts w:ascii="宋体" w:hAnsi="宋体" w:eastAsia="宋体" w:cs="宋体"/>
          <w:sz w:val="24"/>
          <w:szCs w:val="24"/>
        </w:rPr>
        <w:t>SO</w:t>
      </w:r>
      <w:r>
        <w:rPr>
          <w:rFonts w:ascii="宋体" w:hAnsi="宋体" w:eastAsia="宋体" w:cs="宋体"/>
          <w:sz w:val="24"/>
          <w:szCs w:val="24"/>
          <w:vertAlign w:val="subscript"/>
        </w:rPr>
        <w:t>2</w:t>
      </w:r>
      <w:r>
        <w:rPr>
          <w:rFonts w:ascii="宋体" w:hAnsi="宋体" w:eastAsia="宋体" w:cs="宋体"/>
          <w:sz w:val="24"/>
          <w:szCs w:val="24"/>
        </w:rPr>
        <w:t xml:space="preserve"> 、NO</w:t>
      </w:r>
      <w:r>
        <w:rPr>
          <w:rFonts w:ascii="宋体" w:hAnsi="宋体" w:eastAsia="宋体" w:cs="宋体"/>
          <w:sz w:val="24"/>
          <w:szCs w:val="24"/>
          <w:vertAlign w:val="subscript"/>
        </w:rPr>
        <w:t>2</w:t>
      </w:r>
      <w:r>
        <w:rPr>
          <w:rFonts w:ascii="宋体" w:hAnsi="宋体" w:eastAsia="宋体" w:cs="宋体"/>
          <w:sz w:val="24"/>
          <w:szCs w:val="24"/>
        </w:rPr>
        <w:t xml:space="preserve"> 、PM</w:t>
      </w:r>
      <w:r>
        <w:rPr>
          <w:rFonts w:ascii="宋体" w:hAnsi="宋体" w:eastAsia="宋体" w:cs="宋体"/>
          <w:sz w:val="24"/>
          <w:szCs w:val="24"/>
          <w:vertAlign w:val="subscript"/>
        </w:rPr>
        <w:t>10</w:t>
      </w:r>
      <w:r>
        <w:rPr>
          <w:rFonts w:ascii="宋体" w:hAnsi="宋体" w:eastAsia="宋体" w:cs="宋体"/>
          <w:sz w:val="24"/>
          <w:szCs w:val="24"/>
        </w:rPr>
        <w:t xml:space="preserve"> 、PM</w:t>
      </w:r>
      <w:r>
        <w:rPr>
          <w:rFonts w:ascii="宋体" w:hAnsi="宋体" w:eastAsia="宋体" w:cs="宋体"/>
          <w:sz w:val="24"/>
          <w:szCs w:val="24"/>
          <w:vertAlign w:val="subscript"/>
        </w:rPr>
        <w:t>2.5</w:t>
      </w:r>
      <w:r>
        <w:rPr>
          <w:rFonts w:ascii="宋体" w:hAnsi="宋体" w:eastAsia="宋体" w:cs="宋体"/>
          <w:sz w:val="24"/>
          <w:szCs w:val="24"/>
        </w:rPr>
        <w:t xml:space="preserve"> 、CO、O</w:t>
      </w:r>
      <w:r>
        <w:rPr>
          <w:rFonts w:ascii="宋体" w:hAnsi="宋体" w:eastAsia="宋体" w:cs="宋体"/>
          <w:sz w:val="24"/>
          <w:szCs w:val="24"/>
          <w:vertAlign w:val="subscript"/>
        </w:rPr>
        <w:t>3</w:t>
      </w:r>
      <w:r>
        <w:rPr>
          <w:rFonts w:ascii="宋体" w:hAnsi="宋体" w:eastAsia="宋体" w:cs="宋体"/>
          <w:sz w:val="24"/>
          <w:szCs w:val="24"/>
        </w:rPr>
        <w:t xml:space="preserve"> 执行《环境空气质量标准》 (GB3095-2012)二级标准；具体标准值详见表 2-3-2。</w:t>
      </w:r>
    </w:p>
    <w:p w14:paraId="1E63F180">
      <w:pPr>
        <w:spacing w:before="181" w:line="213" w:lineRule="auto"/>
        <w:ind w:left="1091"/>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2-3-2</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环境空气质量评价标准</w:t>
      </w:r>
      <w:r>
        <w:rPr>
          <w:rFonts w:ascii="宋体" w:hAnsi="宋体" w:eastAsia="宋体" w:cs="宋体"/>
          <w:spacing w:val="-1"/>
          <w:sz w:val="24"/>
          <w:szCs w:val="24"/>
          <w14:textOutline w14:w="4358" w14:cap="sq" w14:cmpd="sng">
            <w14:solidFill>
              <w14:srgbClr w14:val="000000"/>
            </w14:solidFill>
            <w14:prstDash w14:val="solid"/>
            <w14:bevel/>
          </w14:textOutline>
        </w:rPr>
        <w:t>一览表</w:t>
      </w:r>
    </w:p>
    <w:p w14:paraId="09BCE516">
      <w:pPr>
        <w:pStyle w:val="3"/>
      </w:pPr>
    </w:p>
    <w:tbl>
      <w:tblPr>
        <w:tblStyle w:val="14"/>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611"/>
        <w:gridCol w:w="2177"/>
        <w:gridCol w:w="1494"/>
        <w:gridCol w:w="1243"/>
        <w:gridCol w:w="2625"/>
      </w:tblGrid>
      <w:tr w14:paraId="498E06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880" w:type="pct"/>
            <w:vMerge w:val="restart"/>
            <w:tcBorders>
              <w:tl2br w:val="nil"/>
              <w:tr2bl w:val="nil"/>
            </w:tcBorders>
            <w:vAlign w:val="top"/>
          </w:tcPr>
          <w:p w14:paraId="74F603CA">
            <w:pPr>
              <w:pStyle w:val="15"/>
              <w:spacing w:before="217" w:line="228" w:lineRule="auto"/>
              <w:ind w:left="195"/>
            </w:pPr>
            <w:r>
              <w:rPr>
                <w:spacing w:val="7"/>
              </w:rPr>
              <w:t>污染物名称</w:t>
            </w:r>
          </w:p>
        </w:tc>
        <w:tc>
          <w:tcPr>
            <w:tcW w:w="1189" w:type="pct"/>
            <w:vMerge w:val="restart"/>
            <w:tcBorders>
              <w:tl2br w:val="nil"/>
              <w:tr2bl w:val="nil"/>
            </w:tcBorders>
            <w:vAlign w:val="top"/>
          </w:tcPr>
          <w:p w14:paraId="36158671">
            <w:pPr>
              <w:pStyle w:val="15"/>
              <w:spacing w:before="216" w:line="228" w:lineRule="auto"/>
              <w:ind w:left="564"/>
            </w:pPr>
            <w:r>
              <w:rPr>
                <w:spacing w:val="6"/>
              </w:rPr>
              <w:t>取值时间</w:t>
            </w:r>
          </w:p>
        </w:tc>
        <w:tc>
          <w:tcPr>
            <w:tcW w:w="816" w:type="pct"/>
            <w:tcBorders>
              <w:tl2br w:val="nil"/>
              <w:tr2bl w:val="nil"/>
            </w:tcBorders>
            <w:vAlign w:val="top"/>
          </w:tcPr>
          <w:p w14:paraId="1644E83C">
            <w:pPr>
              <w:pStyle w:val="15"/>
              <w:spacing w:before="55" w:line="228" w:lineRule="auto"/>
              <w:ind w:left="257"/>
            </w:pPr>
            <w:r>
              <w:rPr>
                <w:spacing w:val="7"/>
              </w:rPr>
              <w:t>浓度限值</w:t>
            </w:r>
          </w:p>
        </w:tc>
        <w:tc>
          <w:tcPr>
            <w:tcW w:w="679" w:type="pct"/>
            <w:vMerge w:val="restart"/>
            <w:tcBorders>
              <w:tl2br w:val="nil"/>
              <w:tr2bl w:val="nil"/>
            </w:tcBorders>
            <w:vAlign w:val="top"/>
          </w:tcPr>
          <w:p w14:paraId="0B5E6392">
            <w:pPr>
              <w:pStyle w:val="15"/>
              <w:spacing w:before="217" w:line="228" w:lineRule="auto"/>
              <w:ind w:left="149"/>
            </w:pPr>
            <w:r>
              <w:rPr>
                <w:spacing w:val="7"/>
              </w:rPr>
              <w:t>浓度单位</w:t>
            </w:r>
          </w:p>
        </w:tc>
        <w:tc>
          <w:tcPr>
            <w:tcW w:w="1434" w:type="pct"/>
            <w:vMerge w:val="restart"/>
            <w:tcBorders>
              <w:tl2br w:val="nil"/>
              <w:tr2bl w:val="nil"/>
            </w:tcBorders>
            <w:vAlign w:val="top"/>
          </w:tcPr>
          <w:p w14:paraId="7621D9B8">
            <w:pPr>
              <w:pStyle w:val="15"/>
              <w:spacing w:before="217" w:line="229" w:lineRule="auto"/>
              <w:ind w:left="982"/>
            </w:pPr>
            <w:r>
              <w:rPr>
                <w:spacing w:val="3"/>
              </w:rPr>
              <w:t>备注</w:t>
            </w:r>
          </w:p>
        </w:tc>
      </w:tr>
      <w:tr w14:paraId="53147A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continue"/>
            <w:tcBorders>
              <w:tl2br w:val="nil"/>
              <w:tr2bl w:val="nil"/>
            </w:tcBorders>
            <w:vAlign w:val="top"/>
          </w:tcPr>
          <w:p w14:paraId="50C660F6">
            <w:pPr>
              <w:rPr>
                <w:rFonts w:ascii="Arial"/>
                <w:sz w:val="21"/>
              </w:rPr>
            </w:pPr>
          </w:p>
        </w:tc>
        <w:tc>
          <w:tcPr>
            <w:tcW w:w="1189" w:type="pct"/>
            <w:vMerge w:val="continue"/>
            <w:tcBorders>
              <w:tl2br w:val="nil"/>
              <w:tr2bl w:val="nil"/>
            </w:tcBorders>
            <w:vAlign w:val="top"/>
          </w:tcPr>
          <w:p w14:paraId="39599006">
            <w:pPr>
              <w:rPr>
                <w:rFonts w:ascii="Arial"/>
                <w:sz w:val="21"/>
              </w:rPr>
            </w:pPr>
          </w:p>
        </w:tc>
        <w:tc>
          <w:tcPr>
            <w:tcW w:w="816" w:type="pct"/>
            <w:tcBorders>
              <w:tl2br w:val="nil"/>
              <w:tr2bl w:val="nil"/>
            </w:tcBorders>
            <w:vAlign w:val="top"/>
          </w:tcPr>
          <w:p w14:paraId="00FF943F">
            <w:pPr>
              <w:pStyle w:val="15"/>
              <w:spacing w:before="53" w:line="228" w:lineRule="auto"/>
              <w:ind w:left="260"/>
            </w:pPr>
            <w:r>
              <w:rPr>
                <w:spacing w:val="6"/>
              </w:rPr>
              <w:t>二级标准</w:t>
            </w:r>
          </w:p>
        </w:tc>
        <w:tc>
          <w:tcPr>
            <w:tcW w:w="679" w:type="pct"/>
            <w:vMerge w:val="continue"/>
            <w:tcBorders>
              <w:tl2br w:val="nil"/>
              <w:tr2bl w:val="nil"/>
            </w:tcBorders>
            <w:vAlign w:val="top"/>
          </w:tcPr>
          <w:p w14:paraId="43AD4BE7">
            <w:pPr>
              <w:rPr>
                <w:rFonts w:ascii="Arial"/>
                <w:sz w:val="21"/>
              </w:rPr>
            </w:pPr>
          </w:p>
        </w:tc>
        <w:tc>
          <w:tcPr>
            <w:tcW w:w="1434" w:type="pct"/>
            <w:vMerge w:val="continue"/>
            <w:tcBorders>
              <w:tl2br w:val="nil"/>
              <w:tr2bl w:val="nil"/>
            </w:tcBorders>
            <w:vAlign w:val="top"/>
          </w:tcPr>
          <w:p w14:paraId="1F63A7CC">
            <w:pPr>
              <w:rPr>
                <w:rFonts w:ascii="Arial"/>
                <w:sz w:val="21"/>
              </w:rPr>
            </w:pPr>
          </w:p>
        </w:tc>
      </w:tr>
      <w:tr w14:paraId="13C25AC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restart"/>
            <w:tcBorders>
              <w:tl2br w:val="nil"/>
              <w:tr2bl w:val="nil"/>
            </w:tcBorders>
            <w:vAlign w:val="top"/>
          </w:tcPr>
          <w:p w14:paraId="15741D4C">
            <w:pPr>
              <w:spacing w:line="342" w:lineRule="auto"/>
              <w:rPr>
                <w:rFonts w:ascii="Arial"/>
                <w:sz w:val="21"/>
              </w:rPr>
            </w:pPr>
          </w:p>
          <w:p w14:paraId="22A3ABE1">
            <w:pPr>
              <w:pStyle w:val="15"/>
              <w:spacing w:before="65" w:line="199" w:lineRule="auto"/>
              <w:ind w:left="590"/>
              <w:rPr>
                <w:sz w:val="10"/>
                <w:szCs w:val="10"/>
              </w:rPr>
            </w:pPr>
            <w:r>
              <w:t>SO</w:t>
            </w:r>
            <w:r>
              <w:rPr>
                <w:spacing w:val="2"/>
                <w:position w:val="-2"/>
                <w:sz w:val="10"/>
                <w:szCs w:val="10"/>
              </w:rPr>
              <w:t>2</w:t>
            </w:r>
          </w:p>
        </w:tc>
        <w:tc>
          <w:tcPr>
            <w:tcW w:w="1189" w:type="pct"/>
            <w:tcBorders>
              <w:tl2br w:val="nil"/>
              <w:tr2bl w:val="nil"/>
            </w:tcBorders>
            <w:vAlign w:val="top"/>
          </w:tcPr>
          <w:p w14:paraId="67634A2B">
            <w:pPr>
              <w:pStyle w:val="15"/>
              <w:spacing w:before="54" w:line="228" w:lineRule="auto"/>
              <w:ind w:left="521"/>
            </w:pPr>
            <w:r>
              <w:rPr>
                <w:spacing w:val="3"/>
              </w:rPr>
              <w:t>1小时平均</w:t>
            </w:r>
          </w:p>
        </w:tc>
        <w:tc>
          <w:tcPr>
            <w:tcW w:w="816" w:type="pct"/>
            <w:tcBorders>
              <w:tl2br w:val="nil"/>
              <w:tr2bl w:val="nil"/>
            </w:tcBorders>
            <w:vAlign w:val="top"/>
          </w:tcPr>
          <w:p w14:paraId="29156C45">
            <w:pPr>
              <w:pStyle w:val="15"/>
              <w:spacing w:before="87" w:line="189" w:lineRule="auto"/>
              <w:ind w:left="525"/>
            </w:pPr>
            <w:r>
              <w:rPr>
                <w:spacing w:val="1"/>
              </w:rPr>
              <w:t>500</w:t>
            </w:r>
          </w:p>
        </w:tc>
        <w:tc>
          <w:tcPr>
            <w:tcW w:w="679" w:type="pct"/>
            <w:vMerge w:val="restart"/>
            <w:tcBorders>
              <w:tl2br w:val="nil"/>
              <w:tr2bl w:val="nil"/>
            </w:tcBorders>
            <w:vAlign w:val="top"/>
          </w:tcPr>
          <w:p w14:paraId="6250696A">
            <w:pPr>
              <w:spacing w:line="286" w:lineRule="auto"/>
              <w:rPr>
                <w:rFonts w:ascii="Arial"/>
                <w:sz w:val="21"/>
              </w:rPr>
            </w:pPr>
          </w:p>
          <w:p w14:paraId="16B016E4">
            <w:pPr>
              <w:spacing w:line="286" w:lineRule="auto"/>
              <w:rPr>
                <w:rFonts w:ascii="Arial"/>
                <w:sz w:val="21"/>
              </w:rPr>
            </w:pPr>
          </w:p>
          <w:p w14:paraId="78853263">
            <w:pPr>
              <w:spacing w:line="286" w:lineRule="auto"/>
              <w:rPr>
                <w:rFonts w:ascii="Arial"/>
                <w:sz w:val="21"/>
              </w:rPr>
            </w:pPr>
          </w:p>
          <w:p w14:paraId="5F863B28">
            <w:pPr>
              <w:spacing w:line="286" w:lineRule="auto"/>
              <w:rPr>
                <w:rFonts w:ascii="Arial"/>
                <w:sz w:val="21"/>
              </w:rPr>
            </w:pPr>
          </w:p>
          <w:p w14:paraId="70061596">
            <w:pPr>
              <w:spacing w:line="286" w:lineRule="auto"/>
              <w:rPr>
                <w:rFonts w:ascii="Arial"/>
                <w:sz w:val="21"/>
              </w:rPr>
            </w:pPr>
          </w:p>
          <w:p w14:paraId="24895842">
            <w:pPr>
              <w:pStyle w:val="15"/>
              <w:spacing w:before="65" w:line="222" w:lineRule="auto"/>
              <w:ind w:left="333"/>
              <w:rPr>
                <w:sz w:val="10"/>
                <w:szCs w:val="10"/>
              </w:rPr>
            </w:pPr>
            <w:r>
              <w:rPr>
                <w:spacing w:val="-9"/>
              </w:rPr>
              <w:t>μg/m</w:t>
            </w:r>
            <w:r>
              <w:rPr>
                <w:spacing w:val="4"/>
                <w:position w:val="10"/>
                <w:sz w:val="10"/>
                <w:szCs w:val="10"/>
              </w:rPr>
              <w:t>3</w:t>
            </w:r>
          </w:p>
        </w:tc>
        <w:tc>
          <w:tcPr>
            <w:tcW w:w="1434" w:type="pct"/>
            <w:vMerge w:val="restart"/>
            <w:tcBorders>
              <w:tl2br w:val="nil"/>
              <w:tr2bl w:val="nil"/>
            </w:tcBorders>
            <w:vAlign w:val="top"/>
          </w:tcPr>
          <w:p w14:paraId="10C0645A">
            <w:pPr>
              <w:spacing w:line="251" w:lineRule="auto"/>
              <w:rPr>
                <w:rFonts w:ascii="Arial"/>
                <w:sz w:val="21"/>
              </w:rPr>
            </w:pPr>
          </w:p>
          <w:p w14:paraId="390EA1F0">
            <w:pPr>
              <w:spacing w:line="251" w:lineRule="auto"/>
              <w:rPr>
                <w:rFonts w:ascii="Arial"/>
                <w:sz w:val="21"/>
              </w:rPr>
            </w:pPr>
          </w:p>
          <w:p w14:paraId="2D71519B">
            <w:pPr>
              <w:spacing w:line="251" w:lineRule="auto"/>
              <w:rPr>
                <w:rFonts w:ascii="Arial"/>
                <w:sz w:val="21"/>
              </w:rPr>
            </w:pPr>
          </w:p>
          <w:p w14:paraId="3F57FAC7">
            <w:pPr>
              <w:spacing w:line="251" w:lineRule="auto"/>
              <w:rPr>
                <w:rFonts w:ascii="Arial"/>
                <w:sz w:val="21"/>
              </w:rPr>
            </w:pPr>
          </w:p>
          <w:p w14:paraId="3E4C519C">
            <w:pPr>
              <w:spacing w:line="251" w:lineRule="auto"/>
              <w:rPr>
                <w:rFonts w:ascii="Arial"/>
                <w:sz w:val="21"/>
              </w:rPr>
            </w:pPr>
          </w:p>
          <w:p w14:paraId="13F98A5F">
            <w:pPr>
              <w:spacing w:line="252" w:lineRule="auto"/>
              <w:rPr>
                <w:rFonts w:ascii="Arial"/>
                <w:sz w:val="21"/>
              </w:rPr>
            </w:pPr>
          </w:p>
          <w:p w14:paraId="42B26D46">
            <w:pPr>
              <w:spacing w:line="252" w:lineRule="auto"/>
              <w:rPr>
                <w:rFonts w:ascii="Arial"/>
                <w:sz w:val="21"/>
              </w:rPr>
            </w:pPr>
          </w:p>
          <w:p w14:paraId="2738FCC1">
            <w:pPr>
              <w:pStyle w:val="15"/>
              <w:spacing w:before="65" w:line="226" w:lineRule="auto"/>
              <w:ind w:left="140"/>
            </w:pPr>
            <w:r>
              <w:rPr>
                <w:spacing w:val="8"/>
              </w:rPr>
              <w:t>环境空气质量评价执行</w:t>
            </w:r>
          </w:p>
          <w:p w14:paraId="2C5E565F">
            <w:pPr>
              <w:pStyle w:val="15"/>
              <w:spacing w:before="67" w:line="228" w:lineRule="auto"/>
              <w:ind w:left="145"/>
            </w:pPr>
            <w:r>
              <w:rPr>
                <w:spacing w:val="7"/>
              </w:rPr>
              <w:t>《环境空气质量标准》</w:t>
            </w:r>
          </w:p>
          <w:p w14:paraId="14C6FD76">
            <w:pPr>
              <w:pStyle w:val="15"/>
              <w:spacing w:before="64" w:line="231" w:lineRule="auto"/>
              <w:ind w:left="491"/>
            </w:pPr>
            <w:r>
              <w:rPr>
                <w:spacing w:val="2"/>
              </w:rPr>
              <w:t>(</w:t>
            </w:r>
            <w:r>
              <w:t>GB</w:t>
            </w:r>
            <w:r>
              <w:rPr>
                <w:spacing w:val="2"/>
              </w:rPr>
              <w:t>3095—2012)</w:t>
            </w:r>
          </w:p>
        </w:tc>
      </w:tr>
      <w:tr w14:paraId="4EEC98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continue"/>
            <w:tcBorders>
              <w:tl2br w:val="nil"/>
              <w:tr2bl w:val="nil"/>
            </w:tcBorders>
            <w:vAlign w:val="top"/>
          </w:tcPr>
          <w:p w14:paraId="4A42D13C">
            <w:pPr>
              <w:rPr>
                <w:rFonts w:ascii="Arial"/>
                <w:sz w:val="21"/>
              </w:rPr>
            </w:pPr>
          </w:p>
        </w:tc>
        <w:tc>
          <w:tcPr>
            <w:tcW w:w="1189" w:type="pct"/>
            <w:tcBorders>
              <w:tl2br w:val="nil"/>
              <w:tr2bl w:val="nil"/>
            </w:tcBorders>
            <w:vAlign w:val="top"/>
          </w:tcPr>
          <w:p w14:paraId="46A4E0F7">
            <w:pPr>
              <w:pStyle w:val="15"/>
              <w:spacing w:before="56" w:line="228" w:lineRule="auto"/>
              <w:ind w:left="458"/>
            </w:pPr>
            <w:r>
              <w:rPr>
                <w:spacing w:val="5"/>
              </w:rPr>
              <w:t>24小时平均</w:t>
            </w:r>
          </w:p>
        </w:tc>
        <w:tc>
          <w:tcPr>
            <w:tcW w:w="816" w:type="pct"/>
            <w:tcBorders>
              <w:tl2br w:val="nil"/>
              <w:tr2bl w:val="nil"/>
            </w:tcBorders>
            <w:vAlign w:val="top"/>
          </w:tcPr>
          <w:p w14:paraId="085F806B">
            <w:pPr>
              <w:pStyle w:val="15"/>
              <w:spacing w:before="87" w:line="190" w:lineRule="auto"/>
              <w:ind w:left="537"/>
            </w:pPr>
            <w:r>
              <w:rPr>
                <w:spacing w:val="-3"/>
              </w:rPr>
              <w:t>150</w:t>
            </w:r>
          </w:p>
        </w:tc>
        <w:tc>
          <w:tcPr>
            <w:tcW w:w="679" w:type="pct"/>
            <w:vMerge w:val="continue"/>
            <w:tcBorders>
              <w:tl2br w:val="nil"/>
              <w:tr2bl w:val="nil"/>
            </w:tcBorders>
            <w:vAlign w:val="top"/>
          </w:tcPr>
          <w:p w14:paraId="5AA339D8">
            <w:pPr>
              <w:rPr>
                <w:rFonts w:ascii="Arial"/>
                <w:sz w:val="21"/>
              </w:rPr>
            </w:pPr>
          </w:p>
        </w:tc>
        <w:tc>
          <w:tcPr>
            <w:tcW w:w="1434" w:type="pct"/>
            <w:vMerge w:val="continue"/>
            <w:tcBorders>
              <w:tl2br w:val="nil"/>
              <w:tr2bl w:val="nil"/>
            </w:tcBorders>
            <w:vAlign w:val="top"/>
          </w:tcPr>
          <w:p w14:paraId="57D1A092">
            <w:pPr>
              <w:rPr>
                <w:rFonts w:ascii="Arial"/>
                <w:sz w:val="21"/>
              </w:rPr>
            </w:pPr>
          </w:p>
        </w:tc>
      </w:tr>
      <w:tr w14:paraId="336C92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80" w:type="pct"/>
            <w:vMerge w:val="continue"/>
            <w:tcBorders>
              <w:tl2br w:val="nil"/>
              <w:tr2bl w:val="nil"/>
            </w:tcBorders>
            <w:vAlign w:val="top"/>
          </w:tcPr>
          <w:p w14:paraId="4E3F2A8D">
            <w:pPr>
              <w:rPr>
                <w:rFonts w:ascii="Arial"/>
                <w:sz w:val="21"/>
              </w:rPr>
            </w:pPr>
          </w:p>
        </w:tc>
        <w:tc>
          <w:tcPr>
            <w:tcW w:w="1189" w:type="pct"/>
            <w:tcBorders>
              <w:tl2br w:val="nil"/>
              <w:tr2bl w:val="nil"/>
            </w:tcBorders>
            <w:vAlign w:val="top"/>
          </w:tcPr>
          <w:p w14:paraId="013E31A7">
            <w:pPr>
              <w:pStyle w:val="15"/>
              <w:spacing w:before="57" w:line="228" w:lineRule="auto"/>
              <w:ind w:left="665"/>
            </w:pPr>
            <w:r>
              <w:rPr>
                <w:spacing w:val="6"/>
              </w:rPr>
              <w:t>年平均</w:t>
            </w:r>
          </w:p>
        </w:tc>
        <w:tc>
          <w:tcPr>
            <w:tcW w:w="816" w:type="pct"/>
            <w:tcBorders>
              <w:tl2br w:val="nil"/>
              <w:tr2bl w:val="nil"/>
            </w:tcBorders>
            <w:vAlign w:val="top"/>
          </w:tcPr>
          <w:p w14:paraId="19E177E3">
            <w:pPr>
              <w:pStyle w:val="15"/>
              <w:spacing w:before="90" w:line="189" w:lineRule="auto"/>
              <w:ind w:left="576"/>
            </w:pPr>
            <w:r>
              <w:t>60</w:t>
            </w:r>
          </w:p>
        </w:tc>
        <w:tc>
          <w:tcPr>
            <w:tcW w:w="679" w:type="pct"/>
            <w:vMerge w:val="continue"/>
            <w:tcBorders>
              <w:tl2br w:val="nil"/>
              <w:tr2bl w:val="nil"/>
            </w:tcBorders>
            <w:vAlign w:val="top"/>
          </w:tcPr>
          <w:p w14:paraId="3181ED9D">
            <w:pPr>
              <w:rPr>
                <w:rFonts w:ascii="Arial"/>
                <w:sz w:val="21"/>
              </w:rPr>
            </w:pPr>
          </w:p>
        </w:tc>
        <w:tc>
          <w:tcPr>
            <w:tcW w:w="1434" w:type="pct"/>
            <w:vMerge w:val="continue"/>
            <w:tcBorders>
              <w:tl2br w:val="nil"/>
              <w:tr2bl w:val="nil"/>
            </w:tcBorders>
            <w:vAlign w:val="top"/>
          </w:tcPr>
          <w:p w14:paraId="25DD95DE">
            <w:pPr>
              <w:rPr>
                <w:rFonts w:ascii="Arial"/>
                <w:sz w:val="21"/>
              </w:rPr>
            </w:pPr>
          </w:p>
        </w:tc>
      </w:tr>
      <w:tr w14:paraId="3DA889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80" w:type="pct"/>
            <w:vMerge w:val="restart"/>
            <w:tcBorders>
              <w:tl2br w:val="nil"/>
              <w:tr2bl w:val="nil"/>
            </w:tcBorders>
            <w:vAlign w:val="top"/>
          </w:tcPr>
          <w:p w14:paraId="75CD993F">
            <w:pPr>
              <w:spacing w:line="348" w:lineRule="auto"/>
              <w:rPr>
                <w:rFonts w:ascii="Arial"/>
                <w:sz w:val="21"/>
              </w:rPr>
            </w:pPr>
          </w:p>
          <w:p w14:paraId="55B054EE">
            <w:pPr>
              <w:pStyle w:val="15"/>
              <w:spacing w:before="65" w:line="197" w:lineRule="auto"/>
              <w:ind w:left="583"/>
              <w:rPr>
                <w:sz w:val="10"/>
                <w:szCs w:val="10"/>
              </w:rPr>
            </w:pPr>
            <w:r>
              <w:t>NO</w:t>
            </w:r>
            <w:r>
              <w:rPr>
                <w:spacing w:val="10"/>
                <w:position w:val="-2"/>
                <w:sz w:val="10"/>
                <w:szCs w:val="10"/>
              </w:rPr>
              <w:t>2</w:t>
            </w:r>
          </w:p>
        </w:tc>
        <w:tc>
          <w:tcPr>
            <w:tcW w:w="1189" w:type="pct"/>
            <w:tcBorders>
              <w:tl2br w:val="nil"/>
              <w:tr2bl w:val="nil"/>
            </w:tcBorders>
            <w:vAlign w:val="top"/>
          </w:tcPr>
          <w:p w14:paraId="652AED51">
            <w:pPr>
              <w:pStyle w:val="15"/>
              <w:spacing w:before="58" w:line="228" w:lineRule="auto"/>
              <w:ind w:left="521"/>
            </w:pPr>
            <w:r>
              <w:rPr>
                <w:spacing w:val="3"/>
              </w:rPr>
              <w:t>1小时平均</w:t>
            </w:r>
          </w:p>
        </w:tc>
        <w:tc>
          <w:tcPr>
            <w:tcW w:w="816" w:type="pct"/>
            <w:tcBorders>
              <w:tl2br w:val="nil"/>
              <w:tr2bl w:val="nil"/>
            </w:tcBorders>
            <w:vAlign w:val="top"/>
          </w:tcPr>
          <w:p w14:paraId="540FB525">
            <w:pPr>
              <w:pStyle w:val="15"/>
              <w:spacing w:before="91" w:line="189" w:lineRule="auto"/>
              <w:ind w:left="524"/>
            </w:pPr>
            <w:r>
              <w:t>200</w:t>
            </w:r>
          </w:p>
        </w:tc>
        <w:tc>
          <w:tcPr>
            <w:tcW w:w="679" w:type="pct"/>
            <w:vMerge w:val="continue"/>
            <w:tcBorders>
              <w:tl2br w:val="nil"/>
              <w:tr2bl w:val="nil"/>
            </w:tcBorders>
            <w:vAlign w:val="top"/>
          </w:tcPr>
          <w:p w14:paraId="368018DF">
            <w:pPr>
              <w:rPr>
                <w:rFonts w:ascii="Arial"/>
                <w:sz w:val="21"/>
              </w:rPr>
            </w:pPr>
          </w:p>
        </w:tc>
        <w:tc>
          <w:tcPr>
            <w:tcW w:w="1434" w:type="pct"/>
            <w:vMerge w:val="continue"/>
            <w:tcBorders>
              <w:tl2br w:val="nil"/>
              <w:tr2bl w:val="nil"/>
            </w:tcBorders>
            <w:vAlign w:val="top"/>
          </w:tcPr>
          <w:p w14:paraId="05962862">
            <w:pPr>
              <w:rPr>
                <w:rFonts w:ascii="Arial"/>
                <w:sz w:val="21"/>
              </w:rPr>
            </w:pPr>
          </w:p>
        </w:tc>
      </w:tr>
      <w:tr w14:paraId="12EFCF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80" w:type="pct"/>
            <w:vMerge w:val="continue"/>
            <w:tcBorders>
              <w:tl2br w:val="nil"/>
              <w:tr2bl w:val="nil"/>
            </w:tcBorders>
            <w:vAlign w:val="top"/>
          </w:tcPr>
          <w:p w14:paraId="690B31AD">
            <w:pPr>
              <w:rPr>
                <w:rFonts w:ascii="Arial"/>
                <w:sz w:val="21"/>
              </w:rPr>
            </w:pPr>
          </w:p>
        </w:tc>
        <w:tc>
          <w:tcPr>
            <w:tcW w:w="1189" w:type="pct"/>
            <w:tcBorders>
              <w:tl2br w:val="nil"/>
              <w:tr2bl w:val="nil"/>
            </w:tcBorders>
            <w:vAlign w:val="top"/>
          </w:tcPr>
          <w:p w14:paraId="13BF531C">
            <w:pPr>
              <w:pStyle w:val="15"/>
              <w:spacing w:before="61" w:line="226" w:lineRule="auto"/>
              <w:ind w:left="458"/>
            </w:pPr>
            <w:r>
              <w:rPr>
                <w:spacing w:val="5"/>
              </w:rPr>
              <w:t>24小时平均</w:t>
            </w:r>
          </w:p>
        </w:tc>
        <w:tc>
          <w:tcPr>
            <w:tcW w:w="816" w:type="pct"/>
            <w:tcBorders>
              <w:tl2br w:val="nil"/>
              <w:tr2bl w:val="nil"/>
            </w:tcBorders>
            <w:vAlign w:val="top"/>
          </w:tcPr>
          <w:p w14:paraId="5DC44841">
            <w:pPr>
              <w:pStyle w:val="15"/>
              <w:spacing w:before="94" w:line="189" w:lineRule="auto"/>
              <w:ind w:left="575"/>
            </w:pPr>
            <w:r>
              <w:rPr>
                <w:spacing w:val="-1"/>
              </w:rPr>
              <w:t>80</w:t>
            </w:r>
          </w:p>
        </w:tc>
        <w:tc>
          <w:tcPr>
            <w:tcW w:w="679" w:type="pct"/>
            <w:vMerge w:val="continue"/>
            <w:tcBorders>
              <w:tl2br w:val="nil"/>
              <w:tr2bl w:val="nil"/>
            </w:tcBorders>
            <w:vAlign w:val="top"/>
          </w:tcPr>
          <w:p w14:paraId="33FB5F39">
            <w:pPr>
              <w:rPr>
                <w:rFonts w:ascii="Arial"/>
                <w:sz w:val="21"/>
              </w:rPr>
            </w:pPr>
          </w:p>
        </w:tc>
        <w:tc>
          <w:tcPr>
            <w:tcW w:w="1434" w:type="pct"/>
            <w:vMerge w:val="continue"/>
            <w:tcBorders>
              <w:tl2br w:val="nil"/>
              <w:tr2bl w:val="nil"/>
            </w:tcBorders>
            <w:vAlign w:val="top"/>
          </w:tcPr>
          <w:p w14:paraId="33978499">
            <w:pPr>
              <w:rPr>
                <w:rFonts w:ascii="Arial"/>
                <w:sz w:val="21"/>
              </w:rPr>
            </w:pPr>
          </w:p>
        </w:tc>
      </w:tr>
      <w:tr w14:paraId="022A7B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continue"/>
            <w:tcBorders>
              <w:tl2br w:val="nil"/>
              <w:tr2bl w:val="nil"/>
            </w:tcBorders>
            <w:vAlign w:val="top"/>
          </w:tcPr>
          <w:p w14:paraId="68F5ABA5">
            <w:pPr>
              <w:rPr>
                <w:rFonts w:ascii="Arial"/>
                <w:sz w:val="21"/>
              </w:rPr>
            </w:pPr>
          </w:p>
        </w:tc>
        <w:tc>
          <w:tcPr>
            <w:tcW w:w="1189" w:type="pct"/>
            <w:tcBorders>
              <w:tl2br w:val="nil"/>
              <w:tr2bl w:val="nil"/>
            </w:tcBorders>
            <w:vAlign w:val="top"/>
          </w:tcPr>
          <w:p w14:paraId="517054CA">
            <w:pPr>
              <w:pStyle w:val="15"/>
              <w:spacing w:before="62" w:line="224" w:lineRule="auto"/>
              <w:ind w:left="665"/>
            </w:pPr>
            <w:r>
              <w:rPr>
                <w:spacing w:val="6"/>
              </w:rPr>
              <w:t>年平均</w:t>
            </w:r>
          </w:p>
        </w:tc>
        <w:tc>
          <w:tcPr>
            <w:tcW w:w="816" w:type="pct"/>
            <w:tcBorders>
              <w:tl2br w:val="nil"/>
              <w:tr2bl w:val="nil"/>
            </w:tcBorders>
            <w:vAlign w:val="top"/>
          </w:tcPr>
          <w:p w14:paraId="499CB823">
            <w:pPr>
              <w:pStyle w:val="15"/>
              <w:spacing w:before="94" w:line="189" w:lineRule="auto"/>
              <w:ind w:left="573"/>
            </w:pPr>
            <w:r>
              <w:rPr>
                <w:spacing w:val="1"/>
              </w:rPr>
              <w:t>40</w:t>
            </w:r>
          </w:p>
        </w:tc>
        <w:tc>
          <w:tcPr>
            <w:tcW w:w="679" w:type="pct"/>
            <w:vMerge w:val="continue"/>
            <w:tcBorders>
              <w:tl2br w:val="nil"/>
              <w:tr2bl w:val="nil"/>
            </w:tcBorders>
            <w:vAlign w:val="top"/>
          </w:tcPr>
          <w:p w14:paraId="1B046AAD">
            <w:pPr>
              <w:rPr>
                <w:rFonts w:ascii="Arial"/>
                <w:sz w:val="21"/>
              </w:rPr>
            </w:pPr>
          </w:p>
        </w:tc>
        <w:tc>
          <w:tcPr>
            <w:tcW w:w="1434" w:type="pct"/>
            <w:vMerge w:val="continue"/>
            <w:tcBorders>
              <w:tl2br w:val="nil"/>
              <w:tr2bl w:val="nil"/>
            </w:tcBorders>
            <w:vAlign w:val="top"/>
          </w:tcPr>
          <w:p w14:paraId="5763AB09">
            <w:pPr>
              <w:rPr>
                <w:rFonts w:ascii="Arial"/>
                <w:sz w:val="21"/>
              </w:rPr>
            </w:pPr>
          </w:p>
        </w:tc>
      </w:tr>
      <w:tr w14:paraId="1E4549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restart"/>
            <w:tcBorders>
              <w:tl2br w:val="nil"/>
              <w:tr2bl w:val="nil"/>
            </w:tcBorders>
            <w:vAlign w:val="top"/>
          </w:tcPr>
          <w:p w14:paraId="560E022E">
            <w:pPr>
              <w:pStyle w:val="15"/>
              <w:spacing w:before="258" w:line="198" w:lineRule="auto"/>
              <w:ind w:left="533"/>
              <w:rPr>
                <w:sz w:val="10"/>
                <w:szCs w:val="10"/>
              </w:rPr>
            </w:pPr>
            <w:r>
              <w:t>PM</w:t>
            </w:r>
            <w:r>
              <w:rPr>
                <w:spacing w:val="4"/>
                <w:position w:val="-2"/>
                <w:sz w:val="10"/>
                <w:szCs w:val="10"/>
              </w:rPr>
              <w:t>2.5</w:t>
            </w:r>
          </w:p>
        </w:tc>
        <w:tc>
          <w:tcPr>
            <w:tcW w:w="1189" w:type="pct"/>
            <w:tcBorders>
              <w:tl2br w:val="nil"/>
              <w:tr2bl w:val="nil"/>
            </w:tcBorders>
            <w:vAlign w:val="top"/>
          </w:tcPr>
          <w:p w14:paraId="6C0D1A48">
            <w:pPr>
              <w:pStyle w:val="15"/>
              <w:spacing w:before="63" w:line="223" w:lineRule="auto"/>
              <w:ind w:left="458"/>
            </w:pPr>
            <w:r>
              <w:rPr>
                <w:spacing w:val="5"/>
              </w:rPr>
              <w:t>24小时平均</w:t>
            </w:r>
          </w:p>
        </w:tc>
        <w:tc>
          <w:tcPr>
            <w:tcW w:w="816" w:type="pct"/>
            <w:tcBorders>
              <w:tl2br w:val="nil"/>
              <w:tr2bl w:val="nil"/>
            </w:tcBorders>
            <w:vAlign w:val="top"/>
          </w:tcPr>
          <w:p w14:paraId="4A3A8447">
            <w:pPr>
              <w:pStyle w:val="15"/>
              <w:spacing w:before="98" w:line="187" w:lineRule="auto"/>
              <w:ind w:left="579"/>
            </w:pPr>
            <w:r>
              <w:rPr>
                <w:spacing w:val="-2"/>
              </w:rPr>
              <w:t>75</w:t>
            </w:r>
          </w:p>
        </w:tc>
        <w:tc>
          <w:tcPr>
            <w:tcW w:w="679" w:type="pct"/>
            <w:vMerge w:val="continue"/>
            <w:tcBorders>
              <w:tl2br w:val="nil"/>
              <w:tr2bl w:val="nil"/>
            </w:tcBorders>
            <w:vAlign w:val="top"/>
          </w:tcPr>
          <w:p w14:paraId="75C9E980">
            <w:pPr>
              <w:rPr>
                <w:rFonts w:ascii="Arial"/>
                <w:sz w:val="21"/>
              </w:rPr>
            </w:pPr>
          </w:p>
        </w:tc>
        <w:tc>
          <w:tcPr>
            <w:tcW w:w="1434" w:type="pct"/>
            <w:vMerge w:val="continue"/>
            <w:tcBorders>
              <w:tl2br w:val="nil"/>
              <w:tr2bl w:val="nil"/>
            </w:tcBorders>
            <w:vAlign w:val="top"/>
          </w:tcPr>
          <w:p w14:paraId="7AF038F0">
            <w:pPr>
              <w:rPr>
                <w:rFonts w:ascii="Arial"/>
                <w:sz w:val="21"/>
              </w:rPr>
            </w:pPr>
          </w:p>
        </w:tc>
      </w:tr>
      <w:tr w14:paraId="3FEBDA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80" w:type="pct"/>
            <w:vMerge w:val="continue"/>
            <w:tcBorders>
              <w:tl2br w:val="nil"/>
              <w:tr2bl w:val="nil"/>
            </w:tcBorders>
            <w:vAlign w:val="top"/>
          </w:tcPr>
          <w:p w14:paraId="376054B1">
            <w:pPr>
              <w:rPr>
                <w:rFonts w:ascii="Arial"/>
                <w:sz w:val="21"/>
              </w:rPr>
            </w:pPr>
          </w:p>
        </w:tc>
        <w:tc>
          <w:tcPr>
            <w:tcW w:w="1189" w:type="pct"/>
            <w:tcBorders>
              <w:tl2br w:val="nil"/>
              <w:tr2bl w:val="nil"/>
            </w:tcBorders>
            <w:vAlign w:val="top"/>
          </w:tcPr>
          <w:p w14:paraId="29DA69A4">
            <w:pPr>
              <w:pStyle w:val="15"/>
              <w:spacing w:before="65" w:line="222" w:lineRule="auto"/>
              <w:ind w:left="665"/>
            </w:pPr>
            <w:r>
              <w:rPr>
                <w:spacing w:val="6"/>
              </w:rPr>
              <w:t>年平均</w:t>
            </w:r>
          </w:p>
        </w:tc>
        <w:tc>
          <w:tcPr>
            <w:tcW w:w="816" w:type="pct"/>
            <w:tcBorders>
              <w:tl2br w:val="nil"/>
              <w:tr2bl w:val="nil"/>
            </w:tcBorders>
            <w:vAlign w:val="top"/>
          </w:tcPr>
          <w:p w14:paraId="6083EBEF">
            <w:pPr>
              <w:pStyle w:val="15"/>
              <w:spacing w:before="97" w:line="189" w:lineRule="auto"/>
              <w:ind w:left="578"/>
            </w:pPr>
            <w:r>
              <w:rPr>
                <w:spacing w:val="-2"/>
              </w:rPr>
              <w:t>35</w:t>
            </w:r>
          </w:p>
        </w:tc>
        <w:tc>
          <w:tcPr>
            <w:tcW w:w="679" w:type="pct"/>
            <w:vMerge w:val="continue"/>
            <w:tcBorders>
              <w:tl2br w:val="nil"/>
              <w:tr2bl w:val="nil"/>
            </w:tcBorders>
            <w:vAlign w:val="top"/>
          </w:tcPr>
          <w:p w14:paraId="4B5DEAEE">
            <w:pPr>
              <w:rPr>
                <w:rFonts w:ascii="Arial"/>
                <w:sz w:val="21"/>
              </w:rPr>
            </w:pPr>
          </w:p>
        </w:tc>
        <w:tc>
          <w:tcPr>
            <w:tcW w:w="1434" w:type="pct"/>
            <w:vMerge w:val="continue"/>
            <w:tcBorders>
              <w:tl2br w:val="nil"/>
              <w:tr2bl w:val="nil"/>
            </w:tcBorders>
            <w:vAlign w:val="top"/>
          </w:tcPr>
          <w:p w14:paraId="3AE765F0">
            <w:pPr>
              <w:rPr>
                <w:rFonts w:ascii="Arial"/>
                <w:sz w:val="21"/>
              </w:rPr>
            </w:pPr>
          </w:p>
        </w:tc>
      </w:tr>
      <w:tr w14:paraId="13A626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restart"/>
            <w:tcBorders>
              <w:tl2br w:val="nil"/>
              <w:tr2bl w:val="nil"/>
            </w:tcBorders>
            <w:vAlign w:val="top"/>
          </w:tcPr>
          <w:p w14:paraId="1526B70E">
            <w:pPr>
              <w:pStyle w:val="15"/>
              <w:spacing w:before="260" w:line="198" w:lineRule="auto"/>
              <w:ind w:left="559"/>
              <w:rPr>
                <w:sz w:val="10"/>
                <w:szCs w:val="10"/>
              </w:rPr>
            </w:pPr>
            <w:r>
              <w:t>PM</w:t>
            </w:r>
            <w:r>
              <w:rPr>
                <w:spacing w:val="4"/>
                <w:position w:val="-2"/>
                <w:sz w:val="10"/>
                <w:szCs w:val="10"/>
              </w:rPr>
              <w:t>10</w:t>
            </w:r>
          </w:p>
        </w:tc>
        <w:tc>
          <w:tcPr>
            <w:tcW w:w="1189" w:type="pct"/>
            <w:tcBorders>
              <w:tl2br w:val="nil"/>
              <w:tr2bl w:val="nil"/>
            </w:tcBorders>
            <w:vAlign w:val="top"/>
          </w:tcPr>
          <w:p w14:paraId="7DF089F4">
            <w:pPr>
              <w:pStyle w:val="15"/>
              <w:spacing w:before="65" w:line="221" w:lineRule="auto"/>
              <w:ind w:left="458"/>
            </w:pPr>
            <w:r>
              <w:rPr>
                <w:spacing w:val="5"/>
              </w:rPr>
              <w:t>24小时平均</w:t>
            </w:r>
          </w:p>
        </w:tc>
        <w:tc>
          <w:tcPr>
            <w:tcW w:w="816" w:type="pct"/>
            <w:tcBorders>
              <w:tl2br w:val="nil"/>
              <w:tr2bl w:val="nil"/>
            </w:tcBorders>
            <w:vAlign w:val="top"/>
          </w:tcPr>
          <w:p w14:paraId="05B31D15">
            <w:pPr>
              <w:pStyle w:val="15"/>
              <w:spacing w:before="97" w:line="190" w:lineRule="auto"/>
              <w:ind w:left="537"/>
            </w:pPr>
            <w:r>
              <w:rPr>
                <w:spacing w:val="-3"/>
              </w:rPr>
              <w:t>150</w:t>
            </w:r>
          </w:p>
        </w:tc>
        <w:tc>
          <w:tcPr>
            <w:tcW w:w="679" w:type="pct"/>
            <w:vMerge w:val="continue"/>
            <w:tcBorders>
              <w:tl2br w:val="nil"/>
              <w:tr2bl w:val="nil"/>
            </w:tcBorders>
            <w:vAlign w:val="top"/>
          </w:tcPr>
          <w:p w14:paraId="2FA9FDEA">
            <w:pPr>
              <w:rPr>
                <w:rFonts w:ascii="Arial"/>
                <w:sz w:val="21"/>
              </w:rPr>
            </w:pPr>
          </w:p>
        </w:tc>
        <w:tc>
          <w:tcPr>
            <w:tcW w:w="1434" w:type="pct"/>
            <w:vMerge w:val="continue"/>
            <w:tcBorders>
              <w:tl2br w:val="nil"/>
              <w:tr2bl w:val="nil"/>
            </w:tcBorders>
            <w:vAlign w:val="top"/>
          </w:tcPr>
          <w:p w14:paraId="519BB8D0">
            <w:pPr>
              <w:rPr>
                <w:rFonts w:ascii="Arial"/>
                <w:sz w:val="21"/>
              </w:rPr>
            </w:pPr>
          </w:p>
        </w:tc>
      </w:tr>
      <w:tr w14:paraId="6DDCC2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80" w:type="pct"/>
            <w:vMerge w:val="continue"/>
            <w:tcBorders>
              <w:tl2br w:val="nil"/>
              <w:tr2bl w:val="nil"/>
            </w:tcBorders>
            <w:vAlign w:val="top"/>
          </w:tcPr>
          <w:p w14:paraId="30B6B3B5">
            <w:pPr>
              <w:rPr>
                <w:rFonts w:ascii="Arial"/>
                <w:sz w:val="21"/>
              </w:rPr>
            </w:pPr>
          </w:p>
        </w:tc>
        <w:tc>
          <w:tcPr>
            <w:tcW w:w="1189" w:type="pct"/>
            <w:tcBorders>
              <w:tl2br w:val="nil"/>
              <w:tr2bl w:val="nil"/>
            </w:tcBorders>
            <w:vAlign w:val="top"/>
          </w:tcPr>
          <w:p w14:paraId="7DD2BBF9">
            <w:pPr>
              <w:pStyle w:val="15"/>
              <w:spacing w:before="67" w:line="220" w:lineRule="auto"/>
              <w:ind w:left="665"/>
            </w:pPr>
            <w:r>
              <w:rPr>
                <w:spacing w:val="6"/>
              </w:rPr>
              <w:t>年平均</w:t>
            </w:r>
          </w:p>
        </w:tc>
        <w:tc>
          <w:tcPr>
            <w:tcW w:w="816" w:type="pct"/>
            <w:tcBorders>
              <w:tl2br w:val="nil"/>
              <w:tr2bl w:val="nil"/>
            </w:tcBorders>
            <w:vAlign w:val="top"/>
          </w:tcPr>
          <w:p w14:paraId="33A8D7B9">
            <w:pPr>
              <w:pStyle w:val="15"/>
              <w:spacing w:before="100" w:line="189" w:lineRule="auto"/>
              <w:ind w:left="579"/>
            </w:pPr>
            <w:r>
              <w:rPr>
                <w:spacing w:val="-2"/>
              </w:rPr>
              <w:t>70</w:t>
            </w:r>
          </w:p>
        </w:tc>
        <w:tc>
          <w:tcPr>
            <w:tcW w:w="679" w:type="pct"/>
            <w:vMerge w:val="continue"/>
            <w:tcBorders>
              <w:tl2br w:val="nil"/>
              <w:tr2bl w:val="nil"/>
            </w:tcBorders>
            <w:vAlign w:val="top"/>
          </w:tcPr>
          <w:p w14:paraId="4BA9087D">
            <w:pPr>
              <w:rPr>
                <w:rFonts w:ascii="Arial"/>
                <w:sz w:val="21"/>
              </w:rPr>
            </w:pPr>
          </w:p>
        </w:tc>
        <w:tc>
          <w:tcPr>
            <w:tcW w:w="1434" w:type="pct"/>
            <w:vMerge w:val="continue"/>
            <w:tcBorders>
              <w:tl2br w:val="nil"/>
              <w:tr2bl w:val="nil"/>
            </w:tcBorders>
            <w:vAlign w:val="top"/>
          </w:tcPr>
          <w:p w14:paraId="041BDFE6">
            <w:pPr>
              <w:rPr>
                <w:rFonts w:ascii="Arial"/>
                <w:sz w:val="21"/>
              </w:rPr>
            </w:pPr>
          </w:p>
        </w:tc>
      </w:tr>
      <w:tr w14:paraId="6CAD5A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restart"/>
            <w:tcBorders>
              <w:tl2br w:val="nil"/>
              <w:tr2bl w:val="nil"/>
            </w:tcBorders>
            <w:vAlign w:val="top"/>
          </w:tcPr>
          <w:p w14:paraId="4D39640F">
            <w:pPr>
              <w:pStyle w:val="15"/>
              <w:spacing w:before="263" w:line="189" w:lineRule="auto"/>
              <w:ind w:left="611"/>
            </w:pPr>
            <w:r>
              <w:rPr>
                <w:spacing w:val="1"/>
              </w:rPr>
              <w:t>CO</w:t>
            </w:r>
          </w:p>
        </w:tc>
        <w:tc>
          <w:tcPr>
            <w:tcW w:w="1189" w:type="pct"/>
            <w:tcBorders>
              <w:tl2br w:val="nil"/>
              <w:tr2bl w:val="nil"/>
            </w:tcBorders>
            <w:vAlign w:val="top"/>
          </w:tcPr>
          <w:p w14:paraId="2D60F3B9">
            <w:pPr>
              <w:pStyle w:val="15"/>
              <w:spacing w:before="69" w:line="217" w:lineRule="auto"/>
              <w:ind w:left="497"/>
            </w:pPr>
            <w:r>
              <w:t>1</w:t>
            </w:r>
            <w:r>
              <w:rPr>
                <w:spacing w:val="-31"/>
              </w:rPr>
              <w:t xml:space="preserve"> </w:t>
            </w:r>
            <w:r>
              <w:t>小时平均</w:t>
            </w:r>
          </w:p>
        </w:tc>
        <w:tc>
          <w:tcPr>
            <w:tcW w:w="816" w:type="pct"/>
            <w:tcBorders>
              <w:tl2br w:val="nil"/>
              <w:tr2bl w:val="nil"/>
            </w:tcBorders>
            <w:vAlign w:val="top"/>
          </w:tcPr>
          <w:p w14:paraId="6439FA98">
            <w:pPr>
              <w:pStyle w:val="15"/>
              <w:spacing w:before="102" w:line="187" w:lineRule="auto"/>
              <w:ind w:left="589"/>
            </w:pPr>
            <w:r>
              <w:rPr>
                <w:spacing w:val="-7"/>
              </w:rPr>
              <w:t>10</w:t>
            </w:r>
          </w:p>
        </w:tc>
        <w:tc>
          <w:tcPr>
            <w:tcW w:w="679" w:type="pct"/>
            <w:vMerge w:val="restart"/>
            <w:tcBorders>
              <w:tl2br w:val="nil"/>
              <w:tr2bl w:val="nil"/>
            </w:tcBorders>
            <w:vAlign w:val="top"/>
          </w:tcPr>
          <w:p w14:paraId="14FD9304">
            <w:pPr>
              <w:pStyle w:val="15"/>
              <w:spacing w:before="230" w:line="222" w:lineRule="auto"/>
              <w:ind w:left="326"/>
              <w:rPr>
                <w:sz w:val="10"/>
                <w:szCs w:val="10"/>
              </w:rPr>
            </w:pPr>
            <w:r>
              <w:t>mg</w:t>
            </w:r>
            <w:r>
              <w:rPr>
                <w:spacing w:val="6"/>
              </w:rPr>
              <w:t>/m</w:t>
            </w:r>
            <w:r>
              <w:rPr>
                <w:spacing w:val="6"/>
                <w:position w:val="10"/>
                <w:sz w:val="10"/>
                <w:szCs w:val="10"/>
              </w:rPr>
              <w:t>3</w:t>
            </w:r>
          </w:p>
        </w:tc>
        <w:tc>
          <w:tcPr>
            <w:tcW w:w="1434" w:type="pct"/>
            <w:vMerge w:val="continue"/>
            <w:tcBorders>
              <w:tl2br w:val="nil"/>
              <w:tr2bl w:val="nil"/>
            </w:tcBorders>
            <w:vAlign w:val="top"/>
          </w:tcPr>
          <w:p w14:paraId="0A28A651">
            <w:pPr>
              <w:rPr>
                <w:rFonts w:ascii="Arial"/>
                <w:sz w:val="21"/>
              </w:rPr>
            </w:pPr>
          </w:p>
        </w:tc>
      </w:tr>
      <w:tr w14:paraId="4968AB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80" w:type="pct"/>
            <w:vMerge w:val="continue"/>
            <w:tcBorders>
              <w:tl2br w:val="nil"/>
              <w:tr2bl w:val="nil"/>
            </w:tcBorders>
            <w:vAlign w:val="top"/>
          </w:tcPr>
          <w:p w14:paraId="73EF9D92">
            <w:pPr>
              <w:rPr>
                <w:rFonts w:ascii="Arial"/>
                <w:sz w:val="21"/>
              </w:rPr>
            </w:pPr>
          </w:p>
        </w:tc>
        <w:tc>
          <w:tcPr>
            <w:tcW w:w="1189" w:type="pct"/>
            <w:tcBorders>
              <w:tl2br w:val="nil"/>
              <w:tr2bl w:val="nil"/>
            </w:tcBorders>
            <w:vAlign w:val="top"/>
          </w:tcPr>
          <w:p w14:paraId="7B7FDADC">
            <w:pPr>
              <w:pStyle w:val="15"/>
              <w:spacing w:before="72" w:line="215" w:lineRule="auto"/>
              <w:ind w:left="700"/>
            </w:pPr>
            <w:r>
              <w:rPr>
                <w:spacing w:val="-6"/>
              </w:rPr>
              <w:t>日平均</w:t>
            </w:r>
          </w:p>
        </w:tc>
        <w:tc>
          <w:tcPr>
            <w:tcW w:w="816" w:type="pct"/>
            <w:tcBorders>
              <w:tl2br w:val="nil"/>
              <w:tr2bl w:val="nil"/>
            </w:tcBorders>
            <w:vAlign w:val="top"/>
          </w:tcPr>
          <w:p w14:paraId="29125389">
            <w:pPr>
              <w:pStyle w:val="15"/>
              <w:spacing w:before="104" w:line="185" w:lineRule="auto"/>
              <w:ind w:left="623"/>
            </w:pPr>
            <w:r>
              <w:t>4</w:t>
            </w:r>
          </w:p>
        </w:tc>
        <w:tc>
          <w:tcPr>
            <w:tcW w:w="679" w:type="pct"/>
            <w:vMerge w:val="continue"/>
            <w:tcBorders>
              <w:tl2br w:val="nil"/>
              <w:tr2bl w:val="nil"/>
            </w:tcBorders>
            <w:vAlign w:val="top"/>
          </w:tcPr>
          <w:p w14:paraId="390F548A">
            <w:pPr>
              <w:rPr>
                <w:rFonts w:ascii="Arial"/>
                <w:sz w:val="21"/>
              </w:rPr>
            </w:pPr>
          </w:p>
        </w:tc>
        <w:tc>
          <w:tcPr>
            <w:tcW w:w="1434" w:type="pct"/>
            <w:vMerge w:val="continue"/>
            <w:tcBorders>
              <w:tl2br w:val="nil"/>
              <w:tr2bl w:val="nil"/>
            </w:tcBorders>
            <w:vAlign w:val="top"/>
          </w:tcPr>
          <w:p w14:paraId="30A5B42F">
            <w:pPr>
              <w:rPr>
                <w:rFonts w:ascii="Arial"/>
                <w:sz w:val="21"/>
              </w:rPr>
            </w:pPr>
          </w:p>
        </w:tc>
      </w:tr>
      <w:tr w14:paraId="4E0857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80" w:type="pct"/>
            <w:vMerge w:val="restart"/>
            <w:tcBorders>
              <w:tl2br w:val="nil"/>
              <w:tr2bl w:val="nil"/>
            </w:tcBorders>
            <w:vAlign w:val="top"/>
          </w:tcPr>
          <w:p w14:paraId="392C71F9">
            <w:pPr>
              <w:pStyle w:val="15"/>
              <w:spacing w:before="267" w:line="199" w:lineRule="auto"/>
              <w:ind w:left="639"/>
              <w:rPr>
                <w:sz w:val="10"/>
                <w:szCs w:val="10"/>
              </w:rPr>
            </w:pPr>
            <w:r>
              <w:t>O</w:t>
            </w:r>
            <w:r>
              <w:rPr>
                <w:position w:val="-2"/>
                <w:sz w:val="10"/>
                <w:szCs w:val="10"/>
              </w:rPr>
              <w:t>3</w:t>
            </w:r>
          </w:p>
        </w:tc>
        <w:tc>
          <w:tcPr>
            <w:tcW w:w="1189" w:type="pct"/>
            <w:tcBorders>
              <w:tl2br w:val="nil"/>
              <w:tr2bl w:val="nil"/>
            </w:tcBorders>
            <w:vAlign w:val="top"/>
          </w:tcPr>
          <w:p w14:paraId="6D4C6738">
            <w:pPr>
              <w:pStyle w:val="15"/>
              <w:spacing w:before="73" w:line="215" w:lineRule="auto"/>
              <w:ind w:left="497"/>
            </w:pPr>
            <w:r>
              <w:t>1</w:t>
            </w:r>
            <w:r>
              <w:rPr>
                <w:spacing w:val="-31"/>
              </w:rPr>
              <w:t xml:space="preserve"> </w:t>
            </w:r>
            <w:r>
              <w:t>小时平均</w:t>
            </w:r>
          </w:p>
        </w:tc>
        <w:tc>
          <w:tcPr>
            <w:tcW w:w="816" w:type="pct"/>
            <w:tcBorders>
              <w:tl2br w:val="nil"/>
              <w:tr2bl w:val="nil"/>
            </w:tcBorders>
            <w:vAlign w:val="top"/>
          </w:tcPr>
          <w:p w14:paraId="7EC47C6D">
            <w:pPr>
              <w:pStyle w:val="15"/>
              <w:spacing w:before="106" w:line="184" w:lineRule="auto"/>
              <w:ind w:left="524"/>
            </w:pPr>
            <w:r>
              <w:rPr>
                <w:spacing w:val="1"/>
              </w:rPr>
              <w:t>200</w:t>
            </w:r>
          </w:p>
        </w:tc>
        <w:tc>
          <w:tcPr>
            <w:tcW w:w="679" w:type="pct"/>
            <w:vMerge w:val="restart"/>
            <w:tcBorders>
              <w:tl2br w:val="nil"/>
              <w:tr2bl w:val="nil"/>
            </w:tcBorders>
            <w:vAlign w:val="top"/>
          </w:tcPr>
          <w:p w14:paraId="6C9C1010">
            <w:pPr>
              <w:pStyle w:val="15"/>
              <w:spacing w:before="234" w:line="222" w:lineRule="auto"/>
              <w:ind w:left="333"/>
              <w:rPr>
                <w:sz w:val="10"/>
                <w:szCs w:val="10"/>
              </w:rPr>
            </w:pPr>
            <w:r>
              <w:rPr>
                <w:spacing w:val="-9"/>
              </w:rPr>
              <w:t>μg/m</w:t>
            </w:r>
            <w:r>
              <w:rPr>
                <w:spacing w:val="4"/>
                <w:position w:val="10"/>
                <w:sz w:val="10"/>
                <w:szCs w:val="10"/>
              </w:rPr>
              <w:t>3</w:t>
            </w:r>
          </w:p>
        </w:tc>
        <w:tc>
          <w:tcPr>
            <w:tcW w:w="1434" w:type="pct"/>
            <w:vMerge w:val="continue"/>
            <w:tcBorders>
              <w:tl2br w:val="nil"/>
              <w:tr2bl w:val="nil"/>
            </w:tcBorders>
            <w:vAlign w:val="top"/>
          </w:tcPr>
          <w:p w14:paraId="3E588714">
            <w:pPr>
              <w:rPr>
                <w:rFonts w:ascii="Arial"/>
                <w:sz w:val="21"/>
              </w:rPr>
            </w:pPr>
          </w:p>
        </w:tc>
      </w:tr>
      <w:tr w14:paraId="7AF72F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880" w:type="pct"/>
            <w:vMerge w:val="continue"/>
            <w:tcBorders>
              <w:tl2br w:val="nil"/>
              <w:tr2bl w:val="nil"/>
            </w:tcBorders>
            <w:vAlign w:val="top"/>
          </w:tcPr>
          <w:p w14:paraId="17D65B98">
            <w:pPr>
              <w:rPr>
                <w:rFonts w:ascii="Arial"/>
                <w:sz w:val="21"/>
              </w:rPr>
            </w:pPr>
          </w:p>
        </w:tc>
        <w:tc>
          <w:tcPr>
            <w:tcW w:w="1189" w:type="pct"/>
            <w:tcBorders>
              <w:tl2br w:val="nil"/>
              <w:tr2bl w:val="nil"/>
            </w:tcBorders>
            <w:vAlign w:val="top"/>
          </w:tcPr>
          <w:p w14:paraId="2EE6BF90">
            <w:pPr>
              <w:pStyle w:val="15"/>
              <w:spacing w:before="73" w:line="228" w:lineRule="auto"/>
              <w:ind w:left="177"/>
            </w:pPr>
            <w:r>
              <w:t>日最大</w:t>
            </w:r>
            <w:r>
              <w:rPr>
                <w:spacing w:val="-36"/>
              </w:rPr>
              <w:t xml:space="preserve"> </w:t>
            </w:r>
            <w:r>
              <w:t>8</w:t>
            </w:r>
            <w:r>
              <w:rPr>
                <w:spacing w:val="-32"/>
              </w:rPr>
              <w:t xml:space="preserve"> </w:t>
            </w:r>
            <w:r>
              <w:t>小时平均</w:t>
            </w:r>
          </w:p>
        </w:tc>
        <w:tc>
          <w:tcPr>
            <w:tcW w:w="816" w:type="pct"/>
            <w:tcBorders>
              <w:tl2br w:val="nil"/>
              <w:tr2bl w:val="nil"/>
            </w:tcBorders>
            <w:vAlign w:val="top"/>
          </w:tcPr>
          <w:p w14:paraId="32F921FA">
            <w:pPr>
              <w:pStyle w:val="15"/>
              <w:spacing w:before="105" w:line="190" w:lineRule="auto"/>
              <w:ind w:left="537"/>
            </w:pPr>
            <w:r>
              <w:rPr>
                <w:spacing w:val="-3"/>
              </w:rPr>
              <w:t>160</w:t>
            </w:r>
          </w:p>
        </w:tc>
        <w:tc>
          <w:tcPr>
            <w:tcW w:w="679" w:type="pct"/>
            <w:vMerge w:val="continue"/>
            <w:tcBorders>
              <w:tl2br w:val="nil"/>
              <w:tr2bl w:val="nil"/>
            </w:tcBorders>
            <w:vAlign w:val="top"/>
          </w:tcPr>
          <w:p w14:paraId="528D9059">
            <w:pPr>
              <w:rPr>
                <w:rFonts w:ascii="Arial"/>
                <w:sz w:val="21"/>
              </w:rPr>
            </w:pPr>
          </w:p>
        </w:tc>
        <w:tc>
          <w:tcPr>
            <w:tcW w:w="1434" w:type="pct"/>
            <w:vMerge w:val="continue"/>
            <w:tcBorders>
              <w:tl2br w:val="nil"/>
              <w:tr2bl w:val="nil"/>
            </w:tcBorders>
            <w:vAlign w:val="top"/>
          </w:tcPr>
          <w:p w14:paraId="0BA884F2">
            <w:pPr>
              <w:rPr>
                <w:rFonts w:ascii="Arial"/>
                <w:sz w:val="21"/>
              </w:rPr>
            </w:pPr>
          </w:p>
        </w:tc>
      </w:tr>
    </w:tbl>
    <w:p w14:paraId="65FA1373">
      <w:pPr>
        <w:pStyle w:val="3"/>
        <w:spacing w:line="423" w:lineRule="auto"/>
      </w:pPr>
    </w:p>
    <w:p w14:paraId="117F55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r>
        <w:rPr>
          <w:rFonts w:ascii="宋体" w:hAnsi="宋体" w:eastAsia="宋体" w:cs="宋体"/>
          <w:spacing w:val="-5"/>
          <w:sz w:val="24"/>
          <w:szCs w:val="24"/>
        </w:rPr>
        <w:t>地下水环境质量标准</w:t>
      </w:r>
    </w:p>
    <w:p w14:paraId="6EC8891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本次环评地下水执行《地下水质量标准》(GB/T14848-2017)中Ⅲ类标准，具体指详见表2-3-3。</w:t>
      </w:r>
    </w:p>
    <w:p w14:paraId="395761D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3</w:t>
      </w:r>
      <w:r>
        <w:rPr>
          <w:rFonts w:hint="eastAsia" w:ascii="宋体" w:hAnsi="宋体" w:eastAsia="宋体" w:cs="宋体"/>
          <w:spacing w:val="-5"/>
          <w:sz w:val="24"/>
          <w:szCs w:val="24"/>
          <w:lang w:eastAsia="zh-CN"/>
        </w:rPr>
        <w:t>）</w:t>
      </w:r>
      <w:r>
        <w:rPr>
          <w:rFonts w:ascii="宋体" w:hAnsi="宋体" w:eastAsia="宋体" w:cs="宋体"/>
          <w:spacing w:val="-5"/>
          <w:sz w:val="24"/>
          <w:szCs w:val="24"/>
        </w:rPr>
        <w:t>地表水环境质量标准</w:t>
      </w:r>
    </w:p>
    <w:p w14:paraId="63AB532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宋体" w:hAnsi="宋体" w:eastAsia="宋体" w:cs="宋体"/>
          <w:sz w:val="24"/>
          <w:szCs w:val="24"/>
        </w:rPr>
      </w:pPr>
      <w:r>
        <w:rPr>
          <w:rFonts w:ascii="宋体" w:hAnsi="宋体" w:eastAsia="宋体" w:cs="宋体"/>
          <w:spacing w:val="-3"/>
          <w:sz w:val="24"/>
          <w:szCs w:val="24"/>
        </w:rPr>
        <w:t>根据《</w:t>
      </w:r>
      <w:r>
        <w:rPr>
          <w:rFonts w:hint="eastAsia" w:ascii="宋体" w:hAnsi="宋体" w:eastAsia="宋体" w:cs="宋体"/>
          <w:spacing w:val="-3"/>
          <w:sz w:val="24"/>
          <w:szCs w:val="24"/>
          <w:lang w:eastAsia="zh-CN"/>
        </w:rPr>
        <w:t>吐鲁番市</w:t>
      </w:r>
      <w:r>
        <w:rPr>
          <w:rFonts w:ascii="宋体" w:hAnsi="宋体" w:eastAsia="宋体" w:cs="宋体"/>
          <w:spacing w:val="-3"/>
          <w:sz w:val="24"/>
          <w:szCs w:val="24"/>
        </w:rPr>
        <w:t>“三线一单</w:t>
      </w:r>
      <w:r>
        <w:rPr>
          <w:rFonts w:ascii="宋体" w:hAnsi="宋体" w:eastAsia="宋体" w:cs="宋体"/>
          <w:spacing w:val="-71"/>
          <w:sz w:val="24"/>
          <w:szCs w:val="24"/>
        </w:rPr>
        <w:t xml:space="preserve"> </w:t>
      </w:r>
      <w:r>
        <w:rPr>
          <w:rFonts w:ascii="宋体" w:hAnsi="宋体" w:eastAsia="宋体" w:cs="宋体"/>
          <w:spacing w:val="-3"/>
          <w:sz w:val="24"/>
          <w:szCs w:val="24"/>
        </w:rPr>
        <w:t>”生态环境分区管控方案》、《中国新疆水</w:t>
      </w:r>
      <w:r>
        <w:rPr>
          <w:rFonts w:ascii="宋体" w:hAnsi="宋体" w:eastAsia="宋体" w:cs="宋体"/>
          <w:spacing w:val="23"/>
          <w:sz w:val="24"/>
          <w:szCs w:val="24"/>
        </w:rPr>
        <w:t>环境功能区划》</w:t>
      </w:r>
      <w:r>
        <w:rPr>
          <w:rFonts w:ascii="宋体" w:hAnsi="宋体" w:eastAsia="宋体" w:cs="宋体"/>
          <w:spacing w:val="-56"/>
          <w:sz w:val="24"/>
          <w:szCs w:val="24"/>
        </w:rPr>
        <w:t xml:space="preserve"> </w:t>
      </w:r>
      <w:r>
        <w:rPr>
          <w:rFonts w:ascii="宋体" w:hAnsi="宋体" w:eastAsia="宋体" w:cs="宋体"/>
          <w:spacing w:val="23"/>
          <w:sz w:val="24"/>
          <w:szCs w:val="24"/>
        </w:rPr>
        <w:t>相关内容</w:t>
      </w:r>
      <w:r>
        <w:rPr>
          <w:rFonts w:ascii="宋体" w:hAnsi="宋体" w:eastAsia="宋体" w:cs="宋体"/>
          <w:spacing w:val="-64"/>
          <w:sz w:val="24"/>
          <w:szCs w:val="24"/>
        </w:rPr>
        <w:t xml:space="preserve"> </w:t>
      </w:r>
      <w:r>
        <w:rPr>
          <w:rFonts w:ascii="宋体" w:hAnsi="宋体" w:eastAsia="宋体" w:cs="宋体"/>
          <w:spacing w:val="23"/>
          <w:sz w:val="24"/>
          <w:szCs w:val="24"/>
        </w:rPr>
        <w:t>，本次环评涉及的</w:t>
      </w:r>
      <w:r>
        <w:rPr>
          <w:rFonts w:hint="eastAsia" w:ascii="宋体" w:hAnsi="宋体" w:eastAsia="宋体" w:cs="宋体"/>
          <w:spacing w:val="23"/>
          <w:sz w:val="24"/>
          <w:szCs w:val="24"/>
          <w:lang w:eastAsia="zh-CN"/>
        </w:rPr>
        <w:t>艾丁湖</w:t>
      </w:r>
      <w:r>
        <w:rPr>
          <w:rFonts w:ascii="宋体" w:hAnsi="宋体" w:eastAsia="宋体" w:cs="宋体"/>
          <w:spacing w:val="23"/>
          <w:sz w:val="24"/>
          <w:szCs w:val="24"/>
        </w:rPr>
        <w:t>执行《地表水环境质</w:t>
      </w:r>
      <w:r>
        <w:rPr>
          <w:rFonts w:ascii="宋体" w:hAnsi="宋体" w:eastAsia="宋体" w:cs="宋体"/>
          <w:spacing w:val="22"/>
          <w:sz w:val="24"/>
          <w:szCs w:val="24"/>
        </w:rPr>
        <w:t>量标准</w:t>
      </w:r>
      <w:r>
        <w:rPr>
          <w:rFonts w:ascii="宋体" w:hAnsi="宋体" w:eastAsia="宋体" w:cs="宋体"/>
          <w:sz w:val="24"/>
          <w:szCs w:val="24"/>
        </w:rPr>
        <w:t xml:space="preserve"> </w:t>
      </w:r>
      <w:r>
        <w:rPr>
          <w:rFonts w:ascii="宋体" w:hAnsi="宋体" w:eastAsia="宋体" w:cs="宋体"/>
          <w:spacing w:val="9"/>
          <w:sz w:val="24"/>
          <w:szCs w:val="24"/>
        </w:rPr>
        <w:t>(</w:t>
      </w:r>
      <w:r>
        <w:rPr>
          <w:rFonts w:ascii="宋体" w:hAnsi="宋体" w:eastAsia="宋体" w:cs="宋体"/>
          <w:sz w:val="24"/>
          <w:szCs w:val="24"/>
        </w:rPr>
        <w:t>GB</w:t>
      </w:r>
      <w:r>
        <w:rPr>
          <w:rFonts w:ascii="宋体" w:hAnsi="宋体" w:eastAsia="宋体" w:cs="宋体"/>
          <w:spacing w:val="9"/>
          <w:sz w:val="24"/>
          <w:szCs w:val="24"/>
        </w:rPr>
        <w:t xml:space="preserve">3838-2002)》 </w:t>
      </w:r>
      <w:r>
        <w:rPr>
          <w:rFonts w:ascii="宋体" w:hAnsi="宋体" w:eastAsia="宋体" w:cs="宋体"/>
          <w:spacing w:val="-2"/>
          <w:sz w:val="24"/>
          <w:szCs w:val="24"/>
        </w:rPr>
        <w:t>Ⅲ类水质标准限值。具体指标详见表</w:t>
      </w:r>
      <w:r>
        <w:rPr>
          <w:rFonts w:ascii="宋体" w:hAnsi="宋体" w:eastAsia="宋体" w:cs="宋体"/>
          <w:spacing w:val="-41"/>
          <w:sz w:val="24"/>
          <w:szCs w:val="24"/>
        </w:rPr>
        <w:t xml:space="preserve"> </w:t>
      </w:r>
      <w:r>
        <w:rPr>
          <w:rFonts w:ascii="宋体" w:hAnsi="宋体" w:eastAsia="宋体" w:cs="宋体"/>
          <w:spacing w:val="-2"/>
          <w:sz w:val="24"/>
          <w:szCs w:val="24"/>
        </w:rPr>
        <w:t>2-3-4。</w:t>
      </w:r>
    </w:p>
    <w:p w14:paraId="1143A1A3">
      <w:pPr>
        <w:spacing w:before="183" w:line="212"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2-3-4</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地表水环境质量标准</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单位：mg/L，pH</w:t>
      </w:r>
      <w:r>
        <w:rPr>
          <w:rFonts w:ascii="宋体" w:hAnsi="宋体" w:eastAsia="宋体" w:cs="宋体"/>
          <w:spacing w:val="-3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除外</w:t>
      </w:r>
    </w:p>
    <w:tbl>
      <w:tblPr>
        <w:tblStyle w:val="14"/>
        <w:tblpPr w:leftFromText="180" w:rightFromText="180" w:vertAnchor="text" w:horzAnchor="page" w:tblpX="1408" w:tblpY="278"/>
        <w:tblOverlap w:val="never"/>
        <w:tblW w:w="4998"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4181"/>
        <w:gridCol w:w="2592"/>
        <w:gridCol w:w="2378"/>
      </w:tblGrid>
      <w:tr w14:paraId="300C875D">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6" w:hRule="atLeast"/>
        </w:trPr>
        <w:tc>
          <w:tcPr>
            <w:tcW w:w="2284" w:type="pct"/>
            <w:tcBorders>
              <w:tl2br w:val="nil"/>
              <w:tr2bl w:val="nil"/>
            </w:tcBorders>
            <w:vAlign w:val="top"/>
          </w:tcPr>
          <w:p w14:paraId="778AE4EE">
            <w:pPr>
              <w:pStyle w:val="15"/>
              <w:spacing w:before="34" w:line="214" w:lineRule="auto"/>
              <w:ind w:left="1074"/>
            </w:pPr>
            <w:r>
              <w:rPr>
                <w:spacing w:val="8"/>
              </w:rPr>
              <w:t>执行的标准名称及级别</w:t>
            </w:r>
          </w:p>
        </w:tc>
        <w:tc>
          <w:tcPr>
            <w:tcW w:w="1416" w:type="pct"/>
            <w:tcBorders>
              <w:tl2br w:val="nil"/>
              <w:tr2bl w:val="nil"/>
            </w:tcBorders>
            <w:vAlign w:val="top"/>
          </w:tcPr>
          <w:p w14:paraId="744B5D9C">
            <w:pPr>
              <w:pStyle w:val="15"/>
              <w:spacing w:before="34" w:line="214" w:lineRule="auto"/>
              <w:ind w:left="1013"/>
            </w:pPr>
            <w:r>
              <w:rPr>
                <w:spacing w:val="-2"/>
              </w:rPr>
              <w:t>项</w:t>
            </w:r>
            <w:r>
              <w:rPr>
                <w:spacing w:val="29"/>
              </w:rPr>
              <w:t xml:space="preserve">  </w:t>
            </w:r>
            <w:r>
              <w:rPr>
                <w:spacing w:val="-2"/>
              </w:rPr>
              <w:t>目</w:t>
            </w:r>
          </w:p>
        </w:tc>
        <w:tc>
          <w:tcPr>
            <w:tcW w:w="1299" w:type="pct"/>
            <w:tcBorders>
              <w:tl2br w:val="nil"/>
              <w:tr2bl w:val="nil"/>
            </w:tcBorders>
            <w:vAlign w:val="top"/>
          </w:tcPr>
          <w:p w14:paraId="20CCA05A">
            <w:pPr>
              <w:pStyle w:val="15"/>
              <w:spacing w:before="34" w:line="214" w:lineRule="auto"/>
              <w:ind w:left="640"/>
            </w:pPr>
            <w:r>
              <w:rPr>
                <w:spacing w:val="4"/>
              </w:rPr>
              <w:t>指</w:t>
            </w:r>
            <w:r>
              <w:rPr>
                <w:spacing w:val="20"/>
              </w:rPr>
              <w:t xml:space="preserve"> </w:t>
            </w:r>
            <w:r>
              <w:rPr>
                <w:spacing w:val="4"/>
              </w:rPr>
              <w:t>标(</w:t>
            </w:r>
            <w:r>
              <w:t>mg</w:t>
            </w:r>
            <w:r>
              <w:rPr>
                <w:spacing w:val="4"/>
              </w:rPr>
              <w:t>/L)</w:t>
            </w:r>
          </w:p>
        </w:tc>
      </w:tr>
      <w:tr w14:paraId="6B310016">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restart"/>
            <w:tcBorders>
              <w:tl2br w:val="nil"/>
              <w:tr2bl w:val="nil"/>
            </w:tcBorders>
            <w:vAlign w:val="top"/>
          </w:tcPr>
          <w:p w14:paraId="5EEEF605">
            <w:pPr>
              <w:spacing w:line="256" w:lineRule="auto"/>
              <w:rPr>
                <w:rFonts w:ascii="Arial"/>
                <w:sz w:val="21"/>
              </w:rPr>
            </w:pPr>
          </w:p>
          <w:p w14:paraId="1DDB8C64">
            <w:pPr>
              <w:spacing w:line="256" w:lineRule="auto"/>
              <w:rPr>
                <w:rFonts w:ascii="Arial"/>
                <w:sz w:val="21"/>
              </w:rPr>
            </w:pPr>
          </w:p>
          <w:p w14:paraId="3D4051C2">
            <w:pPr>
              <w:spacing w:line="256" w:lineRule="auto"/>
              <w:rPr>
                <w:rFonts w:ascii="Arial"/>
                <w:sz w:val="21"/>
              </w:rPr>
            </w:pPr>
          </w:p>
          <w:p w14:paraId="2D9313D1">
            <w:pPr>
              <w:spacing w:line="257" w:lineRule="auto"/>
              <w:rPr>
                <w:rFonts w:ascii="Arial"/>
                <w:sz w:val="21"/>
              </w:rPr>
            </w:pPr>
          </w:p>
          <w:p w14:paraId="53A87B8D">
            <w:pPr>
              <w:spacing w:line="257" w:lineRule="auto"/>
              <w:rPr>
                <w:rFonts w:ascii="Arial"/>
                <w:sz w:val="21"/>
              </w:rPr>
            </w:pPr>
          </w:p>
          <w:p w14:paraId="148F272D">
            <w:pPr>
              <w:spacing w:line="257" w:lineRule="auto"/>
              <w:rPr>
                <w:rFonts w:ascii="Arial"/>
                <w:sz w:val="21"/>
              </w:rPr>
            </w:pPr>
          </w:p>
          <w:p w14:paraId="1E21566A">
            <w:pPr>
              <w:spacing w:line="257" w:lineRule="auto"/>
              <w:rPr>
                <w:rFonts w:ascii="Arial"/>
                <w:sz w:val="21"/>
              </w:rPr>
            </w:pPr>
          </w:p>
          <w:p w14:paraId="3086B8FD">
            <w:pPr>
              <w:spacing w:line="257" w:lineRule="auto"/>
              <w:rPr>
                <w:rFonts w:ascii="Arial"/>
                <w:sz w:val="21"/>
              </w:rPr>
            </w:pPr>
          </w:p>
          <w:p w14:paraId="6C14335E">
            <w:pPr>
              <w:spacing w:line="257" w:lineRule="auto"/>
              <w:rPr>
                <w:rFonts w:ascii="Arial"/>
                <w:sz w:val="21"/>
              </w:rPr>
            </w:pPr>
          </w:p>
          <w:p w14:paraId="0D5BC67C">
            <w:pPr>
              <w:jc w:val="center"/>
              <w:rPr>
                <w:rFonts w:hint="eastAsia" w:ascii="宋体" w:hAnsi="宋体" w:eastAsia="宋体" w:cs="宋体"/>
              </w:rPr>
            </w:pPr>
            <w:r>
              <w:rPr>
                <w:rFonts w:hint="eastAsia" w:ascii="宋体" w:hAnsi="宋体" w:eastAsia="宋体" w:cs="宋体"/>
              </w:rPr>
              <w:t>《地表水环境质量标准》</w:t>
            </w:r>
          </w:p>
          <w:p w14:paraId="29882BA3">
            <w:pPr>
              <w:jc w:val="center"/>
            </w:pPr>
            <w:r>
              <w:rPr>
                <w:rFonts w:hint="eastAsia" w:ascii="宋体" w:hAnsi="宋体" w:eastAsia="宋体" w:cs="宋体"/>
              </w:rPr>
              <w:t>(GB3838-2002)中的Ⅲ类标准</w:t>
            </w:r>
          </w:p>
        </w:tc>
        <w:tc>
          <w:tcPr>
            <w:tcW w:w="1416" w:type="pct"/>
            <w:tcBorders>
              <w:tl2br w:val="nil"/>
              <w:tr2bl w:val="nil"/>
            </w:tcBorders>
            <w:vAlign w:val="top"/>
          </w:tcPr>
          <w:p w14:paraId="543AAD15">
            <w:pPr>
              <w:pStyle w:val="15"/>
              <w:spacing w:before="38" w:line="199" w:lineRule="auto"/>
              <w:ind w:left="1086"/>
            </w:pPr>
            <w:r>
              <w:t>pH</w:t>
            </w:r>
            <w:r>
              <w:rPr>
                <w:spacing w:val="-41"/>
              </w:rPr>
              <w:t xml:space="preserve"> </w:t>
            </w:r>
            <w:r>
              <w:rPr>
                <w:spacing w:val="5"/>
              </w:rPr>
              <w:t>值</w:t>
            </w:r>
          </w:p>
        </w:tc>
        <w:tc>
          <w:tcPr>
            <w:tcW w:w="1299" w:type="pct"/>
            <w:tcBorders>
              <w:tl2br w:val="nil"/>
              <w:tr2bl w:val="nil"/>
            </w:tcBorders>
            <w:vAlign w:val="top"/>
          </w:tcPr>
          <w:p w14:paraId="0B7C6081">
            <w:pPr>
              <w:pStyle w:val="15"/>
              <w:spacing w:before="38" w:line="199" w:lineRule="auto"/>
              <w:ind w:left="1009"/>
            </w:pPr>
            <w:r>
              <w:rPr>
                <w:spacing w:val="3"/>
              </w:rPr>
              <w:t>6～9</w:t>
            </w:r>
          </w:p>
        </w:tc>
      </w:tr>
      <w:tr w14:paraId="5CD85269">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04EB1974">
            <w:pPr>
              <w:rPr>
                <w:rFonts w:ascii="Arial"/>
                <w:sz w:val="21"/>
              </w:rPr>
            </w:pPr>
          </w:p>
        </w:tc>
        <w:tc>
          <w:tcPr>
            <w:tcW w:w="1416" w:type="pct"/>
            <w:tcBorders>
              <w:tl2br w:val="nil"/>
              <w:tr2bl w:val="nil"/>
            </w:tcBorders>
            <w:vAlign w:val="top"/>
          </w:tcPr>
          <w:p w14:paraId="1971BD95">
            <w:pPr>
              <w:pStyle w:val="15"/>
              <w:spacing w:before="38" w:line="199" w:lineRule="auto"/>
              <w:ind w:left="1221"/>
            </w:pPr>
            <w:r>
              <w:t>铜</w:t>
            </w:r>
          </w:p>
        </w:tc>
        <w:tc>
          <w:tcPr>
            <w:tcW w:w="1299" w:type="pct"/>
            <w:tcBorders>
              <w:tl2br w:val="nil"/>
              <w:tr2bl w:val="nil"/>
            </w:tcBorders>
            <w:vAlign w:val="top"/>
          </w:tcPr>
          <w:p w14:paraId="73591643">
            <w:pPr>
              <w:pStyle w:val="15"/>
              <w:spacing w:before="38" w:line="199" w:lineRule="auto"/>
              <w:ind w:left="969"/>
            </w:pPr>
            <w:r>
              <w:t>≤1.0</w:t>
            </w:r>
          </w:p>
        </w:tc>
      </w:tr>
      <w:tr w14:paraId="0BD14CB9">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5FBFA808">
            <w:pPr>
              <w:rPr>
                <w:rFonts w:ascii="Arial"/>
                <w:sz w:val="21"/>
              </w:rPr>
            </w:pPr>
          </w:p>
        </w:tc>
        <w:tc>
          <w:tcPr>
            <w:tcW w:w="1416" w:type="pct"/>
            <w:tcBorders>
              <w:tl2br w:val="nil"/>
              <w:tr2bl w:val="nil"/>
            </w:tcBorders>
            <w:vAlign w:val="top"/>
          </w:tcPr>
          <w:p w14:paraId="6E007393">
            <w:pPr>
              <w:pStyle w:val="15"/>
              <w:spacing w:before="40" w:line="197" w:lineRule="auto"/>
              <w:ind w:left="1012"/>
            </w:pPr>
            <w:r>
              <w:rPr>
                <w:spacing w:val="6"/>
              </w:rPr>
              <w:t>溶解氧</w:t>
            </w:r>
          </w:p>
        </w:tc>
        <w:tc>
          <w:tcPr>
            <w:tcW w:w="1299" w:type="pct"/>
            <w:tcBorders>
              <w:tl2br w:val="nil"/>
              <w:tr2bl w:val="nil"/>
            </w:tcBorders>
            <w:vAlign w:val="top"/>
          </w:tcPr>
          <w:p w14:paraId="40341E7C">
            <w:pPr>
              <w:pStyle w:val="15"/>
              <w:spacing w:before="40" w:line="197" w:lineRule="auto"/>
              <w:ind w:left="1078"/>
            </w:pPr>
            <w:r>
              <w:rPr>
                <w:spacing w:val="-7"/>
              </w:rPr>
              <w:t>≥5</w:t>
            </w:r>
          </w:p>
        </w:tc>
      </w:tr>
      <w:tr w14:paraId="4459F7C8">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0A01D49C">
            <w:pPr>
              <w:rPr>
                <w:rFonts w:ascii="Arial"/>
                <w:sz w:val="21"/>
              </w:rPr>
            </w:pPr>
          </w:p>
        </w:tc>
        <w:tc>
          <w:tcPr>
            <w:tcW w:w="1416" w:type="pct"/>
            <w:tcBorders>
              <w:tl2br w:val="nil"/>
              <w:tr2bl w:val="nil"/>
            </w:tcBorders>
            <w:vAlign w:val="top"/>
          </w:tcPr>
          <w:p w14:paraId="21DADB2D">
            <w:pPr>
              <w:pStyle w:val="15"/>
              <w:spacing w:before="39" w:line="198" w:lineRule="auto"/>
              <w:ind w:left="801"/>
            </w:pPr>
            <w:r>
              <w:rPr>
                <w:spacing w:val="7"/>
              </w:rPr>
              <w:t>化学需氧量</w:t>
            </w:r>
          </w:p>
        </w:tc>
        <w:tc>
          <w:tcPr>
            <w:tcW w:w="1299" w:type="pct"/>
            <w:tcBorders>
              <w:tl2br w:val="nil"/>
              <w:tr2bl w:val="nil"/>
            </w:tcBorders>
            <w:vAlign w:val="top"/>
          </w:tcPr>
          <w:p w14:paraId="4FC82698">
            <w:pPr>
              <w:pStyle w:val="15"/>
              <w:spacing w:before="39" w:line="198" w:lineRule="auto"/>
              <w:ind w:left="1022"/>
            </w:pPr>
            <w:r>
              <w:rPr>
                <w:spacing w:val="-2"/>
              </w:rPr>
              <w:t>≤20</w:t>
            </w:r>
          </w:p>
        </w:tc>
      </w:tr>
      <w:tr w14:paraId="444B06AF">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06F44FDD">
            <w:pPr>
              <w:rPr>
                <w:rFonts w:ascii="Arial"/>
                <w:sz w:val="21"/>
              </w:rPr>
            </w:pPr>
          </w:p>
        </w:tc>
        <w:tc>
          <w:tcPr>
            <w:tcW w:w="1416" w:type="pct"/>
            <w:tcBorders>
              <w:tl2br w:val="nil"/>
              <w:tr2bl w:val="nil"/>
            </w:tcBorders>
            <w:vAlign w:val="top"/>
          </w:tcPr>
          <w:p w14:paraId="2F646546">
            <w:pPr>
              <w:pStyle w:val="15"/>
              <w:spacing w:before="41" w:line="196" w:lineRule="auto"/>
              <w:ind w:left="593"/>
            </w:pPr>
            <w:r>
              <w:rPr>
                <w:spacing w:val="8"/>
              </w:rPr>
              <w:t>五日生化需氧量</w:t>
            </w:r>
          </w:p>
        </w:tc>
        <w:tc>
          <w:tcPr>
            <w:tcW w:w="1299" w:type="pct"/>
            <w:tcBorders>
              <w:tl2br w:val="nil"/>
              <w:tr2bl w:val="nil"/>
            </w:tcBorders>
            <w:vAlign w:val="top"/>
          </w:tcPr>
          <w:p w14:paraId="5ED210C8">
            <w:pPr>
              <w:pStyle w:val="15"/>
              <w:spacing w:before="41" w:line="196" w:lineRule="auto"/>
              <w:ind w:left="1072"/>
            </w:pPr>
            <w:r>
              <w:rPr>
                <w:spacing w:val="-4"/>
              </w:rPr>
              <w:t>≤4</w:t>
            </w:r>
          </w:p>
        </w:tc>
      </w:tr>
      <w:tr w14:paraId="64C4DA7F">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4728B75F">
            <w:pPr>
              <w:rPr>
                <w:rFonts w:ascii="Arial"/>
                <w:sz w:val="21"/>
              </w:rPr>
            </w:pPr>
          </w:p>
        </w:tc>
        <w:tc>
          <w:tcPr>
            <w:tcW w:w="1416" w:type="pct"/>
            <w:tcBorders>
              <w:tl2br w:val="nil"/>
              <w:tr2bl w:val="nil"/>
            </w:tcBorders>
            <w:vAlign w:val="top"/>
          </w:tcPr>
          <w:p w14:paraId="67674F69">
            <w:pPr>
              <w:pStyle w:val="15"/>
              <w:spacing w:before="41" w:line="196" w:lineRule="auto"/>
              <w:ind w:left="701"/>
            </w:pPr>
            <w:r>
              <w:rPr>
                <w:spacing w:val="7"/>
              </w:rPr>
              <w:t>高锰酸盐指数</w:t>
            </w:r>
          </w:p>
        </w:tc>
        <w:tc>
          <w:tcPr>
            <w:tcW w:w="1299" w:type="pct"/>
            <w:tcBorders>
              <w:tl2br w:val="nil"/>
              <w:tr2bl w:val="nil"/>
            </w:tcBorders>
            <w:vAlign w:val="top"/>
          </w:tcPr>
          <w:p w14:paraId="351AA916">
            <w:pPr>
              <w:pStyle w:val="15"/>
              <w:spacing w:before="41" w:line="196" w:lineRule="auto"/>
              <w:ind w:left="1072"/>
            </w:pPr>
            <w:r>
              <w:rPr>
                <w:spacing w:val="-4"/>
              </w:rPr>
              <w:t>≤6</w:t>
            </w:r>
          </w:p>
        </w:tc>
      </w:tr>
      <w:tr w14:paraId="195188E3">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1E6B64EA">
            <w:pPr>
              <w:rPr>
                <w:rFonts w:ascii="Arial"/>
                <w:sz w:val="21"/>
              </w:rPr>
            </w:pPr>
          </w:p>
        </w:tc>
        <w:tc>
          <w:tcPr>
            <w:tcW w:w="1416" w:type="pct"/>
            <w:tcBorders>
              <w:tl2br w:val="nil"/>
              <w:tr2bl w:val="nil"/>
            </w:tcBorders>
            <w:vAlign w:val="top"/>
          </w:tcPr>
          <w:p w14:paraId="4256E818">
            <w:pPr>
              <w:pStyle w:val="15"/>
              <w:spacing w:before="42" w:line="195" w:lineRule="auto"/>
              <w:ind w:left="1009"/>
            </w:pPr>
            <w:r>
              <w:rPr>
                <w:spacing w:val="7"/>
              </w:rPr>
              <w:t>挥发酚</w:t>
            </w:r>
          </w:p>
        </w:tc>
        <w:tc>
          <w:tcPr>
            <w:tcW w:w="1299" w:type="pct"/>
            <w:tcBorders>
              <w:tl2br w:val="nil"/>
              <w:tr2bl w:val="nil"/>
            </w:tcBorders>
            <w:vAlign w:val="top"/>
          </w:tcPr>
          <w:p w14:paraId="21454BBD">
            <w:pPr>
              <w:pStyle w:val="15"/>
              <w:spacing w:before="42" w:line="195" w:lineRule="auto"/>
              <w:ind w:left="863"/>
            </w:pPr>
            <w:r>
              <w:rPr>
                <w:spacing w:val="1"/>
              </w:rPr>
              <w:t>≤0.005</w:t>
            </w:r>
          </w:p>
        </w:tc>
      </w:tr>
      <w:tr w14:paraId="372E658D">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3A0305FC">
            <w:pPr>
              <w:rPr>
                <w:rFonts w:ascii="Arial"/>
                <w:sz w:val="21"/>
              </w:rPr>
            </w:pPr>
          </w:p>
        </w:tc>
        <w:tc>
          <w:tcPr>
            <w:tcW w:w="1416" w:type="pct"/>
            <w:tcBorders>
              <w:tl2br w:val="nil"/>
              <w:tr2bl w:val="nil"/>
            </w:tcBorders>
            <w:vAlign w:val="top"/>
          </w:tcPr>
          <w:p w14:paraId="3551EB47">
            <w:pPr>
              <w:pStyle w:val="15"/>
              <w:spacing w:before="44" w:line="193" w:lineRule="auto"/>
              <w:ind w:left="1010"/>
            </w:pPr>
            <w:r>
              <w:rPr>
                <w:spacing w:val="6"/>
              </w:rPr>
              <w:t>氟化物</w:t>
            </w:r>
          </w:p>
        </w:tc>
        <w:tc>
          <w:tcPr>
            <w:tcW w:w="1299" w:type="pct"/>
            <w:tcBorders>
              <w:tl2br w:val="nil"/>
              <w:tr2bl w:val="nil"/>
            </w:tcBorders>
            <w:vAlign w:val="top"/>
          </w:tcPr>
          <w:p w14:paraId="0575963A">
            <w:pPr>
              <w:pStyle w:val="15"/>
              <w:spacing w:before="44" w:line="193" w:lineRule="auto"/>
              <w:ind w:left="969"/>
            </w:pPr>
            <w:r>
              <w:t>≤1.0</w:t>
            </w:r>
          </w:p>
        </w:tc>
      </w:tr>
      <w:tr w14:paraId="567797E0">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65D89A02">
            <w:pPr>
              <w:rPr>
                <w:rFonts w:ascii="Arial"/>
                <w:sz w:val="21"/>
              </w:rPr>
            </w:pPr>
          </w:p>
        </w:tc>
        <w:tc>
          <w:tcPr>
            <w:tcW w:w="1416" w:type="pct"/>
            <w:tcBorders>
              <w:tl2br w:val="nil"/>
              <w:tr2bl w:val="nil"/>
            </w:tcBorders>
            <w:vAlign w:val="top"/>
          </w:tcPr>
          <w:p w14:paraId="113E5C80">
            <w:pPr>
              <w:pStyle w:val="15"/>
              <w:spacing w:before="44" w:line="193" w:lineRule="auto"/>
              <w:ind w:left="1121"/>
            </w:pPr>
            <w:r>
              <w:rPr>
                <w:spacing w:val="2"/>
              </w:rPr>
              <w:t>总氮</w:t>
            </w:r>
          </w:p>
        </w:tc>
        <w:tc>
          <w:tcPr>
            <w:tcW w:w="1299" w:type="pct"/>
            <w:tcBorders>
              <w:tl2br w:val="nil"/>
              <w:tr2bl w:val="nil"/>
            </w:tcBorders>
            <w:vAlign w:val="top"/>
          </w:tcPr>
          <w:p w14:paraId="25DD0594">
            <w:pPr>
              <w:pStyle w:val="15"/>
              <w:spacing w:before="44" w:line="193" w:lineRule="auto"/>
              <w:ind w:left="969"/>
            </w:pPr>
            <w:r>
              <w:t>≤1.0</w:t>
            </w:r>
          </w:p>
        </w:tc>
      </w:tr>
      <w:tr w14:paraId="5DD1215C">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3E3CE7F9">
            <w:pPr>
              <w:rPr>
                <w:rFonts w:ascii="Arial"/>
                <w:sz w:val="21"/>
              </w:rPr>
            </w:pPr>
          </w:p>
        </w:tc>
        <w:tc>
          <w:tcPr>
            <w:tcW w:w="1416" w:type="pct"/>
            <w:tcBorders>
              <w:tl2br w:val="nil"/>
              <w:tr2bl w:val="nil"/>
            </w:tcBorders>
            <w:vAlign w:val="top"/>
          </w:tcPr>
          <w:p w14:paraId="65E29360">
            <w:pPr>
              <w:pStyle w:val="15"/>
              <w:spacing w:before="47" w:line="191" w:lineRule="auto"/>
              <w:ind w:left="1121"/>
            </w:pPr>
            <w:r>
              <w:rPr>
                <w:spacing w:val="2"/>
              </w:rPr>
              <w:t>总磷</w:t>
            </w:r>
          </w:p>
        </w:tc>
        <w:tc>
          <w:tcPr>
            <w:tcW w:w="1299" w:type="pct"/>
            <w:tcBorders>
              <w:tl2br w:val="nil"/>
              <w:tr2bl w:val="nil"/>
            </w:tcBorders>
            <w:vAlign w:val="top"/>
          </w:tcPr>
          <w:p w14:paraId="49B42A18">
            <w:pPr>
              <w:pStyle w:val="15"/>
              <w:spacing w:before="47" w:line="191" w:lineRule="auto"/>
              <w:ind w:left="969"/>
            </w:pPr>
            <w:r>
              <w:t>≤0.2</w:t>
            </w:r>
          </w:p>
        </w:tc>
      </w:tr>
      <w:tr w14:paraId="37AF5E62">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66C4B267">
            <w:pPr>
              <w:rPr>
                <w:rFonts w:ascii="Arial"/>
                <w:sz w:val="21"/>
              </w:rPr>
            </w:pPr>
          </w:p>
        </w:tc>
        <w:tc>
          <w:tcPr>
            <w:tcW w:w="1416" w:type="pct"/>
            <w:tcBorders>
              <w:tl2br w:val="nil"/>
              <w:tr2bl w:val="nil"/>
            </w:tcBorders>
            <w:vAlign w:val="top"/>
          </w:tcPr>
          <w:p w14:paraId="0207B2A4">
            <w:pPr>
              <w:pStyle w:val="15"/>
              <w:spacing w:before="46" w:line="192" w:lineRule="auto"/>
              <w:ind w:left="1115"/>
            </w:pPr>
            <w:r>
              <w:rPr>
                <w:spacing w:val="4"/>
              </w:rPr>
              <w:t>氨氮</w:t>
            </w:r>
          </w:p>
        </w:tc>
        <w:tc>
          <w:tcPr>
            <w:tcW w:w="1299" w:type="pct"/>
            <w:tcBorders>
              <w:tl2br w:val="nil"/>
              <w:tr2bl w:val="nil"/>
            </w:tcBorders>
            <w:vAlign w:val="top"/>
          </w:tcPr>
          <w:p w14:paraId="04739283">
            <w:pPr>
              <w:pStyle w:val="15"/>
              <w:spacing w:before="46" w:line="192" w:lineRule="auto"/>
              <w:ind w:left="969"/>
            </w:pPr>
            <w:r>
              <w:t>≤1.0</w:t>
            </w:r>
          </w:p>
        </w:tc>
      </w:tr>
      <w:tr w14:paraId="4B15F3D6">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5EF171EA">
            <w:pPr>
              <w:rPr>
                <w:rFonts w:ascii="Arial"/>
                <w:sz w:val="21"/>
              </w:rPr>
            </w:pPr>
          </w:p>
        </w:tc>
        <w:tc>
          <w:tcPr>
            <w:tcW w:w="1416" w:type="pct"/>
            <w:tcBorders>
              <w:tl2br w:val="nil"/>
              <w:tr2bl w:val="nil"/>
            </w:tcBorders>
            <w:vAlign w:val="top"/>
          </w:tcPr>
          <w:p w14:paraId="1BA63149">
            <w:pPr>
              <w:pStyle w:val="15"/>
              <w:spacing w:before="48" w:line="190" w:lineRule="auto"/>
              <w:ind w:left="1009"/>
            </w:pPr>
            <w:r>
              <w:rPr>
                <w:spacing w:val="7"/>
              </w:rPr>
              <w:t>氰化物</w:t>
            </w:r>
          </w:p>
        </w:tc>
        <w:tc>
          <w:tcPr>
            <w:tcW w:w="1299" w:type="pct"/>
            <w:tcBorders>
              <w:tl2br w:val="nil"/>
              <w:tr2bl w:val="nil"/>
            </w:tcBorders>
            <w:vAlign w:val="top"/>
          </w:tcPr>
          <w:p w14:paraId="1B80FC21">
            <w:pPr>
              <w:pStyle w:val="15"/>
              <w:spacing w:before="48" w:line="190" w:lineRule="auto"/>
              <w:ind w:left="969"/>
            </w:pPr>
            <w:r>
              <w:t>≤0.2</w:t>
            </w:r>
          </w:p>
        </w:tc>
      </w:tr>
      <w:tr w14:paraId="6386CC76">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2B013FBE">
            <w:pPr>
              <w:rPr>
                <w:rFonts w:ascii="Arial"/>
                <w:sz w:val="21"/>
              </w:rPr>
            </w:pPr>
          </w:p>
        </w:tc>
        <w:tc>
          <w:tcPr>
            <w:tcW w:w="1416" w:type="pct"/>
            <w:tcBorders>
              <w:tl2br w:val="nil"/>
              <w:tr2bl w:val="nil"/>
            </w:tcBorders>
            <w:vAlign w:val="top"/>
          </w:tcPr>
          <w:p w14:paraId="5B86B65E">
            <w:pPr>
              <w:pStyle w:val="15"/>
              <w:spacing w:before="50" w:line="188" w:lineRule="auto"/>
              <w:ind w:left="1220"/>
            </w:pPr>
            <w:r>
              <w:rPr>
                <w:spacing w:val="1"/>
              </w:rPr>
              <w:t>锌</w:t>
            </w:r>
          </w:p>
        </w:tc>
        <w:tc>
          <w:tcPr>
            <w:tcW w:w="1299" w:type="pct"/>
            <w:tcBorders>
              <w:tl2br w:val="nil"/>
              <w:tr2bl w:val="nil"/>
            </w:tcBorders>
            <w:vAlign w:val="top"/>
          </w:tcPr>
          <w:p w14:paraId="4798B625">
            <w:pPr>
              <w:pStyle w:val="15"/>
              <w:spacing w:before="50" w:line="188" w:lineRule="auto"/>
              <w:ind w:left="969"/>
            </w:pPr>
            <w:r>
              <w:t>≤1.0</w:t>
            </w:r>
          </w:p>
        </w:tc>
      </w:tr>
      <w:tr w14:paraId="2FA2CD1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4" w:hRule="atLeast"/>
        </w:trPr>
        <w:tc>
          <w:tcPr>
            <w:tcW w:w="2284" w:type="pct"/>
            <w:vMerge w:val="continue"/>
            <w:tcBorders>
              <w:tl2br w:val="nil"/>
              <w:tr2bl w:val="nil"/>
            </w:tcBorders>
            <w:vAlign w:val="top"/>
          </w:tcPr>
          <w:p w14:paraId="4CD3C204">
            <w:pPr>
              <w:rPr>
                <w:rFonts w:ascii="Arial"/>
                <w:sz w:val="21"/>
              </w:rPr>
            </w:pPr>
          </w:p>
        </w:tc>
        <w:tc>
          <w:tcPr>
            <w:tcW w:w="1416" w:type="pct"/>
            <w:tcBorders>
              <w:tl2br w:val="nil"/>
              <w:tr2bl w:val="nil"/>
            </w:tcBorders>
            <w:vAlign w:val="top"/>
          </w:tcPr>
          <w:p w14:paraId="7D4C0E00">
            <w:pPr>
              <w:pStyle w:val="15"/>
              <w:spacing w:before="50" w:line="188" w:lineRule="auto"/>
              <w:ind w:left="1220"/>
            </w:pPr>
            <w:r>
              <w:rPr>
                <w:spacing w:val="1"/>
              </w:rPr>
              <w:t>砷</w:t>
            </w:r>
          </w:p>
        </w:tc>
        <w:tc>
          <w:tcPr>
            <w:tcW w:w="1299" w:type="pct"/>
            <w:tcBorders>
              <w:tl2br w:val="nil"/>
              <w:tr2bl w:val="nil"/>
            </w:tcBorders>
            <w:vAlign w:val="top"/>
          </w:tcPr>
          <w:p w14:paraId="4D4CC82A">
            <w:pPr>
              <w:pStyle w:val="15"/>
              <w:spacing w:before="50" w:line="188" w:lineRule="auto"/>
              <w:ind w:left="916"/>
            </w:pPr>
            <w:r>
              <w:rPr>
                <w:spacing w:val="1"/>
              </w:rPr>
              <w:t>≤0.05</w:t>
            </w:r>
          </w:p>
        </w:tc>
      </w:tr>
      <w:tr w14:paraId="271EB68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trPr>
        <w:tc>
          <w:tcPr>
            <w:tcW w:w="2284" w:type="pct"/>
            <w:vMerge w:val="continue"/>
            <w:tcBorders>
              <w:tl2br w:val="nil"/>
              <w:tr2bl w:val="nil"/>
            </w:tcBorders>
            <w:vAlign w:val="top"/>
          </w:tcPr>
          <w:p w14:paraId="0F7EB99D">
            <w:pPr>
              <w:rPr>
                <w:rFonts w:ascii="Arial"/>
                <w:sz w:val="21"/>
              </w:rPr>
            </w:pPr>
          </w:p>
        </w:tc>
        <w:tc>
          <w:tcPr>
            <w:tcW w:w="1416" w:type="pct"/>
            <w:tcBorders>
              <w:tl2br w:val="nil"/>
              <w:tr2bl w:val="nil"/>
            </w:tcBorders>
            <w:vAlign w:val="top"/>
          </w:tcPr>
          <w:p w14:paraId="5E0981C9">
            <w:pPr>
              <w:pStyle w:val="15"/>
              <w:spacing w:before="52" w:line="187" w:lineRule="auto"/>
              <w:ind w:left="1221"/>
            </w:pPr>
            <w:r>
              <w:t>汞</w:t>
            </w:r>
          </w:p>
        </w:tc>
        <w:tc>
          <w:tcPr>
            <w:tcW w:w="1299" w:type="pct"/>
            <w:tcBorders>
              <w:tl2br w:val="nil"/>
              <w:tr2bl w:val="nil"/>
            </w:tcBorders>
            <w:vAlign w:val="top"/>
          </w:tcPr>
          <w:p w14:paraId="4A4F2546">
            <w:pPr>
              <w:pStyle w:val="15"/>
              <w:spacing w:before="52" w:line="187" w:lineRule="auto"/>
              <w:ind w:left="810"/>
            </w:pPr>
            <w:r>
              <w:rPr>
                <w:spacing w:val="2"/>
              </w:rPr>
              <w:t>≤0.0001</w:t>
            </w:r>
          </w:p>
        </w:tc>
      </w:tr>
      <w:tr w14:paraId="61F9EB62">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trPr>
        <w:tc>
          <w:tcPr>
            <w:tcW w:w="2284" w:type="pct"/>
            <w:vMerge w:val="continue"/>
            <w:tcBorders>
              <w:tl2br w:val="nil"/>
              <w:tr2bl w:val="nil"/>
            </w:tcBorders>
            <w:vAlign w:val="top"/>
          </w:tcPr>
          <w:p w14:paraId="714C44B9">
            <w:pPr>
              <w:rPr>
                <w:rFonts w:ascii="Arial"/>
                <w:sz w:val="21"/>
              </w:rPr>
            </w:pPr>
          </w:p>
        </w:tc>
        <w:tc>
          <w:tcPr>
            <w:tcW w:w="1416" w:type="pct"/>
            <w:tcBorders>
              <w:tl2br w:val="nil"/>
              <w:tr2bl w:val="nil"/>
            </w:tcBorders>
            <w:vAlign w:val="top"/>
          </w:tcPr>
          <w:p w14:paraId="4BB94D54">
            <w:pPr>
              <w:pStyle w:val="15"/>
              <w:spacing w:before="50" w:line="189" w:lineRule="auto"/>
              <w:ind w:left="1010"/>
            </w:pPr>
            <w:r>
              <w:rPr>
                <w:spacing w:val="6"/>
              </w:rPr>
              <w:t>石油类</w:t>
            </w:r>
          </w:p>
        </w:tc>
        <w:tc>
          <w:tcPr>
            <w:tcW w:w="1299" w:type="pct"/>
            <w:tcBorders>
              <w:tl2br w:val="nil"/>
              <w:tr2bl w:val="nil"/>
            </w:tcBorders>
            <w:vAlign w:val="top"/>
          </w:tcPr>
          <w:p w14:paraId="04A92D50">
            <w:pPr>
              <w:pStyle w:val="15"/>
              <w:spacing w:before="50" w:line="189" w:lineRule="auto"/>
              <w:ind w:left="916"/>
            </w:pPr>
            <w:r>
              <w:rPr>
                <w:spacing w:val="1"/>
              </w:rPr>
              <w:t>≤0.05</w:t>
            </w:r>
          </w:p>
        </w:tc>
      </w:tr>
      <w:tr w14:paraId="2AD09D1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trPr>
        <w:tc>
          <w:tcPr>
            <w:tcW w:w="2284" w:type="pct"/>
            <w:vMerge w:val="continue"/>
            <w:tcBorders>
              <w:tl2br w:val="nil"/>
              <w:tr2bl w:val="nil"/>
            </w:tcBorders>
            <w:vAlign w:val="top"/>
          </w:tcPr>
          <w:p w14:paraId="0E3FF86E">
            <w:pPr>
              <w:rPr>
                <w:rFonts w:ascii="Arial"/>
                <w:sz w:val="21"/>
              </w:rPr>
            </w:pPr>
          </w:p>
        </w:tc>
        <w:tc>
          <w:tcPr>
            <w:tcW w:w="1416" w:type="pct"/>
            <w:tcBorders>
              <w:tl2br w:val="nil"/>
              <w:tr2bl w:val="nil"/>
            </w:tcBorders>
            <w:vAlign w:val="top"/>
          </w:tcPr>
          <w:p w14:paraId="29703F73">
            <w:pPr>
              <w:pStyle w:val="15"/>
              <w:spacing w:before="51" w:line="188" w:lineRule="auto"/>
              <w:ind w:left="1219"/>
            </w:pPr>
            <w:r>
              <w:rPr>
                <w:spacing w:val="2"/>
              </w:rPr>
              <w:t>镉</w:t>
            </w:r>
          </w:p>
        </w:tc>
        <w:tc>
          <w:tcPr>
            <w:tcW w:w="1299" w:type="pct"/>
            <w:tcBorders>
              <w:tl2br w:val="nil"/>
              <w:tr2bl w:val="nil"/>
            </w:tcBorders>
            <w:vAlign w:val="top"/>
          </w:tcPr>
          <w:p w14:paraId="17147B9E">
            <w:pPr>
              <w:pStyle w:val="15"/>
              <w:spacing w:before="51" w:line="188" w:lineRule="auto"/>
              <w:ind w:left="863"/>
            </w:pPr>
            <w:r>
              <w:rPr>
                <w:spacing w:val="1"/>
              </w:rPr>
              <w:t>≤0.005</w:t>
            </w:r>
          </w:p>
        </w:tc>
      </w:tr>
      <w:tr w14:paraId="795534EB">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trPr>
        <w:tc>
          <w:tcPr>
            <w:tcW w:w="2284" w:type="pct"/>
            <w:vMerge w:val="continue"/>
            <w:tcBorders>
              <w:tl2br w:val="nil"/>
              <w:tr2bl w:val="nil"/>
            </w:tcBorders>
            <w:vAlign w:val="top"/>
          </w:tcPr>
          <w:p w14:paraId="45E05CB7">
            <w:pPr>
              <w:rPr>
                <w:rFonts w:ascii="Arial"/>
                <w:sz w:val="21"/>
              </w:rPr>
            </w:pPr>
          </w:p>
        </w:tc>
        <w:tc>
          <w:tcPr>
            <w:tcW w:w="1416" w:type="pct"/>
            <w:tcBorders>
              <w:tl2br w:val="nil"/>
              <w:tr2bl w:val="nil"/>
            </w:tcBorders>
            <w:vAlign w:val="top"/>
          </w:tcPr>
          <w:p w14:paraId="5CD9C7E1">
            <w:pPr>
              <w:pStyle w:val="15"/>
              <w:spacing w:before="50" w:line="189" w:lineRule="auto"/>
              <w:ind w:left="1011"/>
            </w:pPr>
            <w:r>
              <w:rPr>
                <w:spacing w:val="6"/>
              </w:rPr>
              <w:t>六价铬</w:t>
            </w:r>
          </w:p>
        </w:tc>
        <w:tc>
          <w:tcPr>
            <w:tcW w:w="1299" w:type="pct"/>
            <w:tcBorders>
              <w:tl2br w:val="nil"/>
              <w:tr2bl w:val="nil"/>
            </w:tcBorders>
            <w:vAlign w:val="top"/>
          </w:tcPr>
          <w:p w14:paraId="69F345AE">
            <w:pPr>
              <w:pStyle w:val="15"/>
              <w:spacing w:before="50" w:line="189" w:lineRule="auto"/>
              <w:ind w:left="916"/>
            </w:pPr>
            <w:r>
              <w:rPr>
                <w:spacing w:val="1"/>
              </w:rPr>
              <w:t>≤0.05</w:t>
            </w:r>
          </w:p>
        </w:tc>
      </w:tr>
      <w:tr w14:paraId="1F93262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trPr>
        <w:tc>
          <w:tcPr>
            <w:tcW w:w="2284" w:type="pct"/>
            <w:vMerge w:val="continue"/>
            <w:tcBorders>
              <w:tl2br w:val="nil"/>
              <w:tr2bl w:val="nil"/>
            </w:tcBorders>
            <w:vAlign w:val="top"/>
          </w:tcPr>
          <w:p w14:paraId="1D1CD3B0">
            <w:pPr>
              <w:rPr>
                <w:rFonts w:ascii="Arial"/>
                <w:sz w:val="21"/>
              </w:rPr>
            </w:pPr>
          </w:p>
        </w:tc>
        <w:tc>
          <w:tcPr>
            <w:tcW w:w="1416" w:type="pct"/>
            <w:tcBorders>
              <w:tl2br w:val="nil"/>
              <w:tr2bl w:val="nil"/>
            </w:tcBorders>
            <w:vAlign w:val="top"/>
          </w:tcPr>
          <w:p w14:paraId="66ED3B34">
            <w:pPr>
              <w:pStyle w:val="15"/>
              <w:spacing w:before="51" w:line="188" w:lineRule="auto"/>
              <w:ind w:left="1221"/>
            </w:pPr>
            <w:r>
              <w:t>铅</w:t>
            </w:r>
          </w:p>
        </w:tc>
        <w:tc>
          <w:tcPr>
            <w:tcW w:w="1299" w:type="pct"/>
            <w:tcBorders>
              <w:tl2br w:val="nil"/>
              <w:tr2bl w:val="nil"/>
            </w:tcBorders>
            <w:vAlign w:val="top"/>
          </w:tcPr>
          <w:p w14:paraId="64A83B8F">
            <w:pPr>
              <w:pStyle w:val="15"/>
              <w:spacing w:before="51" w:line="188" w:lineRule="auto"/>
              <w:ind w:left="916"/>
            </w:pPr>
            <w:r>
              <w:rPr>
                <w:spacing w:val="1"/>
              </w:rPr>
              <w:t>≤0.05</w:t>
            </w:r>
          </w:p>
        </w:tc>
      </w:tr>
      <w:tr w14:paraId="17AB831A">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6" w:hRule="atLeast"/>
        </w:trPr>
        <w:tc>
          <w:tcPr>
            <w:tcW w:w="2284" w:type="pct"/>
            <w:vMerge w:val="continue"/>
            <w:tcBorders>
              <w:tl2br w:val="nil"/>
              <w:tr2bl w:val="nil"/>
            </w:tcBorders>
            <w:vAlign w:val="top"/>
          </w:tcPr>
          <w:p w14:paraId="4B9B20E9">
            <w:pPr>
              <w:rPr>
                <w:rFonts w:ascii="Arial"/>
                <w:sz w:val="21"/>
              </w:rPr>
            </w:pPr>
          </w:p>
        </w:tc>
        <w:tc>
          <w:tcPr>
            <w:tcW w:w="1416" w:type="pct"/>
            <w:tcBorders>
              <w:tl2br w:val="nil"/>
              <w:tr2bl w:val="nil"/>
            </w:tcBorders>
            <w:vAlign w:val="top"/>
          </w:tcPr>
          <w:p w14:paraId="63949F15">
            <w:pPr>
              <w:pStyle w:val="15"/>
              <w:spacing w:before="51" w:line="207" w:lineRule="auto"/>
              <w:ind w:left="802"/>
            </w:pPr>
            <w:r>
              <w:rPr>
                <w:spacing w:val="7"/>
              </w:rPr>
              <w:t>粪大肠菌群</w:t>
            </w:r>
          </w:p>
        </w:tc>
        <w:tc>
          <w:tcPr>
            <w:tcW w:w="1299" w:type="pct"/>
            <w:tcBorders>
              <w:tl2br w:val="nil"/>
              <w:tr2bl w:val="nil"/>
            </w:tcBorders>
            <w:vAlign w:val="top"/>
          </w:tcPr>
          <w:p w14:paraId="0EB202B1">
            <w:pPr>
              <w:pStyle w:val="15"/>
              <w:spacing w:before="51" w:line="207" w:lineRule="auto"/>
              <w:ind w:left="863"/>
            </w:pPr>
            <w:r>
              <w:rPr>
                <w:spacing w:val="1"/>
              </w:rPr>
              <w:t>≤10000</w:t>
            </w:r>
          </w:p>
        </w:tc>
      </w:tr>
    </w:tbl>
    <w:p w14:paraId="602AB604">
      <w:pPr>
        <w:spacing w:before="78" w:line="360" w:lineRule="auto"/>
        <w:ind w:firstLine="456" w:firstLineChars="200"/>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4</w:t>
      </w:r>
      <w:r>
        <w:rPr>
          <w:rFonts w:hint="eastAsia" w:ascii="宋体" w:hAnsi="宋体" w:eastAsia="宋体" w:cs="宋体"/>
          <w:spacing w:val="-6"/>
          <w:sz w:val="24"/>
          <w:szCs w:val="24"/>
          <w:lang w:eastAsia="zh-CN"/>
        </w:rPr>
        <w:t>）</w:t>
      </w:r>
      <w:r>
        <w:rPr>
          <w:rFonts w:ascii="宋体" w:hAnsi="宋体" w:eastAsia="宋体" w:cs="宋体"/>
          <w:spacing w:val="-6"/>
          <w:sz w:val="24"/>
          <w:szCs w:val="24"/>
        </w:rPr>
        <w:t>声环境质量标准</w:t>
      </w:r>
    </w:p>
    <w:p w14:paraId="26E251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r>
        <w:rPr>
          <w:rFonts w:ascii="宋体" w:hAnsi="宋体" w:eastAsia="宋体" w:cs="宋体"/>
          <w:sz w:val="24"/>
          <w:szCs w:val="24"/>
        </w:rPr>
        <w:t>本工程位于新疆维吾尔自治区</w:t>
      </w:r>
      <w:r>
        <w:rPr>
          <w:rFonts w:hint="eastAsia" w:ascii="宋体" w:hAnsi="宋体" w:eastAsia="宋体" w:cs="宋体"/>
          <w:sz w:val="24"/>
          <w:szCs w:val="24"/>
          <w:lang w:eastAsia="zh-CN"/>
        </w:rPr>
        <w:t>吐鲁番市高昌区、鄯善县、托克逊县</w:t>
      </w:r>
      <w:r>
        <w:rPr>
          <w:rFonts w:ascii="宋体" w:hAnsi="宋体" w:eastAsia="宋体" w:cs="宋体"/>
          <w:sz w:val="24"/>
          <w:szCs w:val="24"/>
        </w:rPr>
        <w:t>，声环境质量现状执行《声环境质量标准》 (GB3096-2008)中 2 类标准，详见表 2-3-5。</w:t>
      </w:r>
    </w:p>
    <w:p w14:paraId="751C69B1">
      <w:pPr>
        <w:spacing w:before="103" w:line="212"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2-3-5</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声环境标准节选表</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单位：L</w:t>
      </w:r>
      <w:r>
        <w:rPr>
          <w:rFonts w:ascii="宋体" w:hAnsi="宋体" w:eastAsia="宋体" w:cs="宋体"/>
          <w:spacing w:val="-1"/>
          <w:sz w:val="24"/>
          <w:szCs w:val="24"/>
          <w14:textOutline w14:w="4358" w14:cap="sq" w14:cmpd="sng">
            <w14:solidFill>
              <w14:srgbClr w14:val="000000"/>
            </w14:solidFill>
            <w14:prstDash w14:val="solid"/>
            <w14:bevel/>
          </w14:textOutline>
        </w:rPr>
        <w:t>Aeq</w:t>
      </w:r>
      <w:r>
        <w:rPr>
          <w:rFonts w:ascii="宋体" w:hAnsi="宋体" w:eastAsia="宋体" w:cs="宋体"/>
          <w:spacing w:val="1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dB(A)</w:t>
      </w:r>
    </w:p>
    <w:tbl>
      <w:tblPr>
        <w:tblStyle w:val="14"/>
        <w:tblpPr w:leftFromText="180" w:rightFromText="180" w:vertAnchor="text" w:horzAnchor="page" w:tblpX="1367" w:tblpY="292"/>
        <w:tblOverlap w:val="never"/>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277"/>
        <w:gridCol w:w="3428"/>
        <w:gridCol w:w="3448"/>
      </w:tblGrid>
      <w:tr w14:paraId="6DFD7A3F">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244" w:type="pct"/>
            <w:vMerge w:val="restart"/>
            <w:tcBorders>
              <w:tl2br w:val="nil"/>
              <w:tr2bl w:val="nil"/>
            </w:tcBorders>
            <w:vAlign w:val="top"/>
          </w:tcPr>
          <w:p w14:paraId="5AEBDDED">
            <w:pPr>
              <w:pStyle w:val="15"/>
              <w:spacing w:before="217" w:line="228" w:lineRule="auto"/>
              <w:ind w:left="844"/>
            </w:pPr>
            <w:r>
              <w:rPr>
                <w:spacing w:val="4"/>
              </w:rPr>
              <w:t>类别</w:t>
            </w:r>
          </w:p>
        </w:tc>
        <w:tc>
          <w:tcPr>
            <w:tcW w:w="3755" w:type="pct"/>
            <w:gridSpan w:val="2"/>
            <w:tcBorders>
              <w:tl2br w:val="nil"/>
              <w:tr2bl w:val="nil"/>
            </w:tcBorders>
            <w:vAlign w:val="top"/>
          </w:tcPr>
          <w:p w14:paraId="3CE25CBB">
            <w:pPr>
              <w:pStyle w:val="15"/>
              <w:spacing w:before="57" w:line="227" w:lineRule="auto"/>
              <w:ind w:left="2654"/>
            </w:pPr>
            <w:r>
              <w:rPr>
                <w:spacing w:val="8"/>
              </w:rPr>
              <w:t>标准值(</w:t>
            </w:r>
            <w:r>
              <w:t>L</w:t>
            </w:r>
            <w:r>
              <w:rPr>
                <w:position w:val="-2"/>
                <w:sz w:val="10"/>
                <w:szCs w:val="10"/>
              </w:rPr>
              <w:t>Aeq</w:t>
            </w:r>
            <w:r>
              <w:rPr>
                <w:spacing w:val="8"/>
              </w:rPr>
              <w:t>)</w:t>
            </w:r>
          </w:p>
        </w:tc>
      </w:tr>
      <w:tr w14:paraId="3AF34A8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44" w:type="pct"/>
            <w:vMerge w:val="continue"/>
            <w:tcBorders>
              <w:tl2br w:val="nil"/>
              <w:tr2bl w:val="nil"/>
            </w:tcBorders>
            <w:vAlign w:val="top"/>
          </w:tcPr>
          <w:p w14:paraId="2A0658C5">
            <w:pPr>
              <w:rPr>
                <w:rFonts w:ascii="Arial"/>
                <w:sz w:val="21"/>
              </w:rPr>
            </w:pPr>
          </w:p>
        </w:tc>
        <w:tc>
          <w:tcPr>
            <w:tcW w:w="1872" w:type="pct"/>
            <w:tcBorders>
              <w:tl2br w:val="nil"/>
              <w:tr2bl w:val="nil"/>
            </w:tcBorders>
            <w:vAlign w:val="top"/>
          </w:tcPr>
          <w:p w14:paraId="216BACD6">
            <w:pPr>
              <w:pStyle w:val="15"/>
              <w:spacing w:before="60" w:line="220" w:lineRule="auto"/>
              <w:ind w:left="1390"/>
            </w:pPr>
            <w:r>
              <w:rPr>
                <w:spacing w:val="5"/>
              </w:rPr>
              <w:t>昼间</w:t>
            </w:r>
          </w:p>
        </w:tc>
        <w:tc>
          <w:tcPr>
            <w:tcW w:w="1883" w:type="pct"/>
            <w:tcBorders>
              <w:tl2br w:val="nil"/>
              <w:tr2bl w:val="nil"/>
            </w:tcBorders>
            <w:vAlign w:val="top"/>
          </w:tcPr>
          <w:p w14:paraId="2C6F22AE">
            <w:pPr>
              <w:pStyle w:val="15"/>
              <w:spacing w:before="60" w:line="220" w:lineRule="auto"/>
              <w:ind w:left="1406"/>
            </w:pPr>
            <w:r>
              <w:rPr>
                <w:spacing w:val="3"/>
              </w:rPr>
              <w:t>夜间</w:t>
            </w:r>
          </w:p>
        </w:tc>
      </w:tr>
      <w:tr w14:paraId="65122132">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4" w:type="pct"/>
            <w:tcBorders>
              <w:tl2br w:val="nil"/>
              <w:tr2bl w:val="nil"/>
            </w:tcBorders>
            <w:vAlign w:val="top"/>
          </w:tcPr>
          <w:p w14:paraId="48AACEF3">
            <w:pPr>
              <w:pStyle w:val="15"/>
              <w:spacing w:before="68" w:line="228" w:lineRule="auto"/>
              <w:ind w:left="873"/>
            </w:pPr>
            <w:r>
              <w:rPr>
                <w:spacing w:val="-3"/>
              </w:rPr>
              <w:t>2</w:t>
            </w:r>
            <w:r>
              <w:rPr>
                <w:spacing w:val="-41"/>
              </w:rPr>
              <w:t xml:space="preserve"> </w:t>
            </w:r>
            <w:r>
              <w:rPr>
                <w:spacing w:val="-3"/>
              </w:rPr>
              <w:t>类</w:t>
            </w:r>
          </w:p>
        </w:tc>
        <w:tc>
          <w:tcPr>
            <w:tcW w:w="1872" w:type="pct"/>
            <w:tcBorders>
              <w:tl2br w:val="nil"/>
              <w:tr2bl w:val="nil"/>
            </w:tcBorders>
            <w:vAlign w:val="top"/>
          </w:tcPr>
          <w:p w14:paraId="39FCAADA">
            <w:pPr>
              <w:pStyle w:val="15"/>
              <w:spacing w:before="101" w:line="189" w:lineRule="auto"/>
              <w:ind w:left="1498"/>
            </w:pPr>
            <w:r>
              <w:rPr>
                <w:spacing w:val="-2"/>
              </w:rPr>
              <w:t>60</w:t>
            </w:r>
          </w:p>
        </w:tc>
        <w:tc>
          <w:tcPr>
            <w:tcW w:w="1883" w:type="pct"/>
            <w:tcBorders>
              <w:tl2br w:val="nil"/>
              <w:tr2bl w:val="nil"/>
            </w:tcBorders>
            <w:vAlign w:val="top"/>
          </w:tcPr>
          <w:p w14:paraId="18E6753B">
            <w:pPr>
              <w:pStyle w:val="15"/>
              <w:spacing w:before="101" w:line="189" w:lineRule="auto"/>
              <w:ind w:left="1512"/>
            </w:pPr>
            <w:r>
              <w:rPr>
                <w:spacing w:val="-3"/>
              </w:rPr>
              <w:t>50</w:t>
            </w:r>
          </w:p>
        </w:tc>
      </w:tr>
    </w:tbl>
    <w:p w14:paraId="501FA8E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5</w:t>
      </w:r>
      <w:r>
        <w:rPr>
          <w:rFonts w:hint="eastAsia" w:ascii="宋体" w:hAnsi="宋体" w:eastAsia="宋体" w:cs="宋体"/>
          <w:spacing w:val="-5"/>
          <w:sz w:val="24"/>
          <w:szCs w:val="24"/>
          <w:lang w:eastAsia="zh-CN"/>
        </w:rPr>
        <w:t>）</w:t>
      </w:r>
      <w:r>
        <w:rPr>
          <w:rFonts w:ascii="宋体" w:hAnsi="宋体" w:eastAsia="宋体" w:cs="宋体"/>
          <w:spacing w:val="-5"/>
          <w:sz w:val="24"/>
          <w:szCs w:val="24"/>
        </w:rPr>
        <w:t>土壤环境质量标准</w:t>
      </w:r>
    </w:p>
    <w:p w14:paraId="2570196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项目所处区域土壤环境执行《土壤环境质量 农用地土壤污染风险管控标准(试</w:t>
      </w:r>
      <w:r>
        <w:rPr>
          <w:rFonts w:hint="eastAsia" w:ascii="宋体" w:hAnsi="宋体" w:eastAsia="宋体" w:cs="宋体"/>
          <w:sz w:val="24"/>
          <w:szCs w:val="24"/>
          <w:lang w:val="en-US" w:eastAsia="zh-CN"/>
        </w:rPr>
        <w:t>行</w:t>
      </w:r>
      <w:r>
        <w:rPr>
          <w:rFonts w:ascii="宋体" w:hAnsi="宋体" w:eastAsia="宋体" w:cs="宋体"/>
          <w:sz w:val="24"/>
          <w:szCs w:val="24"/>
        </w:rPr>
        <w:t>)(GB15618-2018)》中农用地土壤污染风险筛选值(基本项目)，详见表 2-3-6。根据《环境影响评价技术导则 土壤环境(试行)》(HJ964-2018)中附录 D，土壤盐分分级标准和土壤酸化、碱化分级标准分别见表 2-3-7 和表 2-3-8。</w:t>
      </w:r>
    </w:p>
    <w:p w14:paraId="0CB4A3CA">
      <w:pPr>
        <w:spacing w:before="183" w:line="213"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3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2-3-6</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农用地土壤污染风险筛选值(基本项目)</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单位：mg/kg</w:t>
      </w:r>
    </w:p>
    <w:tbl>
      <w:tblPr>
        <w:tblStyle w:val="14"/>
        <w:tblW w:w="4998"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881"/>
        <w:gridCol w:w="939"/>
        <w:gridCol w:w="1131"/>
        <w:gridCol w:w="1545"/>
        <w:gridCol w:w="1545"/>
        <w:gridCol w:w="1545"/>
        <w:gridCol w:w="1565"/>
      </w:tblGrid>
      <w:tr w14:paraId="56F3E6C8">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31" w:hRule="atLeast"/>
        </w:trPr>
        <w:tc>
          <w:tcPr>
            <w:tcW w:w="481" w:type="pct"/>
            <w:vMerge w:val="restart"/>
            <w:tcBorders>
              <w:tl2br w:val="nil"/>
              <w:tr2bl w:val="nil"/>
            </w:tcBorders>
            <w:vAlign w:val="top"/>
          </w:tcPr>
          <w:p w14:paraId="245AF677">
            <w:pPr>
              <w:pStyle w:val="15"/>
              <w:spacing w:before="254" w:line="229" w:lineRule="auto"/>
              <w:ind w:left="201"/>
            </w:pPr>
            <w:r>
              <w:rPr>
                <w:spacing w:val="5"/>
              </w:rPr>
              <w:t>序号</w:t>
            </w:r>
          </w:p>
        </w:tc>
        <w:tc>
          <w:tcPr>
            <w:tcW w:w="1131" w:type="pct"/>
            <w:gridSpan w:val="2"/>
            <w:vMerge w:val="restart"/>
            <w:tcBorders>
              <w:tl2br w:val="nil"/>
              <w:tr2bl w:val="nil"/>
            </w:tcBorders>
            <w:vAlign w:val="top"/>
          </w:tcPr>
          <w:p w14:paraId="1625D8CC">
            <w:pPr>
              <w:pStyle w:val="15"/>
              <w:spacing w:before="255" w:line="228" w:lineRule="auto"/>
              <w:ind w:left="458"/>
            </w:pPr>
            <w:r>
              <w:rPr>
                <w:spacing w:val="7"/>
              </w:rPr>
              <w:t>污染物项目</w:t>
            </w:r>
          </w:p>
        </w:tc>
        <w:tc>
          <w:tcPr>
            <w:tcW w:w="3387" w:type="pct"/>
            <w:gridSpan w:val="4"/>
            <w:tcBorders>
              <w:tl2br w:val="nil"/>
              <w:tr2bl w:val="nil"/>
            </w:tcBorders>
            <w:vAlign w:val="top"/>
          </w:tcPr>
          <w:p w14:paraId="3C1E31D1">
            <w:pPr>
              <w:pStyle w:val="15"/>
              <w:spacing w:before="79" w:line="223" w:lineRule="auto"/>
              <w:ind w:left="2431"/>
            </w:pPr>
            <w:r>
              <w:rPr>
                <w:spacing w:val="7"/>
              </w:rPr>
              <w:t>风险筛选值</w:t>
            </w:r>
          </w:p>
        </w:tc>
      </w:tr>
      <w:tr w14:paraId="2452A283">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38" w:hRule="atLeast"/>
        </w:trPr>
        <w:tc>
          <w:tcPr>
            <w:tcW w:w="481" w:type="pct"/>
            <w:vMerge w:val="continue"/>
            <w:tcBorders>
              <w:tl2br w:val="nil"/>
              <w:tr2bl w:val="nil"/>
            </w:tcBorders>
            <w:vAlign w:val="top"/>
          </w:tcPr>
          <w:p w14:paraId="4E0BB109">
            <w:pPr>
              <w:rPr>
                <w:rFonts w:ascii="Arial"/>
                <w:sz w:val="21"/>
              </w:rPr>
            </w:pPr>
          </w:p>
        </w:tc>
        <w:tc>
          <w:tcPr>
            <w:tcW w:w="1131" w:type="pct"/>
            <w:gridSpan w:val="2"/>
            <w:vMerge w:val="continue"/>
            <w:tcBorders>
              <w:tl2br w:val="nil"/>
              <w:tr2bl w:val="nil"/>
            </w:tcBorders>
            <w:vAlign w:val="top"/>
          </w:tcPr>
          <w:p w14:paraId="703A0E1A">
            <w:pPr>
              <w:rPr>
                <w:rFonts w:ascii="Arial"/>
                <w:sz w:val="21"/>
              </w:rPr>
            </w:pPr>
          </w:p>
        </w:tc>
        <w:tc>
          <w:tcPr>
            <w:tcW w:w="844" w:type="pct"/>
            <w:tcBorders>
              <w:tl2br w:val="nil"/>
              <w:tr2bl w:val="nil"/>
            </w:tcBorders>
            <w:vAlign w:val="top"/>
          </w:tcPr>
          <w:p w14:paraId="5F131C6A">
            <w:pPr>
              <w:pStyle w:val="15"/>
              <w:spacing w:before="88" w:line="221" w:lineRule="auto"/>
              <w:ind w:left="366"/>
            </w:pPr>
            <w:r>
              <w:t>pH</w:t>
            </w:r>
            <w:r>
              <w:rPr>
                <w:spacing w:val="7"/>
              </w:rPr>
              <w:t>≤5.5</w:t>
            </w:r>
          </w:p>
        </w:tc>
        <w:tc>
          <w:tcPr>
            <w:tcW w:w="844" w:type="pct"/>
            <w:tcBorders>
              <w:tl2br w:val="nil"/>
              <w:tr2bl w:val="nil"/>
            </w:tcBorders>
            <w:vAlign w:val="top"/>
          </w:tcPr>
          <w:p w14:paraId="7F84A8C6">
            <w:pPr>
              <w:pStyle w:val="15"/>
              <w:spacing w:before="88" w:line="221" w:lineRule="auto"/>
              <w:ind w:left="117"/>
            </w:pPr>
            <w:r>
              <w:rPr>
                <w:spacing w:val="6"/>
              </w:rPr>
              <w:t>5.5＜</w:t>
            </w:r>
            <w:r>
              <w:t>pH</w:t>
            </w:r>
            <w:r>
              <w:rPr>
                <w:spacing w:val="6"/>
              </w:rPr>
              <w:t>≤6.5</w:t>
            </w:r>
          </w:p>
        </w:tc>
        <w:tc>
          <w:tcPr>
            <w:tcW w:w="844" w:type="pct"/>
            <w:tcBorders>
              <w:tl2br w:val="nil"/>
              <w:tr2bl w:val="nil"/>
            </w:tcBorders>
            <w:vAlign w:val="top"/>
          </w:tcPr>
          <w:p w14:paraId="674B1B55">
            <w:pPr>
              <w:pStyle w:val="15"/>
              <w:spacing w:before="88" w:line="221" w:lineRule="auto"/>
              <w:ind w:left="119"/>
            </w:pPr>
            <w:r>
              <w:rPr>
                <w:spacing w:val="6"/>
              </w:rPr>
              <w:t>6.5＜</w:t>
            </w:r>
            <w:r>
              <w:t>pH</w:t>
            </w:r>
            <w:r>
              <w:rPr>
                <w:spacing w:val="6"/>
              </w:rPr>
              <w:t>≤7.5</w:t>
            </w:r>
          </w:p>
        </w:tc>
        <w:tc>
          <w:tcPr>
            <w:tcW w:w="853" w:type="pct"/>
            <w:tcBorders>
              <w:tl2br w:val="nil"/>
              <w:tr2bl w:val="nil"/>
            </w:tcBorders>
            <w:vAlign w:val="top"/>
          </w:tcPr>
          <w:p w14:paraId="15C68AE3">
            <w:pPr>
              <w:pStyle w:val="15"/>
              <w:spacing w:before="88" w:line="221" w:lineRule="auto"/>
              <w:ind w:left="380"/>
            </w:pPr>
            <w:r>
              <w:t>pH</w:t>
            </w:r>
            <w:r>
              <w:rPr>
                <w:spacing w:val="7"/>
              </w:rPr>
              <w:t>﹥7.5</w:t>
            </w:r>
          </w:p>
        </w:tc>
      </w:tr>
      <w:tr w14:paraId="51129AFA">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restart"/>
            <w:tcBorders>
              <w:tl2br w:val="nil"/>
              <w:tr2bl w:val="nil"/>
            </w:tcBorders>
            <w:vAlign w:val="top"/>
          </w:tcPr>
          <w:p w14:paraId="76AB9706">
            <w:pPr>
              <w:pStyle w:val="15"/>
              <w:spacing w:before="275" w:line="189" w:lineRule="auto"/>
              <w:ind w:left="373"/>
            </w:pPr>
            <w:r>
              <w:t>1</w:t>
            </w:r>
          </w:p>
        </w:tc>
        <w:tc>
          <w:tcPr>
            <w:tcW w:w="513" w:type="pct"/>
            <w:vMerge w:val="restart"/>
            <w:tcBorders>
              <w:tl2br w:val="nil"/>
              <w:tr2bl w:val="nil"/>
            </w:tcBorders>
            <w:vAlign w:val="top"/>
          </w:tcPr>
          <w:p w14:paraId="3A104424">
            <w:pPr>
              <w:pStyle w:val="15"/>
              <w:spacing w:before="242" w:line="231" w:lineRule="auto"/>
              <w:ind w:left="335"/>
            </w:pPr>
            <w:r>
              <w:rPr>
                <w:spacing w:val="2"/>
              </w:rPr>
              <w:t>镉</w:t>
            </w:r>
          </w:p>
        </w:tc>
        <w:tc>
          <w:tcPr>
            <w:tcW w:w="617" w:type="pct"/>
            <w:tcBorders>
              <w:tl2br w:val="nil"/>
              <w:tr2bl w:val="nil"/>
            </w:tcBorders>
            <w:vAlign w:val="top"/>
          </w:tcPr>
          <w:p w14:paraId="64550FB6">
            <w:pPr>
              <w:pStyle w:val="15"/>
              <w:spacing w:before="76" w:line="218" w:lineRule="auto"/>
              <w:ind w:left="327"/>
            </w:pPr>
            <w:r>
              <w:rPr>
                <w:spacing w:val="3"/>
              </w:rPr>
              <w:t>水田</w:t>
            </w:r>
          </w:p>
        </w:tc>
        <w:tc>
          <w:tcPr>
            <w:tcW w:w="844" w:type="pct"/>
            <w:tcBorders>
              <w:tl2br w:val="nil"/>
              <w:tr2bl w:val="nil"/>
            </w:tcBorders>
            <w:vAlign w:val="top"/>
          </w:tcPr>
          <w:p w14:paraId="15097A68">
            <w:pPr>
              <w:pStyle w:val="15"/>
              <w:spacing w:before="110" w:line="187" w:lineRule="auto"/>
              <w:ind w:left="582"/>
            </w:pPr>
            <w:r>
              <w:rPr>
                <w:spacing w:val="1"/>
              </w:rPr>
              <w:t>0.3</w:t>
            </w:r>
          </w:p>
        </w:tc>
        <w:tc>
          <w:tcPr>
            <w:tcW w:w="844" w:type="pct"/>
            <w:tcBorders>
              <w:tl2br w:val="nil"/>
              <w:tr2bl w:val="nil"/>
            </w:tcBorders>
            <w:vAlign w:val="top"/>
          </w:tcPr>
          <w:p w14:paraId="137EF522">
            <w:pPr>
              <w:pStyle w:val="15"/>
              <w:spacing w:before="110" w:line="187" w:lineRule="auto"/>
              <w:ind w:left="587"/>
            </w:pPr>
            <w:r>
              <w:rPr>
                <w:spacing w:val="1"/>
              </w:rPr>
              <w:t>0.4</w:t>
            </w:r>
          </w:p>
        </w:tc>
        <w:tc>
          <w:tcPr>
            <w:tcW w:w="844" w:type="pct"/>
            <w:tcBorders>
              <w:tl2br w:val="nil"/>
              <w:tr2bl w:val="nil"/>
            </w:tcBorders>
            <w:vAlign w:val="top"/>
          </w:tcPr>
          <w:p w14:paraId="0C60C2AC">
            <w:pPr>
              <w:pStyle w:val="15"/>
              <w:spacing w:before="110" w:line="187" w:lineRule="auto"/>
              <w:ind w:left="589"/>
            </w:pPr>
            <w:r>
              <w:rPr>
                <w:spacing w:val="1"/>
              </w:rPr>
              <w:t>0.6</w:t>
            </w:r>
          </w:p>
        </w:tc>
        <w:tc>
          <w:tcPr>
            <w:tcW w:w="853" w:type="pct"/>
            <w:tcBorders>
              <w:tl2br w:val="nil"/>
              <w:tr2bl w:val="nil"/>
            </w:tcBorders>
            <w:vAlign w:val="top"/>
          </w:tcPr>
          <w:p w14:paraId="48E93F34">
            <w:pPr>
              <w:pStyle w:val="15"/>
              <w:spacing w:before="110" w:line="187" w:lineRule="auto"/>
              <w:ind w:left="593"/>
            </w:pPr>
            <w:r>
              <w:rPr>
                <w:spacing w:val="1"/>
              </w:rPr>
              <w:t>0.8</w:t>
            </w:r>
          </w:p>
        </w:tc>
      </w:tr>
      <w:tr w14:paraId="40A64C7D">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continue"/>
            <w:tcBorders>
              <w:tl2br w:val="nil"/>
              <w:tr2bl w:val="nil"/>
            </w:tcBorders>
            <w:vAlign w:val="top"/>
          </w:tcPr>
          <w:p w14:paraId="5A37AB8F">
            <w:pPr>
              <w:rPr>
                <w:rFonts w:ascii="Arial"/>
                <w:sz w:val="21"/>
              </w:rPr>
            </w:pPr>
          </w:p>
        </w:tc>
        <w:tc>
          <w:tcPr>
            <w:tcW w:w="513" w:type="pct"/>
            <w:vMerge w:val="continue"/>
            <w:tcBorders>
              <w:tl2br w:val="nil"/>
              <w:tr2bl w:val="nil"/>
            </w:tcBorders>
            <w:vAlign w:val="top"/>
          </w:tcPr>
          <w:p w14:paraId="4F956628">
            <w:pPr>
              <w:rPr>
                <w:rFonts w:ascii="Arial"/>
                <w:sz w:val="21"/>
              </w:rPr>
            </w:pPr>
          </w:p>
        </w:tc>
        <w:tc>
          <w:tcPr>
            <w:tcW w:w="617" w:type="pct"/>
            <w:tcBorders>
              <w:tl2br w:val="nil"/>
              <w:tr2bl w:val="nil"/>
            </w:tcBorders>
            <w:vAlign w:val="top"/>
          </w:tcPr>
          <w:p w14:paraId="4B14D456">
            <w:pPr>
              <w:pStyle w:val="15"/>
              <w:spacing w:before="77" w:line="217" w:lineRule="auto"/>
              <w:ind w:left="326"/>
            </w:pPr>
            <w:r>
              <w:rPr>
                <w:spacing w:val="4"/>
              </w:rPr>
              <w:t>其他</w:t>
            </w:r>
          </w:p>
        </w:tc>
        <w:tc>
          <w:tcPr>
            <w:tcW w:w="844" w:type="pct"/>
            <w:tcBorders>
              <w:tl2br w:val="nil"/>
              <w:tr2bl w:val="nil"/>
            </w:tcBorders>
            <w:vAlign w:val="top"/>
          </w:tcPr>
          <w:p w14:paraId="562E9140">
            <w:pPr>
              <w:pStyle w:val="15"/>
              <w:spacing w:before="110" w:line="187" w:lineRule="auto"/>
              <w:ind w:left="582"/>
            </w:pPr>
            <w:r>
              <w:rPr>
                <w:spacing w:val="1"/>
              </w:rPr>
              <w:t>0.3</w:t>
            </w:r>
          </w:p>
        </w:tc>
        <w:tc>
          <w:tcPr>
            <w:tcW w:w="844" w:type="pct"/>
            <w:tcBorders>
              <w:tl2br w:val="nil"/>
              <w:tr2bl w:val="nil"/>
            </w:tcBorders>
            <w:vAlign w:val="top"/>
          </w:tcPr>
          <w:p w14:paraId="28460E1C">
            <w:pPr>
              <w:pStyle w:val="15"/>
              <w:spacing w:before="110" w:line="187" w:lineRule="auto"/>
              <w:ind w:left="587"/>
            </w:pPr>
            <w:r>
              <w:rPr>
                <w:spacing w:val="1"/>
              </w:rPr>
              <w:t>0.3</w:t>
            </w:r>
          </w:p>
        </w:tc>
        <w:tc>
          <w:tcPr>
            <w:tcW w:w="844" w:type="pct"/>
            <w:tcBorders>
              <w:tl2br w:val="nil"/>
              <w:tr2bl w:val="nil"/>
            </w:tcBorders>
            <w:vAlign w:val="top"/>
          </w:tcPr>
          <w:p w14:paraId="7AC03CB8">
            <w:pPr>
              <w:pStyle w:val="15"/>
              <w:spacing w:before="110" w:line="187" w:lineRule="auto"/>
              <w:ind w:left="589"/>
            </w:pPr>
            <w:r>
              <w:rPr>
                <w:spacing w:val="1"/>
              </w:rPr>
              <w:t>0.3</w:t>
            </w:r>
          </w:p>
        </w:tc>
        <w:tc>
          <w:tcPr>
            <w:tcW w:w="853" w:type="pct"/>
            <w:tcBorders>
              <w:tl2br w:val="nil"/>
              <w:tr2bl w:val="nil"/>
            </w:tcBorders>
            <w:vAlign w:val="top"/>
          </w:tcPr>
          <w:p w14:paraId="6CC2EDA6">
            <w:pPr>
              <w:pStyle w:val="15"/>
              <w:spacing w:before="110" w:line="187" w:lineRule="auto"/>
              <w:ind w:left="593"/>
            </w:pPr>
            <w:r>
              <w:rPr>
                <w:spacing w:val="1"/>
              </w:rPr>
              <w:t>0.6</w:t>
            </w:r>
          </w:p>
        </w:tc>
      </w:tr>
      <w:tr w14:paraId="1EFDF6DF">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restart"/>
            <w:tcBorders>
              <w:tl2br w:val="nil"/>
              <w:tr2bl w:val="nil"/>
            </w:tcBorders>
            <w:vAlign w:val="top"/>
          </w:tcPr>
          <w:p w14:paraId="4D74F7AA">
            <w:pPr>
              <w:pStyle w:val="15"/>
              <w:spacing w:before="278" w:line="189" w:lineRule="auto"/>
              <w:ind w:left="360"/>
            </w:pPr>
            <w:r>
              <w:t>2</w:t>
            </w:r>
          </w:p>
        </w:tc>
        <w:tc>
          <w:tcPr>
            <w:tcW w:w="513" w:type="pct"/>
            <w:vMerge w:val="restart"/>
            <w:tcBorders>
              <w:tl2br w:val="nil"/>
              <w:tr2bl w:val="nil"/>
            </w:tcBorders>
            <w:vAlign w:val="top"/>
          </w:tcPr>
          <w:p w14:paraId="04A45721">
            <w:pPr>
              <w:pStyle w:val="15"/>
              <w:spacing w:before="246" w:line="228" w:lineRule="auto"/>
              <w:ind w:left="337"/>
            </w:pPr>
            <w:r>
              <w:t>汞</w:t>
            </w:r>
          </w:p>
        </w:tc>
        <w:tc>
          <w:tcPr>
            <w:tcW w:w="617" w:type="pct"/>
            <w:tcBorders>
              <w:tl2br w:val="nil"/>
              <w:tr2bl w:val="nil"/>
            </w:tcBorders>
            <w:vAlign w:val="top"/>
          </w:tcPr>
          <w:p w14:paraId="181BC969">
            <w:pPr>
              <w:pStyle w:val="15"/>
              <w:spacing w:before="81" w:line="214" w:lineRule="auto"/>
              <w:ind w:left="327"/>
            </w:pPr>
            <w:r>
              <w:rPr>
                <w:spacing w:val="3"/>
              </w:rPr>
              <w:t>水田</w:t>
            </w:r>
          </w:p>
        </w:tc>
        <w:tc>
          <w:tcPr>
            <w:tcW w:w="844" w:type="pct"/>
            <w:tcBorders>
              <w:tl2br w:val="nil"/>
              <w:tr2bl w:val="nil"/>
            </w:tcBorders>
            <w:vAlign w:val="top"/>
          </w:tcPr>
          <w:p w14:paraId="09BCEE3B">
            <w:pPr>
              <w:pStyle w:val="15"/>
              <w:spacing w:before="113" w:line="184" w:lineRule="auto"/>
              <w:ind w:left="582"/>
            </w:pPr>
            <w:r>
              <w:rPr>
                <w:spacing w:val="1"/>
              </w:rPr>
              <w:t>0.5</w:t>
            </w:r>
          </w:p>
        </w:tc>
        <w:tc>
          <w:tcPr>
            <w:tcW w:w="844" w:type="pct"/>
            <w:tcBorders>
              <w:tl2br w:val="nil"/>
              <w:tr2bl w:val="nil"/>
            </w:tcBorders>
            <w:vAlign w:val="top"/>
          </w:tcPr>
          <w:p w14:paraId="5BD00B35">
            <w:pPr>
              <w:pStyle w:val="15"/>
              <w:spacing w:before="113" w:line="184" w:lineRule="auto"/>
              <w:ind w:left="587"/>
            </w:pPr>
            <w:r>
              <w:rPr>
                <w:spacing w:val="1"/>
              </w:rPr>
              <w:t>0.5</w:t>
            </w:r>
          </w:p>
        </w:tc>
        <w:tc>
          <w:tcPr>
            <w:tcW w:w="844" w:type="pct"/>
            <w:tcBorders>
              <w:tl2br w:val="nil"/>
              <w:tr2bl w:val="nil"/>
            </w:tcBorders>
            <w:vAlign w:val="top"/>
          </w:tcPr>
          <w:p w14:paraId="76BCB446">
            <w:pPr>
              <w:pStyle w:val="15"/>
              <w:spacing w:before="113" w:line="184" w:lineRule="auto"/>
              <w:ind w:left="589"/>
            </w:pPr>
            <w:r>
              <w:rPr>
                <w:spacing w:val="1"/>
              </w:rPr>
              <w:t>0.6</w:t>
            </w:r>
          </w:p>
        </w:tc>
        <w:tc>
          <w:tcPr>
            <w:tcW w:w="853" w:type="pct"/>
            <w:tcBorders>
              <w:tl2br w:val="nil"/>
              <w:tr2bl w:val="nil"/>
            </w:tcBorders>
            <w:vAlign w:val="top"/>
          </w:tcPr>
          <w:p w14:paraId="6EE4C810">
            <w:pPr>
              <w:pStyle w:val="15"/>
              <w:spacing w:before="112" w:line="185" w:lineRule="auto"/>
              <w:ind w:left="607"/>
            </w:pPr>
            <w:r>
              <w:rPr>
                <w:spacing w:val="-3"/>
              </w:rPr>
              <w:t>1.0</w:t>
            </w:r>
          </w:p>
        </w:tc>
      </w:tr>
      <w:tr w14:paraId="475B4453">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continue"/>
            <w:tcBorders>
              <w:tl2br w:val="nil"/>
              <w:tr2bl w:val="nil"/>
            </w:tcBorders>
            <w:vAlign w:val="top"/>
          </w:tcPr>
          <w:p w14:paraId="5EED073B">
            <w:pPr>
              <w:rPr>
                <w:rFonts w:ascii="Arial"/>
                <w:sz w:val="21"/>
              </w:rPr>
            </w:pPr>
          </w:p>
        </w:tc>
        <w:tc>
          <w:tcPr>
            <w:tcW w:w="513" w:type="pct"/>
            <w:vMerge w:val="continue"/>
            <w:tcBorders>
              <w:tl2br w:val="nil"/>
              <w:tr2bl w:val="nil"/>
            </w:tcBorders>
            <w:vAlign w:val="top"/>
          </w:tcPr>
          <w:p w14:paraId="4ED680AD">
            <w:pPr>
              <w:rPr>
                <w:rFonts w:ascii="Arial"/>
                <w:sz w:val="21"/>
              </w:rPr>
            </w:pPr>
          </w:p>
        </w:tc>
        <w:tc>
          <w:tcPr>
            <w:tcW w:w="617" w:type="pct"/>
            <w:tcBorders>
              <w:tl2br w:val="nil"/>
              <w:tr2bl w:val="nil"/>
            </w:tcBorders>
            <w:vAlign w:val="top"/>
          </w:tcPr>
          <w:p w14:paraId="5E228BD1">
            <w:pPr>
              <w:pStyle w:val="15"/>
              <w:spacing w:before="81" w:line="214" w:lineRule="auto"/>
              <w:ind w:left="326"/>
            </w:pPr>
            <w:r>
              <w:rPr>
                <w:spacing w:val="4"/>
              </w:rPr>
              <w:t>其他</w:t>
            </w:r>
          </w:p>
        </w:tc>
        <w:tc>
          <w:tcPr>
            <w:tcW w:w="844" w:type="pct"/>
            <w:tcBorders>
              <w:tl2br w:val="nil"/>
              <w:tr2bl w:val="nil"/>
            </w:tcBorders>
            <w:vAlign w:val="top"/>
          </w:tcPr>
          <w:p w14:paraId="5012E527">
            <w:pPr>
              <w:pStyle w:val="15"/>
              <w:spacing w:before="113" w:line="184" w:lineRule="auto"/>
              <w:ind w:left="595"/>
            </w:pPr>
            <w:r>
              <w:rPr>
                <w:spacing w:val="-3"/>
              </w:rPr>
              <w:t>1.3</w:t>
            </w:r>
          </w:p>
        </w:tc>
        <w:tc>
          <w:tcPr>
            <w:tcW w:w="844" w:type="pct"/>
            <w:tcBorders>
              <w:tl2br w:val="nil"/>
              <w:tr2bl w:val="nil"/>
            </w:tcBorders>
            <w:vAlign w:val="top"/>
          </w:tcPr>
          <w:p w14:paraId="72D6CF98">
            <w:pPr>
              <w:pStyle w:val="15"/>
              <w:spacing w:before="113" w:line="184" w:lineRule="auto"/>
              <w:ind w:left="601"/>
            </w:pPr>
            <w:r>
              <w:rPr>
                <w:spacing w:val="-3"/>
              </w:rPr>
              <w:t>1.8</w:t>
            </w:r>
          </w:p>
        </w:tc>
        <w:tc>
          <w:tcPr>
            <w:tcW w:w="844" w:type="pct"/>
            <w:tcBorders>
              <w:tl2br w:val="nil"/>
              <w:tr2bl w:val="nil"/>
            </w:tcBorders>
            <w:vAlign w:val="top"/>
          </w:tcPr>
          <w:p w14:paraId="5AE69C2D">
            <w:pPr>
              <w:pStyle w:val="15"/>
              <w:spacing w:before="114" w:line="183" w:lineRule="auto"/>
              <w:ind w:left="590"/>
            </w:pPr>
            <w:r>
              <w:rPr>
                <w:spacing w:val="1"/>
              </w:rPr>
              <w:t>2.4</w:t>
            </w:r>
          </w:p>
        </w:tc>
        <w:tc>
          <w:tcPr>
            <w:tcW w:w="853" w:type="pct"/>
            <w:tcBorders>
              <w:tl2br w:val="nil"/>
              <w:tr2bl w:val="nil"/>
            </w:tcBorders>
            <w:vAlign w:val="top"/>
          </w:tcPr>
          <w:p w14:paraId="14724688">
            <w:pPr>
              <w:pStyle w:val="15"/>
              <w:spacing w:before="114" w:line="183" w:lineRule="auto"/>
              <w:ind w:left="596"/>
            </w:pPr>
            <w:r>
              <w:rPr>
                <w:spacing w:val="1"/>
              </w:rPr>
              <w:t>3.4</w:t>
            </w:r>
          </w:p>
        </w:tc>
      </w:tr>
      <w:tr w14:paraId="5F40A172">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restart"/>
            <w:tcBorders>
              <w:tl2br w:val="nil"/>
              <w:tr2bl w:val="nil"/>
            </w:tcBorders>
            <w:vAlign w:val="top"/>
          </w:tcPr>
          <w:p w14:paraId="4C6726E2">
            <w:pPr>
              <w:pStyle w:val="15"/>
              <w:spacing w:before="285" w:line="189" w:lineRule="auto"/>
              <w:ind w:left="362"/>
            </w:pPr>
            <w:r>
              <w:t>3</w:t>
            </w:r>
          </w:p>
        </w:tc>
        <w:tc>
          <w:tcPr>
            <w:tcW w:w="513" w:type="pct"/>
            <w:vMerge w:val="restart"/>
            <w:tcBorders>
              <w:tl2br w:val="nil"/>
              <w:tr2bl w:val="nil"/>
            </w:tcBorders>
            <w:vAlign w:val="top"/>
          </w:tcPr>
          <w:p w14:paraId="44F1F2CA">
            <w:pPr>
              <w:pStyle w:val="15"/>
              <w:spacing w:before="252" w:line="228" w:lineRule="auto"/>
              <w:ind w:left="336"/>
            </w:pPr>
            <w:r>
              <w:rPr>
                <w:spacing w:val="1"/>
              </w:rPr>
              <w:t>砷</w:t>
            </w:r>
          </w:p>
        </w:tc>
        <w:tc>
          <w:tcPr>
            <w:tcW w:w="617" w:type="pct"/>
            <w:tcBorders>
              <w:tl2br w:val="nil"/>
              <w:tr2bl w:val="nil"/>
            </w:tcBorders>
            <w:vAlign w:val="top"/>
          </w:tcPr>
          <w:p w14:paraId="0AA85083">
            <w:pPr>
              <w:pStyle w:val="15"/>
              <w:spacing w:before="84" w:line="211" w:lineRule="auto"/>
              <w:ind w:left="327"/>
            </w:pPr>
            <w:r>
              <w:rPr>
                <w:spacing w:val="3"/>
              </w:rPr>
              <w:t>水田</w:t>
            </w:r>
          </w:p>
        </w:tc>
        <w:tc>
          <w:tcPr>
            <w:tcW w:w="844" w:type="pct"/>
            <w:tcBorders>
              <w:tl2br w:val="nil"/>
              <w:tr2bl w:val="nil"/>
            </w:tcBorders>
            <w:vAlign w:val="top"/>
          </w:tcPr>
          <w:p w14:paraId="329DC18F">
            <w:pPr>
              <w:pStyle w:val="15"/>
              <w:spacing w:before="116" w:line="181" w:lineRule="auto"/>
              <w:ind w:left="637"/>
            </w:pPr>
            <w:r>
              <w:rPr>
                <w:spacing w:val="-2"/>
              </w:rPr>
              <w:t>30</w:t>
            </w:r>
          </w:p>
        </w:tc>
        <w:tc>
          <w:tcPr>
            <w:tcW w:w="844" w:type="pct"/>
            <w:tcBorders>
              <w:tl2br w:val="nil"/>
              <w:tr2bl w:val="nil"/>
            </w:tcBorders>
            <w:vAlign w:val="top"/>
          </w:tcPr>
          <w:p w14:paraId="7812A665">
            <w:pPr>
              <w:pStyle w:val="15"/>
              <w:spacing w:before="116" w:line="181" w:lineRule="auto"/>
              <w:ind w:left="642"/>
            </w:pPr>
            <w:r>
              <w:rPr>
                <w:spacing w:val="-2"/>
              </w:rPr>
              <w:t>30</w:t>
            </w:r>
          </w:p>
        </w:tc>
        <w:tc>
          <w:tcPr>
            <w:tcW w:w="844" w:type="pct"/>
            <w:tcBorders>
              <w:tl2br w:val="nil"/>
              <w:tr2bl w:val="nil"/>
            </w:tcBorders>
            <w:vAlign w:val="top"/>
          </w:tcPr>
          <w:p w14:paraId="4481E4E2">
            <w:pPr>
              <w:pStyle w:val="15"/>
              <w:spacing w:before="116" w:line="181" w:lineRule="auto"/>
              <w:ind w:left="645"/>
            </w:pPr>
            <w:r>
              <w:rPr>
                <w:spacing w:val="-1"/>
              </w:rPr>
              <w:t>25</w:t>
            </w:r>
          </w:p>
        </w:tc>
        <w:tc>
          <w:tcPr>
            <w:tcW w:w="853" w:type="pct"/>
            <w:tcBorders>
              <w:tl2br w:val="nil"/>
              <w:tr2bl w:val="nil"/>
            </w:tcBorders>
            <w:vAlign w:val="top"/>
          </w:tcPr>
          <w:p w14:paraId="36D98EAB">
            <w:pPr>
              <w:pStyle w:val="15"/>
              <w:spacing w:before="116" w:line="181" w:lineRule="auto"/>
              <w:ind w:left="647"/>
            </w:pPr>
            <w:r>
              <w:rPr>
                <w:spacing w:val="-1"/>
              </w:rPr>
              <w:t>20</w:t>
            </w:r>
          </w:p>
        </w:tc>
      </w:tr>
      <w:tr w14:paraId="2F74117C">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continue"/>
            <w:tcBorders>
              <w:tl2br w:val="nil"/>
              <w:tr2bl w:val="nil"/>
            </w:tcBorders>
            <w:vAlign w:val="top"/>
          </w:tcPr>
          <w:p w14:paraId="0EA361B8">
            <w:pPr>
              <w:rPr>
                <w:rFonts w:ascii="Arial"/>
                <w:sz w:val="21"/>
              </w:rPr>
            </w:pPr>
          </w:p>
        </w:tc>
        <w:tc>
          <w:tcPr>
            <w:tcW w:w="513" w:type="pct"/>
            <w:vMerge w:val="continue"/>
            <w:tcBorders>
              <w:tl2br w:val="nil"/>
              <w:tr2bl w:val="nil"/>
            </w:tcBorders>
            <w:vAlign w:val="top"/>
          </w:tcPr>
          <w:p w14:paraId="3674F63E">
            <w:pPr>
              <w:rPr>
                <w:rFonts w:ascii="Arial"/>
                <w:sz w:val="21"/>
              </w:rPr>
            </w:pPr>
          </w:p>
        </w:tc>
        <w:tc>
          <w:tcPr>
            <w:tcW w:w="617" w:type="pct"/>
            <w:tcBorders>
              <w:tl2br w:val="nil"/>
              <w:tr2bl w:val="nil"/>
            </w:tcBorders>
            <w:vAlign w:val="top"/>
          </w:tcPr>
          <w:p w14:paraId="64A237C0">
            <w:pPr>
              <w:pStyle w:val="15"/>
              <w:spacing w:before="87" w:line="208" w:lineRule="auto"/>
              <w:ind w:left="326"/>
            </w:pPr>
            <w:r>
              <w:rPr>
                <w:spacing w:val="4"/>
              </w:rPr>
              <w:t>其他</w:t>
            </w:r>
          </w:p>
        </w:tc>
        <w:tc>
          <w:tcPr>
            <w:tcW w:w="844" w:type="pct"/>
            <w:tcBorders>
              <w:tl2br w:val="nil"/>
              <w:tr2bl w:val="nil"/>
            </w:tcBorders>
            <w:vAlign w:val="top"/>
          </w:tcPr>
          <w:p w14:paraId="500BFA9B">
            <w:pPr>
              <w:pStyle w:val="15"/>
              <w:spacing w:before="120" w:line="178" w:lineRule="auto"/>
              <w:ind w:left="632"/>
            </w:pPr>
            <w:r>
              <w:rPr>
                <w:spacing w:val="1"/>
              </w:rPr>
              <w:t>40</w:t>
            </w:r>
          </w:p>
        </w:tc>
        <w:tc>
          <w:tcPr>
            <w:tcW w:w="844" w:type="pct"/>
            <w:tcBorders>
              <w:tl2br w:val="nil"/>
              <w:tr2bl w:val="nil"/>
            </w:tcBorders>
            <w:vAlign w:val="top"/>
          </w:tcPr>
          <w:p w14:paraId="477578B3">
            <w:pPr>
              <w:pStyle w:val="15"/>
              <w:spacing w:before="120" w:line="178" w:lineRule="auto"/>
              <w:ind w:left="637"/>
            </w:pPr>
            <w:r>
              <w:rPr>
                <w:spacing w:val="1"/>
              </w:rPr>
              <w:t>40</w:t>
            </w:r>
          </w:p>
        </w:tc>
        <w:tc>
          <w:tcPr>
            <w:tcW w:w="844" w:type="pct"/>
            <w:tcBorders>
              <w:tl2br w:val="nil"/>
              <w:tr2bl w:val="nil"/>
            </w:tcBorders>
            <w:vAlign w:val="top"/>
          </w:tcPr>
          <w:p w14:paraId="7FD5E761">
            <w:pPr>
              <w:pStyle w:val="15"/>
              <w:spacing w:before="120" w:line="178" w:lineRule="auto"/>
              <w:ind w:left="647"/>
            </w:pPr>
            <w:r>
              <w:rPr>
                <w:spacing w:val="-2"/>
              </w:rPr>
              <w:t>30</w:t>
            </w:r>
          </w:p>
        </w:tc>
        <w:tc>
          <w:tcPr>
            <w:tcW w:w="853" w:type="pct"/>
            <w:tcBorders>
              <w:tl2br w:val="nil"/>
              <w:tr2bl w:val="nil"/>
            </w:tcBorders>
            <w:vAlign w:val="top"/>
          </w:tcPr>
          <w:p w14:paraId="2314077F">
            <w:pPr>
              <w:pStyle w:val="15"/>
              <w:spacing w:before="120" w:line="178" w:lineRule="auto"/>
              <w:ind w:left="647"/>
            </w:pPr>
            <w:r>
              <w:rPr>
                <w:spacing w:val="-1"/>
              </w:rPr>
              <w:t>25</w:t>
            </w:r>
          </w:p>
        </w:tc>
      </w:tr>
      <w:tr w14:paraId="1D9BE026">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restart"/>
            <w:tcBorders>
              <w:tl2br w:val="nil"/>
              <w:tr2bl w:val="nil"/>
            </w:tcBorders>
            <w:vAlign w:val="top"/>
          </w:tcPr>
          <w:p w14:paraId="04E3CEDB">
            <w:pPr>
              <w:pStyle w:val="15"/>
              <w:spacing w:before="288" w:line="189" w:lineRule="auto"/>
              <w:ind w:left="357"/>
            </w:pPr>
            <w:r>
              <w:t>4</w:t>
            </w:r>
          </w:p>
        </w:tc>
        <w:tc>
          <w:tcPr>
            <w:tcW w:w="513" w:type="pct"/>
            <w:vMerge w:val="restart"/>
            <w:tcBorders>
              <w:tl2br w:val="nil"/>
              <w:tr2bl w:val="nil"/>
            </w:tcBorders>
            <w:vAlign w:val="top"/>
          </w:tcPr>
          <w:p w14:paraId="4B48247B">
            <w:pPr>
              <w:pStyle w:val="15"/>
              <w:spacing w:before="255" w:line="232" w:lineRule="auto"/>
              <w:ind w:left="336"/>
            </w:pPr>
            <w:r>
              <w:t>铅</w:t>
            </w:r>
          </w:p>
        </w:tc>
        <w:tc>
          <w:tcPr>
            <w:tcW w:w="617" w:type="pct"/>
            <w:tcBorders>
              <w:tl2br w:val="nil"/>
              <w:tr2bl w:val="nil"/>
            </w:tcBorders>
            <w:vAlign w:val="top"/>
          </w:tcPr>
          <w:p w14:paraId="146CAC43">
            <w:pPr>
              <w:pStyle w:val="15"/>
              <w:spacing w:before="87" w:line="208" w:lineRule="auto"/>
              <w:ind w:left="327"/>
            </w:pPr>
            <w:r>
              <w:rPr>
                <w:spacing w:val="3"/>
              </w:rPr>
              <w:t>水田</w:t>
            </w:r>
          </w:p>
        </w:tc>
        <w:tc>
          <w:tcPr>
            <w:tcW w:w="844" w:type="pct"/>
            <w:tcBorders>
              <w:tl2br w:val="nil"/>
              <w:tr2bl w:val="nil"/>
            </w:tcBorders>
            <w:vAlign w:val="top"/>
          </w:tcPr>
          <w:p w14:paraId="5B9C1A88">
            <w:pPr>
              <w:pStyle w:val="15"/>
              <w:spacing w:before="121" w:line="177" w:lineRule="auto"/>
              <w:ind w:left="634"/>
            </w:pPr>
            <w:r>
              <w:t>80</w:t>
            </w:r>
          </w:p>
        </w:tc>
        <w:tc>
          <w:tcPr>
            <w:tcW w:w="844" w:type="pct"/>
            <w:tcBorders>
              <w:tl2br w:val="nil"/>
              <w:tr2bl w:val="nil"/>
            </w:tcBorders>
            <w:vAlign w:val="top"/>
          </w:tcPr>
          <w:p w14:paraId="174CE7D2">
            <w:pPr>
              <w:pStyle w:val="15"/>
              <w:spacing w:before="120" w:line="178" w:lineRule="auto"/>
              <w:ind w:left="601"/>
            </w:pPr>
            <w:r>
              <w:rPr>
                <w:spacing w:val="-3"/>
              </w:rPr>
              <w:t>100</w:t>
            </w:r>
          </w:p>
        </w:tc>
        <w:tc>
          <w:tcPr>
            <w:tcW w:w="844" w:type="pct"/>
            <w:tcBorders>
              <w:tl2br w:val="nil"/>
              <w:tr2bl w:val="nil"/>
            </w:tcBorders>
            <w:vAlign w:val="top"/>
          </w:tcPr>
          <w:p w14:paraId="68A9B36F">
            <w:pPr>
              <w:pStyle w:val="15"/>
              <w:spacing w:before="120" w:line="178" w:lineRule="auto"/>
              <w:ind w:left="603"/>
            </w:pPr>
            <w:r>
              <w:rPr>
                <w:spacing w:val="-3"/>
              </w:rPr>
              <w:t>140</w:t>
            </w:r>
          </w:p>
        </w:tc>
        <w:tc>
          <w:tcPr>
            <w:tcW w:w="853" w:type="pct"/>
            <w:tcBorders>
              <w:tl2br w:val="nil"/>
              <w:tr2bl w:val="nil"/>
            </w:tcBorders>
            <w:vAlign w:val="top"/>
          </w:tcPr>
          <w:p w14:paraId="72F9D44F">
            <w:pPr>
              <w:pStyle w:val="15"/>
              <w:spacing w:before="121" w:line="177" w:lineRule="auto"/>
              <w:ind w:left="594"/>
            </w:pPr>
            <w:r>
              <w:rPr>
                <w:spacing w:val="1"/>
              </w:rPr>
              <w:t>240</w:t>
            </w:r>
          </w:p>
        </w:tc>
      </w:tr>
      <w:tr w14:paraId="25EAF73B">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trPr>
        <w:tc>
          <w:tcPr>
            <w:tcW w:w="481" w:type="pct"/>
            <w:vMerge w:val="continue"/>
            <w:tcBorders>
              <w:tl2br w:val="nil"/>
              <w:tr2bl w:val="nil"/>
            </w:tcBorders>
            <w:vAlign w:val="top"/>
          </w:tcPr>
          <w:p w14:paraId="5189AA36">
            <w:pPr>
              <w:rPr>
                <w:rFonts w:ascii="Arial"/>
                <w:sz w:val="21"/>
              </w:rPr>
            </w:pPr>
          </w:p>
        </w:tc>
        <w:tc>
          <w:tcPr>
            <w:tcW w:w="513" w:type="pct"/>
            <w:vMerge w:val="continue"/>
            <w:tcBorders>
              <w:tl2br w:val="nil"/>
              <w:tr2bl w:val="nil"/>
            </w:tcBorders>
            <w:vAlign w:val="top"/>
          </w:tcPr>
          <w:p w14:paraId="24C558CD">
            <w:pPr>
              <w:rPr>
                <w:rFonts w:ascii="Arial"/>
                <w:sz w:val="21"/>
              </w:rPr>
            </w:pPr>
          </w:p>
        </w:tc>
        <w:tc>
          <w:tcPr>
            <w:tcW w:w="617" w:type="pct"/>
            <w:tcBorders>
              <w:tl2br w:val="nil"/>
              <w:tr2bl w:val="nil"/>
            </w:tcBorders>
            <w:vAlign w:val="top"/>
          </w:tcPr>
          <w:p w14:paraId="1803719D">
            <w:pPr>
              <w:pStyle w:val="15"/>
              <w:spacing w:before="90" w:line="205" w:lineRule="auto"/>
              <w:ind w:left="326"/>
            </w:pPr>
            <w:r>
              <w:rPr>
                <w:spacing w:val="4"/>
              </w:rPr>
              <w:t>其他</w:t>
            </w:r>
          </w:p>
        </w:tc>
        <w:tc>
          <w:tcPr>
            <w:tcW w:w="844" w:type="pct"/>
            <w:tcBorders>
              <w:tl2br w:val="nil"/>
              <w:tr2bl w:val="nil"/>
            </w:tcBorders>
            <w:vAlign w:val="top"/>
          </w:tcPr>
          <w:p w14:paraId="5A98134D">
            <w:pPr>
              <w:pStyle w:val="15"/>
              <w:spacing w:before="123" w:line="175" w:lineRule="auto"/>
              <w:ind w:left="638"/>
            </w:pPr>
            <w:r>
              <w:rPr>
                <w:spacing w:val="-2"/>
              </w:rPr>
              <w:t>70</w:t>
            </w:r>
          </w:p>
        </w:tc>
        <w:tc>
          <w:tcPr>
            <w:tcW w:w="844" w:type="pct"/>
            <w:tcBorders>
              <w:tl2br w:val="nil"/>
              <w:tr2bl w:val="nil"/>
            </w:tcBorders>
            <w:vAlign w:val="top"/>
          </w:tcPr>
          <w:p w14:paraId="67380BE4">
            <w:pPr>
              <w:pStyle w:val="15"/>
              <w:spacing w:before="123" w:line="175" w:lineRule="auto"/>
              <w:ind w:left="639"/>
            </w:pPr>
            <w:r>
              <w:t>90</w:t>
            </w:r>
          </w:p>
        </w:tc>
        <w:tc>
          <w:tcPr>
            <w:tcW w:w="844" w:type="pct"/>
            <w:tcBorders>
              <w:tl2br w:val="nil"/>
              <w:tr2bl w:val="nil"/>
            </w:tcBorders>
            <w:vAlign w:val="top"/>
          </w:tcPr>
          <w:p w14:paraId="17787268">
            <w:pPr>
              <w:pStyle w:val="15"/>
              <w:spacing w:before="123" w:line="175" w:lineRule="auto"/>
              <w:ind w:left="603"/>
            </w:pPr>
            <w:r>
              <w:rPr>
                <w:spacing w:val="-3"/>
              </w:rPr>
              <w:t>120</w:t>
            </w:r>
          </w:p>
        </w:tc>
        <w:tc>
          <w:tcPr>
            <w:tcW w:w="853" w:type="pct"/>
            <w:tcBorders>
              <w:tl2br w:val="nil"/>
              <w:tr2bl w:val="nil"/>
            </w:tcBorders>
            <w:vAlign w:val="top"/>
          </w:tcPr>
          <w:p w14:paraId="6CF85CFB">
            <w:pPr>
              <w:pStyle w:val="15"/>
              <w:spacing w:before="123" w:line="175" w:lineRule="auto"/>
              <w:ind w:left="607"/>
            </w:pPr>
            <w:r>
              <w:rPr>
                <w:spacing w:val="-3"/>
              </w:rPr>
              <w:t>170</w:t>
            </w:r>
          </w:p>
        </w:tc>
      </w:tr>
      <w:tr w14:paraId="648EEDD4">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4" w:hRule="atLeast"/>
        </w:trPr>
        <w:tc>
          <w:tcPr>
            <w:tcW w:w="481" w:type="pct"/>
            <w:vMerge w:val="restart"/>
            <w:tcBorders>
              <w:tl2br w:val="nil"/>
              <w:tr2bl w:val="nil"/>
            </w:tcBorders>
            <w:vAlign w:val="top"/>
          </w:tcPr>
          <w:p w14:paraId="457E5B28">
            <w:pPr>
              <w:pStyle w:val="15"/>
              <w:spacing w:before="294" w:line="187" w:lineRule="auto"/>
              <w:ind w:left="362"/>
            </w:pPr>
            <w:r>
              <w:t>5</w:t>
            </w:r>
          </w:p>
        </w:tc>
        <w:tc>
          <w:tcPr>
            <w:tcW w:w="513" w:type="pct"/>
            <w:vMerge w:val="restart"/>
            <w:tcBorders>
              <w:tl2br w:val="nil"/>
              <w:tr2bl w:val="nil"/>
            </w:tcBorders>
            <w:vAlign w:val="top"/>
          </w:tcPr>
          <w:p w14:paraId="773B6D85">
            <w:pPr>
              <w:pStyle w:val="15"/>
              <w:spacing w:before="259" w:line="230" w:lineRule="auto"/>
              <w:ind w:left="336"/>
            </w:pPr>
            <w:r>
              <w:rPr>
                <w:spacing w:val="1"/>
              </w:rPr>
              <w:t>铬</w:t>
            </w:r>
          </w:p>
        </w:tc>
        <w:tc>
          <w:tcPr>
            <w:tcW w:w="617" w:type="pct"/>
            <w:tcBorders>
              <w:tl2br w:val="nil"/>
              <w:tr2bl w:val="nil"/>
            </w:tcBorders>
            <w:vAlign w:val="top"/>
          </w:tcPr>
          <w:p w14:paraId="43A1634A">
            <w:pPr>
              <w:pStyle w:val="15"/>
              <w:spacing w:before="91" w:line="205" w:lineRule="auto"/>
              <w:ind w:left="327"/>
            </w:pPr>
            <w:r>
              <w:rPr>
                <w:spacing w:val="3"/>
              </w:rPr>
              <w:t>水田</w:t>
            </w:r>
          </w:p>
        </w:tc>
        <w:tc>
          <w:tcPr>
            <w:tcW w:w="844" w:type="pct"/>
            <w:tcBorders>
              <w:tl2br w:val="nil"/>
              <w:tr2bl w:val="nil"/>
            </w:tcBorders>
            <w:vAlign w:val="top"/>
          </w:tcPr>
          <w:p w14:paraId="76B48C38">
            <w:pPr>
              <w:pStyle w:val="15"/>
              <w:spacing w:before="124" w:line="175" w:lineRule="auto"/>
              <w:ind w:left="582"/>
            </w:pPr>
            <w:r>
              <w:rPr>
                <w:spacing w:val="1"/>
              </w:rPr>
              <w:t>250</w:t>
            </w:r>
          </w:p>
        </w:tc>
        <w:tc>
          <w:tcPr>
            <w:tcW w:w="844" w:type="pct"/>
            <w:tcBorders>
              <w:tl2br w:val="nil"/>
              <w:tr2bl w:val="nil"/>
            </w:tcBorders>
            <w:vAlign w:val="top"/>
          </w:tcPr>
          <w:p w14:paraId="05DF867A">
            <w:pPr>
              <w:pStyle w:val="15"/>
              <w:spacing w:before="124" w:line="175" w:lineRule="auto"/>
              <w:ind w:left="588"/>
            </w:pPr>
            <w:r>
              <w:rPr>
                <w:spacing w:val="1"/>
              </w:rPr>
              <w:t>250</w:t>
            </w:r>
          </w:p>
        </w:tc>
        <w:tc>
          <w:tcPr>
            <w:tcW w:w="844" w:type="pct"/>
            <w:tcBorders>
              <w:tl2br w:val="nil"/>
              <w:tr2bl w:val="nil"/>
            </w:tcBorders>
            <w:vAlign w:val="top"/>
          </w:tcPr>
          <w:p w14:paraId="0A2960F0">
            <w:pPr>
              <w:pStyle w:val="15"/>
              <w:spacing w:before="124" w:line="175" w:lineRule="auto"/>
              <w:ind w:left="592"/>
            </w:pPr>
            <w:r>
              <w:rPr>
                <w:spacing w:val="1"/>
              </w:rPr>
              <w:t>300</w:t>
            </w:r>
          </w:p>
        </w:tc>
        <w:tc>
          <w:tcPr>
            <w:tcW w:w="853" w:type="pct"/>
            <w:tcBorders>
              <w:tl2br w:val="nil"/>
              <w:tr2bl w:val="nil"/>
            </w:tcBorders>
            <w:vAlign w:val="top"/>
          </w:tcPr>
          <w:p w14:paraId="7B7CCDF0">
            <w:pPr>
              <w:pStyle w:val="15"/>
              <w:spacing w:before="124" w:line="175" w:lineRule="auto"/>
              <w:ind w:left="596"/>
            </w:pPr>
            <w:r>
              <w:rPr>
                <w:spacing w:val="1"/>
              </w:rPr>
              <w:t>350</w:t>
            </w:r>
          </w:p>
        </w:tc>
      </w:tr>
      <w:tr w14:paraId="02713DD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4" w:hRule="atLeast"/>
        </w:trPr>
        <w:tc>
          <w:tcPr>
            <w:tcW w:w="481" w:type="pct"/>
            <w:vMerge w:val="continue"/>
            <w:tcBorders>
              <w:tl2br w:val="nil"/>
              <w:tr2bl w:val="nil"/>
            </w:tcBorders>
            <w:vAlign w:val="top"/>
          </w:tcPr>
          <w:p w14:paraId="1D92A305">
            <w:pPr>
              <w:rPr>
                <w:rFonts w:ascii="Arial"/>
                <w:sz w:val="21"/>
              </w:rPr>
            </w:pPr>
          </w:p>
        </w:tc>
        <w:tc>
          <w:tcPr>
            <w:tcW w:w="513" w:type="pct"/>
            <w:vMerge w:val="continue"/>
            <w:tcBorders>
              <w:tl2br w:val="nil"/>
              <w:tr2bl w:val="nil"/>
            </w:tcBorders>
            <w:vAlign w:val="top"/>
          </w:tcPr>
          <w:p w14:paraId="7C115A37">
            <w:pPr>
              <w:rPr>
                <w:rFonts w:ascii="Arial"/>
                <w:sz w:val="21"/>
              </w:rPr>
            </w:pPr>
          </w:p>
        </w:tc>
        <w:tc>
          <w:tcPr>
            <w:tcW w:w="617" w:type="pct"/>
            <w:tcBorders>
              <w:tl2br w:val="nil"/>
              <w:tr2bl w:val="nil"/>
            </w:tcBorders>
            <w:vAlign w:val="top"/>
          </w:tcPr>
          <w:p w14:paraId="4408B9B2">
            <w:pPr>
              <w:pStyle w:val="15"/>
              <w:spacing w:before="93" w:line="204" w:lineRule="auto"/>
              <w:ind w:left="326"/>
            </w:pPr>
            <w:r>
              <w:rPr>
                <w:spacing w:val="4"/>
              </w:rPr>
              <w:t>其他</w:t>
            </w:r>
          </w:p>
        </w:tc>
        <w:tc>
          <w:tcPr>
            <w:tcW w:w="844" w:type="pct"/>
            <w:tcBorders>
              <w:tl2br w:val="nil"/>
              <w:tr2bl w:val="nil"/>
            </w:tcBorders>
            <w:vAlign w:val="top"/>
          </w:tcPr>
          <w:p w14:paraId="4E75E972">
            <w:pPr>
              <w:pStyle w:val="15"/>
              <w:spacing w:before="125" w:line="174" w:lineRule="auto"/>
              <w:ind w:left="595"/>
            </w:pPr>
            <w:r>
              <w:rPr>
                <w:spacing w:val="-3"/>
              </w:rPr>
              <w:t>150</w:t>
            </w:r>
          </w:p>
        </w:tc>
        <w:tc>
          <w:tcPr>
            <w:tcW w:w="844" w:type="pct"/>
            <w:tcBorders>
              <w:tl2br w:val="nil"/>
              <w:tr2bl w:val="nil"/>
            </w:tcBorders>
            <w:vAlign w:val="top"/>
          </w:tcPr>
          <w:p w14:paraId="2EE303F5">
            <w:pPr>
              <w:pStyle w:val="15"/>
              <w:spacing w:before="125" w:line="174" w:lineRule="auto"/>
              <w:ind w:left="601"/>
            </w:pPr>
            <w:r>
              <w:rPr>
                <w:spacing w:val="-3"/>
              </w:rPr>
              <w:t>150</w:t>
            </w:r>
          </w:p>
        </w:tc>
        <w:tc>
          <w:tcPr>
            <w:tcW w:w="844" w:type="pct"/>
            <w:tcBorders>
              <w:tl2br w:val="nil"/>
              <w:tr2bl w:val="nil"/>
            </w:tcBorders>
            <w:vAlign w:val="top"/>
          </w:tcPr>
          <w:p w14:paraId="71CB85CB">
            <w:pPr>
              <w:pStyle w:val="15"/>
              <w:spacing w:before="126" w:line="173" w:lineRule="auto"/>
              <w:ind w:left="590"/>
            </w:pPr>
            <w:r>
              <w:rPr>
                <w:spacing w:val="1"/>
              </w:rPr>
              <w:t>200</w:t>
            </w:r>
          </w:p>
        </w:tc>
        <w:tc>
          <w:tcPr>
            <w:tcW w:w="853" w:type="pct"/>
            <w:tcBorders>
              <w:tl2br w:val="nil"/>
              <w:tr2bl w:val="nil"/>
            </w:tcBorders>
            <w:vAlign w:val="top"/>
          </w:tcPr>
          <w:p w14:paraId="37595FDB">
            <w:pPr>
              <w:pStyle w:val="15"/>
              <w:spacing w:before="126" w:line="173" w:lineRule="auto"/>
              <w:ind w:left="594"/>
            </w:pPr>
            <w:r>
              <w:rPr>
                <w:spacing w:val="1"/>
              </w:rPr>
              <w:t>250</w:t>
            </w:r>
          </w:p>
        </w:tc>
      </w:tr>
      <w:tr w14:paraId="40A62FF9">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4" w:hRule="atLeast"/>
        </w:trPr>
        <w:tc>
          <w:tcPr>
            <w:tcW w:w="481" w:type="pct"/>
            <w:vMerge w:val="restart"/>
            <w:tcBorders>
              <w:tl2br w:val="nil"/>
              <w:tr2bl w:val="nil"/>
            </w:tcBorders>
            <w:vAlign w:val="top"/>
          </w:tcPr>
          <w:p w14:paraId="6E286D73">
            <w:pPr>
              <w:pStyle w:val="15"/>
              <w:spacing w:before="293" w:line="189" w:lineRule="auto"/>
              <w:ind w:left="359"/>
            </w:pPr>
            <w:r>
              <w:t>6</w:t>
            </w:r>
          </w:p>
        </w:tc>
        <w:tc>
          <w:tcPr>
            <w:tcW w:w="513" w:type="pct"/>
            <w:vMerge w:val="restart"/>
            <w:tcBorders>
              <w:tl2br w:val="nil"/>
              <w:tr2bl w:val="nil"/>
            </w:tcBorders>
            <w:vAlign w:val="top"/>
          </w:tcPr>
          <w:p w14:paraId="63B0332E">
            <w:pPr>
              <w:pStyle w:val="15"/>
              <w:spacing w:before="261" w:line="229" w:lineRule="auto"/>
              <w:ind w:left="336"/>
            </w:pPr>
            <w:r>
              <w:t>铜</w:t>
            </w:r>
          </w:p>
        </w:tc>
        <w:tc>
          <w:tcPr>
            <w:tcW w:w="617" w:type="pct"/>
            <w:tcBorders>
              <w:tl2br w:val="nil"/>
              <w:tr2bl w:val="nil"/>
            </w:tcBorders>
            <w:vAlign w:val="top"/>
          </w:tcPr>
          <w:p w14:paraId="7A9A608F">
            <w:pPr>
              <w:pStyle w:val="15"/>
              <w:spacing w:before="95" w:line="202" w:lineRule="auto"/>
              <w:ind w:left="329"/>
            </w:pPr>
            <w:r>
              <w:rPr>
                <w:spacing w:val="2"/>
              </w:rPr>
              <w:t>果园</w:t>
            </w:r>
          </w:p>
        </w:tc>
        <w:tc>
          <w:tcPr>
            <w:tcW w:w="844" w:type="pct"/>
            <w:tcBorders>
              <w:tl2br w:val="nil"/>
              <w:tr2bl w:val="nil"/>
            </w:tcBorders>
            <w:vAlign w:val="top"/>
          </w:tcPr>
          <w:p w14:paraId="08660D93">
            <w:pPr>
              <w:pStyle w:val="15"/>
              <w:spacing w:before="127" w:line="172" w:lineRule="auto"/>
              <w:ind w:left="595"/>
            </w:pPr>
            <w:r>
              <w:rPr>
                <w:spacing w:val="-3"/>
              </w:rPr>
              <w:t>150</w:t>
            </w:r>
          </w:p>
        </w:tc>
        <w:tc>
          <w:tcPr>
            <w:tcW w:w="844" w:type="pct"/>
            <w:tcBorders>
              <w:tl2br w:val="nil"/>
              <w:tr2bl w:val="nil"/>
            </w:tcBorders>
            <w:vAlign w:val="top"/>
          </w:tcPr>
          <w:p w14:paraId="52D95758">
            <w:pPr>
              <w:pStyle w:val="15"/>
              <w:spacing w:before="127" w:line="172" w:lineRule="auto"/>
              <w:ind w:left="601"/>
            </w:pPr>
            <w:r>
              <w:rPr>
                <w:spacing w:val="-3"/>
              </w:rPr>
              <w:t>150</w:t>
            </w:r>
          </w:p>
        </w:tc>
        <w:tc>
          <w:tcPr>
            <w:tcW w:w="844" w:type="pct"/>
            <w:tcBorders>
              <w:tl2br w:val="nil"/>
              <w:tr2bl w:val="nil"/>
            </w:tcBorders>
            <w:vAlign w:val="top"/>
          </w:tcPr>
          <w:p w14:paraId="2490D219">
            <w:pPr>
              <w:pStyle w:val="15"/>
              <w:spacing w:before="128" w:line="171" w:lineRule="auto"/>
              <w:ind w:left="590"/>
            </w:pPr>
            <w:r>
              <w:rPr>
                <w:spacing w:val="1"/>
              </w:rPr>
              <w:t>200</w:t>
            </w:r>
          </w:p>
        </w:tc>
        <w:tc>
          <w:tcPr>
            <w:tcW w:w="853" w:type="pct"/>
            <w:tcBorders>
              <w:tl2br w:val="nil"/>
              <w:tr2bl w:val="nil"/>
            </w:tcBorders>
            <w:vAlign w:val="top"/>
          </w:tcPr>
          <w:p w14:paraId="60735612">
            <w:pPr>
              <w:pStyle w:val="15"/>
              <w:spacing w:before="128" w:line="171" w:lineRule="auto"/>
              <w:ind w:left="594"/>
            </w:pPr>
            <w:r>
              <w:rPr>
                <w:spacing w:val="1"/>
              </w:rPr>
              <w:t>200</w:t>
            </w:r>
          </w:p>
        </w:tc>
      </w:tr>
      <w:tr w14:paraId="6BFDBFAA">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4" w:hRule="atLeast"/>
        </w:trPr>
        <w:tc>
          <w:tcPr>
            <w:tcW w:w="481" w:type="pct"/>
            <w:vMerge w:val="continue"/>
            <w:tcBorders>
              <w:tl2br w:val="nil"/>
              <w:tr2bl w:val="nil"/>
            </w:tcBorders>
            <w:vAlign w:val="top"/>
          </w:tcPr>
          <w:p w14:paraId="1F795213">
            <w:pPr>
              <w:rPr>
                <w:rFonts w:ascii="Arial"/>
                <w:sz w:val="21"/>
              </w:rPr>
            </w:pPr>
          </w:p>
        </w:tc>
        <w:tc>
          <w:tcPr>
            <w:tcW w:w="513" w:type="pct"/>
            <w:vMerge w:val="continue"/>
            <w:tcBorders>
              <w:tl2br w:val="nil"/>
              <w:tr2bl w:val="nil"/>
            </w:tcBorders>
            <w:vAlign w:val="top"/>
          </w:tcPr>
          <w:p w14:paraId="4398194B">
            <w:pPr>
              <w:rPr>
                <w:rFonts w:ascii="Arial"/>
                <w:sz w:val="21"/>
              </w:rPr>
            </w:pPr>
          </w:p>
        </w:tc>
        <w:tc>
          <w:tcPr>
            <w:tcW w:w="617" w:type="pct"/>
            <w:tcBorders>
              <w:tl2br w:val="nil"/>
              <w:tr2bl w:val="nil"/>
            </w:tcBorders>
            <w:vAlign w:val="top"/>
          </w:tcPr>
          <w:p w14:paraId="265B2270">
            <w:pPr>
              <w:pStyle w:val="15"/>
              <w:spacing w:before="95" w:line="202" w:lineRule="auto"/>
              <w:ind w:left="326"/>
            </w:pPr>
            <w:r>
              <w:rPr>
                <w:spacing w:val="4"/>
              </w:rPr>
              <w:t>其他</w:t>
            </w:r>
          </w:p>
        </w:tc>
        <w:tc>
          <w:tcPr>
            <w:tcW w:w="844" w:type="pct"/>
            <w:tcBorders>
              <w:tl2br w:val="nil"/>
              <w:tr2bl w:val="nil"/>
            </w:tcBorders>
            <w:vAlign w:val="top"/>
          </w:tcPr>
          <w:p w14:paraId="60AC1200">
            <w:pPr>
              <w:pStyle w:val="15"/>
              <w:spacing w:before="127" w:line="172" w:lineRule="auto"/>
              <w:ind w:left="637"/>
            </w:pPr>
            <w:r>
              <w:rPr>
                <w:spacing w:val="-2"/>
              </w:rPr>
              <w:t>50</w:t>
            </w:r>
          </w:p>
        </w:tc>
        <w:tc>
          <w:tcPr>
            <w:tcW w:w="844" w:type="pct"/>
            <w:tcBorders>
              <w:tl2br w:val="nil"/>
              <w:tr2bl w:val="nil"/>
            </w:tcBorders>
            <w:vAlign w:val="top"/>
          </w:tcPr>
          <w:p w14:paraId="354B0A1F">
            <w:pPr>
              <w:pStyle w:val="15"/>
              <w:spacing w:before="127" w:line="172" w:lineRule="auto"/>
              <w:ind w:left="642"/>
            </w:pPr>
            <w:r>
              <w:rPr>
                <w:spacing w:val="-2"/>
              </w:rPr>
              <w:t>50</w:t>
            </w:r>
          </w:p>
        </w:tc>
        <w:tc>
          <w:tcPr>
            <w:tcW w:w="844" w:type="pct"/>
            <w:tcBorders>
              <w:tl2br w:val="nil"/>
              <w:tr2bl w:val="nil"/>
            </w:tcBorders>
            <w:vAlign w:val="top"/>
          </w:tcPr>
          <w:p w14:paraId="07DD71DD">
            <w:pPr>
              <w:pStyle w:val="15"/>
              <w:spacing w:before="127" w:line="172" w:lineRule="auto"/>
              <w:ind w:left="603"/>
            </w:pPr>
            <w:r>
              <w:rPr>
                <w:spacing w:val="-3"/>
              </w:rPr>
              <w:t>100</w:t>
            </w:r>
          </w:p>
        </w:tc>
        <w:tc>
          <w:tcPr>
            <w:tcW w:w="853" w:type="pct"/>
            <w:tcBorders>
              <w:tl2br w:val="nil"/>
              <w:tr2bl w:val="nil"/>
            </w:tcBorders>
            <w:vAlign w:val="top"/>
          </w:tcPr>
          <w:p w14:paraId="74EA2404">
            <w:pPr>
              <w:pStyle w:val="15"/>
              <w:spacing w:before="127" w:line="172" w:lineRule="auto"/>
              <w:ind w:left="607"/>
            </w:pPr>
            <w:r>
              <w:rPr>
                <w:spacing w:val="-3"/>
              </w:rPr>
              <w:t>100</w:t>
            </w:r>
          </w:p>
        </w:tc>
      </w:tr>
      <w:tr w14:paraId="2A6AD4D1">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4" w:hRule="atLeast"/>
        </w:trPr>
        <w:tc>
          <w:tcPr>
            <w:tcW w:w="481" w:type="pct"/>
            <w:tcBorders>
              <w:tl2br w:val="nil"/>
              <w:tr2bl w:val="nil"/>
            </w:tcBorders>
            <w:vAlign w:val="top"/>
          </w:tcPr>
          <w:p w14:paraId="5420EE39">
            <w:pPr>
              <w:pStyle w:val="15"/>
              <w:spacing w:before="132" w:line="168" w:lineRule="auto"/>
              <w:ind w:left="363"/>
            </w:pPr>
            <w:r>
              <w:t>7</w:t>
            </w:r>
          </w:p>
        </w:tc>
        <w:tc>
          <w:tcPr>
            <w:tcW w:w="1131" w:type="pct"/>
            <w:gridSpan w:val="2"/>
            <w:tcBorders>
              <w:tl2br w:val="nil"/>
              <w:tr2bl w:val="nil"/>
            </w:tcBorders>
            <w:vAlign w:val="top"/>
          </w:tcPr>
          <w:p w14:paraId="0C5A82E0">
            <w:pPr>
              <w:pStyle w:val="15"/>
              <w:spacing w:before="97" w:line="200" w:lineRule="auto"/>
              <w:ind w:left="876"/>
            </w:pPr>
            <w:r>
              <w:rPr>
                <w:spacing w:val="1"/>
              </w:rPr>
              <w:t>镍</w:t>
            </w:r>
          </w:p>
        </w:tc>
        <w:tc>
          <w:tcPr>
            <w:tcW w:w="844" w:type="pct"/>
            <w:tcBorders>
              <w:tl2br w:val="nil"/>
              <w:tr2bl w:val="nil"/>
            </w:tcBorders>
            <w:vAlign w:val="top"/>
          </w:tcPr>
          <w:p w14:paraId="3F25C0FD">
            <w:pPr>
              <w:pStyle w:val="15"/>
              <w:spacing w:before="129" w:line="170" w:lineRule="auto"/>
              <w:ind w:left="634"/>
            </w:pPr>
            <w:r>
              <w:t>60</w:t>
            </w:r>
          </w:p>
        </w:tc>
        <w:tc>
          <w:tcPr>
            <w:tcW w:w="844" w:type="pct"/>
            <w:tcBorders>
              <w:tl2br w:val="nil"/>
              <w:tr2bl w:val="nil"/>
            </w:tcBorders>
            <w:vAlign w:val="top"/>
          </w:tcPr>
          <w:p w14:paraId="4F6216E7">
            <w:pPr>
              <w:pStyle w:val="15"/>
              <w:spacing w:before="129" w:line="170" w:lineRule="auto"/>
              <w:ind w:left="643"/>
            </w:pPr>
            <w:r>
              <w:rPr>
                <w:spacing w:val="-2"/>
              </w:rPr>
              <w:t>70</w:t>
            </w:r>
          </w:p>
        </w:tc>
        <w:tc>
          <w:tcPr>
            <w:tcW w:w="844" w:type="pct"/>
            <w:tcBorders>
              <w:tl2br w:val="nil"/>
              <w:tr2bl w:val="nil"/>
            </w:tcBorders>
            <w:vAlign w:val="top"/>
          </w:tcPr>
          <w:p w14:paraId="0E2843F0">
            <w:pPr>
              <w:pStyle w:val="15"/>
              <w:spacing w:before="128" w:line="171" w:lineRule="auto"/>
              <w:ind w:left="603"/>
            </w:pPr>
            <w:r>
              <w:rPr>
                <w:spacing w:val="-3"/>
              </w:rPr>
              <w:t>100</w:t>
            </w:r>
          </w:p>
        </w:tc>
        <w:tc>
          <w:tcPr>
            <w:tcW w:w="853" w:type="pct"/>
            <w:tcBorders>
              <w:tl2br w:val="nil"/>
              <w:tr2bl w:val="nil"/>
            </w:tcBorders>
            <w:vAlign w:val="top"/>
          </w:tcPr>
          <w:p w14:paraId="65EF2E87">
            <w:pPr>
              <w:pStyle w:val="15"/>
              <w:spacing w:before="128" w:line="171" w:lineRule="auto"/>
              <w:ind w:left="607"/>
            </w:pPr>
            <w:r>
              <w:rPr>
                <w:spacing w:val="-3"/>
              </w:rPr>
              <w:t>190</w:t>
            </w:r>
          </w:p>
        </w:tc>
      </w:tr>
      <w:tr w14:paraId="5514A1CC">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5" w:hRule="atLeast"/>
        </w:trPr>
        <w:tc>
          <w:tcPr>
            <w:tcW w:w="481" w:type="pct"/>
            <w:tcBorders>
              <w:tl2br w:val="nil"/>
              <w:tr2bl w:val="nil"/>
            </w:tcBorders>
            <w:vAlign w:val="top"/>
          </w:tcPr>
          <w:p w14:paraId="23386926">
            <w:pPr>
              <w:pStyle w:val="15"/>
              <w:spacing w:before="129" w:line="189" w:lineRule="auto"/>
              <w:ind w:left="358"/>
            </w:pPr>
            <w:r>
              <w:t>8</w:t>
            </w:r>
          </w:p>
        </w:tc>
        <w:tc>
          <w:tcPr>
            <w:tcW w:w="1131" w:type="pct"/>
            <w:gridSpan w:val="2"/>
            <w:tcBorders>
              <w:tl2br w:val="nil"/>
              <w:tr2bl w:val="nil"/>
            </w:tcBorders>
            <w:vAlign w:val="top"/>
          </w:tcPr>
          <w:p w14:paraId="7BF77FBA">
            <w:pPr>
              <w:pStyle w:val="15"/>
              <w:spacing w:before="96" w:line="220" w:lineRule="auto"/>
              <w:ind w:left="876"/>
            </w:pPr>
            <w:r>
              <w:rPr>
                <w:spacing w:val="1"/>
              </w:rPr>
              <w:t>锌</w:t>
            </w:r>
          </w:p>
        </w:tc>
        <w:tc>
          <w:tcPr>
            <w:tcW w:w="844" w:type="pct"/>
            <w:tcBorders>
              <w:tl2br w:val="nil"/>
              <w:tr2bl w:val="nil"/>
            </w:tcBorders>
            <w:vAlign w:val="top"/>
          </w:tcPr>
          <w:p w14:paraId="7217B625">
            <w:pPr>
              <w:pStyle w:val="15"/>
              <w:spacing w:before="129" w:line="189" w:lineRule="auto"/>
              <w:ind w:left="582"/>
            </w:pPr>
            <w:r>
              <w:rPr>
                <w:spacing w:val="1"/>
              </w:rPr>
              <w:t>200</w:t>
            </w:r>
          </w:p>
        </w:tc>
        <w:tc>
          <w:tcPr>
            <w:tcW w:w="844" w:type="pct"/>
            <w:tcBorders>
              <w:tl2br w:val="nil"/>
              <w:tr2bl w:val="nil"/>
            </w:tcBorders>
            <w:vAlign w:val="top"/>
          </w:tcPr>
          <w:p w14:paraId="50756A77">
            <w:pPr>
              <w:pStyle w:val="15"/>
              <w:spacing w:before="129" w:line="189" w:lineRule="auto"/>
              <w:ind w:left="588"/>
            </w:pPr>
            <w:r>
              <w:rPr>
                <w:spacing w:val="1"/>
              </w:rPr>
              <w:t>200</w:t>
            </w:r>
          </w:p>
        </w:tc>
        <w:tc>
          <w:tcPr>
            <w:tcW w:w="844" w:type="pct"/>
            <w:tcBorders>
              <w:tl2br w:val="nil"/>
              <w:tr2bl w:val="nil"/>
            </w:tcBorders>
            <w:vAlign w:val="top"/>
          </w:tcPr>
          <w:p w14:paraId="770DE868">
            <w:pPr>
              <w:pStyle w:val="15"/>
              <w:spacing w:before="129" w:line="189" w:lineRule="auto"/>
              <w:ind w:left="590"/>
            </w:pPr>
            <w:r>
              <w:rPr>
                <w:spacing w:val="1"/>
              </w:rPr>
              <w:t>250</w:t>
            </w:r>
          </w:p>
        </w:tc>
        <w:tc>
          <w:tcPr>
            <w:tcW w:w="853" w:type="pct"/>
            <w:tcBorders>
              <w:tl2br w:val="nil"/>
              <w:tr2bl w:val="nil"/>
            </w:tcBorders>
            <w:vAlign w:val="top"/>
          </w:tcPr>
          <w:p w14:paraId="10FC21BB">
            <w:pPr>
              <w:pStyle w:val="15"/>
              <w:spacing w:before="129" w:line="189" w:lineRule="auto"/>
              <w:ind w:left="596"/>
            </w:pPr>
            <w:r>
              <w:rPr>
                <w:spacing w:val="1"/>
              </w:rPr>
              <w:t>300</w:t>
            </w:r>
          </w:p>
        </w:tc>
      </w:tr>
    </w:tbl>
    <w:p w14:paraId="5C2DE54B">
      <w:pPr>
        <w:pStyle w:val="3"/>
        <w:spacing w:line="269" w:lineRule="auto"/>
      </w:pPr>
    </w:p>
    <w:p w14:paraId="4A1702C0">
      <w:pPr>
        <w:spacing w:before="78" w:line="212"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2-3-7</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土壤盐化分</w:t>
      </w:r>
      <w:r>
        <w:rPr>
          <w:rFonts w:ascii="宋体" w:hAnsi="宋体" w:eastAsia="宋体" w:cs="宋体"/>
          <w:spacing w:val="-1"/>
          <w:sz w:val="24"/>
          <w:szCs w:val="24"/>
          <w14:textOutline w14:w="4358" w14:cap="sq" w14:cmpd="sng">
            <w14:solidFill>
              <w14:srgbClr w14:val="000000"/>
            </w14:solidFill>
            <w14:prstDash w14:val="solid"/>
            <w14:bevel/>
          </w14:textOutline>
        </w:rPr>
        <w:t>级标准</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3022"/>
        <w:gridCol w:w="3057"/>
        <w:gridCol w:w="3074"/>
      </w:tblGrid>
      <w:tr w14:paraId="1FC34B94">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0" w:hRule="atLeast"/>
        </w:trPr>
        <w:tc>
          <w:tcPr>
            <w:tcW w:w="1651" w:type="pct"/>
            <w:vMerge w:val="restart"/>
            <w:tcBorders>
              <w:tl2br w:val="nil"/>
              <w:tr2bl w:val="nil"/>
            </w:tcBorders>
            <w:vAlign w:val="top"/>
          </w:tcPr>
          <w:p w14:paraId="561A2261">
            <w:pPr>
              <w:pStyle w:val="15"/>
              <w:spacing w:before="177" w:line="228" w:lineRule="auto"/>
              <w:ind w:left="1320"/>
            </w:pPr>
            <w:r>
              <w:rPr>
                <w:spacing w:val="3"/>
              </w:rPr>
              <w:t>分级</w:t>
            </w:r>
          </w:p>
        </w:tc>
        <w:tc>
          <w:tcPr>
            <w:tcW w:w="3348" w:type="pct"/>
            <w:gridSpan w:val="2"/>
            <w:tcBorders>
              <w:tl2br w:val="nil"/>
              <w:tr2bl w:val="nil"/>
            </w:tcBorders>
            <w:vAlign w:val="top"/>
          </w:tcPr>
          <w:p w14:paraId="552C2F27">
            <w:pPr>
              <w:pStyle w:val="15"/>
              <w:spacing w:before="36" w:line="216" w:lineRule="auto"/>
              <w:ind w:left="1955"/>
            </w:pPr>
            <w:r>
              <w:rPr>
                <w:spacing w:val="8"/>
              </w:rPr>
              <w:t>土壤含盐量(</w:t>
            </w:r>
            <w:r>
              <w:t>SSC</w:t>
            </w:r>
            <w:r>
              <w:rPr>
                <w:spacing w:val="8"/>
              </w:rPr>
              <w:t>)/(g/</w:t>
            </w:r>
            <w:r>
              <w:t>kg</w:t>
            </w:r>
            <w:r>
              <w:rPr>
                <w:spacing w:val="8"/>
              </w:rPr>
              <w:t>)</w:t>
            </w:r>
          </w:p>
        </w:tc>
      </w:tr>
      <w:tr w14:paraId="57F71AB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4" w:hRule="atLeast"/>
        </w:trPr>
        <w:tc>
          <w:tcPr>
            <w:tcW w:w="1651" w:type="pct"/>
            <w:vMerge w:val="continue"/>
            <w:tcBorders>
              <w:tl2br w:val="nil"/>
              <w:tr2bl w:val="nil"/>
            </w:tcBorders>
            <w:vAlign w:val="top"/>
          </w:tcPr>
          <w:p w14:paraId="2AEB8D7D">
            <w:pPr>
              <w:rPr>
                <w:rFonts w:ascii="Arial"/>
                <w:sz w:val="21"/>
              </w:rPr>
            </w:pPr>
          </w:p>
        </w:tc>
        <w:tc>
          <w:tcPr>
            <w:tcW w:w="1670" w:type="pct"/>
            <w:tcBorders>
              <w:tl2br w:val="nil"/>
              <w:tr2bl w:val="nil"/>
            </w:tcBorders>
            <w:vAlign w:val="top"/>
          </w:tcPr>
          <w:p w14:paraId="1A5954DD">
            <w:pPr>
              <w:pStyle w:val="15"/>
              <w:spacing w:before="33" w:line="213" w:lineRule="auto"/>
              <w:ind w:left="293"/>
            </w:pPr>
            <w:r>
              <w:rPr>
                <w:spacing w:val="9"/>
              </w:rPr>
              <w:t>滨海、半湿润和半干旱地区</w:t>
            </w:r>
          </w:p>
        </w:tc>
        <w:tc>
          <w:tcPr>
            <w:tcW w:w="1677" w:type="pct"/>
            <w:tcBorders>
              <w:tl2br w:val="nil"/>
              <w:tr2bl w:val="nil"/>
            </w:tcBorders>
            <w:vAlign w:val="top"/>
          </w:tcPr>
          <w:p w14:paraId="0A812AAA">
            <w:pPr>
              <w:pStyle w:val="15"/>
              <w:spacing w:before="33" w:line="213" w:lineRule="auto"/>
              <w:ind w:left="407"/>
            </w:pPr>
            <w:r>
              <w:rPr>
                <w:spacing w:val="9"/>
              </w:rPr>
              <w:t>干旱、半荒漠和荒漠地区</w:t>
            </w:r>
          </w:p>
        </w:tc>
      </w:tr>
      <w:tr w14:paraId="060C4182">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5" w:hRule="atLeast"/>
        </w:trPr>
        <w:tc>
          <w:tcPr>
            <w:tcW w:w="1651" w:type="pct"/>
            <w:tcBorders>
              <w:tl2br w:val="nil"/>
              <w:tr2bl w:val="nil"/>
            </w:tcBorders>
            <w:vAlign w:val="top"/>
          </w:tcPr>
          <w:p w14:paraId="58B63601">
            <w:pPr>
              <w:pStyle w:val="15"/>
              <w:spacing w:before="35" w:line="212" w:lineRule="auto"/>
              <w:ind w:left="1215"/>
            </w:pPr>
            <w:r>
              <w:rPr>
                <w:spacing w:val="5"/>
              </w:rPr>
              <w:t>未盐化</w:t>
            </w:r>
          </w:p>
        </w:tc>
        <w:tc>
          <w:tcPr>
            <w:tcW w:w="1670" w:type="pct"/>
            <w:tcBorders>
              <w:tl2br w:val="nil"/>
              <w:tr2bl w:val="nil"/>
            </w:tcBorders>
            <w:vAlign w:val="top"/>
          </w:tcPr>
          <w:p w14:paraId="7E4F667C">
            <w:pPr>
              <w:pStyle w:val="15"/>
              <w:spacing w:before="35" w:line="212" w:lineRule="auto"/>
              <w:ind w:left="1240"/>
            </w:pPr>
            <w:r>
              <w:t>SSC</w:t>
            </w:r>
            <w:r>
              <w:rPr>
                <w:spacing w:val="10"/>
              </w:rPr>
              <w:t>＜1</w:t>
            </w:r>
          </w:p>
        </w:tc>
        <w:tc>
          <w:tcPr>
            <w:tcW w:w="1677" w:type="pct"/>
            <w:tcBorders>
              <w:tl2br w:val="nil"/>
              <w:tr2bl w:val="nil"/>
            </w:tcBorders>
            <w:vAlign w:val="top"/>
          </w:tcPr>
          <w:p w14:paraId="6661A960">
            <w:pPr>
              <w:pStyle w:val="15"/>
              <w:spacing w:before="35" w:line="212" w:lineRule="auto"/>
              <w:ind w:left="1249"/>
            </w:pPr>
            <w:r>
              <w:t>SSC</w:t>
            </w:r>
            <w:r>
              <w:rPr>
                <w:spacing w:val="10"/>
              </w:rPr>
              <w:t>＜2</w:t>
            </w:r>
          </w:p>
        </w:tc>
      </w:tr>
      <w:tr w14:paraId="1C197F30">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4" w:hRule="atLeast"/>
        </w:trPr>
        <w:tc>
          <w:tcPr>
            <w:tcW w:w="1651" w:type="pct"/>
            <w:tcBorders>
              <w:tl2br w:val="nil"/>
              <w:tr2bl w:val="nil"/>
            </w:tcBorders>
            <w:vAlign w:val="top"/>
          </w:tcPr>
          <w:p w14:paraId="196ED393">
            <w:pPr>
              <w:pStyle w:val="15"/>
              <w:spacing w:before="38" w:line="208" w:lineRule="auto"/>
              <w:ind w:left="1109"/>
            </w:pPr>
            <w:r>
              <w:rPr>
                <w:spacing w:val="7"/>
              </w:rPr>
              <w:t>轻度盐化</w:t>
            </w:r>
          </w:p>
        </w:tc>
        <w:tc>
          <w:tcPr>
            <w:tcW w:w="1670" w:type="pct"/>
            <w:tcBorders>
              <w:tl2br w:val="nil"/>
              <w:tr2bl w:val="nil"/>
            </w:tcBorders>
            <w:vAlign w:val="top"/>
          </w:tcPr>
          <w:p w14:paraId="6B63BB2C">
            <w:pPr>
              <w:pStyle w:val="15"/>
              <w:spacing w:before="38" w:line="208" w:lineRule="auto"/>
              <w:ind w:left="1099"/>
            </w:pPr>
            <w:r>
              <w:rPr>
                <w:spacing w:val="5"/>
              </w:rPr>
              <w:t>1≤</w:t>
            </w:r>
            <w:r>
              <w:t>SSC</w:t>
            </w:r>
            <w:r>
              <w:rPr>
                <w:spacing w:val="5"/>
              </w:rPr>
              <w:t>＜2</w:t>
            </w:r>
          </w:p>
        </w:tc>
        <w:tc>
          <w:tcPr>
            <w:tcW w:w="1677" w:type="pct"/>
            <w:tcBorders>
              <w:tl2br w:val="nil"/>
              <w:tr2bl w:val="nil"/>
            </w:tcBorders>
            <w:vAlign w:val="top"/>
          </w:tcPr>
          <w:p w14:paraId="702DC8E7">
            <w:pPr>
              <w:pStyle w:val="15"/>
              <w:spacing w:before="38" w:line="208" w:lineRule="auto"/>
              <w:ind w:left="1092"/>
            </w:pPr>
            <w:r>
              <w:rPr>
                <w:spacing w:val="8"/>
              </w:rPr>
              <w:t>2≤</w:t>
            </w:r>
            <w:r>
              <w:t>SSC</w:t>
            </w:r>
            <w:r>
              <w:rPr>
                <w:spacing w:val="8"/>
              </w:rPr>
              <w:t>＜3</w:t>
            </w:r>
          </w:p>
        </w:tc>
      </w:tr>
      <w:tr w14:paraId="0FE2A707">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4" w:hRule="atLeast"/>
        </w:trPr>
        <w:tc>
          <w:tcPr>
            <w:tcW w:w="1651" w:type="pct"/>
            <w:tcBorders>
              <w:tl2br w:val="nil"/>
              <w:tr2bl w:val="nil"/>
            </w:tcBorders>
            <w:vAlign w:val="top"/>
          </w:tcPr>
          <w:p w14:paraId="73329885">
            <w:pPr>
              <w:pStyle w:val="15"/>
              <w:spacing w:before="41" w:line="205" w:lineRule="auto"/>
              <w:ind w:left="1128"/>
            </w:pPr>
            <w:r>
              <w:rPr>
                <w:spacing w:val="2"/>
              </w:rPr>
              <w:t>中度盐化</w:t>
            </w:r>
          </w:p>
        </w:tc>
        <w:tc>
          <w:tcPr>
            <w:tcW w:w="1670" w:type="pct"/>
            <w:tcBorders>
              <w:tl2br w:val="nil"/>
              <w:tr2bl w:val="nil"/>
            </w:tcBorders>
            <w:vAlign w:val="top"/>
          </w:tcPr>
          <w:p w14:paraId="197D3C46">
            <w:pPr>
              <w:pStyle w:val="15"/>
              <w:spacing w:before="41" w:line="205" w:lineRule="auto"/>
              <w:ind w:left="1086"/>
            </w:pPr>
            <w:r>
              <w:rPr>
                <w:spacing w:val="8"/>
              </w:rPr>
              <w:t>2≤</w:t>
            </w:r>
            <w:r>
              <w:t>SSC</w:t>
            </w:r>
            <w:r>
              <w:rPr>
                <w:spacing w:val="8"/>
              </w:rPr>
              <w:t>＜4</w:t>
            </w:r>
          </w:p>
        </w:tc>
        <w:tc>
          <w:tcPr>
            <w:tcW w:w="1677" w:type="pct"/>
            <w:tcBorders>
              <w:tl2br w:val="nil"/>
              <w:tr2bl w:val="nil"/>
            </w:tcBorders>
            <w:vAlign w:val="top"/>
          </w:tcPr>
          <w:p w14:paraId="32CFC8CD">
            <w:pPr>
              <w:pStyle w:val="15"/>
              <w:spacing w:before="41" w:line="205" w:lineRule="auto"/>
              <w:ind w:left="1094"/>
            </w:pPr>
            <w:r>
              <w:rPr>
                <w:spacing w:val="8"/>
              </w:rPr>
              <w:t>3≤</w:t>
            </w:r>
            <w:r>
              <w:t>SSC</w:t>
            </w:r>
            <w:r>
              <w:rPr>
                <w:spacing w:val="8"/>
              </w:rPr>
              <w:t>＜5</w:t>
            </w:r>
          </w:p>
        </w:tc>
      </w:tr>
      <w:tr w14:paraId="4D501223">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5" w:hRule="atLeast"/>
        </w:trPr>
        <w:tc>
          <w:tcPr>
            <w:tcW w:w="1651" w:type="pct"/>
            <w:tcBorders>
              <w:tl2br w:val="nil"/>
              <w:tr2bl w:val="nil"/>
            </w:tcBorders>
            <w:vAlign w:val="top"/>
          </w:tcPr>
          <w:p w14:paraId="244C3140">
            <w:pPr>
              <w:pStyle w:val="15"/>
              <w:spacing w:before="46" w:line="202" w:lineRule="auto"/>
              <w:ind w:left="1109"/>
            </w:pPr>
            <w:r>
              <w:rPr>
                <w:spacing w:val="7"/>
              </w:rPr>
              <w:t>重度盐化</w:t>
            </w:r>
          </w:p>
        </w:tc>
        <w:tc>
          <w:tcPr>
            <w:tcW w:w="1670" w:type="pct"/>
            <w:tcBorders>
              <w:tl2br w:val="nil"/>
              <w:tr2bl w:val="nil"/>
            </w:tcBorders>
            <w:vAlign w:val="top"/>
          </w:tcPr>
          <w:p w14:paraId="172E9E04">
            <w:pPr>
              <w:pStyle w:val="15"/>
              <w:spacing w:before="46" w:line="202" w:lineRule="auto"/>
              <w:ind w:left="1082"/>
            </w:pPr>
            <w:r>
              <w:rPr>
                <w:spacing w:val="9"/>
              </w:rPr>
              <w:t>4≤</w:t>
            </w:r>
            <w:r>
              <w:t>SSC</w:t>
            </w:r>
            <w:r>
              <w:rPr>
                <w:spacing w:val="9"/>
              </w:rPr>
              <w:t>＜6</w:t>
            </w:r>
          </w:p>
        </w:tc>
        <w:tc>
          <w:tcPr>
            <w:tcW w:w="1677" w:type="pct"/>
            <w:tcBorders>
              <w:tl2br w:val="nil"/>
              <w:tr2bl w:val="nil"/>
            </w:tcBorders>
            <w:vAlign w:val="top"/>
          </w:tcPr>
          <w:p w14:paraId="3427167A">
            <w:pPr>
              <w:pStyle w:val="15"/>
              <w:spacing w:before="46" w:line="202" w:lineRule="auto"/>
              <w:ind w:left="1041"/>
            </w:pPr>
            <w:r>
              <w:rPr>
                <w:spacing w:val="7"/>
              </w:rPr>
              <w:t>5≤</w:t>
            </w:r>
            <w:r>
              <w:t>SSC</w:t>
            </w:r>
            <w:r>
              <w:rPr>
                <w:spacing w:val="7"/>
              </w:rPr>
              <w:t>＜10</w:t>
            </w:r>
          </w:p>
        </w:tc>
      </w:tr>
      <w:tr w14:paraId="7C4011BB">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4" w:hRule="atLeast"/>
        </w:trPr>
        <w:tc>
          <w:tcPr>
            <w:tcW w:w="1651" w:type="pct"/>
            <w:tcBorders>
              <w:tl2br w:val="nil"/>
              <w:tr2bl w:val="nil"/>
            </w:tcBorders>
            <w:vAlign w:val="top"/>
          </w:tcPr>
          <w:p w14:paraId="01DA57B0">
            <w:pPr>
              <w:pStyle w:val="15"/>
              <w:spacing w:before="47" w:line="200" w:lineRule="auto"/>
              <w:ind w:left="1006"/>
            </w:pPr>
            <w:r>
              <w:rPr>
                <w:spacing w:val="7"/>
              </w:rPr>
              <w:t>极重度盐化</w:t>
            </w:r>
          </w:p>
        </w:tc>
        <w:tc>
          <w:tcPr>
            <w:tcW w:w="1670" w:type="pct"/>
            <w:tcBorders>
              <w:tl2br w:val="nil"/>
              <w:tr2bl w:val="nil"/>
            </w:tcBorders>
            <w:vAlign w:val="top"/>
          </w:tcPr>
          <w:p w14:paraId="5D996668">
            <w:pPr>
              <w:pStyle w:val="15"/>
              <w:spacing w:before="47" w:line="200" w:lineRule="auto"/>
              <w:ind w:left="1240"/>
            </w:pPr>
            <w:r>
              <w:t>SSC</w:t>
            </w:r>
            <w:r>
              <w:rPr>
                <w:spacing w:val="10"/>
              </w:rPr>
              <w:t>≥6</w:t>
            </w:r>
          </w:p>
        </w:tc>
        <w:tc>
          <w:tcPr>
            <w:tcW w:w="1677" w:type="pct"/>
            <w:tcBorders>
              <w:tl2br w:val="nil"/>
              <w:tr2bl w:val="nil"/>
            </w:tcBorders>
            <w:vAlign w:val="top"/>
          </w:tcPr>
          <w:p w14:paraId="74B2012E">
            <w:pPr>
              <w:pStyle w:val="15"/>
              <w:spacing w:before="47" w:line="200" w:lineRule="auto"/>
              <w:ind w:left="1196"/>
            </w:pPr>
            <w:r>
              <w:t>SSC</w:t>
            </w:r>
            <w:r>
              <w:rPr>
                <w:spacing w:val="8"/>
              </w:rPr>
              <w:t>≥10</w:t>
            </w:r>
          </w:p>
        </w:tc>
      </w:tr>
      <w:tr w14:paraId="15610D32">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96" w:hRule="atLeast"/>
        </w:trPr>
        <w:tc>
          <w:tcPr>
            <w:tcW w:w="5000" w:type="pct"/>
            <w:gridSpan w:val="3"/>
            <w:tcBorders>
              <w:tl2br w:val="nil"/>
              <w:tr2bl w:val="nil"/>
            </w:tcBorders>
            <w:vAlign w:val="top"/>
          </w:tcPr>
          <w:p w14:paraId="5EF9725A">
            <w:pPr>
              <w:pStyle w:val="15"/>
              <w:spacing w:before="50" w:line="217" w:lineRule="auto"/>
              <w:ind w:left="105"/>
            </w:pPr>
            <w:r>
              <w:rPr>
                <w:spacing w:val="8"/>
              </w:rPr>
              <w:t>注：根据区域自然背景状况适当调整。</w:t>
            </w:r>
          </w:p>
        </w:tc>
      </w:tr>
    </w:tbl>
    <w:p w14:paraId="51AB8F05">
      <w:pPr>
        <w:pStyle w:val="3"/>
        <w:spacing w:line="456" w:lineRule="auto"/>
      </w:pPr>
    </w:p>
    <w:p w14:paraId="5DE5D4A4">
      <w:pPr>
        <w:spacing w:before="78" w:line="212"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2-3-8</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土壤酸化、碱化分</w:t>
      </w:r>
      <w:r>
        <w:rPr>
          <w:rFonts w:ascii="宋体" w:hAnsi="宋体" w:eastAsia="宋体" w:cs="宋体"/>
          <w:spacing w:val="-1"/>
          <w:sz w:val="24"/>
          <w:szCs w:val="24"/>
          <w14:textOutline w14:w="4358" w14:cap="sq" w14:cmpd="sng">
            <w14:solidFill>
              <w14:srgbClr w14:val="000000"/>
            </w14:solidFill>
            <w14:prstDash w14:val="solid"/>
            <w14:bevel/>
          </w14:textOutline>
        </w:rPr>
        <w:t>级标准</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564"/>
        <w:gridCol w:w="4589"/>
      </w:tblGrid>
      <w:tr w14:paraId="6FCCBD97">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493" w:type="pct"/>
            <w:tcBorders>
              <w:tl2br w:val="nil"/>
              <w:tr2bl w:val="nil"/>
            </w:tcBorders>
            <w:vAlign w:val="top"/>
          </w:tcPr>
          <w:p w14:paraId="7AE390E4">
            <w:pPr>
              <w:pStyle w:val="15"/>
              <w:spacing w:before="35" w:line="218" w:lineRule="auto"/>
              <w:ind w:left="1841"/>
            </w:pPr>
            <w:r>
              <w:rPr>
                <w:spacing w:val="24"/>
              </w:rPr>
              <w:t>土壤</w:t>
            </w:r>
            <w:r>
              <w:t>pH</w:t>
            </w:r>
            <w:r>
              <w:rPr>
                <w:spacing w:val="-38"/>
              </w:rPr>
              <w:t xml:space="preserve"> </w:t>
            </w:r>
            <w:r>
              <w:rPr>
                <w:spacing w:val="24"/>
              </w:rPr>
              <w:t>值</w:t>
            </w:r>
          </w:p>
        </w:tc>
        <w:tc>
          <w:tcPr>
            <w:tcW w:w="2506" w:type="pct"/>
            <w:tcBorders>
              <w:tl2br w:val="nil"/>
              <w:tr2bl w:val="nil"/>
            </w:tcBorders>
            <w:vAlign w:val="top"/>
          </w:tcPr>
          <w:p w14:paraId="68D71D44">
            <w:pPr>
              <w:pStyle w:val="15"/>
              <w:spacing w:before="35" w:line="218" w:lineRule="auto"/>
              <w:ind w:left="1385"/>
            </w:pPr>
            <w:r>
              <w:rPr>
                <w:spacing w:val="8"/>
              </w:rPr>
              <w:t>土壤酸化、碱化强度</w:t>
            </w:r>
          </w:p>
        </w:tc>
      </w:tr>
      <w:tr w14:paraId="73D93E60">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7A73C433">
            <w:pPr>
              <w:pStyle w:val="15"/>
              <w:spacing w:before="28" w:line="218" w:lineRule="auto"/>
              <w:ind w:left="1941"/>
            </w:pPr>
            <w:r>
              <w:t>pH</w:t>
            </w:r>
            <w:r>
              <w:rPr>
                <w:spacing w:val="7"/>
              </w:rPr>
              <w:t>＜3.5</w:t>
            </w:r>
          </w:p>
        </w:tc>
        <w:tc>
          <w:tcPr>
            <w:tcW w:w="2506" w:type="pct"/>
            <w:tcBorders>
              <w:tl2br w:val="nil"/>
              <w:tr2bl w:val="nil"/>
            </w:tcBorders>
            <w:vAlign w:val="top"/>
          </w:tcPr>
          <w:p w14:paraId="5C18CCCD">
            <w:pPr>
              <w:pStyle w:val="15"/>
              <w:spacing w:before="28" w:line="218" w:lineRule="auto"/>
              <w:ind w:left="1806"/>
            </w:pPr>
            <w:r>
              <w:rPr>
                <w:spacing w:val="7"/>
              </w:rPr>
              <w:t>极重度酸化</w:t>
            </w:r>
          </w:p>
        </w:tc>
      </w:tr>
      <w:tr w14:paraId="5DB2426B">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1D3C3878">
            <w:pPr>
              <w:pStyle w:val="15"/>
              <w:spacing w:before="32" w:line="215" w:lineRule="auto"/>
              <w:ind w:left="1686"/>
            </w:pPr>
            <w:r>
              <w:rPr>
                <w:spacing w:val="6"/>
              </w:rPr>
              <w:t>3.5≤</w:t>
            </w:r>
            <w:r>
              <w:t>pH</w:t>
            </w:r>
            <w:r>
              <w:rPr>
                <w:spacing w:val="6"/>
              </w:rPr>
              <w:t>＜4.0</w:t>
            </w:r>
          </w:p>
        </w:tc>
        <w:tc>
          <w:tcPr>
            <w:tcW w:w="2506" w:type="pct"/>
            <w:tcBorders>
              <w:tl2br w:val="nil"/>
              <w:tr2bl w:val="nil"/>
            </w:tcBorders>
            <w:vAlign w:val="top"/>
          </w:tcPr>
          <w:p w14:paraId="7C5A1D5F">
            <w:pPr>
              <w:pStyle w:val="15"/>
              <w:spacing w:before="32" w:line="215" w:lineRule="auto"/>
              <w:ind w:left="1910"/>
            </w:pPr>
            <w:r>
              <w:rPr>
                <w:spacing w:val="7"/>
              </w:rPr>
              <w:t>重度酸化</w:t>
            </w:r>
          </w:p>
        </w:tc>
      </w:tr>
      <w:tr w14:paraId="2F696FE1">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57D70260">
            <w:pPr>
              <w:pStyle w:val="15"/>
              <w:spacing w:before="35" w:line="212" w:lineRule="auto"/>
              <w:ind w:left="1681"/>
            </w:pPr>
            <w:r>
              <w:rPr>
                <w:spacing w:val="6"/>
              </w:rPr>
              <w:t>4.0≤</w:t>
            </w:r>
            <w:r>
              <w:t>pH</w:t>
            </w:r>
            <w:r>
              <w:rPr>
                <w:spacing w:val="6"/>
              </w:rPr>
              <w:t>＜4.5</w:t>
            </w:r>
          </w:p>
        </w:tc>
        <w:tc>
          <w:tcPr>
            <w:tcW w:w="2506" w:type="pct"/>
            <w:tcBorders>
              <w:tl2br w:val="nil"/>
              <w:tr2bl w:val="nil"/>
            </w:tcBorders>
            <w:vAlign w:val="top"/>
          </w:tcPr>
          <w:p w14:paraId="58DDAD07">
            <w:pPr>
              <w:pStyle w:val="15"/>
              <w:spacing w:before="35" w:line="212" w:lineRule="auto"/>
              <w:ind w:left="1929"/>
            </w:pPr>
            <w:r>
              <w:rPr>
                <w:spacing w:val="2"/>
              </w:rPr>
              <w:t>中度酸化</w:t>
            </w:r>
          </w:p>
        </w:tc>
      </w:tr>
      <w:tr w14:paraId="7E283914">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2C3AA278">
            <w:pPr>
              <w:pStyle w:val="15"/>
              <w:spacing w:before="38" w:line="209" w:lineRule="auto"/>
              <w:ind w:left="1681"/>
            </w:pPr>
            <w:r>
              <w:rPr>
                <w:spacing w:val="6"/>
              </w:rPr>
              <w:t>4.5≤</w:t>
            </w:r>
            <w:r>
              <w:t>pH</w:t>
            </w:r>
            <w:r>
              <w:rPr>
                <w:spacing w:val="6"/>
              </w:rPr>
              <w:t>＜5.5</w:t>
            </w:r>
          </w:p>
        </w:tc>
        <w:tc>
          <w:tcPr>
            <w:tcW w:w="2506" w:type="pct"/>
            <w:tcBorders>
              <w:tl2br w:val="nil"/>
              <w:tr2bl w:val="nil"/>
            </w:tcBorders>
            <w:vAlign w:val="top"/>
          </w:tcPr>
          <w:p w14:paraId="182C7822">
            <w:pPr>
              <w:pStyle w:val="15"/>
              <w:spacing w:before="38" w:line="209" w:lineRule="auto"/>
              <w:ind w:left="1910"/>
            </w:pPr>
            <w:r>
              <w:rPr>
                <w:spacing w:val="7"/>
              </w:rPr>
              <w:t>轻度酸化</w:t>
            </w:r>
          </w:p>
        </w:tc>
      </w:tr>
      <w:tr w14:paraId="739FD0C1">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3DFD6C0A">
            <w:pPr>
              <w:pStyle w:val="15"/>
              <w:spacing w:before="40" w:line="207" w:lineRule="auto"/>
              <w:ind w:left="1686"/>
            </w:pPr>
            <w:r>
              <w:rPr>
                <w:spacing w:val="6"/>
              </w:rPr>
              <w:t>5.5≤</w:t>
            </w:r>
            <w:r>
              <w:t>pH</w:t>
            </w:r>
            <w:r>
              <w:rPr>
                <w:spacing w:val="6"/>
              </w:rPr>
              <w:t>＜8.5</w:t>
            </w:r>
          </w:p>
        </w:tc>
        <w:tc>
          <w:tcPr>
            <w:tcW w:w="2506" w:type="pct"/>
            <w:tcBorders>
              <w:tl2br w:val="nil"/>
              <w:tr2bl w:val="nil"/>
            </w:tcBorders>
            <w:vAlign w:val="top"/>
          </w:tcPr>
          <w:p w14:paraId="0B2F4B2F">
            <w:pPr>
              <w:pStyle w:val="15"/>
              <w:spacing w:before="40" w:line="207" w:lineRule="auto"/>
              <w:ind w:left="1700"/>
            </w:pPr>
            <w:r>
              <w:rPr>
                <w:spacing w:val="7"/>
              </w:rPr>
              <w:t>无酸化或碱化</w:t>
            </w:r>
          </w:p>
        </w:tc>
      </w:tr>
      <w:tr w14:paraId="3AC54A0F">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128CF312">
            <w:pPr>
              <w:pStyle w:val="15"/>
              <w:spacing w:before="41" w:line="206" w:lineRule="auto"/>
              <w:ind w:left="1683"/>
            </w:pPr>
            <w:r>
              <w:rPr>
                <w:spacing w:val="6"/>
              </w:rPr>
              <w:t>8.5≤</w:t>
            </w:r>
            <w:r>
              <w:t>pH</w:t>
            </w:r>
            <w:r>
              <w:rPr>
                <w:spacing w:val="6"/>
              </w:rPr>
              <w:t>＜9.0</w:t>
            </w:r>
          </w:p>
        </w:tc>
        <w:tc>
          <w:tcPr>
            <w:tcW w:w="2506" w:type="pct"/>
            <w:tcBorders>
              <w:tl2br w:val="nil"/>
              <w:tr2bl w:val="nil"/>
            </w:tcBorders>
            <w:vAlign w:val="top"/>
          </w:tcPr>
          <w:p w14:paraId="513594CF">
            <w:pPr>
              <w:pStyle w:val="15"/>
              <w:spacing w:before="41" w:line="206" w:lineRule="auto"/>
              <w:ind w:left="1910"/>
            </w:pPr>
            <w:r>
              <w:rPr>
                <w:spacing w:val="7"/>
              </w:rPr>
              <w:t>轻度碱化</w:t>
            </w:r>
          </w:p>
        </w:tc>
      </w:tr>
      <w:tr w14:paraId="448FA0E3">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0F354A92">
            <w:pPr>
              <w:pStyle w:val="15"/>
              <w:spacing w:before="45" w:line="203" w:lineRule="auto"/>
              <w:ind w:left="1683"/>
            </w:pPr>
            <w:r>
              <w:rPr>
                <w:spacing w:val="6"/>
              </w:rPr>
              <w:t>9.0≤</w:t>
            </w:r>
            <w:r>
              <w:t>pH</w:t>
            </w:r>
            <w:r>
              <w:rPr>
                <w:spacing w:val="6"/>
              </w:rPr>
              <w:t>＜9.5</w:t>
            </w:r>
          </w:p>
        </w:tc>
        <w:tc>
          <w:tcPr>
            <w:tcW w:w="2506" w:type="pct"/>
            <w:tcBorders>
              <w:tl2br w:val="nil"/>
              <w:tr2bl w:val="nil"/>
            </w:tcBorders>
            <w:vAlign w:val="top"/>
          </w:tcPr>
          <w:p w14:paraId="2D6CE8B5">
            <w:pPr>
              <w:pStyle w:val="15"/>
              <w:spacing w:before="45" w:line="203" w:lineRule="auto"/>
              <w:ind w:left="1929"/>
            </w:pPr>
            <w:r>
              <w:rPr>
                <w:spacing w:val="2"/>
              </w:rPr>
              <w:t>中度碱化</w:t>
            </w:r>
          </w:p>
        </w:tc>
      </w:tr>
      <w:tr w14:paraId="608459EE">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012E22BC">
            <w:pPr>
              <w:pStyle w:val="15"/>
              <w:spacing w:before="48" w:line="200" w:lineRule="auto"/>
              <w:ind w:left="1630"/>
            </w:pPr>
            <w:r>
              <w:rPr>
                <w:spacing w:val="6"/>
              </w:rPr>
              <w:t>9.5≤</w:t>
            </w:r>
            <w:r>
              <w:t>pH</w:t>
            </w:r>
            <w:r>
              <w:rPr>
                <w:spacing w:val="6"/>
              </w:rPr>
              <w:t>＜10.0</w:t>
            </w:r>
          </w:p>
        </w:tc>
        <w:tc>
          <w:tcPr>
            <w:tcW w:w="2506" w:type="pct"/>
            <w:tcBorders>
              <w:tl2br w:val="nil"/>
              <w:tr2bl w:val="nil"/>
            </w:tcBorders>
            <w:vAlign w:val="top"/>
          </w:tcPr>
          <w:p w14:paraId="3D11D504">
            <w:pPr>
              <w:pStyle w:val="15"/>
              <w:spacing w:before="48" w:line="200" w:lineRule="auto"/>
              <w:ind w:left="1910"/>
            </w:pPr>
            <w:r>
              <w:rPr>
                <w:spacing w:val="7"/>
              </w:rPr>
              <w:t>重度碱化</w:t>
            </w:r>
          </w:p>
        </w:tc>
      </w:tr>
      <w:tr w14:paraId="7FFE9B0E">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93" w:type="pct"/>
            <w:tcBorders>
              <w:tl2br w:val="nil"/>
              <w:tr2bl w:val="nil"/>
            </w:tcBorders>
            <w:vAlign w:val="top"/>
          </w:tcPr>
          <w:p w14:paraId="0111C4E2">
            <w:pPr>
              <w:pStyle w:val="15"/>
              <w:spacing w:before="48" w:line="200" w:lineRule="auto"/>
              <w:ind w:left="1889"/>
            </w:pPr>
            <w:r>
              <w:t>pH</w:t>
            </w:r>
            <w:r>
              <w:rPr>
                <w:spacing w:val="7"/>
              </w:rPr>
              <w:t>≥10.0</w:t>
            </w:r>
          </w:p>
        </w:tc>
        <w:tc>
          <w:tcPr>
            <w:tcW w:w="2506" w:type="pct"/>
            <w:tcBorders>
              <w:tl2br w:val="nil"/>
              <w:tr2bl w:val="nil"/>
            </w:tcBorders>
            <w:vAlign w:val="top"/>
          </w:tcPr>
          <w:p w14:paraId="3D767A26">
            <w:pPr>
              <w:pStyle w:val="15"/>
              <w:spacing w:before="48" w:line="200" w:lineRule="auto"/>
              <w:ind w:left="1806"/>
            </w:pPr>
            <w:r>
              <w:rPr>
                <w:spacing w:val="7"/>
              </w:rPr>
              <w:t>极重度碱化</w:t>
            </w:r>
          </w:p>
        </w:tc>
      </w:tr>
      <w:tr w14:paraId="3C12DAC2">
        <w:tblPrEx>
          <w:tblBorders>
            <w:top w:val="single" w:color="000000" w:sz="10" w:space="0"/>
            <w:left w:val="none" w:color="auto" w:sz="0" w:space="0"/>
            <w:bottom w:val="single" w:color="000000" w:sz="10"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5000" w:type="pct"/>
            <w:gridSpan w:val="2"/>
            <w:tcBorders>
              <w:tl2br w:val="nil"/>
              <w:tr2bl w:val="nil"/>
            </w:tcBorders>
            <w:vAlign w:val="top"/>
          </w:tcPr>
          <w:p w14:paraId="0FBA5DC6">
            <w:pPr>
              <w:pStyle w:val="15"/>
              <w:spacing w:before="52" w:line="216" w:lineRule="auto"/>
              <w:ind w:left="105"/>
            </w:pPr>
            <w:r>
              <w:rPr>
                <w:spacing w:val="11"/>
              </w:rPr>
              <w:t>注：土壤酸化、碱化强度指受人为影响后呈现的土壤</w:t>
            </w:r>
            <w:r>
              <w:t>pH</w:t>
            </w:r>
            <w:r>
              <w:rPr>
                <w:spacing w:val="-38"/>
              </w:rPr>
              <w:t xml:space="preserve"> </w:t>
            </w:r>
            <w:r>
              <w:rPr>
                <w:spacing w:val="11"/>
              </w:rPr>
              <w:t>值，可根据区域自然背</w:t>
            </w:r>
            <w:r>
              <w:rPr>
                <w:spacing w:val="10"/>
              </w:rPr>
              <w:t>景状况适当调整。</w:t>
            </w:r>
          </w:p>
        </w:tc>
      </w:tr>
    </w:tbl>
    <w:p w14:paraId="4B2BE863">
      <w:pPr>
        <w:pStyle w:val="3"/>
      </w:pPr>
    </w:p>
    <w:p w14:paraId="6186B5D2">
      <w:pPr>
        <w:spacing w:before="300" w:line="220" w:lineRule="auto"/>
        <w:ind w:left="12"/>
        <w:outlineLvl w:val="3"/>
        <w:rPr>
          <w:rFonts w:ascii="宋体" w:hAnsi="宋体" w:eastAsia="宋体" w:cs="宋体"/>
          <w:sz w:val="24"/>
          <w:szCs w:val="24"/>
        </w:rPr>
      </w:pPr>
      <w:r>
        <w:rPr>
          <w:b/>
          <w:bCs/>
        </w:rPr>
        <w:fldChar w:fldCharType="begin"/>
      </w:r>
      <w:r>
        <w:rPr>
          <w:b/>
          <w:bCs/>
        </w:rPr>
        <w:instrText xml:space="preserve"> HYPERLINK "2.3.2.2"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2.3.2.2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污染物排放</w:t>
      </w:r>
    </w:p>
    <w:p w14:paraId="2FD079F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1</w:t>
      </w:r>
      <w:r>
        <w:rPr>
          <w:rFonts w:hint="eastAsia" w:ascii="宋体" w:hAnsi="宋体" w:eastAsia="宋体" w:cs="宋体"/>
          <w:spacing w:val="-5"/>
          <w:sz w:val="24"/>
          <w:szCs w:val="24"/>
          <w:lang w:eastAsia="zh-CN"/>
        </w:rPr>
        <w:t>）</w:t>
      </w:r>
      <w:r>
        <w:rPr>
          <w:rFonts w:ascii="宋体" w:hAnsi="宋体" w:eastAsia="宋体" w:cs="宋体"/>
          <w:spacing w:val="-5"/>
          <w:sz w:val="24"/>
          <w:szCs w:val="24"/>
        </w:rPr>
        <w:t>大气污染物排放标准</w:t>
      </w:r>
    </w:p>
    <w:p w14:paraId="524D8ED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z w:val="24"/>
          <w:szCs w:val="24"/>
        </w:rPr>
      </w:pPr>
      <w:r>
        <w:rPr>
          <w:rFonts w:ascii="宋体" w:hAnsi="宋体" w:eastAsia="宋体" w:cs="宋体"/>
          <w:spacing w:val="-1"/>
          <w:sz w:val="24"/>
          <w:szCs w:val="24"/>
        </w:rPr>
        <w:t>施工期大气污染物排放执行《大气污染物综合排放标准</w:t>
      </w:r>
      <w:r>
        <w:rPr>
          <w:rFonts w:ascii="宋体" w:hAnsi="宋体" w:eastAsia="宋体" w:cs="宋体"/>
          <w:spacing w:val="-2"/>
          <w:sz w:val="24"/>
          <w:szCs w:val="24"/>
        </w:rPr>
        <w:t>》（GB16297-1996）中无组织排放标准，具体标准值见表</w:t>
      </w:r>
      <w:r>
        <w:rPr>
          <w:rFonts w:ascii="宋体" w:hAnsi="宋体" w:eastAsia="宋体" w:cs="宋体"/>
          <w:spacing w:val="-58"/>
          <w:sz w:val="24"/>
          <w:szCs w:val="24"/>
        </w:rPr>
        <w:t xml:space="preserve"> </w:t>
      </w:r>
      <w:r>
        <w:rPr>
          <w:rFonts w:ascii="宋体" w:hAnsi="宋体" w:eastAsia="宋体" w:cs="宋体"/>
          <w:spacing w:val="-2"/>
          <w:sz w:val="24"/>
          <w:szCs w:val="24"/>
        </w:rPr>
        <w:t>2-3-9。</w:t>
      </w:r>
    </w:p>
    <w:p w14:paraId="44A274EB">
      <w:pPr>
        <w:spacing w:before="182" w:line="212" w:lineRule="auto"/>
        <w:ind w:left="968"/>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2-3-9</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施工期大气污染物工排放限值</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801"/>
        <w:gridCol w:w="4352"/>
      </w:tblGrid>
      <w:tr w14:paraId="6D1BBD12">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2622" w:type="pct"/>
            <w:tcBorders>
              <w:tl2br w:val="nil"/>
              <w:tr2bl w:val="nil"/>
            </w:tcBorders>
            <w:vAlign w:val="top"/>
          </w:tcPr>
          <w:p w14:paraId="3CA70B7F">
            <w:pPr>
              <w:pStyle w:val="15"/>
              <w:spacing w:before="154" w:line="228" w:lineRule="auto"/>
              <w:ind w:left="3049"/>
            </w:pPr>
            <w:r>
              <w:rPr>
                <w:spacing w:val="3"/>
              </w:rPr>
              <w:t>项目</w:t>
            </w:r>
          </w:p>
          <w:p w14:paraId="2462EA19">
            <w:pPr>
              <w:pStyle w:val="15"/>
              <w:spacing w:before="26" w:line="228" w:lineRule="auto"/>
              <w:ind w:left="107"/>
            </w:pPr>
            <w:r>
              <w:rPr>
                <w:spacing w:val="4"/>
              </w:rPr>
              <w:t>标准</w:t>
            </w:r>
          </w:p>
        </w:tc>
        <w:tc>
          <w:tcPr>
            <w:tcW w:w="2377" w:type="pct"/>
            <w:tcBorders>
              <w:tl2br w:val="nil"/>
              <w:tr2bl w:val="nil"/>
            </w:tcBorders>
            <w:vAlign w:val="top"/>
          </w:tcPr>
          <w:p w14:paraId="73DF3CB3">
            <w:pPr>
              <w:pStyle w:val="15"/>
              <w:spacing w:before="290" w:line="228" w:lineRule="auto"/>
              <w:ind w:left="1434"/>
            </w:pPr>
            <w:r>
              <w:rPr>
                <w:spacing w:val="7"/>
              </w:rPr>
              <w:t>颗粒物</w:t>
            </w:r>
          </w:p>
        </w:tc>
      </w:tr>
      <w:tr w14:paraId="26669FB7">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622" w:type="pct"/>
            <w:tcBorders>
              <w:tl2br w:val="nil"/>
              <w:tr2bl w:val="nil"/>
            </w:tcBorders>
            <w:vAlign w:val="top"/>
          </w:tcPr>
          <w:p w14:paraId="3CE1E85C">
            <w:pPr>
              <w:pStyle w:val="15"/>
              <w:spacing w:before="102" w:line="228" w:lineRule="auto"/>
              <w:ind w:left="562"/>
            </w:pPr>
            <w:r>
              <w:rPr>
                <w:spacing w:val="8"/>
              </w:rPr>
              <w:t>《大气污染物综合排放标准》</w:t>
            </w:r>
          </w:p>
          <w:p w14:paraId="57DAF14F">
            <w:pPr>
              <w:pStyle w:val="15"/>
              <w:spacing w:before="26" w:line="228" w:lineRule="auto"/>
              <w:ind w:left="488"/>
            </w:pPr>
            <w:r>
              <w:rPr>
                <w:spacing w:val="5"/>
              </w:rPr>
              <w:t>(</w:t>
            </w:r>
            <w:r>
              <w:t>GB</w:t>
            </w:r>
            <w:r>
              <w:rPr>
                <w:spacing w:val="5"/>
              </w:rPr>
              <w:t>16297-1996)监控点：厂界外</w:t>
            </w:r>
          </w:p>
        </w:tc>
        <w:tc>
          <w:tcPr>
            <w:tcW w:w="2377" w:type="pct"/>
            <w:tcBorders>
              <w:tl2br w:val="nil"/>
              <w:tr2bl w:val="nil"/>
            </w:tcBorders>
            <w:vAlign w:val="top"/>
          </w:tcPr>
          <w:p w14:paraId="0B2DF332">
            <w:pPr>
              <w:pStyle w:val="15"/>
              <w:spacing w:before="238" w:line="222" w:lineRule="auto"/>
              <w:ind w:left="490"/>
              <w:rPr>
                <w:sz w:val="10"/>
                <w:szCs w:val="10"/>
              </w:rPr>
            </w:pPr>
            <w:r>
              <w:rPr>
                <w:spacing w:val="5"/>
              </w:rPr>
              <w:t>周界外浓度最高点</w:t>
            </w:r>
            <w:r>
              <w:rPr>
                <w:spacing w:val="-10"/>
              </w:rPr>
              <w:t xml:space="preserve"> </w:t>
            </w:r>
            <w:r>
              <w:rPr>
                <w:spacing w:val="5"/>
              </w:rPr>
              <w:t>1.0</w:t>
            </w:r>
            <w:r>
              <w:t>mg</w:t>
            </w:r>
            <w:r>
              <w:rPr>
                <w:spacing w:val="5"/>
              </w:rPr>
              <w:t>/m</w:t>
            </w:r>
            <w:r>
              <w:rPr>
                <w:spacing w:val="5"/>
                <w:position w:val="10"/>
                <w:sz w:val="10"/>
                <w:szCs w:val="10"/>
              </w:rPr>
              <w:t>3</w:t>
            </w:r>
          </w:p>
        </w:tc>
      </w:tr>
    </w:tbl>
    <w:p w14:paraId="3E9007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lang w:eastAsia="zh-CN"/>
        </w:rPr>
        <w:t>）</w:t>
      </w:r>
      <w:r>
        <w:rPr>
          <w:rFonts w:ascii="宋体" w:hAnsi="宋体" w:eastAsia="宋体" w:cs="宋体"/>
          <w:spacing w:val="-6"/>
          <w:sz w:val="24"/>
          <w:szCs w:val="24"/>
        </w:rPr>
        <w:t>废水排放标准</w:t>
      </w:r>
    </w:p>
    <w:p w14:paraId="71FD6CA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施工人员主要租住附近民房，生活依托现有设施，生活污水纳入现有排水系统，不</w:t>
      </w:r>
      <w:r>
        <w:rPr>
          <w:rFonts w:ascii="宋体" w:hAnsi="宋体" w:eastAsia="宋体" w:cs="宋体"/>
          <w:spacing w:val="-6"/>
          <w:sz w:val="24"/>
          <w:szCs w:val="24"/>
        </w:rPr>
        <w:t>外排；需搭建简易彩板房时建议设置移动环保公厕，定期交由环</w:t>
      </w:r>
      <w:r>
        <w:rPr>
          <w:rFonts w:ascii="宋体" w:hAnsi="宋体" w:eastAsia="宋体" w:cs="宋体"/>
          <w:spacing w:val="-7"/>
          <w:sz w:val="24"/>
          <w:szCs w:val="24"/>
        </w:rPr>
        <w:t>卫部门采取吸污车拉运，</w:t>
      </w:r>
      <w:r>
        <w:rPr>
          <w:rFonts w:ascii="宋体" w:hAnsi="宋体" w:eastAsia="宋体" w:cs="宋体"/>
          <w:sz w:val="24"/>
          <w:szCs w:val="24"/>
        </w:rPr>
        <w:t>施工结束后拆除；施工废水通过沉淀池处理后，用作洒</w:t>
      </w:r>
      <w:r>
        <w:rPr>
          <w:rFonts w:ascii="宋体" w:hAnsi="宋体" w:eastAsia="宋体" w:cs="宋体"/>
          <w:spacing w:val="-1"/>
          <w:sz w:val="24"/>
          <w:szCs w:val="24"/>
        </w:rPr>
        <w:t>水抑尘，废水不排放。</w:t>
      </w:r>
    </w:p>
    <w:p w14:paraId="7EF586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lang w:eastAsia="zh-CN"/>
        </w:rPr>
        <w:t>）</w:t>
      </w:r>
      <w:r>
        <w:rPr>
          <w:rFonts w:ascii="宋体" w:hAnsi="宋体" w:eastAsia="宋体" w:cs="宋体"/>
          <w:sz w:val="24"/>
          <w:szCs w:val="24"/>
        </w:rPr>
        <w:t>噪声排放标准</w:t>
      </w:r>
    </w:p>
    <w:p w14:paraId="54CA6CF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①运营期</w:t>
      </w:r>
      <w:r>
        <w:rPr>
          <w:rFonts w:hint="eastAsia" w:ascii="宋体" w:hAnsi="宋体" w:eastAsia="宋体" w:cs="宋体"/>
          <w:sz w:val="24"/>
          <w:szCs w:val="24"/>
          <w:lang w:eastAsia="zh-CN"/>
        </w:rPr>
        <w:t>泵房</w:t>
      </w:r>
      <w:r>
        <w:rPr>
          <w:rFonts w:ascii="宋体" w:hAnsi="宋体" w:eastAsia="宋体" w:cs="宋体"/>
          <w:sz w:val="24"/>
          <w:szCs w:val="24"/>
        </w:rPr>
        <w:t>产生的噪声执行《工业企业厂界环境噪声排放标准》(GB12348-2008)2 类标准，具体标准值见表 2-3-10。</w:t>
      </w:r>
    </w:p>
    <w:p w14:paraId="1607AFC2">
      <w:pPr>
        <w:spacing w:before="104" w:line="213" w:lineRule="auto"/>
        <w:ind w:left="553"/>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3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2-3-10</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工业企业厂界环境噪声排放标准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〔单位：dB(A)〕</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278"/>
        <w:gridCol w:w="3429"/>
        <w:gridCol w:w="3446"/>
      </w:tblGrid>
      <w:tr w14:paraId="45EF0A44">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244" w:type="pct"/>
            <w:vMerge w:val="restart"/>
            <w:tcBorders>
              <w:tl2br w:val="nil"/>
              <w:tr2bl w:val="nil"/>
            </w:tcBorders>
            <w:vAlign w:val="top"/>
          </w:tcPr>
          <w:p w14:paraId="4CE6AE98">
            <w:pPr>
              <w:pStyle w:val="15"/>
              <w:spacing w:before="216" w:line="228" w:lineRule="auto"/>
              <w:ind w:left="817"/>
            </w:pPr>
            <w:r>
              <w:rPr>
                <w:spacing w:val="4"/>
              </w:rPr>
              <w:t>类别</w:t>
            </w:r>
          </w:p>
        </w:tc>
        <w:tc>
          <w:tcPr>
            <w:tcW w:w="3755" w:type="pct"/>
            <w:gridSpan w:val="2"/>
            <w:tcBorders>
              <w:tl2br w:val="nil"/>
              <w:tr2bl w:val="nil"/>
            </w:tcBorders>
            <w:vAlign w:val="top"/>
          </w:tcPr>
          <w:p w14:paraId="5F29C140">
            <w:pPr>
              <w:pStyle w:val="15"/>
              <w:spacing w:before="55" w:line="228" w:lineRule="auto"/>
              <w:ind w:left="2811"/>
            </w:pPr>
            <w:r>
              <w:rPr>
                <w:spacing w:val="6"/>
              </w:rPr>
              <w:t>标准值</w:t>
            </w:r>
          </w:p>
        </w:tc>
      </w:tr>
      <w:tr w14:paraId="1FF6CB73">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44" w:type="pct"/>
            <w:vMerge w:val="continue"/>
            <w:tcBorders>
              <w:tl2br w:val="nil"/>
              <w:tr2bl w:val="nil"/>
            </w:tcBorders>
            <w:vAlign w:val="top"/>
          </w:tcPr>
          <w:p w14:paraId="68200FA1">
            <w:pPr>
              <w:rPr>
                <w:rFonts w:ascii="Arial"/>
                <w:sz w:val="21"/>
              </w:rPr>
            </w:pPr>
          </w:p>
        </w:tc>
        <w:tc>
          <w:tcPr>
            <w:tcW w:w="1873" w:type="pct"/>
            <w:tcBorders>
              <w:tl2br w:val="nil"/>
              <w:tr2bl w:val="nil"/>
            </w:tcBorders>
            <w:vAlign w:val="top"/>
          </w:tcPr>
          <w:p w14:paraId="3A55BCC9">
            <w:pPr>
              <w:pStyle w:val="15"/>
              <w:spacing w:before="59" w:line="221" w:lineRule="auto"/>
              <w:ind w:left="1351"/>
            </w:pPr>
            <w:r>
              <w:rPr>
                <w:spacing w:val="5"/>
              </w:rPr>
              <w:t>昼间</w:t>
            </w:r>
          </w:p>
        </w:tc>
        <w:tc>
          <w:tcPr>
            <w:tcW w:w="1881" w:type="pct"/>
            <w:tcBorders>
              <w:tl2br w:val="nil"/>
              <w:tr2bl w:val="nil"/>
            </w:tcBorders>
            <w:vAlign w:val="top"/>
          </w:tcPr>
          <w:p w14:paraId="7B3BD296">
            <w:pPr>
              <w:pStyle w:val="15"/>
              <w:spacing w:before="59" w:line="221" w:lineRule="auto"/>
              <w:ind w:left="1366"/>
            </w:pPr>
            <w:r>
              <w:rPr>
                <w:spacing w:val="3"/>
              </w:rPr>
              <w:t>夜间</w:t>
            </w:r>
          </w:p>
        </w:tc>
      </w:tr>
      <w:tr w14:paraId="4230D7F5">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4" w:type="pct"/>
            <w:tcBorders>
              <w:tl2br w:val="nil"/>
              <w:tr2bl w:val="nil"/>
            </w:tcBorders>
            <w:vAlign w:val="top"/>
          </w:tcPr>
          <w:p w14:paraId="0A3C8476">
            <w:pPr>
              <w:pStyle w:val="15"/>
              <w:spacing w:before="66" w:line="228" w:lineRule="auto"/>
              <w:ind w:left="846"/>
            </w:pPr>
            <w:r>
              <w:rPr>
                <w:spacing w:val="-3"/>
              </w:rPr>
              <w:t>2</w:t>
            </w:r>
            <w:r>
              <w:rPr>
                <w:spacing w:val="-38"/>
              </w:rPr>
              <w:t xml:space="preserve"> </w:t>
            </w:r>
            <w:r>
              <w:rPr>
                <w:spacing w:val="-3"/>
              </w:rPr>
              <w:t>类</w:t>
            </w:r>
          </w:p>
        </w:tc>
        <w:tc>
          <w:tcPr>
            <w:tcW w:w="1873" w:type="pct"/>
            <w:tcBorders>
              <w:tl2br w:val="nil"/>
              <w:tr2bl w:val="nil"/>
            </w:tcBorders>
            <w:vAlign w:val="top"/>
          </w:tcPr>
          <w:p w14:paraId="4E61A9EF">
            <w:pPr>
              <w:pStyle w:val="15"/>
              <w:spacing w:before="99" w:line="189" w:lineRule="auto"/>
              <w:ind w:left="1459"/>
            </w:pPr>
            <w:r>
              <w:t>60</w:t>
            </w:r>
          </w:p>
        </w:tc>
        <w:tc>
          <w:tcPr>
            <w:tcW w:w="1881" w:type="pct"/>
            <w:tcBorders>
              <w:tl2br w:val="nil"/>
              <w:tr2bl w:val="nil"/>
            </w:tcBorders>
            <w:vAlign w:val="top"/>
          </w:tcPr>
          <w:p w14:paraId="5061390C">
            <w:pPr>
              <w:pStyle w:val="15"/>
              <w:spacing w:before="99" w:line="189" w:lineRule="auto"/>
              <w:ind w:left="1470"/>
            </w:pPr>
            <w:r>
              <w:rPr>
                <w:spacing w:val="-2"/>
              </w:rPr>
              <w:t>50</w:t>
            </w:r>
          </w:p>
        </w:tc>
      </w:tr>
    </w:tbl>
    <w:p w14:paraId="4D5BFAA1">
      <w:pPr>
        <w:spacing w:before="79" w:line="360" w:lineRule="auto"/>
        <w:ind w:right="61" w:firstLine="480" w:firstLineChars="200"/>
        <w:jc w:val="both"/>
        <w:rPr>
          <w:rFonts w:ascii="宋体" w:hAnsi="宋体" w:eastAsia="宋体" w:cs="宋体"/>
          <w:sz w:val="24"/>
          <w:szCs w:val="24"/>
        </w:rPr>
      </w:pPr>
      <w:r>
        <w:rPr>
          <w:rFonts w:ascii="宋体" w:hAnsi="宋体" w:eastAsia="宋体" w:cs="宋体"/>
          <w:position w:val="17"/>
          <w:sz w:val="24"/>
          <w:szCs w:val="24"/>
        </w:rPr>
        <w:t>② 施工期执行《建筑施工场界环境噪声排放标准》</w:t>
      </w:r>
      <w:r>
        <w:rPr>
          <w:rFonts w:ascii="宋体" w:hAnsi="宋体" w:eastAsia="宋体" w:cs="宋体"/>
          <w:spacing w:val="-59"/>
          <w:position w:val="17"/>
          <w:sz w:val="24"/>
          <w:szCs w:val="24"/>
        </w:rPr>
        <w:t xml:space="preserve"> </w:t>
      </w:r>
      <w:r>
        <w:rPr>
          <w:rFonts w:ascii="宋体" w:hAnsi="宋体" w:eastAsia="宋体" w:cs="宋体"/>
          <w:position w:val="17"/>
          <w:sz w:val="24"/>
          <w:szCs w:val="24"/>
        </w:rPr>
        <w:t>(GB12523-2011)，具体标准值</w:t>
      </w:r>
    </w:p>
    <w:p w14:paraId="706EA00C">
      <w:pPr>
        <w:spacing w:line="360" w:lineRule="auto"/>
        <w:ind w:left="13"/>
        <w:rPr>
          <w:rFonts w:ascii="宋体" w:hAnsi="宋体" w:eastAsia="宋体" w:cs="宋体"/>
          <w:sz w:val="24"/>
          <w:szCs w:val="24"/>
        </w:rPr>
      </w:pPr>
      <w:r>
        <w:rPr>
          <w:rFonts w:ascii="宋体" w:hAnsi="宋体" w:eastAsia="宋体" w:cs="宋体"/>
          <w:spacing w:val="-3"/>
          <w:sz w:val="24"/>
          <w:szCs w:val="24"/>
        </w:rPr>
        <w:t>见表</w:t>
      </w:r>
      <w:r>
        <w:rPr>
          <w:rFonts w:ascii="宋体" w:hAnsi="宋体" w:eastAsia="宋体" w:cs="宋体"/>
          <w:spacing w:val="-48"/>
          <w:sz w:val="24"/>
          <w:szCs w:val="24"/>
        </w:rPr>
        <w:t xml:space="preserve"> </w:t>
      </w:r>
      <w:r>
        <w:rPr>
          <w:rFonts w:ascii="宋体" w:hAnsi="宋体" w:eastAsia="宋体" w:cs="宋体"/>
          <w:spacing w:val="-3"/>
          <w:sz w:val="24"/>
          <w:szCs w:val="24"/>
        </w:rPr>
        <w:t>2-3-11。</w:t>
      </w:r>
    </w:p>
    <w:p w14:paraId="67AB756D">
      <w:pPr>
        <w:spacing w:before="106" w:line="212" w:lineRule="auto"/>
        <w:ind w:left="853"/>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3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2-3-11</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建筑施工场界环境噪声排放限值</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〔单位：dB(A)〕</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781"/>
        <w:gridCol w:w="3177"/>
        <w:gridCol w:w="3195"/>
      </w:tblGrid>
      <w:tr w14:paraId="242CDF4A">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519" w:type="pct"/>
            <w:vMerge w:val="restart"/>
            <w:tcBorders>
              <w:tl2br w:val="nil"/>
              <w:tr2bl w:val="nil"/>
            </w:tcBorders>
            <w:vAlign w:val="top"/>
          </w:tcPr>
          <w:p w14:paraId="00B99DE3">
            <w:pPr>
              <w:pStyle w:val="15"/>
              <w:spacing w:before="216" w:line="228" w:lineRule="auto"/>
              <w:ind w:left="1049"/>
            </w:pPr>
            <w:r>
              <w:rPr>
                <w:spacing w:val="4"/>
              </w:rPr>
              <w:t>标准</w:t>
            </w:r>
          </w:p>
        </w:tc>
        <w:tc>
          <w:tcPr>
            <w:tcW w:w="3480" w:type="pct"/>
            <w:gridSpan w:val="2"/>
            <w:tcBorders>
              <w:tl2br w:val="nil"/>
              <w:tr2bl w:val="nil"/>
            </w:tcBorders>
            <w:vAlign w:val="top"/>
          </w:tcPr>
          <w:p w14:paraId="5AF4E941">
            <w:pPr>
              <w:pStyle w:val="15"/>
              <w:spacing w:before="54" w:line="228" w:lineRule="auto"/>
              <w:ind w:left="2485"/>
            </w:pPr>
            <w:r>
              <w:rPr>
                <w:spacing w:val="4"/>
              </w:rPr>
              <w:t>噪声限值</w:t>
            </w:r>
          </w:p>
        </w:tc>
      </w:tr>
      <w:tr w14:paraId="1C4575DB">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519" w:type="pct"/>
            <w:vMerge w:val="continue"/>
            <w:tcBorders>
              <w:tl2br w:val="nil"/>
              <w:tr2bl w:val="nil"/>
            </w:tcBorders>
            <w:vAlign w:val="top"/>
          </w:tcPr>
          <w:p w14:paraId="690CF803">
            <w:pPr>
              <w:rPr>
                <w:rFonts w:ascii="Arial"/>
                <w:sz w:val="21"/>
              </w:rPr>
            </w:pPr>
          </w:p>
        </w:tc>
        <w:tc>
          <w:tcPr>
            <w:tcW w:w="1735" w:type="pct"/>
            <w:tcBorders>
              <w:tl2br w:val="nil"/>
              <w:tr2bl w:val="nil"/>
            </w:tcBorders>
            <w:vAlign w:val="top"/>
          </w:tcPr>
          <w:p w14:paraId="68E39A30">
            <w:pPr>
              <w:pStyle w:val="15"/>
              <w:spacing w:before="58" w:line="222" w:lineRule="auto"/>
              <w:ind w:left="1183"/>
            </w:pPr>
            <w:r>
              <w:t>昼</w:t>
            </w:r>
            <w:r>
              <w:rPr>
                <w:spacing w:val="32"/>
              </w:rPr>
              <w:t xml:space="preserve"> </w:t>
            </w:r>
            <w:r>
              <w:t>间</w:t>
            </w:r>
          </w:p>
        </w:tc>
        <w:tc>
          <w:tcPr>
            <w:tcW w:w="1744" w:type="pct"/>
            <w:tcBorders>
              <w:tl2br w:val="nil"/>
              <w:tr2bl w:val="nil"/>
            </w:tcBorders>
            <w:vAlign w:val="top"/>
          </w:tcPr>
          <w:p w14:paraId="2F23CC3B">
            <w:pPr>
              <w:pStyle w:val="15"/>
              <w:spacing w:before="58" w:line="222" w:lineRule="auto"/>
              <w:ind w:left="1199"/>
            </w:pPr>
            <w:r>
              <w:rPr>
                <w:spacing w:val="-2"/>
              </w:rPr>
              <w:t>夜</w:t>
            </w:r>
            <w:r>
              <w:rPr>
                <w:spacing w:val="30"/>
              </w:rPr>
              <w:t xml:space="preserve"> </w:t>
            </w:r>
            <w:r>
              <w:rPr>
                <w:spacing w:val="-2"/>
              </w:rPr>
              <w:t>间</w:t>
            </w:r>
          </w:p>
        </w:tc>
      </w:tr>
      <w:tr w14:paraId="7C716C9B">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519" w:type="pct"/>
            <w:tcBorders>
              <w:tl2br w:val="nil"/>
              <w:tr2bl w:val="nil"/>
            </w:tcBorders>
            <w:vAlign w:val="top"/>
          </w:tcPr>
          <w:p w14:paraId="770EDB0B">
            <w:pPr>
              <w:pStyle w:val="15"/>
              <w:spacing w:before="100" w:line="190" w:lineRule="auto"/>
              <w:ind w:left="626"/>
            </w:pPr>
            <w:r>
              <w:t>GB</w:t>
            </w:r>
            <w:r>
              <w:rPr>
                <w:spacing w:val="5"/>
              </w:rPr>
              <w:t>12523-2011</w:t>
            </w:r>
          </w:p>
        </w:tc>
        <w:tc>
          <w:tcPr>
            <w:tcW w:w="1735" w:type="pct"/>
            <w:tcBorders>
              <w:tl2br w:val="nil"/>
              <w:tr2bl w:val="nil"/>
            </w:tcBorders>
            <w:vAlign w:val="top"/>
          </w:tcPr>
          <w:p w14:paraId="2C6B168F">
            <w:pPr>
              <w:pStyle w:val="15"/>
              <w:spacing w:before="101" w:line="189" w:lineRule="auto"/>
              <w:ind w:left="1347"/>
            </w:pPr>
            <w:r>
              <w:rPr>
                <w:spacing w:val="-2"/>
              </w:rPr>
              <w:t>70</w:t>
            </w:r>
          </w:p>
        </w:tc>
        <w:tc>
          <w:tcPr>
            <w:tcW w:w="1744" w:type="pct"/>
            <w:tcBorders>
              <w:tl2br w:val="nil"/>
              <w:tr2bl w:val="nil"/>
            </w:tcBorders>
            <w:vAlign w:val="top"/>
          </w:tcPr>
          <w:p w14:paraId="3CCA7FD8">
            <w:pPr>
              <w:pStyle w:val="15"/>
              <w:spacing w:before="103" w:line="187" w:lineRule="auto"/>
              <w:ind w:left="1356"/>
            </w:pPr>
            <w:r>
              <w:rPr>
                <w:spacing w:val="-2"/>
              </w:rPr>
              <w:t>55</w:t>
            </w:r>
          </w:p>
        </w:tc>
      </w:tr>
    </w:tbl>
    <w:p w14:paraId="2225FCC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ascii="宋体" w:hAnsi="宋体" w:eastAsia="宋体" w:cs="宋体"/>
          <w:sz w:val="24"/>
          <w:szCs w:val="24"/>
        </w:rPr>
        <w:t>固废排放标准</w:t>
      </w:r>
    </w:p>
    <w:p w14:paraId="2B9EBE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①一般废物暂存执行《一般工业固体废物贮存和填埋污染控制标准》(GB18599-2020)中的要求。</w:t>
      </w:r>
    </w:p>
    <w:p w14:paraId="0FF159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② 危险废物暂存执行《危险废物贮存污染控制标准》 (GB18597-2001) 及 2013 修改单中的要求。</w:t>
      </w:r>
    </w:p>
    <w:p w14:paraId="715BC3F9">
      <w:pPr>
        <w:keepNext w:val="0"/>
        <w:keepLines w:val="0"/>
        <w:pageBreakBefore w:val="0"/>
        <w:widowControl/>
        <w:kinsoku w:val="0"/>
        <w:wordWrap/>
        <w:overflowPunct/>
        <w:topLinePunct w:val="0"/>
        <w:autoSpaceDE w:val="0"/>
        <w:autoSpaceDN w:val="0"/>
        <w:bidi w:val="0"/>
        <w:adjustRightInd w:val="0"/>
        <w:snapToGrid w:val="0"/>
        <w:spacing w:before="98" w:line="360" w:lineRule="auto"/>
        <w:ind w:left="28"/>
        <w:textAlignment w:val="baseline"/>
        <w:outlineLvl w:val="1"/>
        <w:rPr>
          <w:rFonts w:hint="eastAsia" w:ascii="黑体" w:hAnsi="黑体" w:eastAsia="黑体" w:cs="黑体"/>
          <w:sz w:val="30"/>
          <w:szCs w:val="30"/>
        </w:rPr>
      </w:pPr>
      <w:bookmarkStart w:id="11" w:name="bookmark11"/>
      <w:bookmarkEnd w:id="11"/>
      <w:r>
        <w:rPr>
          <w:rFonts w:hint="eastAsia" w:ascii="黑体" w:hAnsi="黑体" w:eastAsia="黑体" w:cs="黑体"/>
          <w:spacing w:val="1"/>
          <w:sz w:val="30"/>
          <w:szCs w:val="30"/>
          <w14:textOutline w14:w="5448" w14:cap="sq" w14:cmpd="sng">
            <w14:solidFill>
              <w14:srgbClr w14:val="000000"/>
            </w14:solidFill>
            <w14:prstDash w14:val="solid"/>
            <w14:bevel/>
          </w14:textOutline>
        </w:rPr>
        <w:t>2.4</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环境功能区划</w:t>
      </w:r>
    </w:p>
    <w:p w14:paraId="30BCC5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ascii="宋体" w:hAnsi="宋体" w:eastAsia="宋体" w:cs="宋体"/>
          <w:sz w:val="24"/>
          <w:szCs w:val="24"/>
        </w:rPr>
        <w:t>依据《新疆生态功能区划》、《中国新疆水环境功能区划》等相关资料，工程涉及的大气环境、水环境、声环境、生态环境功能区，见表 2-4-1。</w:t>
      </w:r>
    </w:p>
    <w:p w14:paraId="66D46828">
      <w:pPr>
        <w:spacing w:before="180" w:line="212" w:lineRule="auto"/>
        <w:ind w:left="505"/>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2-4-1</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评价区环境功能区划</w:t>
      </w:r>
      <w:r>
        <w:rPr>
          <w:rFonts w:ascii="宋体" w:hAnsi="宋体" w:eastAsia="宋体" w:cs="宋体"/>
          <w:spacing w:val="-1"/>
          <w:sz w:val="24"/>
          <w:szCs w:val="24"/>
          <w14:textOutline w14:w="4358" w14:cap="sq" w14:cmpd="sng">
            <w14:solidFill>
              <w14:srgbClr w14:val="000000"/>
            </w14:solidFill>
            <w14:prstDash w14:val="solid"/>
            <w14:bevel/>
          </w14:textOutline>
        </w:rPr>
        <w:t>汇总表</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670"/>
        <w:gridCol w:w="4426"/>
        <w:gridCol w:w="3057"/>
      </w:tblGrid>
      <w:tr w14:paraId="2A4ACD7F">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90" w:hRule="atLeast"/>
        </w:trPr>
        <w:tc>
          <w:tcPr>
            <w:tcW w:w="912" w:type="pct"/>
            <w:tcBorders>
              <w:tl2br w:val="nil"/>
              <w:tr2bl w:val="nil"/>
            </w:tcBorders>
            <w:vAlign w:val="top"/>
          </w:tcPr>
          <w:p w14:paraId="5C05FD68">
            <w:pPr>
              <w:pStyle w:val="15"/>
              <w:spacing w:before="35" w:line="226" w:lineRule="auto"/>
              <w:ind w:left="427"/>
            </w:pPr>
            <w:r>
              <w:rPr>
                <w:spacing w:val="8"/>
                <w14:textOutline w14:w="3795" w14:cap="sq" w14:cmpd="sng">
                  <w14:solidFill>
                    <w14:srgbClr w14:val="000000"/>
                  </w14:solidFill>
                  <w14:prstDash w14:val="solid"/>
                  <w14:bevel/>
                </w14:textOutline>
              </w:rPr>
              <w:t>环境要素</w:t>
            </w:r>
          </w:p>
        </w:tc>
        <w:tc>
          <w:tcPr>
            <w:tcW w:w="2417" w:type="pct"/>
            <w:tcBorders>
              <w:tl2br w:val="nil"/>
              <w:tr2bl w:val="nil"/>
            </w:tcBorders>
            <w:vAlign w:val="top"/>
          </w:tcPr>
          <w:p w14:paraId="07045C48">
            <w:pPr>
              <w:pStyle w:val="15"/>
              <w:spacing w:before="35" w:line="226" w:lineRule="auto"/>
              <w:ind w:left="1546"/>
            </w:pPr>
            <w:r>
              <w:rPr>
                <w:spacing w:val="-7"/>
                <w14:textOutline w14:w="3795" w14:cap="sq" w14:cmpd="sng">
                  <w14:solidFill>
                    <w14:srgbClr w14:val="000000"/>
                  </w14:solidFill>
                  <w14:prstDash w14:val="solid"/>
                  <w14:bevel/>
                </w14:textOutline>
              </w:rPr>
              <w:t>区</w:t>
            </w:r>
            <w:r>
              <w:rPr>
                <w:spacing w:val="6"/>
              </w:rPr>
              <w:t xml:space="preserve">          </w:t>
            </w:r>
            <w:r>
              <w:rPr>
                <w:spacing w:val="-7"/>
                <w14:textOutline w14:w="3795" w14:cap="sq" w14:cmpd="sng">
                  <w14:solidFill>
                    <w14:srgbClr w14:val="000000"/>
                  </w14:solidFill>
                  <w14:prstDash w14:val="solid"/>
                  <w14:bevel/>
                </w14:textOutline>
              </w:rPr>
              <w:t>划</w:t>
            </w:r>
          </w:p>
        </w:tc>
        <w:tc>
          <w:tcPr>
            <w:tcW w:w="1669" w:type="pct"/>
            <w:tcBorders>
              <w:tl2br w:val="nil"/>
              <w:tr2bl w:val="nil"/>
            </w:tcBorders>
            <w:vAlign w:val="top"/>
          </w:tcPr>
          <w:p w14:paraId="6783CB04">
            <w:pPr>
              <w:pStyle w:val="15"/>
              <w:spacing w:before="35" w:line="226" w:lineRule="auto"/>
              <w:ind w:left="1200"/>
            </w:pPr>
            <w:r>
              <w:rPr>
                <w14:textOutline w14:w="3795" w14:cap="sq" w14:cmpd="sng">
                  <w14:solidFill>
                    <w14:srgbClr w14:val="000000"/>
                  </w14:solidFill>
                  <w14:prstDash w14:val="solid"/>
                  <w14:bevel/>
                </w14:textOutline>
              </w:rPr>
              <w:t>依</w:t>
            </w:r>
            <w:r>
              <w:rPr>
                <w:spacing w:val="8"/>
              </w:rPr>
              <w:t xml:space="preserve">   </w:t>
            </w:r>
            <w:r>
              <w:rPr>
                <w14:textOutline w14:w="3795" w14:cap="sq" w14:cmpd="sng">
                  <w14:solidFill>
                    <w14:srgbClr w14:val="000000"/>
                  </w14:solidFill>
                  <w14:prstDash w14:val="solid"/>
                  <w14:bevel/>
                </w14:textOutline>
              </w:rPr>
              <w:t>据</w:t>
            </w:r>
          </w:p>
        </w:tc>
      </w:tr>
      <w:tr w14:paraId="41405CCA">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08" w:hRule="atLeast"/>
        </w:trPr>
        <w:tc>
          <w:tcPr>
            <w:tcW w:w="912" w:type="pct"/>
            <w:tcBorders>
              <w:tl2br w:val="nil"/>
              <w:tr2bl w:val="nil"/>
            </w:tcBorders>
            <w:vAlign w:val="top"/>
          </w:tcPr>
          <w:p w14:paraId="431DD211">
            <w:pPr>
              <w:pStyle w:val="15"/>
              <w:spacing w:before="294" w:line="228" w:lineRule="auto"/>
              <w:ind w:left="113"/>
            </w:pPr>
            <w:r>
              <w:rPr>
                <w:spacing w:val="8"/>
              </w:rPr>
              <w:t>环境空气功能区</w:t>
            </w:r>
          </w:p>
        </w:tc>
        <w:tc>
          <w:tcPr>
            <w:tcW w:w="2417" w:type="pct"/>
            <w:tcBorders>
              <w:tl2br w:val="nil"/>
              <w:tr2bl w:val="nil"/>
            </w:tcBorders>
            <w:vAlign w:val="top"/>
          </w:tcPr>
          <w:p w14:paraId="3B49F2C9">
            <w:pPr>
              <w:pStyle w:val="15"/>
              <w:spacing w:before="24" w:line="238" w:lineRule="auto"/>
              <w:ind w:right="99"/>
              <w:jc w:val="both"/>
            </w:pPr>
            <w:r>
              <w:rPr>
                <w:spacing w:val="4"/>
              </w:rPr>
              <w:t>本工程位于</w:t>
            </w:r>
            <w:r>
              <w:rPr>
                <w:rFonts w:hint="eastAsia"/>
                <w:spacing w:val="4"/>
                <w:lang w:eastAsia="zh-CN"/>
              </w:rPr>
              <w:t>吐鲁番市</w:t>
            </w:r>
            <w:r>
              <w:rPr>
                <w:spacing w:val="4"/>
              </w:rPr>
              <w:t>境内，该区属于《环境空</w:t>
            </w:r>
            <w:r>
              <w:rPr>
                <w:spacing w:val="14"/>
              </w:rPr>
              <w:t xml:space="preserve"> </w:t>
            </w:r>
            <w:r>
              <w:t>气质量标准》(GB3095-2012)中的二类环境空气功</w:t>
            </w:r>
            <w:r>
              <w:rPr>
                <w:spacing w:val="10"/>
              </w:rPr>
              <w:t xml:space="preserve"> </w:t>
            </w:r>
            <w:r>
              <w:rPr>
                <w:spacing w:val="2"/>
              </w:rPr>
              <w:t>能区。</w:t>
            </w:r>
          </w:p>
        </w:tc>
        <w:tc>
          <w:tcPr>
            <w:tcW w:w="1669" w:type="pct"/>
            <w:vMerge w:val="restart"/>
            <w:tcBorders>
              <w:tl2br w:val="nil"/>
              <w:tr2bl w:val="nil"/>
            </w:tcBorders>
            <w:vAlign w:val="top"/>
          </w:tcPr>
          <w:p w14:paraId="100E2261">
            <w:pPr>
              <w:spacing w:line="273" w:lineRule="auto"/>
              <w:rPr>
                <w:rFonts w:ascii="Arial"/>
                <w:sz w:val="21"/>
              </w:rPr>
            </w:pPr>
          </w:p>
          <w:p w14:paraId="2D773F0B">
            <w:pPr>
              <w:spacing w:line="274" w:lineRule="auto"/>
              <w:rPr>
                <w:rFonts w:ascii="Arial"/>
                <w:sz w:val="21"/>
              </w:rPr>
            </w:pPr>
          </w:p>
          <w:p w14:paraId="15F1E51E">
            <w:pPr>
              <w:pStyle w:val="15"/>
              <w:spacing w:before="65" w:line="233" w:lineRule="auto"/>
              <w:ind w:left="1584"/>
            </w:pPr>
            <w:r>
              <w:t>/</w:t>
            </w:r>
          </w:p>
        </w:tc>
      </w:tr>
      <w:tr w14:paraId="5042CE9C">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6" w:hRule="atLeast"/>
        </w:trPr>
        <w:tc>
          <w:tcPr>
            <w:tcW w:w="912" w:type="pct"/>
            <w:tcBorders>
              <w:tl2br w:val="nil"/>
              <w:tr2bl w:val="nil"/>
            </w:tcBorders>
            <w:vAlign w:val="top"/>
          </w:tcPr>
          <w:p w14:paraId="1B7D29F8">
            <w:pPr>
              <w:pStyle w:val="15"/>
              <w:spacing w:before="213" w:line="228" w:lineRule="auto"/>
              <w:ind w:left="220"/>
            </w:pPr>
            <w:r>
              <w:rPr>
                <w:spacing w:val="7"/>
              </w:rPr>
              <w:t>声环境功能区</w:t>
            </w:r>
          </w:p>
        </w:tc>
        <w:tc>
          <w:tcPr>
            <w:tcW w:w="2417" w:type="pct"/>
            <w:tcBorders>
              <w:tl2br w:val="nil"/>
              <w:tr2bl w:val="nil"/>
            </w:tcBorders>
            <w:vAlign w:val="top"/>
          </w:tcPr>
          <w:p w14:paraId="39AE3404">
            <w:pPr>
              <w:pStyle w:val="15"/>
              <w:spacing w:before="56" w:line="258" w:lineRule="auto"/>
              <w:ind w:right="85"/>
            </w:pPr>
            <w:r>
              <w:rPr>
                <w:spacing w:val="-4"/>
              </w:rPr>
              <w:t>本工程位于</w:t>
            </w:r>
            <w:r>
              <w:rPr>
                <w:rFonts w:hint="eastAsia"/>
                <w:spacing w:val="-4"/>
                <w:lang w:eastAsia="zh-CN"/>
              </w:rPr>
              <w:t>吐鲁番市</w:t>
            </w:r>
            <w:r>
              <w:rPr>
                <w:spacing w:val="-4"/>
              </w:rPr>
              <w:t>境内，</w:t>
            </w:r>
            <w:r>
              <w:rPr>
                <w:rFonts w:hint="eastAsia"/>
                <w:spacing w:val="-4"/>
                <w:lang w:val="en-US" w:eastAsia="zh-CN"/>
              </w:rPr>
              <w:t>项目区</w:t>
            </w:r>
            <w:r>
              <w:rPr>
                <w:spacing w:val="-4"/>
              </w:rPr>
              <w:t>属于《声环境质</w:t>
            </w:r>
            <w:r>
              <w:rPr>
                <w:spacing w:val="8"/>
              </w:rPr>
              <w:t xml:space="preserve"> </w:t>
            </w:r>
            <w:r>
              <w:rPr>
                <w:spacing w:val="-2"/>
              </w:rPr>
              <w:t>量标准》(GB3096-2008)中的</w:t>
            </w:r>
            <w:r>
              <w:rPr>
                <w:spacing w:val="-38"/>
              </w:rPr>
              <w:t xml:space="preserve"> </w:t>
            </w:r>
            <w:r>
              <w:rPr>
                <w:spacing w:val="-2"/>
              </w:rPr>
              <w:t>2</w:t>
            </w:r>
            <w:r>
              <w:rPr>
                <w:spacing w:val="-48"/>
              </w:rPr>
              <w:t xml:space="preserve"> </w:t>
            </w:r>
            <w:r>
              <w:rPr>
                <w:spacing w:val="-2"/>
              </w:rPr>
              <w:t>类声环境功能区。</w:t>
            </w:r>
          </w:p>
        </w:tc>
        <w:tc>
          <w:tcPr>
            <w:tcW w:w="1669" w:type="pct"/>
            <w:vMerge w:val="continue"/>
            <w:tcBorders>
              <w:tl2br w:val="nil"/>
              <w:tr2bl w:val="nil"/>
            </w:tcBorders>
            <w:vAlign w:val="top"/>
          </w:tcPr>
          <w:p w14:paraId="10151FF7">
            <w:pPr>
              <w:rPr>
                <w:rFonts w:ascii="Arial"/>
                <w:sz w:val="21"/>
              </w:rPr>
            </w:pPr>
          </w:p>
        </w:tc>
      </w:tr>
      <w:tr w14:paraId="6C5A6DC8">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277" w:hRule="atLeast"/>
        </w:trPr>
        <w:tc>
          <w:tcPr>
            <w:tcW w:w="912" w:type="pct"/>
            <w:tcBorders>
              <w:tl2br w:val="nil"/>
              <w:tr2bl w:val="nil"/>
            </w:tcBorders>
            <w:vAlign w:val="top"/>
          </w:tcPr>
          <w:p w14:paraId="2E387614">
            <w:pPr>
              <w:spacing w:line="325" w:lineRule="auto"/>
              <w:rPr>
                <w:rFonts w:ascii="Arial"/>
                <w:sz w:val="21"/>
              </w:rPr>
            </w:pPr>
          </w:p>
          <w:p w14:paraId="3FBD52CA">
            <w:pPr>
              <w:spacing w:line="325" w:lineRule="auto"/>
              <w:rPr>
                <w:rFonts w:ascii="Arial"/>
                <w:sz w:val="21"/>
              </w:rPr>
            </w:pPr>
          </w:p>
          <w:p w14:paraId="1A97BACA">
            <w:pPr>
              <w:pStyle w:val="15"/>
              <w:spacing w:before="65" w:line="228" w:lineRule="auto"/>
              <w:ind w:left="218"/>
            </w:pPr>
            <w:r>
              <w:rPr>
                <w:spacing w:val="7"/>
              </w:rPr>
              <w:t>水环境功能区</w:t>
            </w:r>
          </w:p>
        </w:tc>
        <w:tc>
          <w:tcPr>
            <w:tcW w:w="2417" w:type="pct"/>
            <w:tcBorders>
              <w:tl2br w:val="nil"/>
              <w:tr2bl w:val="nil"/>
            </w:tcBorders>
            <w:vAlign w:val="top"/>
          </w:tcPr>
          <w:p w14:paraId="4F258572">
            <w:pPr>
              <w:pStyle w:val="15"/>
              <w:spacing w:before="24"/>
              <w:ind w:left="105" w:right="119" w:firstLine="35"/>
            </w:pPr>
            <w:r>
              <w:rPr>
                <w:rFonts w:hint="eastAsia"/>
                <w:spacing w:val="9"/>
                <w:lang w:val="en-US" w:eastAsia="zh-CN"/>
              </w:rPr>
              <w:t>地表水</w:t>
            </w:r>
            <w:r>
              <w:rPr>
                <w:spacing w:val="9"/>
              </w:rPr>
              <w:t>水质执行《地表水环境质量标准</w:t>
            </w:r>
          </w:p>
          <w:p w14:paraId="688D9D80">
            <w:pPr>
              <w:pStyle w:val="15"/>
              <w:spacing w:before="24" w:line="228" w:lineRule="auto"/>
              <w:ind w:left="141"/>
            </w:pPr>
            <w:r>
              <w:rPr>
                <w:spacing w:val="5"/>
              </w:rPr>
              <w:t>(</w:t>
            </w:r>
            <w:r>
              <w:t>GB</w:t>
            </w:r>
            <w:r>
              <w:rPr>
                <w:spacing w:val="5"/>
              </w:rPr>
              <w:t>3838-2002)》Ⅲ类水质标准限值。</w:t>
            </w:r>
          </w:p>
          <w:p w14:paraId="34E761E3">
            <w:pPr>
              <w:pStyle w:val="15"/>
              <w:spacing w:before="27" w:line="226" w:lineRule="auto"/>
              <w:ind w:left="141" w:right="110" w:hanging="36"/>
            </w:pPr>
            <w:r>
              <w:rPr>
                <w:spacing w:val="-3"/>
              </w:rPr>
              <w:t>地 下</w:t>
            </w:r>
            <w:r>
              <w:rPr>
                <w:spacing w:val="30"/>
              </w:rPr>
              <w:t xml:space="preserve"> </w:t>
            </w:r>
            <w:r>
              <w:rPr>
                <w:spacing w:val="-3"/>
              </w:rPr>
              <w:t>水</w:t>
            </w:r>
            <w:r>
              <w:rPr>
                <w:spacing w:val="14"/>
              </w:rPr>
              <w:t xml:space="preserve"> </w:t>
            </w:r>
            <w:r>
              <w:rPr>
                <w:spacing w:val="-3"/>
              </w:rPr>
              <w:t>执</w:t>
            </w:r>
            <w:r>
              <w:rPr>
                <w:spacing w:val="19"/>
              </w:rPr>
              <w:t xml:space="preserve"> </w:t>
            </w:r>
            <w:r>
              <w:rPr>
                <w:spacing w:val="-3"/>
              </w:rPr>
              <w:t>行</w:t>
            </w:r>
            <w:r>
              <w:rPr>
                <w:spacing w:val="13"/>
              </w:rPr>
              <w:t xml:space="preserve"> </w:t>
            </w:r>
            <w:r>
              <w:rPr>
                <w:spacing w:val="-3"/>
              </w:rPr>
              <w:t>《</w:t>
            </w:r>
            <w:r>
              <w:rPr>
                <w:spacing w:val="36"/>
              </w:rPr>
              <w:t xml:space="preserve"> </w:t>
            </w:r>
            <w:r>
              <w:rPr>
                <w:spacing w:val="-3"/>
              </w:rPr>
              <w:t>地</w:t>
            </w:r>
            <w:r>
              <w:rPr>
                <w:spacing w:val="23"/>
              </w:rPr>
              <w:t xml:space="preserve"> </w:t>
            </w:r>
            <w:r>
              <w:rPr>
                <w:spacing w:val="-3"/>
              </w:rPr>
              <w:t>下</w:t>
            </w:r>
            <w:r>
              <w:rPr>
                <w:spacing w:val="18"/>
              </w:rPr>
              <w:t xml:space="preserve"> </w:t>
            </w:r>
            <w:r>
              <w:rPr>
                <w:spacing w:val="-3"/>
              </w:rPr>
              <w:t>水</w:t>
            </w:r>
            <w:r>
              <w:rPr>
                <w:spacing w:val="14"/>
              </w:rPr>
              <w:t xml:space="preserve"> </w:t>
            </w:r>
            <w:r>
              <w:rPr>
                <w:spacing w:val="-3"/>
              </w:rPr>
              <w:t>质</w:t>
            </w:r>
            <w:r>
              <w:rPr>
                <w:spacing w:val="16"/>
              </w:rPr>
              <w:t xml:space="preserve"> </w:t>
            </w:r>
            <w:r>
              <w:rPr>
                <w:spacing w:val="-3"/>
              </w:rPr>
              <w:t>量</w:t>
            </w:r>
            <w:r>
              <w:rPr>
                <w:spacing w:val="17"/>
              </w:rPr>
              <w:t xml:space="preserve"> </w:t>
            </w:r>
            <w:r>
              <w:rPr>
                <w:spacing w:val="-3"/>
              </w:rPr>
              <w:t>标</w:t>
            </w:r>
            <w:r>
              <w:rPr>
                <w:spacing w:val="18"/>
              </w:rPr>
              <w:t xml:space="preserve"> </w:t>
            </w:r>
            <w:r>
              <w:rPr>
                <w:spacing w:val="-3"/>
              </w:rPr>
              <w:t>准</w:t>
            </w:r>
            <w:r>
              <w:rPr>
                <w:spacing w:val="27"/>
              </w:rPr>
              <w:t xml:space="preserve"> </w:t>
            </w:r>
            <w:r>
              <w:rPr>
                <w:spacing w:val="-3"/>
              </w:rPr>
              <w:t>》</w:t>
            </w:r>
            <w:r>
              <w:t xml:space="preserve"> </w:t>
            </w:r>
            <w:r>
              <w:rPr>
                <w:spacing w:val="4"/>
              </w:rPr>
              <w:t>(</w:t>
            </w:r>
            <w:r>
              <w:t>GB</w:t>
            </w:r>
            <w:r>
              <w:rPr>
                <w:spacing w:val="4"/>
              </w:rPr>
              <w:t>/T14848-2017)中Ⅲ类标准。</w:t>
            </w:r>
          </w:p>
        </w:tc>
        <w:tc>
          <w:tcPr>
            <w:tcW w:w="1669" w:type="pct"/>
            <w:tcBorders>
              <w:tl2br w:val="nil"/>
              <w:tr2bl w:val="nil"/>
            </w:tcBorders>
            <w:vAlign w:val="top"/>
          </w:tcPr>
          <w:p w14:paraId="646C8F90">
            <w:pPr>
              <w:spacing w:line="379" w:lineRule="auto"/>
              <w:rPr>
                <w:rFonts w:ascii="Arial"/>
                <w:sz w:val="21"/>
              </w:rPr>
            </w:pPr>
          </w:p>
          <w:p w14:paraId="011F3EA1">
            <w:pPr>
              <w:pStyle w:val="15"/>
              <w:spacing w:before="65" w:line="244" w:lineRule="auto"/>
              <w:ind w:left="121" w:right="97"/>
              <w:jc w:val="both"/>
            </w:pPr>
            <w:r>
              <w:rPr>
                <w:spacing w:val="6"/>
              </w:rPr>
              <w:t>《中国新疆水环境功能区划》、</w:t>
            </w:r>
            <w:r>
              <w:rPr>
                <w:spacing w:val="4"/>
              </w:rPr>
              <w:t xml:space="preserve"> </w:t>
            </w:r>
            <w:r>
              <w:rPr>
                <w:spacing w:val="6"/>
              </w:rPr>
              <w:t>《</w:t>
            </w:r>
            <w:r>
              <w:rPr>
                <w:rFonts w:hint="eastAsia"/>
                <w:spacing w:val="6"/>
                <w:lang w:eastAsia="zh-CN"/>
              </w:rPr>
              <w:t>吐鲁番市</w:t>
            </w:r>
            <w:r>
              <w:rPr>
                <w:spacing w:val="6"/>
              </w:rPr>
              <w:t>“三线一</w:t>
            </w:r>
            <w:r>
              <w:rPr>
                <w:spacing w:val="3"/>
              </w:rPr>
              <w:t xml:space="preserve"> </w:t>
            </w:r>
            <w:r>
              <w:rPr>
                <w:spacing w:val="12"/>
              </w:rPr>
              <w:t>单</w:t>
            </w:r>
            <w:r>
              <w:rPr>
                <w:spacing w:val="-67"/>
              </w:rPr>
              <w:t xml:space="preserve"> </w:t>
            </w:r>
            <w:r>
              <w:rPr>
                <w:spacing w:val="12"/>
              </w:rPr>
              <w:t>”生态环境分区管控方案》</w:t>
            </w:r>
          </w:p>
        </w:tc>
      </w:tr>
      <w:tr w14:paraId="7346847E">
        <w:tblPrEx>
          <w:tblBorders>
            <w:top w:val="single" w:color="000000" w:sz="10" w:space="0"/>
            <w:left w:val="none" w:color="auto" w:sz="0" w:space="0"/>
            <w:bottom w:val="single" w:color="000000" w:sz="10"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39" w:hRule="atLeast"/>
        </w:trPr>
        <w:tc>
          <w:tcPr>
            <w:tcW w:w="912" w:type="pct"/>
            <w:tcBorders>
              <w:tl2br w:val="nil"/>
              <w:tr2bl w:val="nil"/>
            </w:tcBorders>
            <w:vAlign w:val="top"/>
          </w:tcPr>
          <w:p w14:paraId="721C9397">
            <w:pPr>
              <w:spacing w:line="253" w:lineRule="auto"/>
              <w:rPr>
                <w:rFonts w:ascii="Arial"/>
                <w:sz w:val="21"/>
              </w:rPr>
            </w:pPr>
          </w:p>
          <w:p w14:paraId="0673D0B4">
            <w:pPr>
              <w:pStyle w:val="15"/>
              <w:spacing w:before="65" w:line="229" w:lineRule="auto"/>
              <w:ind w:left="323"/>
            </w:pPr>
            <w:r>
              <w:rPr>
                <w:spacing w:val="7"/>
              </w:rPr>
              <w:t>生态功能区</w:t>
            </w:r>
          </w:p>
        </w:tc>
        <w:tc>
          <w:tcPr>
            <w:tcW w:w="2417" w:type="pct"/>
            <w:tcBorders>
              <w:tl2br w:val="nil"/>
              <w:tr2bl w:val="nil"/>
            </w:tcBorders>
            <w:vAlign w:val="top"/>
          </w:tcPr>
          <w:p w14:paraId="5BB14A11">
            <w:pPr>
              <w:pStyle w:val="15"/>
              <w:spacing w:before="49"/>
              <w:ind w:left="105" w:right="87" w:firstLine="395"/>
              <w:jc w:val="both"/>
            </w:pPr>
            <w:r>
              <w:rPr>
                <w:rFonts w:ascii="Times New Roman" w:hAnsi="Times New Roman" w:eastAsia="Times New Roman" w:cs="Times New Roman"/>
                <w:spacing w:val="9"/>
                <w:sz w:val="20"/>
                <w:szCs w:val="20"/>
              </w:rPr>
              <w:t>Ⅲ4</w:t>
            </w:r>
            <w:r>
              <w:rPr>
                <w:rFonts w:ascii="Times New Roman" w:hAnsi="Times New Roman" w:eastAsia="Times New Roman" w:cs="Times New Roman"/>
                <w:spacing w:val="16"/>
                <w:w w:val="101"/>
                <w:sz w:val="20"/>
                <w:szCs w:val="20"/>
              </w:rPr>
              <w:t xml:space="preserve"> </w:t>
            </w:r>
            <w:r>
              <w:rPr>
                <w:spacing w:val="9"/>
                <w:sz w:val="20"/>
                <w:szCs w:val="20"/>
              </w:rPr>
              <w:t>天山南</w:t>
            </w:r>
            <w:r>
              <w:rPr>
                <w:spacing w:val="8"/>
                <w:sz w:val="20"/>
                <w:szCs w:val="20"/>
              </w:rPr>
              <w:t>坡吐鲁番</w:t>
            </w:r>
            <w:r>
              <w:rPr>
                <w:rFonts w:ascii="Times New Roman" w:hAnsi="Times New Roman" w:eastAsia="Times New Roman" w:cs="Times New Roman"/>
                <w:spacing w:val="8"/>
                <w:sz w:val="20"/>
                <w:szCs w:val="20"/>
              </w:rPr>
              <w:t>-</w:t>
            </w:r>
            <w:r>
              <w:rPr>
                <w:spacing w:val="8"/>
                <w:sz w:val="20"/>
                <w:szCs w:val="20"/>
              </w:rPr>
              <w:t>哈密盆地戈壁</w:t>
            </w:r>
            <w:r>
              <w:rPr>
                <w:sz w:val="20"/>
                <w:szCs w:val="20"/>
              </w:rPr>
              <w:t xml:space="preserve"> </w:t>
            </w:r>
            <w:r>
              <w:rPr>
                <w:spacing w:val="9"/>
                <w:sz w:val="20"/>
                <w:szCs w:val="20"/>
              </w:rPr>
              <w:t>荒漠、绿洲农业生态亚区、吐鲁番盆地绿洲特色农业与旅游生态功能区</w:t>
            </w:r>
          </w:p>
        </w:tc>
        <w:tc>
          <w:tcPr>
            <w:tcW w:w="1669" w:type="pct"/>
            <w:tcBorders>
              <w:tl2br w:val="nil"/>
              <w:tr2bl w:val="nil"/>
            </w:tcBorders>
            <w:vAlign w:val="top"/>
          </w:tcPr>
          <w:p w14:paraId="41C3F433">
            <w:pPr>
              <w:spacing w:line="254" w:lineRule="auto"/>
              <w:rPr>
                <w:rFonts w:ascii="Arial"/>
                <w:sz w:val="21"/>
              </w:rPr>
            </w:pPr>
          </w:p>
          <w:p w14:paraId="2CC69761">
            <w:pPr>
              <w:pStyle w:val="15"/>
              <w:spacing w:before="65" w:line="228" w:lineRule="auto"/>
              <w:ind w:left="522"/>
            </w:pPr>
            <w:r>
              <w:rPr>
                <w:spacing w:val="7"/>
              </w:rPr>
              <w:t>《新疆生态功能区划》</w:t>
            </w:r>
          </w:p>
        </w:tc>
      </w:tr>
    </w:tbl>
    <w:p w14:paraId="67CEB643">
      <w:pPr>
        <w:pStyle w:val="3"/>
        <w:spacing w:line="264" w:lineRule="auto"/>
      </w:pPr>
    </w:p>
    <w:p w14:paraId="5BA1A576">
      <w:pPr>
        <w:keepNext w:val="0"/>
        <w:keepLines w:val="0"/>
        <w:pageBreakBefore w:val="0"/>
        <w:widowControl/>
        <w:kinsoku w:val="0"/>
        <w:wordWrap/>
        <w:overflowPunct/>
        <w:topLinePunct w:val="0"/>
        <w:autoSpaceDE w:val="0"/>
        <w:autoSpaceDN w:val="0"/>
        <w:bidi w:val="0"/>
        <w:adjustRightInd w:val="0"/>
        <w:snapToGrid w:val="0"/>
        <w:spacing w:before="97" w:line="360" w:lineRule="auto"/>
        <w:ind w:left="28"/>
        <w:textAlignment w:val="baseline"/>
        <w:outlineLvl w:val="1"/>
        <w:rPr>
          <w:rFonts w:hint="eastAsia" w:ascii="黑体" w:hAnsi="黑体" w:eastAsia="黑体" w:cs="黑体"/>
          <w:sz w:val="30"/>
          <w:szCs w:val="30"/>
        </w:rPr>
      </w:pPr>
      <w:bookmarkStart w:id="12" w:name="bookmark12"/>
      <w:bookmarkEnd w:id="12"/>
      <w:r>
        <w:rPr>
          <w:rFonts w:hint="eastAsia" w:ascii="黑体" w:hAnsi="黑体" w:eastAsia="黑体" w:cs="黑体"/>
          <w:spacing w:val="1"/>
          <w:sz w:val="30"/>
          <w:szCs w:val="30"/>
          <w14:textOutline w14:w="5448" w14:cap="sq" w14:cmpd="sng">
            <w14:solidFill>
              <w14:srgbClr w14:val="000000"/>
            </w14:solidFill>
            <w14:prstDash w14:val="solid"/>
            <w14:bevel/>
          </w14:textOutline>
        </w:rPr>
        <w:t>2.5</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评价工作等级</w:t>
      </w:r>
    </w:p>
    <w:p w14:paraId="70891DC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环境空气</w:t>
      </w:r>
    </w:p>
    <w:p w14:paraId="3740586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本工程运行期无大气污染物产生，对环境空气的影响仅限于施工期的施工作业区，本工程施工期的大气污染物主要为 TSP、SO2 和 NOx。本工程施工作业面分散、地形相对开阔</w:t>
      </w:r>
      <w:r>
        <w:rPr>
          <w:rFonts w:hint="eastAsia" w:ascii="宋体" w:hAnsi="宋体" w:eastAsia="宋体" w:cs="宋体"/>
          <w:sz w:val="24"/>
          <w:szCs w:val="24"/>
          <w:lang w:eastAsia="zh-CN"/>
        </w:rPr>
        <w:t>，</w:t>
      </w:r>
      <w:r>
        <w:rPr>
          <w:rFonts w:ascii="宋体" w:hAnsi="宋体" w:eastAsia="宋体" w:cs="宋体"/>
          <w:sz w:val="24"/>
          <w:szCs w:val="24"/>
        </w:rPr>
        <w:t>大气环境影响较小，依据《环境影响评价技术导则 大气环境》(HJ2.2-2018)相关内容，本工程环境空气评价等级确定为三级。</w:t>
      </w:r>
    </w:p>
    <w:p w14:paraId="77E56BD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声环境</w:t>
      </w:r>
    </w:p>
    <w:p w14:paraId="2BA181C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《环境影响评价技术导则 声环境》(HJ2.4-2021)规定：评价范围内有适用于 GB3096 规定的 0 类声环境功能区域，或建设项目建设前后评价范围内声环境保护目标噪声级增 量达 5dB(A)以上(不含 5dB(A))，或受影响人口数量显著增加时，按一级评价。建设项 目所处的声环境功能区为 GB3096 规定的 1 类、2 类地区，或建设项目建设前后评价范围 内声环境保护目标噪声级增量达 3dB(A)～5dB(A)，或受噪声影响人口数量增加较多时，按二级评价。建设项目所处的声环境功能区为 GB3096 规定的 3 类、4 类地区，或建设项目建设前后评价范围内声环境保护目标噪声级增量在 3dB(A)以下(不含 3dB(A))，且受 影响人口数量变化不大时，按三级评价。在确定评价等级时，如果建设项目符合两个等级的划分原则，按较高等级评价。建设项目建设地点所处声环境功能区主要为 GB3096 规定的 2 类地区。根据《环境影响评价技术导则 声环境》 (HJ2.42021)，确定声环境影响评价工作等级为二级。</w:t>
      </w:r>
    </w:p>
    <w:p w14:paraId="2145A0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生态环境</w:t>
      </w:r>
    </w:p>
    <w:p w14:paraId="04C3C7B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本工程涉及</w:t>
      </w:r>
      <w:r>
        <w:rPr>
          <w:rFonts w:hint="eastAsia" w:ascii="宋体" w:hAnsi="宋体" w:eastAsia="宋体" w:cs="宋体"/>
          <w:sz w:val="24"/>
          <w:szCs w:val="24"/>
          <w:lang w:eastAsia="zh-CN"/>
        </w:rPr>
        <w:t>艾丁湖</w:t>
      </w:r>
      <w:r>
        <w:rPr>
          <w:rFonts w:ascii="宋体" w:hAnsi="宋体" w:eastAsia="宋体" w:cs="宋体"/>
          <w:sz w:val="24"/>
          <w:szCs w:val="24"/>
        </w:rPr>
        <w:t>国家湿地公园。 依据《环境影响评价技术导则 生态影响》(HJ19-2022)，建设项目确定的生态评价工作等级为二级。</w:t>
      </w:r>
    </w:p>
    <w:p w14:paraId="5094998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ascii="宋体" w:hAnsi="宋体" w:eastAsia="宋体" w:cs="宋体"/>
          <w:sz w:val="24"/>
          <w:szCs w:val="24"/>
        </w:rPr>
        <w:t>水环境</w:t>
      </w:r>
    </w:p>
    <w:p w14:paraId="161B102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①地表水环境评价工作等级</w:t>
      </w:r>
    </w:p>
    <w:p w14:paraId="73DCA7E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本工程施工期的施工废水经处理后回用，施工人员主要租住附近民房，生活依托现 有设施，生活污水纳入现有排水系统，不外排；需搭建简易彩板房时建议设置移动环保公厕，定期交由环卫部门采取吸污车拉运，施工结束后拆除；运行期无废污水排放。根 据《环境影响评价技术导则 地表水环境》 (HJ 2.3-2018)相关内容，确定本工程</w:t>
      </w:r>
      <w:r>
        <w:rPr>
          <w:rFonts w:hint="eastAsia" w:ascii="宋体" w:hAnsi="宋体" w:eastAsia="宋体" w:cs="宋体"/>
          <w:sz w:val="24"/>
          <w:szCs w:val="24"/>
          <w:lang w:val="en-US" w:eastAsia="zh-CN"/>
        </w:rPr>
        <w:t>地表水环境</w:t>
      </w:r>
      <w:r>
        <w:rPr>
          <w:rFonts w:ascii="宋体" w:hAnsi="宋体" w:eastAsia="宋体" w:cs="宋体"/>
          <w:sz w:val="24"/>
          <w:szCs w:val="24"/>
        </w:rPr>
        <w:t>影响评价等级为三级</w:t>
      </w:r>
      <w:r>
        <w:rPr>
          <w:rFonts w:hint="eastAsia" w:ascii="宋体" w:hAnsi="宋体" w:eastAsia="宋体" w:cs="宋体"/>
          <w:sz w:val="24"/>
          <w:szCs w:val="24"/>
          <w:lang w:val="en-US" w:eastAsia="zh-CN"/>
        </w:rPr>
        <w:t>B</w:t>
      </w:r>
      <w:r>
        <w:rPr>
          <w:rFonts w:ascii="宋体" w:hAnsi="宋体" w:eastAsia="宋体" w:cs="宋体"/>
          <w:sz w:val="24"/>
          <w:szCs w:val="24"/>
        </w:rPr>
        <w:t>。</w:t>
      </w:r>
    </w:p>
    <w:p w14:paraId="193A1E0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②地下水环境评价工作等级</w:t>
      </w:r>
    </w:p>
    <w:p w14:paraId="0C039EF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根据《环境影响评价技术导则 地下水环境》 (HJ610-2016)中附录 A 结合《建设项 目环境影响评价分类管理名录》，将建设项目分为四类,其中Ⅰ类、 Ⅱ类、Ⅲ类建设项 目的地下水环境影响评价应按照《环境影响评价技术导则 地下水环境(HJ610-2016)》 开展工作；本工程为灌区工程，且不属于再生水灌溉工程，属于Ⅳ类建设项目，不开展地下水环境影响评价。</w:t>
      </w:r>
    </w:p>
    <w:p w14:paraId="41DCEB7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ascii="宋体" w:hAnsi="宋体" w:eastAsia="宋体" w:cs="宋体"/>
          <w:sz w:val="24"/>
          <w:szCs w:val="24"/>
        </w:rPr>
        <w:t>土壤环境</w:t>
      </w:r>
    </w:p>
    <w:p w14:paraId="60B6F33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本工程为</w:t>
      </w:r>
      <w:r>
        <w:rPr>
          <w:rFonts w:hint="eastAsia" w:ascii="宋体" w:hAnsi="宋体" w:eastAsia="宋体" w:cs="宋体"/>
          <w:sz w:val="24"/>
          <w:szCs w:val="24"/>
          <w:lang w:eastAsia="zh-CN"/>
        </w:rPr>
        <w:t>灌区水利</w:t>
      </w:r>
      <w:r>
        <w:rPr>
          <w:rFonts w:ascii="宋体" w:hAnsi="宋体" w:eastAsia="宋体" w:cs="宋体"/>
          <w:sz w:val="24"/>
          <w:szCs w:val="24"/>
        </w:rPr>
        <w:t>工程，属生态影响型。对照《环境影响评价技术导则 土壤环境（试行）》（HJ964-2018）中“附录A表A.1 土壤环境影响评价项目类别 ”，本工程行业类别属于“农林牧渔业”中的“其他”。因此，本工程土壤环境影响评价项目类别为Ⅳ类，本工程可不开展土壤环境影响评价工作。</w:t>
      </w:r>
    </w:p>
    <w:p w14:paraId="3D51FDC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ascii="宋体" w:hAnsi="宋体" w:eastAsia="宋体" w:cs="宋体"/>
          <w:sz w:val="24"/>
          <w:szCs w:val="24"/>
        </w:rPr>
        <w:t>环境风险</w:t>
      </w:r>
    </w:p>
    <w:p w14:paraId="4C4D9A1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根据《建设项目环境风险评价技术导则》（HJ169-2018）规定，环境风险评价的工 作等级主要根据建设项目涉及的物质及工艺系统危险性和所在地的环境敏感性确定环境风险潜势，再确定评价等级。根据工程特征和《建设项目环境风险评价技术导则》（HJ169-2018）附录 B，本工程运营过程中不涉及有毒有害、易燃易爆物质的生产、使用、储存，以及高温高压等工艺过程。根据导则，核算 Q=0，M=0，根据导则，风险潜势为 I，环境风险评价等级为简单分析，详见表 2-5-2。</w:t>
      </w:r>
    </w:p>
    <w:p w14:paraId="2FFB355F">
      <w:pPr>
        <w:spacing w:before="183" w:line="213" w:lineRule="auto"/>
        <w:ind w:left="199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2-5-2</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环境风险评价工作等级判据</w:t>
      </w:r>
      <w:r>
        <w:rPr>
          <w:rFonts w:ascii="宋体" w:hAnsi="宋体" w:eastAsia="宋体" w:cs="宋体"/>
          <w:spacing w:val="-1"/>
          <w:sz w:val="24"/>
          <w:szCs w:val="24"/>
          <w14:textOutline w14:w="4358" w14:cap="sq" w14:cmpd="sng">
            <w14:solidFill>
              <w14:srgbClr w14:val="000000"/>
            </w14:solidFill>
            <w14:prstDash w14:val="solid"/>
            <w14:bevel/>
          </w14:textOutline>
        </w:rPr>
        <w:t>一览表</w:t>
      </w:r>
    </w:p>
    <w:tbl>
      <w:tblPr>
        <w:tblStyle w:val="14"/>
        <w:tblW w:w="4999"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343"/>
        <w:gridCol w:w="1662"/>
        <w:gridCol w:w="1662"/>
        <w:gridCol w:w="1662"/>
        <w:gridCol w:w="1824"/>
      </w:tblGrid>
      <w:tr w14:paraId="136E4154">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280" w:type="pct"/>
            <w:tcBorders>
              <w:tl2br w:val="nil"/>
              <w:tr2bl w:val="nil"/>
            </w:tcBorders>
            <w:vAlign w:val="top"/>
          </w:tcPr>
          <w:p w14:paraId="3107EABD">
            <w:pPr>
              <w:pStyle w:val="15"/>
              <w:spacing w:before="89" w:line="228" w:lineRule="auto"/>
              <w:ind w:left="433"/>
            </w:pPr>
            <w:r>
              <w:rPr>
                <w:spacing w:val="8"/>
              </w:rPr>
              <w:t>环境风险潜势</w:t>
            </w:r>
          </w:p>
        </w:tc>
        <w:tc>
          <w:tcPr>
            <w:tcW w:w="908" w:type="pct"/>
            <w:tcBorders>
              <w:tl2br w:val="nil"/>
              <w:tr2bl w:val="nil"/>
            </w:tcBorders>
            <w:vAlign w:val="top"/>
          </w:tcPr>
          <w:p w14:paraId="2D5A880D">
            <w:pPr>
              <w:pStyle w:val="15"/>
              <w:spacing w:before="73" w:line="235" w:lineRule="auto"/>
              <w:ind w:left="431"/>
              <w:rPr>
                <w:sz w:val="10"/>
                <w:szCs w:val="10"/>
              </w:rPr>
            </w:pPr>
            <w:r>
              <w:rPr>
                <w:position w:val="-1"/>
              </w:rPr>
              <w:t>IV</w:t>
            </w:r>
            <w:r>
              <w:rPr>
                <w:spacing w:val="6"/>
                <w:position w:val="-1"/>
              </w:rPr>
              <w:t>、</w:t>
            </w:r>
            <w:r>
              <w:rPr>
                <w:position w:val="-1"/>
              </w:rPr>
              <w:t>IV</w:t>
            </w:r>
            <w:r>
              <w:rPr>
                <w:spacing w:val="6"/>
                <w:position w:val="9"/>
                <w:sz w:val="10"/>
                <w:szCs w:val="10"/>
              </w:rPr>
              <w:t>+</w:t>
            </w:r>
          </w:p>
        </w:tc>
        <w:tc>
          <w:tcPr>
            <w:tcW w:w="908" w:type="pct"/>
            <w:tcBorders>
              <w:tl2br w:val="nil"/>
              <w:tr2bl w:val="nil"/>
            </w:tcBorders>
            <w:vAlign w:val="top"/>
          </w:tcPr>
          <w:p w14:paraId="489BE4DC">
            <w:pPr>
              <w:pStyle w:val="15"/>
              <w:spacing w:before="124" w:line="187" w:lineRule="auto"/>
              <w:ind w:left="618"/>
            </w:pPr>
            <w:r>
              <w:rPr>
                <w:spacing w:val="-2"/>
              </w:rPr>
              <w:t>III</w:t>
            </w:r>
          </w:p>
        </w:tc>
        <w:tc>
          <w:tcPr>
            <w:tcW w:w="908" w:type="pct"/>
            <w:tcBorders>
              <w:tl2br w:val="nil"/>
              <w:tr2bl w:val="nil"/>
            </w:tcBorders>
            <w:vAlign w:val="top"/>
          </w:tcPr>
          <w:p w14:paraId="5598D8AE">
            <w:pPr>
              <w:pStyle w:val="15"/>
              <w:spacing w:before="124" w:line="187" w:lineRule="auto"/>
              <w:ind w:left="676"/>
            </w:pPr>
            <w:r>
              <w:rPr>
                <w:spacing w:val="-5"/>
              </w:rPr>
              <w:t>II</w:t>
            </w:r>
          </w:p>
        </w:tc>
        <w:tc>
          <w:tcPr>
            <w:tcW w:w="995" w:type="pct"/>
            <w:tcBorders>
              <w:tl2br w:val="nil"/>
              <w:tr2bl w:val="nil"/>
            </w:tcBorders>
            <w:vAlign w:val="top"/>
          </w:tcPr>
          <w:p w14:paraId="0353D0A6">
            <w:pPr>
              <w:pStyle w:val="15"/>
              <w:spacing w:before="124" w:line="187" w:lineRule="auto"/>
              <w:ind w:left="799"/>
            </w:pPr>
            <w:r>
              <w:t>I</w:t>
            </w:r>
          </w:p>
        </w:tc>
      </w:tr>
      <w:tr w14:paraId="4E0E8BFE">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280" w:type="pct"/>
            <w:tcBorders>
              <w:tl2br w:val="nil"/>
              <w:tr2bl w:val="nil"/>
            </w:tcBorders>
            <w:vAlign w:val="top"/>
          </w:tcPr>
          <w:p w14:paraId="4E6341CC">
            <w:pPr>
              <w:pStyle w:val="15"/>
              <w:spacing w:before="99" w:line="226" w:lineRule="auto"/>
              <w:ind w:left="433"/>
            </w:pPr>
            <w:r>
              <w:rPr>
                <w:spacing w:val="8"/>
              </w:rPr>
              <w:t>评价工作等级</w:t>
            </w:r>
          </w:p>
        </w:tc>
        <w:tc>
          <w:tcPr>
            <w:tcW w:w="908" w:type="pct"/>
            <w:tcBorders>
              <w:tl2br w:val="nil"/>
              <w:tr2bl w:val="nil"/>
            </w:tcBorders>
            <w:vAlign w:val="top"/>
          </w:tcPr>
          <w:p w14:paraId="2E7B77FE">
            <w:pPr>
              <w:pStyle w:val="15"/>
              <w:spacing w:before="177" w:line="156" w:lineRule="exact"/>
              <w:ind w:left="658"/>
            </w:pPr>
            <w:r>
              <w:rPr>
                <w:position w:val="-4"/>
              </w:rPr>
              <w:t>一</w:t>
            </w:r>
          </w:p>
        </w:tc>
        <w:tc>
          <w:tcPr>
            <w:tcW w:w="908" w:type="pct"/>
            <w:tcBorders>
              <w:tl2br w:val="nil"/>
              <w:tr2bl w:val="nil"/>
            </w:tcBorders>
            <w:vAlign w:val="top"/>
          </w:tcPr>
          <w:p w14:paraId="2E5B73AD">
            <w:pPr>
              <w:pStyle w:val="15"/>
              <w:spacing w:before="138" w:line="183" w:lineRule="auto"/>
              <w:ind w:left="663"/>
            </w:pPr>
            <w:r>
              <w:t>二</w:t>
            </w:r>
          </w:p>
        </w:tc>
        <w:tc>
          <w:tcPr>
            <w:tcW w:w="908" w:type="pct"/>
            <w:tcBorders>
              <w:tl2br w:val="nil"/>
              <w:tr2bl w:val="nil"/>
            </w:tcBorders>
            <w:vAlign w:val="top"/>
          </w:tcPr>
          <w:p w14:paraId="01C7A8CC">
            <w:pPr>
              <w:pStyle w:val="15"/>
              <w:spacing w:before="99" w:line="265" w:lineRule="exact"/>
              <w:ind w:left="664"/>
            </w:pPr>
            <w:r>
              <w:rPr>
                <w:position w:val="1"/>
              </w:rPr>
              <w:t>三</w:t>
            </w:r>
          </w:p>
        </w:tc>
        <w:tc>
          <w:tcPr>
            <w:tcW w:w="995" w:type="pct"/>
            <w:tcBorders>
              <w:tl2br w:val="nil"/>
              <w:tr2bl w:val="nil"/>
            </w:tcBorders>
            <w:vAlign w:val="top"/>
          </w:tcPr>
          <w:p w14:paraId="60CA9DF9">
            <w:pPr>
              <w:pStyle w:val="15"/>
              <w:spacing w:before="81" w:line="263" w:lineRule="exact"/>
              <w:ind w:left="371"/>
              <w:rPr>
                <w:sz w:val="10"/>
                <w:szCs w:val="10"/>
              </w:rPr>
            </w:pPr>
            <w:r>
              <w:rPr>
                <w:spacing w:val="5"/>
                <w:position w:val="1"/>
              </w:rPr>
              <w:t>简单分析</w:t>
            </w:r>
            <w:r>
              <w:rPr>
                <w:spacing w:val="-41"/>
                <w:position w:val="1"/>
              </w:rPr>
              <w:t xml:space="preserve"> </w:t>
            </w:r>
            <w:r>
              <w:rPr>
                <w:spacing w:val="5"/>
                <w:position w:val="10"/>
                <w:sz w:val="10"/>
                <w:szCs w:val="10"/>
              </w:rPr>
              <w:t>a</w:t>
            </w:r>
          </w:p>
        </w:tc>
      </w:tr>
      <w:tr w14:paraId="3CDF6926">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00" w:type="pct"/>
            <w:gridSpan w:val="5"/>
            <w:tcBorders>
              <w:tl2br w:val="nil"/>
              <w:tr2bl w:val="nil"/>
            </w:tcBorders>
            <w:vAlign w:val="top"/>
          </w:tcPr>
          <w:p w14:paraId="3DCF4732">
            <w:pPr>
              <w:pStyle w:val="15"/>
              <w:spacing w:before="66" w:line="257" w:lineRule="auto"/>
              <w:ind w:left="115" w:right="97" w:hanging="10"/>
            </w:pPr>
            <w:r>
              <w:rPr>
                <w:spacing w:val="9"/>
              </w:rPr>
              <w:t>a</w:t>
            </w:r>
            <w:r>
              <w:rPr>
                <w:spacing w:val="-21"/>
              </w:rPr>
              <w:t xml:space="preserve"> </w:t>
            </w:r>
            <w:r>
              <w:rPr>
                <w:spacing w:val="9"/>
              </w:rPr>
              <w:t>是相对于详细评价工作内容而言，在描述危险物质、环境影响途径、环境危害后果、风</w:t>
            </w:r>
            <w:r>
              <w:t xml:space="preserve"> </w:t>
            </w:r>
            <w:r>
              <w:rPr>
                <w:spacing w:val="8"/>
              </w:rPr>
              <w:t>险防范措施等方面给出定性的说明。见附录</w:t>
            </w:r>
            <w:r>
              <w:rPr>
                <w:spacing w:val="-43"/>
              </w:rPr>
              <w:t xml:space="preserve"> </w:t>
            </w:r>
            <w:r>
              <w:rPr>
                <w:spacing w:val="8"/>
              </w:rPr>
              <w:t>A。</w:t>
            </w:r>
          </w:p>
        </w:tc>
      </w:tr>
    </w:tbl>
    <w:p w14:paraId="1D3F823B">
      <w:pPr>
        <w:pStyle w:val="3"/>
        <w:spacing w:line="412" w:lineRule="auto"/>
      </w:pPr>
    </w:p>
    <w:p w14:paraId="07235C3F">
      <w:pPr>
        <w:keepNext w:val="0"/>
        <w:keepLines w:val="0"/>
        <w:pageBreakBefore w:val="0"/>
        <w:widowControl/>
        <w:kinsoku w:val="0"/>
        <w:wordWrap/>
        <w:overflowPunct/>
        <w:topLinePunct w:val="0"/>
        <w:autoSpaceDE w:val="0"/>
        <w:autoSpaceDN w:val="0"/>
        <w:bidi w:val="0"/>
        <w:adjustRightInd w:val="0"/>
        <w:snapToGrid w:val="0"/>
        <w:spacing w:before="97" w:line="360" w:lineRule="auto"/>
        <w:ind w:left="17"/>
        <w:textAlignment w:val="baseline"/>
        <w:outlineLvl w:val="1"/>
        <w:rPr>
          <w:rFonts w:hint="eastAsia" w:ascii="黑体" w:hAnsi="黑体" w:eastAsia="黑体" w:cs="黑体"/>
          <w:sz w:val="30"/>
          <w:szCs w:val="30"/>
        </w:rPr>
      </w:pPr>
      <w:bookmarkStart w:id="13" w:name="bookmark13"/>
      <w:bookmarkEnd w:id="13"/>
      <w:r>
        <w:rPr>
          <w:rFonts w:hint="eastAsia" w:ascii="黑体" w:hAnsi="黑体" w:eastAsia="黑体" w:cs="黑体"/>
          <w:spacing w:val="1"/>
          <w:sz w:val="30"/>
          <w:szCs w:val="30"/>
          <w14:textOutline w14:w="5448" w14:cap="sq" w14:cmpd="sng">
            <w14:solidFill>
              <w14:srgbClr w14:val="000000"/>
            </w14:solidFill>
            <w14:prstDash w14:val="solid"/>
            <w14:bevel/>
          </w14:textOutline>
        </w:rPr>
        <w:t>2.6</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评价范围</w:t>
      </w:r>
    </w:p>
    <w:p w14:paraId="13A0838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根据本工程工程特点，污染物排放情况，结合当地环境特点，确定本次评价现状调查和影响评价范围如下：</w:t>
      </w:r>
    </w:p>
    <w:p w14:paraId="1771DE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（1）大气环境</w:t>
      </w:r>
    </w:p>
    <w:p w14:paraId="34B9818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根据《环境影响评价技术导则 大气环境》（HJ2.2-2018）及本工程特点，确定工程不设置大气环境影响评价范围。</w:t>
      </w:r>
    </w:p>
    <w:p w14:paraId="36B00C1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（2）地表水环境</w:t>
      </w:r>
    </w:p>
    <w:p w14:paraId="76AC38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根据《环境影响评价技术导则 地表水环境》（HJ2.3-2018）及本工程特点，地表水评价范围为工程区影响涉及的</w:t>
      </w:r>
      <w:r>
        <w:rPr>
          <w:rFonts w:hint="eastAsia" w:ascii="宋体" w:hAnsi="宋体" w:eastAsia="宋体" w:cs="宋体"/>
          <w:sz w:val="24"/>
          <w:szCs w:val="24"/>
          <w:lang w:val="en-US" w:eastAsia="zh-CN"/>
        </w:rPr>
        <w:t>渠道及</w:t>
      </w:r>
      <w:r>
        <w:rPr>
          <w:rFonts w:hint="eastAsia" w:ascii="宋体" w:hAnsi="宋体" w:eastAsia="宋体" w:cs="宋体"/>
          <w:sz w:val="24"/>
          <w:szCs w:val="24"/>
          <w:lang w:eastAsia="zh-CN"/>
        </w:rPr>
        <w:t>艾丁湖</w:t>
      </w:r>
      <w:r>
        <w:rPr>
          <w:rFonts w:ascii="宋体" w:hAnsi="宋体" w:eastAsia="宋体" w:cs="宋体"/>
          <w:sz w:val="24"/>
          <w:szCs w:val="24"/>
        </w:rPr>
        <w:t>。</w:t>
      </w:r>
    </w:p>
    <w:p w14:paraId="42343E6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（3）声环境</w:t>
      </w:r>
    </w:p>
    <w:p w14:paraId="3411577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根据《环境影响评价技术导则 声环境》（HJ2.4-2021）及本工程特点，声环境评价范围确定为工程改建支渠沿线，以及</w:t>
      </w:r>
      <w:r>
        <w:rPr>
          <w:rFonts w:hint="eastAsia" w:ascii="宋体" w:hAnsi="宋体" w:eastAsia="宋体" w:cs="宋体"/>
          <w:sz w:val="24"/>
          <w:szCs w:val="24"/>
          <w:lang w:eastAsia="zh-CN"/>
        </w:rPr>
        <w:t>泵房</w:t>
      </w:r>
      <w:r>
        <w:rPr>
          <w:rFonts w:ascii="宋体" w:hAnsi="宋体" w:eastAsia="宋体" w:cs="宋体"/>
          <w:sz w:val="24"/>
          <w:szCs w:val="24"/>
        </w:rPr>
        <w:t>周边 200m 范围内。</w:t>
      </w:r>
    </w:p>
    <w:p w14:paraId="0032DC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（4）生态环境</w:t>
      </w:r>
    </w:p>
    <w:p w14:paraId="0DD0C5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根据《环境影响评价技术导则 生态影响（HJ19-2022）》以及本工程所在地区的特 征要求，本工程生态评价范围确定为穿越生态敏感区线路沿线两侧 1000 米范围和非生态敏感区线路沿线两侧300米范围内。</w:t>
      </w:r>
    </w:p>
    <w:p w14:paraId="1DCE77D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（5）风险评价</w:t>
      </w:r>
    </w:p>
    <w:p w14:paraId="6A14F3E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《建设项目环境风险评价技术导则》（HJ/T169-2018），本工程无评价范围要求。</w:t>
      </w:r>
    </w:p>
    <w:p w14:paraId="0B750A97">
      <w:pPr>
        <w:pStyle w:val="3"/>
        <w:spacing w:line="280" w:lineRule="auto"/>
      </w:pPr>
    </w:p>
    <w:p w14:paraId="5F291D20">
      <w:pPr>
        <w:spacing w:before="98" w:line="220" w:lineRule="auto"/>
        <w:ind w:left="15"/>
        <w:outlineLvl w:val="1"/>
        <w:rPr>
          <w:rFonts w:hint="eastAsia" w:ascii="黑体" w:hAnsi="黑体" w:eastAsia="黑体" w:cs="黑体"/>
          <w:sz w:val="30"/>
          <w:szCs w:val="30"/>
        </w:rPr>
      </w:pPr>
      <w:bookmarkStart w:id="14" w:name="bookmark14"/>
      <w:bookmarkEnd w:id="14"/>
      <w:r>
        <w:rPr>
          <w:rFonts w:hint="eastAsia" w:ascii="黑体" w:hAnsi="黑体" w:eastAsia="黑体" w:cs="黑体"/>
          <w:spacing w:val="1"/>
          <w:sz w:val="30"/>
          <w:szCs w:val="30"/>
          <w14:textOutline w14:w="5448" w14:cap="sq" w14:cmpd="sng">
            <w14:solidFill>
              <w14:srgbClr w14:val="000000"/>
            </w14:solidFill>
            <w14:prstDash w14:val="solid"/>
            <w14:bevel/>
          </w14:textOutline>
        </w:rPr>
        <w:t>2.7</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污染控制与环境保护目标</w:t>
      </w:r>
    </w:p>
    <w:p w14:paraId="01B970C3">
      <w:pPr>
        <w:keepNext w:val="0"/>
        <w:keepLines w:val="0"/>
        <w:pageBreakBefore w:val="0"/>
        <w:widowControl/>
        <w:kinsoku w:val="0"/>
        <w:wordWrap/>
        <w:overflowPunct/>
        <w:topLinePunct w:val="0"/>
        <w:autoSpaceDE w:val="0"/>
        <w:autoSpaceDN w:val="0"/>
        <w:bidi w:val="0"/>
        <w:adjustRightInd w:val="0"/>
        <w:snapToGrid w:val="0"/>
        <w:spacing w:before="220" w:line="360" w:lineRule="auto"/>
        <w:ind w:left="11"/>
        <w:textAlignment w:val="baseline"/>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2.7.1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污染控制</w:t>
      </w:r>
    </w:p>
    <w:p w14:paraId="4203089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采用可行的环保措施和生态恢复措施保证项目水、气、声等各项污染物符合国家和地方的有关排放标准，固体废物处置符合相应的固体废物污染物控制标准，防止发生二次污染；保护工程所在区域环境、生态质量，同时严防各类环境风险事故的发生。污染物控制目标见表 2-7-1。</w:t>
      </w:r>
    </w:p>
    <w:p w14:paraId="1EC93B16">
      <w:pPr>
        <w:spacing w:before="182" w:line="213" w:lineRule="auto"/>
        <w:ind w:left="253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3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2-7-1</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污染物控制目标一览表</w:t>
      </w:r>
    </w:p>
    <w:tbl>
      <w:tblPr>
        <w:tblStyle w:val="14"/>
        <w:tblW w:w="4997"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90"/>
        <w:gridCol w:w="1516"/>
        <w:gridCol w:w="1895"/>
        <w:gridCol w:w="3590"/>
        <w:gridCol w:w="1459"/>
      </w:tblGrid>
      <w:tr w14:paraId="4141D44E">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377" w:type="pct"/>
            <w:tcBorders>
              <w:tl2br w:val="nil"/>
              <w:tr2bl w:val="nil"/>
            </w:tcBorders>
            <w:vAlign w:val="top"/>
          </w:tcPr>
          <w:p w14:paraId="09662777">
            <w:pPr>
              <w:pStyle w:val="15"/>
              <w:spacing w:before="80" w:line="218" w:lineRule="auto"/>
              <w:ind w:left="114"/>
            </w:pPr>
            <w:r>
              <w:rPr>
                <w:spacing w:val="1"/>
                <w14:textOutline w14:w="3795" w14:cap="sq" w14:cmpd="sng">
                  <w14:solidFill>
                    <w14:srgbClr w14:val="000000"/>
                  </w14:solidFill>
                  <w14:prstDash w14:val="solid"/>
                  <w14:bevel/>
                </w14:textOutline>
              </w:rPr>
              <w:t>时段</w:t>
            </w:r>
          </w:p>
        </w:tc>
        <w:tc>
          <w:tcPr>
            <w:tcW w:w="828" w:type="pct"/>
            <w:tcBorders>
              <w:tl2br w:val="nil"/>
              <w:tr2bl w:val="nil"/>
            </w:tcBorders>
            <w:vAlign w:val="top"/>
          </w:tcPr>
          <w:p w14:paraId="6D367F65">
            <w:pPr>
              <w:pStyle w:val="15"/>
              <w:spacing w:before="80" w:line="218" w:lineRule="auto"/>
              <w:ind w:left="408"/>
            </w:pPr>
            <w:r>
              <w:rPr>
                <w:spacing w:val="7"/>
                <w14:textOutline w14:w="3795" w14:cap="sq" w14:cmpd="sng">
                  <w14:solidFill>
                    <w14:srgbClr w14:val="000000"/>
                  </w14:solidFill>
                  <w14:prstDash w14:val="solid"/>
                  <w14:bevel/>
                </w14:textOutline>
              </w:rPr>
              <w:t>污染源</w:t>
            </w:r>
          </w:p>
        </w:tc>
        <w:tc>
          <w:tcPr>
            <w:tcW w:w="1035" w:type="pct"/>
            <w:tcBorders>
              <w:tl2br w:val="nil"/>
              <w:tr2bl w:val="nil"/>
            </w:tcBorders>
            <w:vAlign w:val="top"/>
          </w:tcPr>
          <w:p w14:paraId="62326315">
            <w:pPr>
              <w:pStyle w:val="15"/>
              <w:spacing w:before="80" w:line="218" w:lineRule="auto"/>
              <w:ind w:left="269"/>
            </w:pPr>
            <w:r>
              <w:rPr>
                <w:spacing w:val="9"/>
                <w14:textOutline w14:w="3795" w14:cap="sq" w14:cmpd="sng">
                  <w14:solidFill>
                    <w14:srgbClr w14:val="000000"/>
                  </w14:solidFill>
                  <w14:prstDash w14:val="solid"/>
                  <w14:bevel/>
                </w14:textOutline>
              </w:rPr>
              <w:t>控制污染因子</w:t>
            </w:r>
          </w:p>
        </w:tc>
        <w:tc>
          <w:tcPr>
            <w:tcW w:w="1961" w:type="pct"/>
            <w:tcBorders>
              <w:tl2br w:val="nil"/>
              <w:tr2bl w:val="nil"/>
            </w:tcBorders>
            <w:vAlign w:val="top"/>
          </w:tcPr>
          <w:p w14:paraId="62E5FEFF">
            <w:pPr>
              <w:pStyle w:val="15"/>
              <w:spacing w:before="80" w:line="218" w:lineRule="auto"/>
              <w:ind w:left="973"/>
            </w:pPr>
            <w:r>
              <w:rPr>
                <w:spacing w:val="9"/>
                <w14:textOutline w14:w="3795" w14:cap="sq" w14:cmpd="sng">
                  <w14:solidFill>
                    <w14:srgbClr w14:val="000000"/>
                  </w14:solidFill>
                  <w14:prstDash w14:val="solid"/>
                  <w14:bevel/>
                </w14:textOutline>
              </w:rPr>
              <w:t>拟采取控制措施</w:t>
            </w:r>
          </w:p>
        </w:tc>
        <w:tc>
          <w:tcPr>
            <w:tcW w:w="797" w:type="pct"/>
            <w:tcBorders>
              <w:tl2br w:val="nil"/>
              <w:tr2bl w:val="nil"/>
            </w:tcBorders>
            <w:vAlign w:val="top"/>
          </w:tcPr>
          <w:p w14:paraId="2AF784D5">
            <w:pPr>
              <w:pStyle w:val="15"/>
              <w:spacing w:before="80" w:line="218" w:lineRule="auto"/>
              <w:ind w:left="279"/>
            </w:pPr>
            <w:r>
              <w:rPr>
                <w:spacing w:val="8"/>
                <w14:textOutline w14:w="3795" w14:cap="sq" w14:cmpd="sng">
                  <w14:solidFill>
                    <w14:srgbClr w14:val="000000"/>
                  </w14:solidFill>
                  <w14:prstDash w14:val="solid"/>
                  <w14:bevel/>
                </w14:textOutline>
              </w:rPr>
              <w:t>控制目标</w:t>
            </w:r>
          </w:p>
        </w:tc>
      </w:tr>
      <w:tr w14:paraId="57B283FE">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377" w:type="pct"/>
            <w:vMerge w:val="restart"/>
            <w:tcBorders>
              <w:tl2br w:val="nil"/>
              <w:tr2bl w:val="nil"/>
            </w:tcBorders>
            <w:vAlign w:val="top"/>
          </w:tcPr>
          <w:p w14:paraId="34CD1B0B">
            <w:pPr>
              <w:spacing w:line="285" w:lineRule="auto"/>
              <w:rPr>
                <w:rFonts w:ascii="Arial"/>
                <w:sz w:val="21"/>
              </w:rPr>
            </w:pPr>
          </w:p>
          <w:p w14:paraId="143C12FB">
            <w:pPr>
              <w:spacing w:line="285" w:lineRule="auto"/>
              <w:rPr>
                <w:rFonts w:ascii="Arial"/>
                <w:sz w:val="21"/>
              </w:rPr>
            </w:pPr>
          </w:p>
          <w:p w14:paraId="5CFDD058">
            <w:pPr>
              <w:spacing w:line="285" w:lineRule="auto"/>
              <w:rPr>
                <w:rFonts w:ascii="Arial"/>
                <w:sz w:val="21"/>
              </w:rPr>
            </w:pPr>
          </w:p>
          <w:p w14:paraId="12D4B0A1">
            <w:pPr>
              <w:spacing w:line="285" w:lineRule="auto"/>
              <w:rPr>
                <w:rFonts w:ascii="Arial"/>
                <w:sz w:val="21"/>
              </w:rPr>
            </w:pPr>
          </w:p>
          <w:p w14:paraId="32957670">
            <w:pPr>
              <w:pStyle w:val="15"/>
              <w:spacing w:before="65" w:line="228" w:lineRule="auto"/>
            </w:pPr>
            <w:r>
              <w:rPr>
                <w:spacing w:val="7"/>
              </w:rPr>
              <w:t>施工期</w:t>
            </w:r>
          </w:p>
        </w:tc>
        <w:tc>
          <w:tcPr>
            <w:tcW w:w="828" w:type="pct"/>
            <w:vMerge w:val="restart"/>
            <w:tcBorders>
              <w:tl2br w:val="nil"/>
              <w:tr2bl w:val="nil"/>
            </w:tcBorders>
            <w:vAlign w:val="top"/>
          </w:tcPr>
          <w:p w14:paraId="23744CE7">
            <w:pPr>
              <w:spacing w:line="331" w:lineRule="auto"/>
              <w:rPr>
                <w:rFonts w:ascii="Arial"/>
                <w:sz w:val="21"/>
              </w:rPr>
            </w:pPr>
          </w:p>
          <w:p w14:paraId="769B2BEE">
            <w:pPr>
              <w:spacing w:line="331" w:lineRule="auto"/>
              <w:rPr>
                <w:rFonts w:ascii="Arial"/>
                <w:sz w:val="21"/>
              </w:rPr>
            </w:pPr>
          </w:p>
          <w:p w14:paraId="36AEC1C5">
            <w:pPr>
              <w:pStyle w:val="15"/>
              <w:spacing w:before="74" w:line="228" w:lineRule="auto"/>
              <w:ind w:left="90"/>
            </w:pPr>
            <w:r>
              <w:rPr>
                <w:spacing w:val="5"/>
              </w:rPr>
              <w:t>渠道</w:t>
            </w:r>
            <w:r>
              <w:rPr>
                <w:rFonts w:hint="eastAsia"/>
                <w:spacing w:val="5"/>
                <w:lang w:eastAsia="zh-CN"/>
              </w:rPr>
              <w:t>、</w:t>
            </w:r>
            <w:r>
              <w:rPr>
                <w:rFonts w:hint="eastAsia"/>
                <w:spacing w:val="5"/>
                <w:lang w:val="en-US" w:eastAsia="zh-CN"/>
              </w:rPr>
              <w:t>管道</w:t>
            </w:r>
            <w:r>
              <w:rPr>
                <w:spacing w:val="5"/>
              </w:rPr>
              <w:t>、</w:t>
            </w:r>
            <w:r>
              <w:rPr>
                <w:rFonts w:hint="eastAsia"/>
                <w:spacing w:val="5"/>
                <w:lang w:eastAsia="zh-CN"/>
              </w:rPr>
              <w:t>泵房</w:t>
            </w:r>
            <w:r>
              <w:rPr>
                <w:spacing w:val="8"/>
              </w:rPr>
              <w:t>施工及</w:t>
            </w:r>
          </w:p>
          <w:p w14:paraId="5FD67D17">
            <w:pPr>
              <w:pStyle w:val="15"/>
              <w:spacing w:before="72" w:line="228" w:lineRule="auto"/>
              <w:ind w:left="196"/>
            </w:pPr>
            <w:r>
              <w:rPr>
                <w:spacing w:val="7"/>
              </w:rPr>
              <w:t>渠系构筑物</w:t>
            </w:r>
          </w:p>
          <w:p w14:paraId="0666E0D1">
            <w:pPr>
              <w:pStyle w:val="15"/>
              <w:spacing w:before="72" w:line="231" w:lineRule="auto"/>
              <w:ind w:left="508"/>
            </w:pPr>
            <w:r>
              <w:rPr>
                <w:spacing w:val="5"/>
              </w:rPr>
              <w:t>施工</w:t>
            </w:r>
          </w:p>
        </w:tc>
        <w:tc>
          <w:tcPr>
            <w:tcW w:w="1035" w:type="pct"/>
            <w:tcBorders>
              <w:tl2br w:val="nil"/>
              <w:tr2bl w:val="nil"/>
            </w:tcBorders>
            <w:vAlign w:val="top"/>
          </w:tcPr>
          <w:p w14:paraId="17503D5E">
            <w:pPr>
              <w:pStyle w:val="15"/>
              <w:spacing w:before="237" w:line="230" w:lineRule="auto"/>
              <w:ind w:left="480"/>
            </w:pPr>
            <w:r>
              <w:rPr>
                <w:spacing w:val="7"/>
              </w:rPr>
              <w:t>施工扬尘</w:t>
            </w:r>
          </w:p>
        </w:tc>
        <w:tc>
          <w:tcPr>
            <w:tcW w:w="1961" w:type="pct"/>
            <w:tcBorders>
              <w:tl2br w:val="nil"/>
              <w:tr2bl w:val="nil"/>
            </w:tcBorders>
            <w:vAlign w:val="top"/>
          </w:tcPr>
          <w:p w14:paraId="2EE73688">
            <w:pPr>
              <w:pStyle w:val="15"/>
              <w:spacing w:before="77" w:line="227" w:lineRule="auto"/>
              <w:jc w:val="right"/>
            </w:pPr>
            <w:r>
              <w:rPr>
                <w:spacing w:val="-2"/>
              </w:rPr>
              <w:t>易产尘物料覆盖防尘篷布、设置围挡；</w:t>
            </w:r>
          </w:p>
          <w:p w14:paraId="4B53C35E">
            <w:pPr>
              <w:pStyle w:val="15"/>
              <w:spacing w:before="76" w:line="212" w:lineRule="auto"/>
              <w:ind w:left="778"/>
            </w:pPr>
            <w:r>
              <w:rPr>
                <w:spacing w:val="6"/>
              </w:rPr>
              <w:t>易产尘段洒水降尘。</w:t>
            </w:r>
          </w:p>
        </w:tc>
        <w:tc>
          <w:tcPr>
            <w:tcW w:w="797" w:type="pct"/>
            <w:vMerge w:val="restart"/>
            <w:tcBorders>
              <w:tl2br w:val="nil"/>
              <w:tr2bl w:val="nil"/>
            </w:tcBorders>
            <w:vAlign w:val="top"/>
          </w:tcPr>
          <w:p w14:paraId="50553CA1">
            <w:pPr>
              <w:spacing w:line="248" w:lineRule="auto"/>
              <w:rPr>
                <w:rFonts w:ascii="Arial"/>
                <w:sz w:val="21"/>
              </w:rPr>
            </w:pPr>
          </w:p>
          <w:p w14:paraId="6BADAB03">
            <w:pPr>
              <w:spacing w:line="248" w:lineRule="auto"/>
              <w:rPr>
                <w:rFonts w:ascii="Arial"/>
                <w:sz w:val="21"/>
              </w:rPr>
            </w:pPr>
          </w:p>
          <w:p w14:paraId="0C81EF93">
            <w:pPr>
              <w:pStyle w:val="15"/>
              <w:spacing w:before="65" w:line="262" w:lineRule="auto"/>
              <w:ind w:left="173" w:right="47" w:hanging="103"/>
            </w:pPr>
            <w:r>
              <w:rPr>
                <w:spacing w:val="8"/>
              </w:rPr>
              <w:t>对项目区及周</w:t>
            </w:r>
            <w:r>
              <w:rPr>
                <w:spacing w:val="1"/>
              </w:rPr>
              <w:t xml:space="preserve"> </w:t>
            </w:r>
            <w:r>
              <w:rPr>
                <w:spacing w:val="8"/>
              </w:rPr>
              <w:t>边影响较小</w:t>
            </w:r>
          </w:p>
        </w:tc>
      </w:tr>
      <w:tr w14:paraId="106059AD">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377" w:type="pct"/>
            <w:vMerge w:val="continue"/>
            <w:tcBorders>
              <w:tl2br w:val="nil"/>
              <w:tr2bl w:val="nil"/>
            </w:tcBorders>
            <w:vAlign w:val="top"/>
          </w:tcPr>
          <w:p w14:paraId="2F87A71C">
            <w:pPr>
              <w:rPr>
                <w:rFonts w:ascii="Arial"/>
                <w:sz w:val="21"/>
              </w:rPr>
            </w:pPr>
          </w:p>
        </w:tc>
        <w:tc>
          <w:tcPr>
            <w:tcW w:w="828" w:type="pct"/>
            <w:vMerge w:val="continue"/>
            <w:tcBorders>
              <w:tl2br w:val="nil"/>
              <w:tr2bl w:val="nil"/>
            </w:tcBorders>
            <w:vAlign w:val="top"/>
          </w:tcPr>
          <w:p w14:paraId="0D6843E5">
            <w:pPr>
              <w:rPr>
                <w:rFonts w:ascii="Arial"/>
                <w:sz w:val="21"/>
              </w:rPr>
            </w:pPr>
          </w:p>
        </w:tc>
        <w:tc>
          <w:tcPr>
            <w:tcW w:w="1035" w:type="pct"/>
            <w:tcBorders>
              <w:tl2br w:val="nil"/>
              <w:tr2bl w:val="nil"/>
            </w:tcBorders>
            <w:vAlign w:val="top"/>
          </w:tcPr>
          <w:p w14:paraId="3F7EFE1B">
            <w:pPr>
              <w:pStyle w:val="15"/>
              <w:spacing w:before="243" w:line="261" w:lineRule="auto"/>
              <w:ind w:left="272" w:right="61" w:hanging="212"/>
            </w:pPr>
            <w:r>
              <w:rPr>
                <w:spacing w:val="8"/>
              </w:rPr>
              <w:t>机械燃油废气和柴</w:t>
            </w:r>
            <w:r>
              <w:rPr>
                <w:spacing w:val="5"/>
              </w:rPr>
              <w:t xml:space="preserve"> </w:t>
            </w:r>
            <w:r>
              <w:rPr>
                <w:spacing w:val="7"/>
              </w:rPr>
              <w:t>油发电机废气</w:t>
            </w:r>
          </w:p>
        </w:tc>
        <w:tc>
          <w:tcPr>
            <w:tcW w:w="1961" w:type="pct"/>
            <w:tcBorders>
              <w:tl2br w:val="nil"/>
              <w:tr2bl w:val="nil"/>
            </w:tcBorders>
            <w:vAlign w:val="top"/>
          </w:tcPr>
          <w:p w14:paraId="051E56A1">
            <w:pPr>
              <w:pStyle w:val="15"/>
              <w:spacing w:before="83" w:line="227" w:lineRule="auto"/>
              <w:ind w:left="29"/>
            </w:pPr>
            <w:r>
              <w:rPr>
                <w:spacing w:val="9"/>
              </w:rPr>
              <w:t>采用高质量的燃油，保持施工机械使</w:t>
            </w:r>
          </w:p>
          <w:p w14:paraId="63E98D9C">
            <w:pPr>
              <w:pStyle w:val="15"/>
              <w:spacing w:before="75" w:line="250" w:lineRule="auto"/>
              <w:ind w:left="1291" w:right="15" w:hanging="1259"/>
            </w:pPr>
            <w:r>
              <w:rPr>
                <w:spacing w:val="9"/>
              </w:rPr>
              <w:t>用区域和发电机工作区域处于良好通</w:t>
            </w:r>
            <w:r>
              <w:rPr>
                <w:spacing w:val="2"/>
              </w:rPr>
              <w:t xml:space="preserve"> </w:t>
            </w:r>
            <w:r>
              <w:rPr>
                <w:spacing w:val="4"/>
              </w:rPr>
              <w:t>风状态。</w:t>
            </w:r>
          </w:p>
        </w:tc>
        <w:tc>
          <w:tcPr>
            <w:tcW w:w="797" w:type="pct"/>
            <w:vMerge w:val="continue"/>
            <w:tcBorders>
              <w:tl2br w:val="nil"/>
              <w:tr2bl w:val="nil"/>
            </w:tcBorders>
            <w:vAlign w:val="top"/>
          </w:tcPr>
          <w:p w14:paraId="7A5D948C">
            <w:pPr>
              <w:rPr>
                <w:rFonts w:ascii="Arial"/>
                <w:sz w:val="21"/>
              </w:rPr>
            </w:pPr>
          </w:p>
        </w:tc>
      </w:tr>
      <w:tr w14:paraId="183DDB55">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377" w:type="pct"/>
            <w:vMerge w:val="continue"/>
            <w:tcBorders>
              <w:tl2br w:val="nil"/>
              <w:tr2bl w:val="nil"/>
            </w:tcBorders>
            <w:vAlign w:val="top"/>
          </w:tcPr>
          <w:p w14:paraId="607E5FDF">
            <w:pPr>
              <w:rPr>
                <w:rFonts w:ascii="Arial"/>
                <w:sz w:val="21"/>
              </w:rPr>
            </w:pPr>
          </w:p>
        </w:tc>
        <w:tc>
          <w:tcPr>
            <w:tcW w:w="828" w:type="pct"/>
            <w:vMerge w:val="continue"/>
            <w:tcBorders>
              <w:tl2br w:val="nil"/>
              <w:tr2bl w:val="nil"/>
            </w:tcBorders>
            <w:vAlign w:val="top"/>
          </w:tcPr>
          <w:p w14:paraId="57A329CD">
            <w:pPr>
              <w:rPr>
                <w:rFonts w:ascii="Arial"/>
                <w:sz w:val="21"/>
              </w:rPr>
            </w:pPr>
          </w:p>
        </w:tc>
        <w:tc>
          <w:tcPr>
            <w:tcW w:w="1035" w:type="pct"/>
            <w:tcBorders>
              <w:tl2br w:val="nil"/>
              <w:tr2bl w:val="nil"/>
            </w:tcBorders>
            <w:vAlign w:val="top"/>
          </w:tcPr>
          <w:p w14:paraId="541751B4">
            <w:pPr>
              <w:pStyle w:val="15"/>
              <w:spacing w:before="251" w:line="228" w:lineRule="auto"/>
              <w:ind w:left="269"/>
            </w:pPr>
            <w:r>
              <w:rPr>
                <w:spacing w:val="8"/>
              </w:rPr>
              <w:t>施工废水废水</w:t>
            </w:r>
          </w:p>
        </w:tc>
        <w:tc>
          <w:tcPr>
            <w:tcW w:w="1961" w:type="pct"/>
            <w:tcBorders>
              <w:tl2br w:val="nil"/>
              <w:tr2bl w:val="nil"/>
            </w:tcBorders>
            <w:vAlign w:val="top"/>
          </w:tcPr>
          <w:p w14:paraId="23CE91F3">
            <w:pPr>
              <w:pStyle w:val="15"/>
              <w:spacing w:before="91" w:line="248" w:lineRule="auto"/>
              <w:ind w:left="254" w:right="15" w:hanging="221"/>
            </w:pPr>
            <w:r>
              <w:rPr>
                <w:spacing w:val="9"/>
              </w:rPr>
              <w:t>混凝土拌合及冲洗废水排入临时生产</w:t>
            </w:r>
            <w:r>
              <w:rPr>
                <w:spacing w:val="2"/>
              </w:rPr>
              <w:t xml:space="preserve"> </w:t>
            </w:r>
            <w:r>
              <w:rPr>
                <w:spacing w:val="7"/>
              </w:rPr>
              <w:t>区内防渗沉淀池，处理后回用。</w:t>
            </w:r>
          </w:p>
        </w:tc>
        <w:tc>
          <w:tcPr>
            <w:tcW w:w="797" w:type="pct"/>
            <w:vMerge w:val="restart"/>
            <w:tcBorders>
              <w:tl2br w:val="nil"/>
              <w:tr2bl w:val="nil"/>
            </w:tcBorders>
            <w:vAlign w:val="top"/>
          </w:tcPr>
          <w:p w14:paraId="45A7ECA9">
            <w:pPr>
              <w:spacing w:line="350" w:lineRule="auto"/>
              <w:rPr>
                <w:rFonts w:ascii="Arial"/>
                <w:sz w:val="21"/>
              </w:rPr>
            </w:pPr>
          </w:p>
          <w:p w14:paraId="3D7517CE">
            <w:pPr>
              <w:pStyle w:val="15"/>
              <w:spacing w:before="65" w:line="228" w:lineRule="auto"/>
              <w:ind w:left="69"/>
            </w:pPr>
            <w:r>
              <w:rPr>
                <w:spacing w:val="8"/>
              </w:rPr>
              <w:t>避免二次污染</w:t>
            </w:r>
          </w:p>
        </w:tc>
      </w:tr>
      <w:tr w14:paraId="1FEADFD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377" w:type="pct"/>
            <w:vMerge w:val="continue"/>
            <w:tcBorders>
              <w:tl2br w:val="nil"/>
              <w:tr2bl w:val="nil"/>
            </w:tcBorders>
            <w:vAlign w:val="top"/>
          </w:tcPr>
          <w:p w14:paraId="7A60A898">
            <w:pPr>
              <w:rPr>
                <w:rFonts w:ascii="Arial"/>
                <w:sz w:val="21"/>
              </w:rPr>
            </w:pPr>
          </w:p>
        </w:tc>
        <w:tc>
          <w:tcPr>
            <w:tcW w:w="828" w:type="pct"/>
            <w:vMerge w:val="continue"/>
            <w:tcBorders>
              <w:tl2br w:val="nil"/>
              <w:tr2bl w:val="nil"/>
            </w:tcBorders>
            <w:vAlign w:val="top"/>
          </w:tcPr>
          <w:p w14:paraId="68CBBB92">
            <w:pPr>
              <w:rPr>
                <w:rFonts w:ascii="Arial"/>
                <w:sz w:val="21"/>
              </w:rPr>
            </w:pPr>
          </w:p>
        </w:tc>
        <w:tc>
          <w:tcPr>
            <w:tcW w:w="1035" w:type="pct"/>
            <w:vMerge w:val="restart"/>
            <w:tcBorders>
              <w:tl2br w:val="nil"/>
              <w:tr2bl w:val="nil"/>
            </w:tcBorders>
            <w:vAlign w:val="top"/>
          </w:tcPr>
          <w:p w14:paraId="10EB0036">
            <w:pPr>
              <w:pStyle w:val="15"/>
              <w:spacing w:before="97" w:line="218" w:lineRule="auto"/>
              <w:ind w:left="482"/>
            </w:pPr>
            <w:r>
              <w:rPr>
                <w:spacing w:val="6"/>
              </w:rPr>
              <w:t>生活污水</w:t>
            </w:r>
          </w:p>
        </w:tc>
        <w:tc>
          <w:tcPr>
            <w:tcW w:w="1961" w:type="pct"/>
            <w:vMerge w:val="restart"/>
            <w:tcBorders>
              <w:tl2br w:val="nil"/>
              <w:tr2bl w:val="nil"/>
            </w:tcBorders>
            <w:vAlign w:val="top"/>
          </w:tcPr>
          <w:p w14:paraId="4531882A">
            <w:pPr>
              <w:pStyle w:val="15"/>
              <w:spacing w:before="97" w:line="218" w:lineRule="auto"/>
              <w:ind w:left="29"/>
              <w:rPr>
                <w:spacing w:val="9"/>
              </w:rPr>
            </w:pPr>
            <w:r>
              <w:rPr>
                <w:spacing w:val="9"/>
              </w:rPr>
              <w:t>施工人员主要租住附近民房，生活依</w:t>
            </w:r>
          </w:p>
          <w:p w14:paraId="2D8D4E3D">
            <w:pPr>
              <w:pStyle w:val="15"/>
              <w:spacing w:before="62" w:line="278" w:lineRule="auto"/>
              <w:ind w:left="31" w:right="15" w:hanging="1"/>
              <w:jc w:val="both"/>
            </w:pPr>
            <w:r>
              <w:rPr>
                <w:spacing w:val="9"/>
              </w:rPr>
              <w:t>托现有设施，生活污水纳入现有排水</w:t>
            </w:r>
            <w:r>
              <w:rPr>
                <w:spacing w:val="4"/>
              </w:rPr>
              <w:t xml:space="preserve"> </w:t>
            </w:r>
            <w:r>
              <w:rPr>
                <w:spacing w:val="9"/>
              </w:rPr>
              <w:t>系统，不外排；需搭建简易彩板房时</w:t>
            </w:r>
            <w:r>
              <w:rPr>
                <w:spacing w:val="2"/>
              </w:rPr>
              <w:t xml:space="preserve"> </w:t>
            </w:r>
            <w:r>
              <w:rPr>
                <w:spacing w:val="9"/>
              </w:rPr>
              <w:t>建议设置移动环保公厕，定期交由环</w:t>
            </w:r>
            <w:r>
              <w:rPr>
                <w:spacing w:val="2"/>
              </w:rPr>
              <w:t xml:space="preserve"> </w:t>
            </w:r>
            <w:r>
              <w:rPr>
                <w:spacing w:val="9"/>
              </w:rPr>
              <w:t>卫部门采取吸污车拉运，施工结束后</w:t>
            </w:r>
          </w:p>
          <w:p w14:paraId="1BDD894E">
            <w:pPr>
              <w:pStyle w:val="15"/>
              <w:spacing w:before="75" w:line="213" w:lineRule="auto"/>
              <w:ind w:left="1393"/>
            </w:pPr>
            <w:r>
              <w:rPr>
                <w:spacing w:val="3"/>
              </w:rPr>
              <w:t>拆除。</w:t>
            </w:r>
          </w:p>
        </w:tc>
        <w:tc>
          <w:tcPr>
            <w:tcW w:w="797" w:type="pct"/>
            <w:vMerge w:val="continue"/>
            <w:tcBorders>
              <w:tl2br w:val="nil"/>
              <w:tr2bl w:val="nil"/>
            </w:tcBorders>
            <w:vAlign w:val="top"/>
          </w:tcPr>
          <w:p w14:paraId="4C92B959">
            <w:pPr>
              <w:rPr>
                <w:rFonts w:ascii="Arial"/>
                <w:sz w:val="21"/>
              </w:rPr>
            </w:pPr>
          </w:p>
        </w:tc>
      </w:tr>
      <w:tr w14:paraId="3607B299">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377" w:type="pct"/>
            <w:vMerge w:val="continue"/>
            <w:tcBorders>
              <w:tl2br w:val="nil"/>
              <w:tr2bl w:val="nil"/>
            </w:tcBorders>
            <w:vAlign w:val="top"/>
          </w:tcPr>
          <w:p w14:paraId="089657D9">
            <w:pPr>
              <w:rPr>
                <w:rFonts w:ascii="Arial"/>
                <w:sz w:val="21"/>
              </w:rPr>
            </w:pPr>
          </w:p>
        </w:tc>
        <w:tc>
          <w:tcPr>
            <w:tcW w:w="828" w:type="pct"/>
            <w:vMerge w:val="continue"/>
            <w:tcBorders>
              <w:tl2br w:val="nil"/>
              <w:tr2bl w:val="nil"/>
            </w:tcBorders>
            <w:vAlign w:val="top"/>
          </w:tcPr>
          <w:p w14:paraId="5F29D86F">
            <w:pPr>
              <w:rPr>
                <w:rFonts w:ascii="Arial"/>
                <w:sz w:val="21"/>
              </w:rPr>
            </w:pPr>
          </w:p>
        </w:tc>
        <w:tc>
          <w:tcPr>
            <w:tcW w:w="1035" w:type="pct"/>
            <w:vMerge w:val="continue"/>
            <w:tcBorders>
              <w:tl2br w:val="nil"/>
              <w:tr2bl w:val="nil"/>
            </w:tcBorders>
            <w:vAlign w:val="top"/>
          </w:tcPr>
          <w:p w14:paraId="2B4ED5DA">
            <w:pPr>
              <w:rPr>
                <w:rFonts w:ascii="Arial"/>
                <w:sz w:val="21"/>
              </w:rPr>
            </w:pPr>
          </w:p>
        </w:tc>
        <w:tc>
          <w:tcPr>
            <w:tcW w:w="1961" w:type="pct"/>
            <w:vMerge w:val="continue"/>
            <w:tcBorders>
              <w:tl2br w:val="nil"/>
              <w:tr2bl w:val="nil"/>
            </w:tcBorders>
            <w:vAlign w:val="top"/>
          </w:tcPr>
          <w:p w14:paraId="62ADA5FB">
            <w:pPr>
              <w:pStyle w:val="15"/>
              <w:spacing w:before="75" w:line="213" w:lineRule="auto"/>
              <w:ind w:left="1393"/>
            </w:pPr>
          </w:p>
        </w:tc>
        <w:tc>
          <w:tcPr>
            <w:tcW w:w="797" w:type="pct"/>
            <w:tcBorders>
              <w:tl2br w:val="nil"/>
              <w:tr2bl w:val="nil"/>
            </w:tcBorders>
            <w:vAlign w:val="top"/>
          </w:tcPr>
          <w:p w14:paraId="26C92AF2">
            <w:pPr>
              <w:rPr>
                <w:rFonts w:ascii="Arial"/>
                <w:sz w:val="21"/>
              </w:rPr>
            </w:pPr>
          </w:p>
        </w:tc>
      </w:tr>
      <w:tr w14:paraId="5048D8B8">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377" w:type="pct"/>
            <w:vMerge w:val="continue"/>
            <w:tcBorders>
              <w:tl2br w:val="nil"/>
              <w:tr2bl w:val="nil"/>
            </w:tcBorders>
            <w:vAlign w:val="top"/>
          </w:tcPr>
          <w:p w14:paraId="62F4EF82">
            <w:pPr>
              <w:rPr>
                <w:rFonts w:ascii="Arial"/>
                <w:sz w:val="21"/>
              </w:rPr>
            </w:pPr>
          </w:p>
        </w:tc>
        <w:tc>
          <w:tcPr>
            <w:tcW w:w="828" w:type="pct"/>
            <w:vMerge w:val="continue"/>
            <w:tcBorders>
              <w:tl2br w:val="nil"/>
              <w:tr2bl w:val="nil"/>
            </w:tcBorders>
            <w:vAlign w:val="top"/>
          </w:tcPr>
          <w:p w14:paraId="0BD59CC8">
            <w:pPr>
              <w:rPr>
                <w:rFonts w:ascii="Arial"/>
                <w:sz w:val="21"/>
              </w:rPr>
            </w:pPr>
          </w:p>
        </w:tc>
        <w:tc>
          <w:tcPr>
            <w:tcW w:w="1035" w:type="pct"/>
            <w:tcBorders>
              <w:tl2br w:val="nil"/>
              <w:tr2bl w:val="nil"/>
            </w:tcBorders>
            <w:vAlign w:val="top"/>
          </w:tcPr>
          <w:p w14:paraId="4D3CD130">
            <w:pPr>
              <w:spacing w:line="247" w:lineRule="auto"/>
              <w:rPr>
                <w:rFonts w:ascii="Arial"/>
                <w:sz w:val="21"/>
              </w:rPr>
            </w:pPr>
          </w:p>
          <w:p w14:paraId="2FD89C7E">
            <w:pPr>
              <w:spacing w:line="248" w:lineRule="auto"/>
              <w:rPr>
                <w:rFonts w:ascii="Arial"/>
                <w:sz w:val="21"/>
              </w:rPr>
            </w:pPr>
          </w:p>
          <w:p w14:paraId="189DD2EA">
            <w:pPr>
              <w:pStyle w:val="15"/>
              <w:spacing w:before="65" w:line="228" w:lineRule="auto"/>
              <w:ind w:left="699"/>
            </w:pPr>
            <w:r>
              <w:rPr>
                <w:spacing w:val="-1"/>
              </w:rPr>
              <w:t>噪声</w:t>
            </w:r>
          </w:p>
        </w:tc>
        <w:tc>
          <w:tcPr>
            <w:tcW w:w="1961" w:type="pct"/>
            <w:tcBorders>
              <w:tl2br w:val="nil"/>
              <w:tr2bl w:val="nil"/>
            </w:tcBorders>
            <w:vAlign w:val="top"/>
          </w:tcPr>
          <w:p w14:paraId="1BFECD3C">
            <w:pPr>
              <w:pStyle w:val="15"/>
              <w:spacing w:before="82" w:line="262" w:lineRule="auto"/>
              <w:ind w:left="31" w:right="15"/>
            </w:pPr>
            <w:r>
              <w:rPr>
                <w:spacing w:val="9"/>
              </w:rPr>
              <w:t>使用低噪声设备，钢木加工厂、砼拌</w:t>
            </w:r>
            <w:r>
              <w:rPr>
                <w:spacing w:val="3"/>
              </w:rPr>
              <w:t xml:space="preserve"> </w:t>
            </w:r>
            <w:r>
              <w:rPr>
                <w:spacing w:val="8"/>
              </w:rPr>
              <w:t>合站墙体隔声，合理安排施工时间，</w:t>
            </w:r>
          </w:p>
          <w:p w14:paraId="5C449378">
            <w:pPr>
              <w:pStyle w:val="15"/>
              <w:spacing w:before="74" w:line="227" w:lineRule="auto"/>
              <w:jc w:val="right"/>
            </w:pPr>
            <w:r>
              <w:rPr>
                <w:spacing w:val="-1"/>
              </w:rPr>
              <w:t>靠近村庄段夜间、午休时间禁止施工，</w:t>
            </w:r>
          </w:p>
          <w:p w14:paraId="791FC357">
            <w:pPr>
              <w:pStyle w:val="15"/>
              <w:spacing w:before="73" w:line="209" w:lineRule="auto"/>
              <w:ind w:left="658"/>
            </w:pPr>
            <w:r>
              <w:rPr>
                <w:spacing w:val="8"/>
              </w:rPr>
              <w:t>施工区内限制车速等。</w:t>
            </w:r>
          </w:p>
        </w:tc>
        <w:tc>
          <w:tcPr>
            <w:tcW w:w="797" w:type="pct"/>
            <w:vMerge w:val="restart"/>
            <w:tcBorders>
              <w:tl2br w:val="nil"/>
              <w:tr2bl w:val="nil"/>
            </w:tcBorders>
            <w:vAlign w:val="top"/>
          </w:tcPr>
          <w:p w14:paraId="1CCFDA9E">
            <w:pPr>
              <w:spacing w:line="260" w:lineRule="auto"/>
              <w:rPr>
                <w:rFonts w:ascii="Arial"/>
                <w:sz w:val="21"/>
              </w:rPr>
            </w:pPr>
          </w:p>
          <w:p w14:paraId="10AF5EB8">
            <w:pPr>
              <w:spacing w:line="260" w:lineRule="auto"/>
              <w:rPr>
                <w:rFonts w:ascii="Arial"/>
                <w:sz w:val="21"/>
              </w:rPr>
            </w:pPr>
          </w:p>
          <w:p w14:paraId="0694E75F">
            <w:pPr>
              <w:spacing w:line="260" w:lineRule="auto"/>
              <w:rPr>
                <w:rFonts w:ascii="Arial"/>
                <w:sz w:val="21"/>
              </w:rPr>
            </w:pPr>
          </w:p>
          <w:p w14:paraId="251B1BC2">
            <w:pPr>
              <w:spacing w:line="260" w:lineRule="auto"/>
              <w:rPr>
                <w:rFonts w:ascii="Arial"/>
                <w:sz w:val="21"/>
              </w:rPr>
            </w:pPr>
          </w:p>
          <w:p w14:paraId="6F5A72DA">
            <w:pPr>
              <w:spacing w:line="261" w:lineRule="auto"/>
              <w:rPr>
                <w:rFonts w:ascii="Arial"/>
                <w:sz w:val="21"/>
              </w:rPr>
            </w:pPr>
          </w:p>
          <w:p w14:paraId="47423265">
            <w:pPr>
              <w:pStyle w:val="15"/>
              <w:spacing w:before="65" w:line="262" w:lineRule="auto"/>
              <w:ind w:left="173" w:right="47" w:hanging="103"/>
            </w:pPr>
            <w:r>
              <w:rPr>
                <w:spacing w:val="8"/>
              </w:rPr>
              <w:t>对项目区及周</w:t>
            </w:r>
            <w:r>
              <w:rPr>
                <w:spacing w:val="1"/>
              </w:rPr>
              <w:t xml:space="preserve"> </w:t>
            </w:r>
            <w:r>
              <w:rPr>
                <w:spacing w:val="8"/>
              </w:rPr>
              <w:t>边影响较小</w:t>
            </w:r>
          </w:p>
        </w:tc>
      </w:tr>
      <w:tr w14:paraId="33B39743">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377" w:type="pct"/>
            <w:vMerge w:val="continue"/>
            <w:tcBorders>
              <w:tl2br w:val="nil"/>
              <w:tr2bl w:val="nil"/>
            </w:tcBorders>
            <w:vAlign w:val="top"/>
          </w:tcPr>
          <w:p w14:paraId="7EFB8E86">
            <w:pPr>
              <w:rPr>
                <w:rFonts w:ascii="Arial"/>
                <w:sz w:val="21"/>
              </w:rPr>
            </w:pPr>
          </w:p>
        </w:tc>
        <w:tc>
          <w:tcPr>
            <w:tcW w:w="828" w:type="pct"/>
            <w:vMerge w:val="continue"/>
            <w:tcBorders>
              <w:tl2br w:val="nil"/>
              <w:tr2bl w:val="nil"/>
            </w:tcBorders>
            <w:vAlign w:val="top"/>
          </w:tcPr>
          <w:p w14:paraId="59B7DFA6">
            <w:pPr>
              <w:rPr>
                <w:rFonts w:ascii="Arial"/>
                <w:sz w:val="21"/>
              </w:rPr>
            </w:pPr>
          </w:p>
        </w:tc>
        <w:tc>
          <w:tcPr>
            <w:tcW w:w="1035" w:type="pct"/>
            <w:tcBorders>
              <w:tl2br w:val="nil"/>
              <w:tr2bl w:val="nil"/>
            </w:tcBorders>
            <w:vAlign w:val="top"/>
          </w:tcPr>
          <w:p w14:paraId="3FAA9E6D">
            <w:pPr>
              <w:pStyle w:val="15"/>
              <w:spacing w:before="248" w:line="228" w:lineRule="auto"/>
              <w:ind w:left="482"/>
            </w:pPr>
            <w:r>
              <w:rPr>
                <w:spacing w:val="6"/>
              </w:rPr>
              <w:t>生活垃圾</w:t>
            </w:r>
          </w:p>
        </w:tc>
        <w:tc>
          <w:tcPr>
            <w:tcW w:w="1961" w:type="pct"/>
            <w:tcBorders>
              <w:tl2br w:val="nil"/>
              <w:tr2bl w:val="nil"/>
            </w:tcBorders>
            <w:vAlign w:val="top"/>
          </w:tcPr>
          <w:p w14:paraId="4A128451">
            <w:pPr>
              <w:pStyle w:val="15"/>
              <w:spacing w:before="90" w:line="250" w:lineRule="auto"/>
              <w:ind w:left="29" w:right="15"/>
            </w:pPr>
            <w:r>
              <w:rPr>
                <w:spacing w:val="9"/>
              </w:rPr>
              <w:t>施工人员及项目部产生的生活垃圾就</w:t>
            </w:r>
            <w:r>
              <w:rPr>
                <w:spacing w:val="5"/>
              </w:rPr>
              <w:t xml:space="preserve"> </w:t>
            </w:r>
            <w:r>
              <w:rPr>
                <w:spacing w:val="8"/>
              </w:rPr>
              <w:t>近使用所在村庄内的垃圾储运设施。</w:t>
            </w:r>
          </w:p>
        </w:tc>
        <w:tc>
          <w:tcPr>
            <w:tcW w:w="797" w:type="pct"/>
            <w:vMerge w:val="continue"/>
            <w:tcBorders>
              <w:tl2br w:val="nil"/>
              <w:tr2bl w:val="nil"/>
            </w:tcBorders>
            <w:vAlign w:val="top"/>
          </w:tcPr>
          <w:p w14:paraId="0FCD4547">
            <w:pPr>
              <w:rPr>
                <w:rFonts w:ascii="Arial"/>
                <w:sz w:val="21"/>
              </w:rPr>
            </w:pPr>
          </w:p>
        </w:tc>
      </w:tr>
      <w:tr w14:paraId="4FCB3A38">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377" w:type="pct"/>
            <w:vMerge w:val="continue"/>
            <w:tcBorders>
              <w:tl2br w:val="nil"/>
              <w:tr2bl w:val="nil"/>
            </w:tcBorders>
            <w:vAlign w:val="top"/>
          </w:tcPr>
          <w:p w14:paraId="34900CE0">
            <w:pPr>
              <w:rPr>
                <w:rFonts w:ascii="Arial"/>
                <w:sz w:val="21"/>
              </w:rPr>
            </w:pPr>
          </w:p>
        </w:tc>
        <w:tc>
          <w:tcPr>
            <w:tcW w:w="828" w:type="pct"/>
            <w:vMerge w:val="continue"/>
            <w:tcBorders>
              <w:tl2br w:val="nil"/>
              <w:tr2bl w:val="nil"/>
            </w:tcBorders>
            <w:vAlign w:val="top"/>
          </w:tcPr>
          <w:p w14:paraId="57861834">
            <w:pPr>
              <w:rPr>
                <w:rFonts w:ascii="Arial"/>
                <w:sz w:val="21"/>
              </w:rPr>
            </w:pPr>
          </w:p>
        </w:tc>
        <w:tc>
          <w:tcPr>
            <w:tcW w:w="1035" w:type="pct"/>
            <w:tcBorders>
              <w:tl2br w:val="nil"/>
              <w:tr2bl w:val="nil"/>
            </w:tcBorders>
            <w:vAlign w:val="top"/>
          </w:tcPr>
          <w:p w14:paraId="2D9BA372">
            <w:pPr>
              <w:spacing w:line="345" w:lineRule="auto"/>
              <w:rPr>
                <w:rFonts w:ascii="Arial"/>
                <w:sz w:val="21"/>
              </w:rPr>
            </w:pPr>
          </w:p>
          <w:p w14:paraId="0931906C">
            <w:pPr>
              <w:pStyle w:val="15"/>
              <w:spacing w:before="65" w:line="261" w:lineRule="auto"/>
              <w:ind w:left="796" w:right="1" w:hanging="797"/>
            </w:pPr>
            <w:r>
              <w:rPr>
                <w:spacing w:val="-2"/>
              </w:rPr>
              <w:t>剩余弃土、建筑垃圾</w:t>
            </w:r>
            <w:r>
              <w:rPr>
                <w:spacing w:val="7"/>
              </w:rPr>
              <w:t xml:space="preserve"> </w:t>
            </w:r>
            <w:r>
              <w:t>等</w:t>
            </w:r>
          </w:p>
        </w:tc>
        <w:tc>
          <w:tcPr>
            <w:tcW w:w="1961" w:type="pct"/>
            <w:tcBorders>
              <w:tl2br w:val="nil"/>
              <w:tr2bl w:val="nil"/>
            </w:tcBorders>
            <w:vAlign w:val="top"/>
          </w:tcPr>
          <w:p w14:paraId="7AF5328B">
            <w:pPr>
              <w:pStyle w:val="15"/>
              <w:spacing w:before="91" w:line="272" w:lineRule="auto"/>
              <w:ind w:left="3" w:firstLine="12"/>
              <w:jc w:val="both"/>
            </w:pPr>
            <w:r>
              <w:rPr>
                <w:spacing w:val="21"/>
              </w:rPr>
              <w:t>指定建筑垃圾填埋</w:t>
            </w:r>
            <w:r>
              <w:rPr>
                <w:spacing w:val="3"/>
              </w:rPr>
              <w:t>场</w:t>
            </w:r>
          </w:p>
        </w:tc>
        <w:tc>
          <w:tcPr>
            <w:tcW w:w="797" w:type="pct"/>
            <w:vMerge w:val="continue"/>
            <w:tcBorders>
              <w:tl2br w:val="nil"/>
              <w:tr2bl w:val="nil"/>
            </w:tcBorders>
            <w:vAlign w:val="top"/>
          </w:tcPr>
          <w:p w14:paraId="04C09BE6">
            <w:pPr>
              <w:rPr>
                <w:rFonts w:ascii="Arial"/>
                <w:sz w:val="21"/>
              </w:rPr>
            </w:pPr>
          </w:p>
        </w:tc>
      </w:tr>
      <w:tr w14:paraId="1DDDB003">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377" w:type="pct"/>
            <w:vMerge w:val="continue"/>
            <w:tcBorders>
              <w:tl2br w:val="nil"/>
              <w:tr2bl w:val="nil"/>
            </w:tcBorders>
            <w:vAlign w:val="top"/>
          </w:tcPr>
          <w:p w14:paraId="5EEC45CD">
            <w:pPr>
              <w:rPr>
                <w:rFonts w:ascii="Arial"/>
                <w:sz w:val="21"/>
              </w:rPr>
            </w:pPr>
          </w:p>
        </w:tc>
        <w:tc>
          <w:tcPr>
            <w:tcW w:w="828" w:type="pct"/>
            <w:vMerge w:val="continue"/>
            <w:tcBorders>
              <w:tl2br w:val="nil"/>
              <w:tr2bl w:val="nil"/>
            </w:tcBorders>
            <w:vAlign w:val="top"/>
          </w:tcPr>
          <w:p w14:paraId="1175EEF8">
            <w:pPr>
              <w:rPr>
                <w:rFonts w:ascii="Arial"/>
                <w:sz w:val="21"/>
              </w:rPr>
            </w:pPr>
          </w:p>
        </w:tc>
        <w:tc>
          <w:tcPr>
            <w:tcW w:w="1035" w:type="pct"/>
            <w:tcBorders>
              <w:tl2br w:val="nil"/>
              <w:tr2bl w:val="nil"/>
            </w:tcBorders>
            <w:vAlign w:val="top"/>
          </w:tcPr>
          <w:p w14:paraId="606A3C8C">
            <w:pPr>
              <w:spacing w:line="334" w:lineRule="auto"/>
              <w:rPr>
                <w:rFonts w:ascii="Arial"/>
                <w:sz w:val="21"/>
              </w:rPr>
            </w:pPr>
          </w:p>
          <w:p w14:paraId="685D3BDA">
            <w:pPr>
              <w:spacing w:line="334" w:lineRule="auto"/>
              <w:rPr>
                <w:rFonts w:ascii="Arial"/>
                <w:sz w:val="21"/>
              </w:rPr>
            </w:pPr>
          </w:p>
          <w:p w14:paraId="313AD2CC">
            <w:pPr>
              <w:pStyle w:val="15"/>
              <w:spacing w:before="65" w:line="228" w:lineRule="auto"/>
              <w:ind w:left="482"/>
            </w:pPr>
            <w:r>
              <w:rPr>
                <w:spacing w:val="6"/>
              </w:rPr>
              <w:t>生态破坏</w:t>
            </w:r>
          </w:p>
        </w:tc>
        <w:tc>
          <w:tcPr>
            <w:tcW w:w="1961" w:type="pct"/>
            <w:tcBorders>
              <w:tl2br w:val="nil"/>
              <w:tr2bl w:val="nil"/>
            </w:tcBorders>
            <w:vAlign w:val="top"/>
          </w:tcPr>
          <w:p w14:paraId="58B90B98">
            <w:pPr>
              <w:spacing w:line="348" w:lineRule="auto"/>
              <w:rPr>
                <w:rFonts w:ascii="Arial"/>
                <w:sz w:val="21"/>
              </w:rPr>
            </w:pPr>
          </w:p>
          <w:p w14:paraId="42A46942">
            <w:pPr>
              <w:pStyle w:val="15"/>
              <w:spacing w:before="65" w:line="228" w:lineRule="auto"/>
              <w:ind w:left="29"/>
            </w:pPr>
            <w:r>
              <w:rPr>
                <w:spacing w:val="9"/>
              </w:rPr>
              <w:t>在渠道划定施工区域内施工，土石方</w:t>
            </w:r>
          </w:p>
          <w:p w14:paraId="195BB3CE">
            <w:pPr>
              <w:pStyle w:val="15"/>
              <w:spacing w:before="74" w:line="261" w:lineRule="auto"/>
              <w:ind w:left="248" w:right="15" w:hanging="219"/>
            </w:pPr>
            <w:r>
              <w:rPr>
                <w:spacing w:val="9"/>
              </w:rPr>
              <w:t>及时回填，施工迹地、临时占地等及</w:t>
            </w:r>
            <w:r>
              <w:rPr>
                <w:spacing w:val="5"/>
              </w:rPr>
              <w:t xml:space="preserve"> </w:t>
            </w:r>
            <w:r>
              <w:rPr>
                <w:spacing w:val="7"/>
              </w:rPr>
              <w:t>时清理，恢复地貌（植树植草）</w:t>
            </w:r>
          </w:p>
        </w:tc>
        <w:tc>
          <w:tcPr>
            <w:tcW w:w="797" w:type="pct"/>
            <w:tcBorders>
              <w:tl2br w:val="nil"/>
              <w:tr2bl w:val="nil"/>
            </w:tcBorders>
            <w:vAlign w:val="top"/>
          </w:tcPr>
          <w:p w14:paraId="1F558318">
            <w:pPr>
              <w:pStyle w:val="15"/>
              <w:spacing w:before="97" w:line="228" w:lineRule="auto"/>
              <w:ind w:left="86"/>
            </w:pPr>
            <w:r>
              <w:rPr>
                <w:spacing w:val="5"/>
              </w:rPr>
              <w:t>区域生态功能</w:t>
            </w:r>
          </w:p>
          <w:p w14:paraId="45F26D2C">
            <w:pPr>
              <w:pStyle w:val="15"/>
              <w:spacing w:before="71" w:line="228" w:lineRule="auto"/>
              <w:jc w:val="right"/>
            </w:pPr>
            <w:r>
              <w:rPr>
                <w:spacing w:val="-7"/>
              </w:rPr>
              <w:t>不降低，植被种</w:t>
            </w:r>
          </w:p>
          <w:p w14:paraId="510A611D">
            <w:pPr>
              <w:pStyle w:val="15"/>
              <w:spacing w:before="74" w:line="228" w:lineRule="auto"/>
              <w:ind w:left="71"/>
            </w:pPr>
            <w:r>
              <w:rPr>
                <w:spacing w:val="8"/>
              </w:rPr>
              <w:t>类种群不因施</w:t>
            </w:r>
          </w:p>
          <w:p w14:paraId="11CA4635">
            <w:pPr>
              <w:pStyle w:val="15"/>
              <w:spacing w:before="72" w:line="228" w:lineRule="auto"/>
              <w:jc w:val="right"/>
            </w:pPr>
            <w:r>
              <w:rPr>
                <w:spacing w:val="-7"/>
              </w:rPr>
              <w:t>工减少，控制水</w:t>
            </w:r>
          </w:p>
          <w:p w14:paraId="3CBEDB26">
            <w:pPr>
              <w:pStyle w:val="15"/>
              <w:spacing w:before="72" w:line="219" w:lineRule="auto"/>
              <w:ind w:left="175"/>
            </w:pPr>
            <w:r>
              <w:rPr>
                <w:spacing w:val="7"/>
              </w:rPr>
              <w:t>土流失加剧</w:t>
            </w:r>
          </w:p>
        </w:tc>
      </w:tr>
    </w:tbl>
    <w:p w14:paraId="3A263713">
      <w:pPr>
        <w:pStyle w:val="3"/>
        <w:spacing w:line="414" w:lineRule="auto"/>
      </w:pPr>
    </w:p>
    <w:p w14:paraId="30F2CC43">
      <w:pPr>
        <w:spacing w:before="91" w:line="220" w:lineRule="auto"/>
        <w:ind w:left="218"/>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2.7.2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环境敏感区及环境保护目标</w:t>
      </w:r>
    </w:p>
    <w:p w14:paraId="5CC6A5DB">
      <w:pPr>
        <w:spacing w:before="203" w:line="360" w:lineRule="auto"/>
        <w:ind w:left="213" w:right="192" w:firstLine="480"/>
        <w:jc w:val="both"/>
        <w:rPr>
          <w:rFonts w:ascii="宋体" w:hAnsi="宋体" w:eastAsia="宋体" w:cs="宋体"/>
          <w:sz w:val="24"/>
          <w:szCs w:val="24"/>
        </w:rPr>
      </w:pPr>
      <w:r>
        <w:rPr>
          <w:rFonts w:ascii="宋体" w:hAnsi="宋体" w:eastAsia="宋体" w:cs="宋体"/>
          <w:spacing w:val="-1"/>
          <w:sz w:val="24"/>
          <w:szCs w:val="24"/>
        </w:rPr>
        <w:t>根据本次评价收资调查及现场踏勘结果，建设项</w:t>
      </w:r>
      <w:r>
        <w:rPr>
          <w:rFonts w:ascii="宋体" w:hAnsi="宋体" w:eastAsia="宋体" w:cs="宋体"/>
          <w:spacing w:val="-2"/>
          <w:sz w:val="24"/>
          <w:szCs w:val="24"/>
        </w:rPr>
        <w:t>目评价范围内</w:t>
      </w:r>
      <w:r>
        <w:rPr>
          <w:rFonts w:ascii="宋体" w:hAnsi="宋体" w:eastAsia="宋体" w:cs="宋体"/>
          <w:spacing w:val="-1"/>
          <w:sz w:val="24"/>
          <w:szCs w:val="24"/>
        </w:rPr>
        <w:t>涉及无法避让的湿地公</w:t>
      </w:r>
      <w:r>
        <w:rPr>
          <w:rFonts w:ascii="宋体" w:hAnsi="宋体" w:eastAsia="宋体" w:cs="宋体"/>
          <w:spacing w:val="-2"/>
          <w:sz w:val="24"/>
          <w:szCs w:val="24"/>
        </w:rPr>
        <w:t>园。</w:t>
      </w:r>
      <w:r>
        <w:rPr>
          <w:rFonts w:ascii="宋体" w:hAnsi="宋体" w:eastAsia="宋体" w:cs="宋体"/>
          <w:sz w:val="24"/>
          <w:szCs w:val="24"/>
        </w:rPr>
        <w:t xml:space="preserve"> </w:t>
      </w:r>
      <w:r>
        <w:rPr>
          <w:rFonts w:ascii="宋体" w:hAnsi="宋体" w:eastAsia="宋体" w:cs="宋体"/>
          <w:spacing w:val="-2"/>
          <w:sz w:val="24"/>
          <w:szCs w:val="24"/>
        </w:rPr>
        <w:t>本工程周边其他环境要素保护目标分布图，见图</w:t>
      </w:r>
      <w:r>
        <w:rPr>
          <w:rFonts w:ascii="宋体" w:hAnsi="宋体" w:eastAsia="宋体" w:cs="宋体"/>
          <w:spacing w:val="-42"/>
          <w:sz w:val="24"/>
          <w:szCs w:val="24"/>
        </w:rPr>
        <w:t xml:space="preserve"> </w:t>
      </w:r>
      <w:r>
        <w:rPr>
          <w:rFonts w:ascii="宋体" w:hAnsi="宋体" w:eastAsia="宋体" w:cs="宋体"/>
          <w:spacing w:val="-2"/>
          <w:sz w:val="24"/>
          <w:szCs w:val="24"/>
        </w:rPr>
        <w:t>2-7-1。</w:t>
      </w:r>
    </w:p>
    <w:p w14:paraId="712BF5F9">
      <w:pPr>
        <w:spacing w:before="181" w:line="213"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2-7-2</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环境保护</w:t>
      </w:r>
      <w:r>
        <w:rPr>
          <w:rFonts w:ascii="宋体" w:hAnsi="宋体" w:eastAsia="宋体" w:cs="宋体"/>
          <w:spacing w:val="-1"/>
          <w:sz w:val="24"/>
          <w:szCs w:val="24"/>
          <w14:textOutline w14:w="4358" w14:cap="sq" w14:cmpd="sng">
            <w14:solidFill>
              <w14:srgbClr w14:val="000000"/>
            </w14:solidFill>
            <w14:prstDash w14:val="solid"/>
            <w14:bevel/>
          </w14:textOutline>
        </w:rPr>
        <w:t>目标一览表</w:t>
      </w:r>
    </w:p>
    <w:tbl>
      <w:tblPr>
        <w:tblStyle w:val="14"/>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26"/>
        <w:gridCol w:w="1243"/>
        <w:gridCol w:w="991"/>
        <w:gridCol w:w="1075"/>
        <w:gridCol w:w="2239"/>
        <w:gridCol w:w="1318"/>
        <w:gridCol w:w="1359"/>
      </w:tblGrid>
      <w:tr w14:paraId="1457C5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506" w:type="pct"/>
            <w:vMerge w:val="restart"/>
            <w:tcBorders>
              <w:tl2br w:val="nil"/>
              <w:tr2bl w:val="nil"/>
            </w:tcBorders>
            <w:vAlign w:val="center"/>
          </w:tcPr>
          <w:p w14:paraId="7B015E0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14:paraId="2A50E2F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679" w:type="pct"/>
            <w:vMerge w:val="restart"/>
            <w:tcBorders>
              <w:tl2br w:val="nil"/>
              <w:tr2bl w:val="nil"/>
            </w:tcBorders>
            <w:vAlign w:val="center"/>
          </w:tcPr>
          <w:p w14:paraId="429F9E7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541" w:type="pct"/>
            <w:vMerge w:val="restart"/>
            <w:tcBorders>
              <w:tl2br w:val="nil"/>
              <w:tr2bl w:val="nil"/>
            </w:tcBorders>
            <w:vAlign w:val="center"/>
          </w:tcPr>
          <w:p w14:paraId="419080D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w:t>
            </w:r>
          </w:p>
          <w:p w14:paraId="1285F47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对象</w:t>
            </w:r>
          </w:p>
        </w:tc>
        <w:tc>
          <w:tcPr>
            <w:tcW w:w="587" w:type="pct"/>
            <w:vMerge w:val="restart"/>
            <w:tcBorders>
              <w:tl2br w:val="nil"/>
              <w:tr2bl w:val="nil"/>
            </w:tcBorders>
            <w:vAlign w:val="center"/>
          </w:tcPr>
          <w:p w14:paraId="04BBDDA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保护内容</w:t>
            </w:r>
          </w:p>
          <w:p w14:paraId="4DEFA5F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（人口）</w:t>
            </w:r>
          </w:p>
        </w:tc>
        <w:tc>
          <w:tcPr>
            <w:tcW w:w="1223" w:type="pct"/>
            <w:vMerge w:val="restart"/>
            <w:tcBorders>
              <w:tl2br w:val="nil"/>
              <w:tr2bl w:val="nil"/>
            </w:tcBorders>
            <w:vAlign w:val="center"/>
          </w:tcPr>
          <w:p w14:paraId="3057956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环境功能区</w:t>
            </w:r>
          </w:p>
        </w:tc>
        <w:tc>
          <w:tcPr>
            <w:tcW w:w="720" w:type="pct"/>
            <w:vMerge w:val="restart"/>
            <w:tcBorders>
              <w:tl2br w:val="nil"/>
              <w:tr2bl w:val="nil"/>
            </w:tcBorders>
            <w:vAlign w:val="center"/>
          </w:tcPr>
          <w:p w14:paraId="4842AC3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相对位置</w:t>
            </w:r>
          </w:p>
        </w:tc>
        <w:tc>
          <w:tcPr>
            <w:tcW w:w="740" w:type="pct"/>
            <w:vMerge w:val="restart"/>
            <w:tcBorders>
              <w:tl2br w:val="nil"/>
              <w:tr2bl w:val="nil"/>
            </w:tcBorders>
            <w:vAlign w:val="center"/>
          </w:tcPr>
          <w:p w14:paraId="024C9ED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距离 （m）</w:t>
            </w:r>
          </w:p>
        </w:tc>
      </w:tr>
      <w:tr w14:paraId="1531DC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506" w:type="pct"/>
            <w:vMerge w:val="continue"/>
            <w:tcBorders>
              <w:tl2br w:val="nil"/>
              <w:tr2bl w:val="nil"/>
            </w:tcBorders>
            <w:vAlign w:val="center"/>
          </w:tcPr>
          <w:p w14:paraId="5843A334">
            <w:pPr>
              <w:jc w:val="center"/>
              <w:rPr>
                <w:rFonts w:hint="default" w:ascii="Times New Roman" w:hAnsi="Times New Roman" w:eastAsia="宋体" w:cs="Times New Roman"/>
                <w:sz w:val="21"/>
                <w:szCs w:val="21"/>
              </w:rPr>
            </w:pPr>
          </w:p>
        </w:tc>
        <w:tc>
          <w:tcPr>
            <w:tcW w:w="679" w:type="pct"/>
            <w:vMerge w:val="continue"/>
            <w:tcBorders>
              <w:tl2br w:val="nil"/>
              <w:tr2bl w:val="nil"/>
            </w:tcBorders>
            <w:vAlign w:val="center"/>
          </w:tcPr>
          <w:p w14:paraId="6E20C5BE">
            <w:pPr>
              <w:jc w:val="center"/>
              <w:rPr>
                <w:rFonts w:hint="default" w:ascii="Times New Roman" w:hAnsi="Times New Roman" w:eastAsia="宋体" w:cs="Times New Roman"/>
                <w:sz w:val="21"/>
                <w:szCs w:val="21"/>
              </w:rPr>
            </w:pPr>
          </w:p>
        </w:tc>
        <w:tc>
          <w:tcPr>
            <w:tcW w:w="541" w:type="pct"/>
            <w:vMerge w:val="continue"/>
            <w:tcBorders>
              <w:tl2br w:val="nil"/>
              <w:tr2bl w:val="nil"/>
            </w:tcBorders>
            <w:vAlign w:val="center"/>
          </w:tcPr>
          <w:p w14:paraId="7B8D1E45">
            <w:pPr>
              <w:jc w:val="center"/>
              <w:rPr>
                <w:rFonts w:hint="default" w:ascii="Times New Roman" w:hAnsi="Times New Roman" w:eastAsia="宋体" w:cs="Times New Roman"/>
                <w:sz w:val="21"/>
                <w:szCs w:val="21"/>
              </w:rPr>
            </w:pPr>
          </w:p>
        </w:tc>
        <w:tc>
          <w:tcPr>
            <w:tcW w:w="587" w:type="pct"/>
            <w:vMerge w:val="continue"/>
            <w:tcBorders>
              <w:tl2br w:val="nil"/>
              <w:tr2bl w:val="nil"/>
            </w:tcBorders>
            <w:vAlign w:val="center"/>
          </w:tcPr>
          <w:p w14:paraId="06890F04">
            <w:pPr>
              <w:jc w:val="center"/>
              <w:rPr>
                <w:rFonts w:hint="default" w:ascii="Times New Roman" w:hAnsi="Times New Roman" w:eastAsia="宋体" w:cs="Times New Roman"/>
                <w:sz w:val="21"/>
                <w:szCs w:val="21"/>
              </w:rPr>
            </w:pPr>
          </w:p>
        </w:tc>
        <w:tc>
          <w:tcPr>
            <w:tcW w:w="1223" w:type="pct"/>
            <w:vMerge w:val="continue"/>
            <w:tcBorders>
              <w:tl2br w:val="nil"/>
              <w:tr2bl w:val="nil"/>
            </w:tcBorders>
            <w:vAlign w:val="center"/>
          </w:tcPr>
          <w:p w14:paraId="04BE0B9C">
            <w:pPr>
              <w:jc w:val="center"/>
              <w:rPr>
                <w:rFonts w:hint="default" w:ascii="Times New Roman" w:hAnsi="Times New Roman" w:eastAsia="宋体" w:cs="Times New Roman"/>
                <w:sz w:val="21"/>
                <w:szCs w:val="21"/>
              </w:rPr>
            </w:pPr>
          </w:p>
        </w:tc>
        <w:tc>
          <w:tcPr>
            <w:tcW w:w="720" w:type="pct"/>
            <w:vMerge w:val="continue"/>
            <w:tcBorders>
              <w:tl2br w:val="nil"/>
              <w:tr2bl w:val="nil"/>
            </w:tcBorders>
            <w:vAlign w:val="center"/>
          </w:tcPr>
          <w:p w14:paraId="7F9D0FBE">
            <w:pPr>
              <w:jc w:val="center"/>
              <w:rPr>
                <w:rFonts w:hint="default" w:ascii="Times New Roman" w:hAnsi="Times New Roman" w:eastAsia="宋体" w:cs="Times New Roman"/>
                <w:sz w:val="21"/>
                <w:szCs w:val="21"/>
              </w:rPr>
            </w:pPr>
          </w:p>
        </w:tc>
        <w:tc>
          <w:tcPr>
            <w:tcW w:w="740" w:type="pct"/>
            <w:vMerge w:val="continue"/>
            <w:tcBorders>
              <w:tl2br w:val="nil"/>
              <w:tr2bl w:val="nil"/>
            </w:tcBorders>
            <w:vAlign w:val="center"/>
          </w:tcPr>
          <w:p w14:paraId="4ED49F27">
            <w:pPr>
              <w:jc w:val="center"/>
              <w:rPr>
                <w:rFonts w:hint="default" w:ascii="Times New Roman" w:hAnsi="Times New Roman" w:eastAsia="宋体" w:cs="Times New Roman"/>
                <w:sz w:val="21"/>
                <w:szCs w:val="21"/>
              </w:rPr>
            </w:pPr>
          </w:p>
        </w:tc>
      </w:tr>
      <w:tr w14:paraId="6FD860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87" w:hRule="atLeast"/>
          <w:jc w:val="center"/>
        </w:trPr>
        <w:tc>
          <w:tcPr>
            <w:tcW w:w="506" w:type="pct"/>
            <w:tcBorders>
              <w:tl2br w:val="nil"/>
              <w:tr2bl w:val="nil"/>
            </w:tcBorders>
            <w:vAlign w:val="center"/>
          </w:tcPr>
          <w:p w14:paraId="0DEBC28D">
            <w:pPr>
              <w:jc w:val="center"/>
              <w:rPr>
                <w:rFonts w:hint="default" w:ascii="Times New Roman" w:hAnsi="Times New Roman" w:eastAsia="宋体" w:cs="Times New Roman"/>
                <w:sz w:val="21"/>
                <w:szCs w:val="21"/>
              </w:rPr>
            </w:pPr>
          </w:p>
          <w:p w14:paraId="5AFBE8A1">
            <w:pPr>
              <w:jc w:val="center"/>
              <w:rPr>
                <w:rFonts w:hint="default" w:ascii="Times New Roman" w:hAnsi="Times New Roman" w:eastAsia="宋体" w:cs="Times New Roman"/>
                <w:sz w:val="21"/>
                <w:szCs w:val="21"/>
              </w:rPr>
            </w:pPr>
          </w:p>
          <w:p w14:paraId="01BF8B5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14:paraId="2699DCB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w:t>
            </w:r>
          </w:p>
        </w:tc>
        <w:tc>
          <w:tcPr>
            <w:tcW w:w="679" w:type="pct"/>
            <w:tcBorders>
              <w:tl2br w:val="nil"/>
              <w:tr2bl w:val="nil"/>
            </w:tcBorders>
            <w:vAlign w:val="center"/>
          </w:tcPr>
          <w:p w14:paraId="727F6366">
            <w:pPr>
              <w:jc w:val="center"/>
              <w:rPr>
                <w:rFonts w:hint="default" w:ascii="Times New Roman" w:hAnsi="Times New Roman" w:eastAsia="宋体" w:cs="Times New Roman"/>
                <w:sz w:val="21"/>
                <w:szCs w:val="21"/>
              </w:rPr>
            </w:pPr>
          </w:p>
          <w:p w14:paraId="4E9863F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村庄</w:t>
            </w:r>
          </w:p>
        </w:tc>
        <w:tc>
          <w:tcPr>
            <w:tcW w:w="541" w:type="pct"/>
            <w:tcBorders>
              <w:tl2br w:val="nil"/>
              <w:tr2bl w:val="nil"/>
            </w:tcBorders>
            <w:vAlign w:val="center"/>
          </w:tcPr>
          <w:p w14:paraId="625E7D90">
            <w:pPr>
              <w:jc w:val="center"/>
              <w:rPr>
                <w:rFonts w:hint="default" w:ascii="Times New Roman" w:hAnsi="Times New Roman" w:eastAsia="宋体" w:cs="Times New Roman"/>
                <w:sz w:val="21"/>
                <w:szCs w:val="21"/>
              </w:rPr>
            </w:pPr>
          </w:p>
          <w:p w14:paraId="32235D4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w:t>
            </w:r>
          </w:p>
        </w:tc>
        <w:tc>
          <w:tcPr>
            <w:tcW w:w="587" w:type="pct"/>
            <w:tcBorders>
              <w:tl2br w:val="nil"/>
              <w:tr2bl w:val="nil"/>
            </w:tcBorders>
            <w:vAlign w:val="center"/>
          </w:tcPr>
          <w:p w14:paraId="3C43A40F">
            <w:pPr>
              <w:jc w:val="center"/>
              <w:rPr>
                <w:rFonts w:hint="default" w:ascii="Times New Roman" w:hAnsi="Times New Roman" w:eastAsia="宋体" w:cs="Times New Roman"/>
                <w:sz w:val="21"/>
                <w:szCs w:val="21"/>
              </w:rPr>
            </w:pPr>
          </w:p>
          <w:p w14:paraId="627B7D7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1223" w:type="pct"/>
            <w:tcBorders>
              <w:tl2br w:val="nil"/>
              <w:tr2bl w:val="nil"/>
            </w:tcBorders>
            <w:vAlign w:val="center"/>
          </w:tcPr>
          <w:p w14:paraId="6B4E98A4">
            <w:pPr>
              <w:jc w:val="center"/>
              <w:rPr>
                <w:rFonts w:hint="default" w:ascii="Times New Roman" w:hAnsi="Times New Roman" w:eastAsia="宋体" w:cs="Times New Roman"/>
                <w:sz w:val="21"/>
                <w:szCs w:val="21"/>
              </w:rPr>
            </w:pPr>
          </w:p>
          <w:p w14:paraId="201782B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质量标准》 （GB3095-2 012）二级标准</w:t>
            </w:r>
          </w:p>
        </w:tc>
        <w:tc>
          <w:tcPr>
            <w:tcW w:w="720" w:type="pct"/>
            <w:tcBorders>
              <w:tl2br w:val="nil"/>
              <w:tr2bl w:val="nil"/>
            </w:tcBorders>
            <w:vAlign w:val="center"/>
          </w:tcPr>
          <w:p w14:paraId="7E3789E6">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渠道沿线</w:t>
            </w:r>
          </w:p>
        </w:tc>
        <w:tc>
          <w:tcPr>
            <w:tcW w:w="740" w:type="pct"/>
            <w:tcBorders>
              <w:tl2br w:val="nil"/>
              <w:tr2bl w:val="nil"/>
            </w:tcBorders>
            <w:vAlign w:val="center"/>
          </w:tcPr>
          <w:p w14:paraId="5C0A09E6">
            <w:pPr>
              <w:jc w:val="center"/>
              <w:rPr>
                <w:rFonts w:hint="default" w:ascii="Times New Roman" w:hAnsi="Times New Roman" w:eastAsia="宋体" w:cs="Times New Roman"/>
                <w:sz w:val="21"/>
                <w:szCs w:val="21"/>
              </w:rPr>
            </w:pPr>
          </w:p>
          <w:p w14:paraId="1B062E95">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500m内</w:t>
            </w:r>
          </w:p>
        </w:tc>
      </w:tr>
      <w:tr w14:paraId="51C0DFB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506" w:type="pct"/>
            <w:tcBorders>
              <w:tl2br w:val="nil"/>
              <w:tr2bl w:val="nil"/>
            </w:tcBorders>
            <w:vAlign w:val="center"/>
          </w:tcPr>
          <w:p w14:paraId="2825961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w:t>
            </w:r>
          </w:p>
          <w:p w14:paraId="15A37E5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境</w:t>
            </w:r>
          </w:p>
        </w:tc>
        <w:tc>
          <w:tcPr>
            <w:tcW w:w="679" w:type="pct"/>
            <w:tcBorders>
              <w:tl2br w:val="nil"/>
              <w:tr2bl w:val="nil"/>
            </w:tcBorders>
            <w:vAlign w:val="center"/>
          </w:tcPr>
          <w:p w14:paraId="5AC51EB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村庄</w:t>
            </w:r>
          </w:p>
        </w:tc>
        <w:tc>
          <w:tcPr>
            <w:tcW w:w="541" w:type="pct"/>
            <w:tcBorders>
              <w:tl2br w:val="nil"/>
              <w:tr2bl w:val="nil"/>
            </w:tcBorders>
            <w:vAlign w:val="center"/>
          </w:tcPr>
          <w:p w14:paraId="5DA1A15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w:t>
            </w:r>
          </w:p>
        </w:tc>
        <w:tc>
          <w:tcPr>
            <w:tcW w:w="587" w:type="pct"/>
            <w:tcBorders>
              <w:tl2br w:val="nil"/>
              <w:tr2bl w:val="nil"/>
            </w:tcBorders>
            <w:vAlign w:val="center"/>
          </w:tcPr>
          <w:p w14:paraId="5D52D3E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w:t>
            </w:r>
          </w:p>
        </w:tc>
        <w:tc>
          <w:tcPr>
            <w:tcW w:w="1223" w:type="pct"/>
            <w:tcBorders>
              <w:tl2br w:val="nil"/>
              <w:tr2bl w:val="nil"/>
            </w:tcBorders>
            <w:vAlign w:val="center"/>
          </w:tcPr>
          <w:p w14:paraId="5A48459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w:t>
            </w:r>
          </w:p>
          <w:p w14:paraId="5211E62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（GB3096-2 008）中的 2 类声环境功 能区的标准</w:t>
            </w:r>
          </w:p>
        </w:tc>
        <w:tc>
          <w:tcPr>
            <w:tcW w:w="720" w:type="pct"/>
            <w:tcBorders>
              <w:tl2br w:val="nil"/>
              <w:tr2bl w:val="nil"/>
            </w:tcBorders>
            <w:vAlign w:val="center"/>
          </w:tcPr>
          <w:p w14:paraId="1456C02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渠道沿线</w:t>
            </w:r>
          </w:p>
        </w:tc>
        <w:tc>
          <w:tcPr>
            <w:tcW w:w="740" w:type="pct"/>
            <w:tcBorders>
              <w:tl2br w:val="nil"/>
              <w:tr2bl w:val="nil"/>
            </w:tcBorders>
            <w:vAlign w:val="center"/>
          </w:tcPr>
          <w:p w14:paraId="7E2AC1C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50m内</w:t>
            </w:r>
          </w:p>
        </w:tc>
      </w:tr>
      <w:tr w14:paraId="0ECB37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85" w:hRule="atLeast"/>
          <w:jc w:val="center"/>
        </w:trPr>
        <w:tc>
          <w:tcPr>
            <w:tcW w:w="506" w:type="pct"/>
            <w:tcBorders>
              <w:tl2br w:val="nil"/>
              <w:tr2bl w:val="nil"/>
            </w:tcBorders>
            <w:vAlign w:val="center"/>
          </w:tcPr>
          <w:p w14:paraId="69E8FDE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w:t>
            </w:r>
          </w:p>
          <w:p w14:paraId="66D6E1E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w:t>
            </w:r>
          </w:p>
        </w:tc>
        <w:tc>
          <w:tcPr>
            <w:tcW w:w="679" w:type="pct"/>
            <w:tcBorders>
              <w:tl2br w:val="nil"/>
              <w:tr2bl w:val="nil"/>
            </w:tcBorders>
            <w:vAlign w:val="center"/>
          </w:tcPr>
          <w:p w14:paraId="40A1B1AB">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艾丁湖</w:t>
            </w:r>
          </w:p>
        </w:tc>
        <w:tc>
          <w:tcPr>
            <w:tcW w:w="541" w:type="pct"/>
            <w:tcBorders>
              <w:tl2br w:val="nil"/>
              <w:tr2bl w:val="nil"/>
            </w:tcBorders>
            <w:vAlign w:val="center"/>
          </w:tcPr>
          <w:p w14:paraId="5CB1EEBD">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水质</w:t>
            </w:r>
          </w:p>
        </w:tc>
        <w:tc>
          <w:tcPr>
            <w:tcW w:w="587" w:type="pct"/>
            <w:tcBorders>
              <w:tl2br w:val="nil"/>
              <w:tr2bl w:val="nil"/>
            </w:tcBorders>
            <w:vAlign w:val="center"/>
          </w:tcPr>
          <w:p w14:paraId="7B347C9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23" w:type="pct"/>
            <w:tcBorders>
              <w:tl2br w:val="nil"/>
              <w:tr2bl w:val="nil"/>
            </w:tcBorders>
            <w:vAlign w:val="center"/>
          </w:tcPr>
          <w:p w14:paraId="7979CFD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《地表水环 境质量标准》（GB3838-2 002） </w:t>
            </w:r>
            <w:r>
              <w:rPr>
                <w:rFonts w:hint="default" w:ascii="Times New Roman" w:hAnsi="Times New Roman" w:eastAsia="宋体" w:cs="Times New Roman"/>
                <w:sz w:val="21"/>
                <w:szCs w:val="21"/>
                <w:lang w:val="en-US" w:eastAsia="zh-CN"/>
              </w:rPr>
              <w:t>Ⅲ</w:t>
            </w:r>
            <w:r>
              <w:rPr>
                <w:rFonts w:hint="default" w:ascii="Times New Roman" w:hAnsi="Times New Roman" w:eastAsia="宋体" w:cs="Times New Roman"/>
                <w:sz w:val="21"/>
                <w:szCs w:val="21"/>
              </w:rPr>
              <w:t>类</w:t>
            </w:r>
          </w:p>
        </w:tc>
        <w:tc>
          <w:tcPr>
            <w:tcW w:w="720" w:type="pct"/>
            <w:tcBorders>
              <w:tl2br w:val="nil"/>
              <w:tr2bl w:val="nil"/>
            </w:tcBorders>
            <w:vAlign w:val="center"/>
          </w:tcPr>
          <w:p w14:paraId="524122B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0" w:type="pct"/>
            <w:tcBorders>
              <w:tl2br w:val="nil"/>
              <w:tr2bl w:val="nil"/>
            </w:tcBorders>
            <w:vAlign w:val="center"/>
          </w:tcPr>
          <w:p w14:paraId="6B0FF20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紧邻</w:t>
            </w:r>
          </w:p>
        </w:tc>
      </w:tr>
      <w:tr w14:paraId="6AC72F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49" w:hRule="atLeast"/>
          <w:jc w:val="center"/>
        </w:trPr>
        <w:tc>
          <w:tcPr>
            <w:tcW w:w="506" w:type="pct"/>
            <w:tcBorders>
              <w:tl2br w:val="nil"/>
              <w:tr2bl w:val="nil"/>
            </w:tcBorders>
            <w:vAlign w:val="center"/>
          </w:tcPr>
          <w:p w14:paraId="3ED34173">
            <w:pPr>
              <w:jc w:val="center"/>
              <w:rPr>
                <w:rFonts w:hint="default" w:ascii="Times New Roman" w:hAnsi="Times New Roman" w:eastAsia="宋体" w:cs="Times New Roman"/>
                <w:sz w:val="21"/>
                <w:szCs w:val="21"/>
              </w:rPr>
            </w:pPr>
          </w:p>
          <w:p w14:paraId="3DC1B8D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w:t>
            </w:r>
          </w:p>
          <w:p w14:paraId="5E549D4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679" w:type="pct"/>
            <w:tcBorders>
              <w:tl2br w:val="nil"/>
              <w:tr2bl w:val="nil"/>
            </w:tcBorders>
            <w:vAlign w:val="center"/>
          </w:tcPr>
          <w:p w14:paraId="4801D325">
            <w:pPr>
              <w:jc w:val="center"/>
              <w:rPr>
                <w:rFonts w:hint="default" w:ascii="Times New Roman" w:hAnsi="Times New Roman" w:eastAsia="宋体" w:cs="Times New Roman"/>
                <w:sz w:val="21"/>
                <w:szCs w:val="21"/>
              </w:rPr>
            </w:pPr>
          </w:p>
          <w:p w14:paraId="04114094">
            <w:pPr>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eastAsia="zh-CN"/>
              </w:rPr>
              <w:t>艾丁湖</w:t>
            </w:r>
            <w:r>
              <w:rPr>
                <w:rFonts w:hint="default" w:ascii="Times New Roman" w:hAnsi="Times New Roman" w:eastAsia="宋体" w:cs="Times New Roman"/>
                <w:sz w:val="21"/>
                <w:szCs w:val="21"/>
              </w:rPr>
              <w:t>国家湿地公园</w:t>
            </w:r>
          </w:p>
        </w:tc>
        <w:tc>
          <w:tcPr>
            <w:tcW w:w="541" w:type="pct"/>
            <w:tcBorders>
              <w:tl2br w:val="nil"/>
              <w:tr2bl w:val="nil"/>
            </w:tcBorders>
            <w:vAlign w:val="center"/>
          </w:tcPr>
          <w:p w14:paraId="188AB07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生物多样</w:t>
            </w:r>
          </w:p>
          <w:p w14:paraId="251FE1AC">
            <w:pPr>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性维护、土壤、植被、动物</w:t>
            </w:r>
          </w:p>
        </w:tc>
        <w:tc>
          <w:tcPr>
            <w:tcW w:w="3272" w:type="pct"/>
            <w:gridSpan w:val="4"/>
            <w:tcBorders>
              <w:tl2br w:val="nil"/>
              <w:tr2bl w:val="nil"/>
            </w:tcBorders>
            <w:vAlign w:val="center"/>
          </w:tcPr>
          <w:p w14:paraId="2592619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《土壤环境质量 农用地土壤污染风险管控标准（试行）》（GB15618-2018）中筛选值；区域草地林地等 植被种类种群不因项目实施减少，不造成陆域和水域 动物种群类型减少及数量明显下降，不因水土流失降低区域生态功能。</w:t>
            </w:r>
          </w:p>
        </w:tc>
      </w:tr>
    </w:tbl>
    <w:p w14:paraId="65B84767">
      <w:pPr>
        <w:spacing w:before="313" w:line="225" w:lineRule="auto"/>
        <w:ind w:left="19"/>
        <w:outlineLvl w:val="0"/>
        <w:rPr>
          <w:rFonts w:hint="eastAsia" w:ascii="黑体" w:hAnsi="黑体" w:eastAsia="黑体" w:cs="黑体"/>
          <w:spacing w:val="7"/>
          <w:sz w:val="32"/>
          <w:szCs w:val="32"/>
          <w14:textOutline w14:w="5793" w14:cap="sq" w14:cmpd="sng">
            <w14:solidFill>
              <w14:srgbClr w14:val="000000"/>
            </w14:solidFill>
            <w14:prstDash w14:val="solid"/>
            <w14:bevel/>
          </w14:textOutline>
        </w:rPr>
        <w:sectPr>
          <w:headerReference r:id="rId7" w:type="default"/>
          <w:footerReference r:id="rId8" w:type="default"/>
          <w:pgSz w:w="11906" w:h="16839"/>
          <w:pgMar w:top="1152" w:right="1333" w:bottom="1262" w:left="1418" w:header="882" w:footer="986" w:gutter="0"/>
          <w:pgBorders>
            <w:top w:val="none" w:sz="0" w:space="0"/>
            <w:left w:val="none" w:sz="0" w:space="0"/>
            <w:bottom w:val="none" w:sz="0" w:space="0"/>
            <w:right w:val="none" w:sz="0" w:space="0"/>
          </w:pgBorders>
          <w:pgNumType w:fmt="decimal" w:start="1"/>
          <w:cols w:space="720" w:num="1"/>
        </w:sectPr>
      </w:pPr>
      <w:bookmarkStart w:id="15" w:name="bookmark16"/>
      <w:bookmarkEnd w:id="15"/>
      <w:bookmarkStart w:id="16" w:name="bookmark15"/>
      <w:bookmarkEnd w:id="16"/>
    </w:p>
    <w:p w14:paraId="6EF5BA1C">
      <w:pPr>
        <w:spacing w:before="313" w:line="225" w:lineRule="auto"/>
        <w:ind w:left="19"/>
        <w:outlineLvl w:val="0"/>
        <w:rPr>
          <w:rFonts w:hint="eastAsia" w:ascii="黑体" w:hAnsi="黑体" w:eastAsia="黑体" w:cs="黑体"/>
          <w:sz w:val="32"/>
          <w:szCs w:val="32"/>
        </w:rPr>
      </w:pPr>
      <w:r>
        <w:rPr>
          <w:rFonts w:hint="eastAsia" w:ascii="黑体" w:hAnsi="黑体" w:eastAsia="黑体" w:cs="黑体"/>
          <w:spacing w:val="7"/>
          <w:sz w:val="32"/>
          <w:szCs w:val="32"/>
          <w14:textOutline w14:w="5793" w14:cap="sq" w14:cmpd="sng">
            <w14:solidFill>
              <w14:srgbClr w14:val="000000"/>
            </w14:solidFill>
            <w14:prstDash w14:val="solid"/>
            <w14:bevel/>
          </w14:textOutline>
        </w:rPr>
        <w:t>3</w:t>
      </w:r>
      <w:r>
        <w:rPr>
          <w:rFonts w:hint="eastAsia" w:ascii="黑体" w:hAnsi="黑体" w:eastAsia="黑体" w:cs="黑体"/>
          <w:spacing w:val="-37"/>
          <w:sz w:val="32"/>
          <w:szCs w:val="32"/>
        </w:rPr>
        <w:t xml:space="preserve"> </w:t>
      </w:r>
      <w:r>
        <w:rPr>
          <w:rFonts w:hint="eastAsia" w:ascii="黑体" w:hAnsi="黑体" w:eastAsia="黑体" w:cs="黑体"/>
          <w:spacing w:val="7"/>
          <w:sz w:val="32"/>
          <w:szCs w:val="32"/>
          <w14:textOutline w14:w="5793" w14:cap="sq" w14:cmpd="sng">
            <w14:solidFill>
              <w14:srgbClr w14:val="000000"/>
            </w14:solidFill>
            <w14:prstDash w14:val="solid"/>
            <w14:bevel/>
          </w14:textOutline>
        </w:rPr>
        <w:t>建设项目概况与分析</w:t>
      </w:r>
    </w:p>
    <w:p w14:paraId="3E02C2EC">
      <w:pPr>
        <w:spacing w:before="241" w:line="220" w:lineRule="auto"/>
        <w:ind w:left="18"/>
        <w:outlineLvl w:val="1"/>
        <w:rPr>
          <w:rFonts w:hint="eastAsia" w:ascii="黑体" w:hAnsi="黑体" w:eastAsia="黑体" w:cs="黑体"/>
          <w:sz w:val="30"/>
          <w:szCs w:val="30"/>
        </w:rPr>
      </w:pPr>
      <w:r>
        <w:rPr>
          <w:rFonts w:hint="eastAsia" w:ascii="黑体" w:hAnsi="黑体" w:eastAsia="黑体" w:cs="黑体"/>
          <w:spacing w:val="1"/>
          <w:sz w:val="30"/>
          <w:szCs w:val="30"/>
          <w14:textOutline w14:w="5448" w14:cap="sq" w14:cmpd="sng">
            <w14:solidFill>
              <w14:srgbClr w14:val="000000"/>
            </w14:solidFill>
            <w14:prstDash w14:val="solid"/>
            <w14:bevel/>
          </w14:textOutline>
        </w:rPr>
        <w:t>3.1</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原有工程回顾性分析</w:t>
      </w:r>
    </w:p>
    <w:p w14:paraId="563B88A6">
      <w:pPr>
        <w:spacing w:before="222" w:line="220" w:lineRule="auto"/>
        <w:ind w:left="16"/>
        <w:outlineLvl w:val="2"/>
        <w:rPr>
          <w:rFonts w:hint="eastAsia" w:ascii="宋体" w:hAnsi="宋体" w:eastAsia="宋体" w:cs="宋体"/>
          <w:b/>
          <w:bCs/>
          <w:sz w:val="28"/>
          <w:szCs w:val="28"/>
          <w:lang w:val="en-US" w:eastAsia="zh-CN"/>
        </w:rPr>
      </w:pPr>
      <w:r>
        <w:rPr>
          <w:rFonts w:ascii="宋体" w:hAnsi="宋体" w:eastAsia="宋体" w:cs="宋体"/>
          <w:b/>
          <w:bCs/>
          <w:spacing w:val="-2"/>
          <w:sz w:val="28"/>
          <w:szCs w:val="28"/>
          <w14:textOutline w14:w="5103" w14:cap="sq" w14:cmpd="sng">
            <w14:solidFill>
              <w14:srgbClr w14:val="000000"/>
            </w14:solidFill>
            <w14:prstDash w14:val="solid"/>
            <w14:bevel/>
          </w14:textOutline>
        </w:rPr>
        <w:t>3.1.1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hint="eastAsia" w:ascii="宋体" w:hAnsi="宋体" w:eastAsia="宋体" w:cs="宋体"/>
          <w:b/>
          <w:bCs/>
          <w:spacing w:val="-1"/>
          <w:sz w:val="28"/>
          <w:szCs w:val="28"/>
          <w:lang w:val="en-US" w:eastAsia="zh-CN"/>
          <w14:textOutline w14:w="4358" w14:cap="sq" w14:cmpd="sng">
            <w14:solidFill>
              <w14:srgbClr w14:val="000000"/>
            </w14:solidFill>
            <w14:prstDash w14:val="solid"/>
            <w14:bevel/>
          </w14:textOutline>
        </w:rPr>
        <w:t>规划概况</w:t>
      </w:r>
    </w:p>
    <w:p w14:paraId="23ED68ED">
      <w:pPr>
        <w:spacing w:before="203" w:line="219" w:lineRule="auto"/>
        <w:ind w:left="14"/>
        <w:outlineLvl w:val="3"/>
        <w:rPr>
          <w:rFonts w:hint="default" w:ascii="宋体" w:hAnsi="宋体" w:eastAsia="宋体" w:cs="宋体"/>
          <w:sz w:val="24"/>
          <w:szCs w:val="24"/>
          <w:lang w:val="en-US" w:eastAsia="zh-CN"/>
        </w:rPr>
      </w:pPr>
      <w:r>
        <w:rPr>
          <w:b/>
          <w:bCs/>
        </w:rPr>
        <w:fldChar w:fldCharType="begin"/>
      </w:r>
      <w:r>
        <w:rPr>
          <w:b/>
          <w:bCs/>
        </w:rPr>
        <w:instrText xml:space="preserve"> HYPERLINK "3.1.1.1"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3.1.1.1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规划总体情况</w:t>
      </w:r>
    </w:p>
    <w:p w14:paraId="047CD6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2013年12月25日，吐鲁番市启动《艾丁湖生态保护治理规划》编制工作，2014年11月，中国水利水电科学研究院完成《艾丁湖生态保护治理规划》，规划主要包括建立和完善节水、水资源配置、生态环境保护、水资源与生态监测四大工程体系。为进行艾丁湖保护，需要满足艾丁湖基本生态需水、压缩社会经济用水，需改变现有水资源开发利用模式，通过退地、节水、调整产业结构，控制水资源利用总量，提高水资源利用效率，构建补水体系，对艾丁湖区域进行全面监测，加强管理措施</w:t>
      </w:r>
      <w:r>
        <w:rPr>
          <w:rFonts w:hint="eastAsia" w:ascii="宋体" w:hAnsi="宋体" w:eastAsia="宋体" w:cs="宋体"/>
          <w:sz w:val="24"/>
          <w:szCs w:val="24"/>
          <w:lang w:eastAsia="zh-CN"/>
        </w:rPr>
        <w:t>。</w:t>
      </w:r>
    </w:p>
    <w:p w14:paraId="7704979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sz w:val="24"/>
          <w:szCs w:val="24"/>
          <w:lang w:val="en-US" w:eastAsia="zh-CN"/>
        </w:rPr>
      </w:pPr>
      <w:r>
        <w:rPr>
          <w:b/>
          <w:bCs/>
        </w:rPr>
        <w:fldChar w:fldCharType="begin"/>
      </w:r>
      <w:r>
        <w:rPr>
          <w:b/>
          <w:bCs/>
        </w:rPr>
        <w:instrText xml:space="preserve"> HYPERLINK "3.1.1.2"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3.1.1.2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艾丁湖现状</w:t>
      </w:r>
    </w:p>
    <w:p w14:paraId="6A0DA0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lang w:eastAsia="zh-CN"/>
        </w:rPr>
      </w:pPr>
      <w:r>
        <w:rPr>
          <w:rFonts w:hint="eastAsia" w:ascii="宋体" w:hAnsi="宋体" w:eastAsia="宋体" w:cs="宋体"/>
          <w:sz w:val="24"/>
          <w:szCs w:val="24"/>
        </w:rPr>
        <w:t>艾丁湖是内陆流域尾闾湖泊，流域水循环决定了艾丁湖的生态状况。在天然状况下流域水资源绝大部分进入了尾闾湖泊。多年来，随着上游用水量大幅度增加，入湖水量显著减少。艾丁湖入湖水量是盐湖生态系统的重要组成部分，入湖水量的减少，导致湖泊各要素发生变化</w:t>
      </w:r>
      <w:r>
        <w:rPr>
          <w:rFonts w:hint="eastAsia" w:ascii="宋体" w:hAnsi="宋体" w:eastAsia="宋体" w:cs="宋体"/>
          <w:sz w:val="24"/>
          <w:szCs w:val="24"/>
          <w:lang w:eastAsia="zh-CN"/>
        </w:rPr>
        <w:t>。</w:t>
      </w:r>
    </w:p>
    <w:p w14:paraId="1CABF3EC">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由于人类无序活动日益增强，艾丁湖生态区入湖水量不断减少，湖面萎缩；区域土地沙化、沙漠化趋势未根本扭转；地下水位不断下降，生态、生活用水风险增大；陆生与水生物种植被消亡趋势加剧；干热风等灾害性天气呈不断增加趋势；沙尘、盐尘天气爆发风险不断累积增大，使得艾丁湖生态区生态压力不断增大，生态恶化趋势明显。</w:t>
      </w:r>
    </w:p>
    <w:p w14:paraId="7E1879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特别是地下水超采，坎儿井逐步消亡，泉水衰竭及盐碱化等，导致社会经济发展的支撑条件在恶化，危害深远，影响边疆稳定和长治久安。流域内地下水严重超采、地下水取水成本大幅增加、地下水面临枯竭的危险，艾丁湖环境恶化已经影响吐鲁番市经济发展，并已严重威胁到吐鲁番市人民的生活。</w:t>
      </w:r>
    </w:p>
    <w:p w14:paraId="3F80D8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1.艾丁湖的区域水循环失衡。艾丁湖是区域水循环系统的指示器，吐鲁番盆地内的水循环过程的最低点即为艾丁湖。湖水的水位高低和面积大小变化直接反映吐鲁番盆地的水文丰枯变化和水循环状况。长期以来，由于艾丁湖生态区人类活动、水资源开发利用强度不断增强，进入湖泊的水量逐渐减少，艾丁湖生态系统正面临严重威胁。湖泊水面面积逐渐减少，1909年水面面积230km</w:t>
      </w:r>
      <w:r>
        <w:rPr>
          <w:rFonts w:hint="eastAsia" w:ascii="宋体" w:hAnsi="宋体" w:eastAsia="宋体" w:cs="宋体"/>
          <w:sz w:val="24"/>
          <w:szCs w:val="24"/>
          <w:vertAlign w:val="superscript"/>
        </w:rPr>
        <w:t>2</w:t>
      </w:r>
      <w:r>
        <w:rPr>
          <w:rFonts w:hint="eastAsia" w:ascii="宋体" w:hAnsi="宋体" w:eastAsia="宋体" w:cs="宋体"/>
          <w:sz w:val="24"/>
          <w:szCs w:val="24"/>
        </w:rPr>
        <w:t>，从50年代至2000年的50年中有多次干涸，现在艾丁湖已经演变为季节性湖泊。艾丁湖水面萎缩造成的生态系统衰退已经造成严重的后果，致使湖泊周边地区植物枯死，生态恶化，土地荒漠化加剧，风灾加重，湖区地貌类型向不利的方向演变，已经严重威胁到吐鲁番市人民的生活。如果艾丁湖不及时进行治理，进入湖泊的水量进一步减少直至断流，艾丁湖长期干涸，艾丁湖将成为第二个罗布泊，将带来灾难性的后果。</w:t>
      </w:r>
    </w:p>
    <w:p w14:paraId="2EC507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2.艾丁湖的区域气候系统调节器作用逐渐丧失。艾丁湖地区日照强烈气候炎热，大风盛行。由于艾丁湖的存在，湖水的比热较大，蒸发强烈，从而使得区域内白天增温和夜间降温趋缓，可以有效调节区域温度和湿度。如果艾丁湖水面进一步萎缩、消失，将形成巨大的干盐滩，这样区域内白天迅速增温、夜间迅速降温，将进一步加强区域对流，增加风灾、沙（盐）尘等危害。随着艾丁湖湖面萎缩、地表植被群落衰退和地下水位的不断下降，水面蒸发、植被腾发和土面蒸发等对区域气候调节作用逐渐衰减。在吐鲁番盆地强烈的日照等条件下，巨大的干燥裸露地面在白天成为巨大的空气加热器，在晚间则迅速降温，大大加强空气流动，增加灾害性天气的发生。对1995年～2010年吐鲁番、鄯善、托克逊三站气象资料进行条件筛查，选取日平均气温≥吐鲁℃、日平均风速≥日平均风速≥作为干热风出现条件，对每年满足该条件的天数进行统计。通过图可以看出1995年以来，吐鲁番市干热风年出现日数平均在20天左右，呈不断增长趋势。</w:t>
      </w:r>
    </w:p>
    <w:p w14:paraId="3133D0AB">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3.艾丁湖周边植物退化，野生动物濒临绝迹。近年来艾丁湖周边大片芦苇、红柳、盐节木、黑刺和骆驼刺枯死，土地荒芜；盐湖附近芦苇枯死，生长稀疏盐节木，植物由生长芦苇向盐节木演替。艾丁湖周边分布着众多的动物物种，已经查明的一二类国家重点保护野生动物以鸟类为主，有白鹳、黑鹳、大天鹅、小天鹅、苍鹰、鸢、红隼、大鸨、波斑鸨等18种，有鹅喉羚等兽类12种，还有大量其他野生鸟类和兽类动物资源，目前均已绝迹，生态明显恶化。上世纪90年代初，艾丁湖上可以看见三五一群的鹅喉羚，每年春秋两季大量候鸟，如：大小天鹅、白鹳、黑鹳、灰鹤等，迁徙过程中在艾丁湖停留、栖息，最多时数量可达上万只，并且还有一定数量的候鸟在艾丁湖越冬；如今，随着艾丁湖水域的减少和湿地的退化，鹅喉羚及候鸟在艾丁湖已经难以见到。</w:t>
      </w:r>
    </w:p>
    <w:p w14:paraId="35BB14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4.艾丁湖极端微生物消亡。多个独立的研究表明，艾丁湖中存在一些潜在的生物新分类单元。随着艾丁湖水面的萎缩乃至消失，严重威胁这些特有生物的生存。特别是影响到特有极端微生物的生存。艾丁湖是高矿化度盐湖，是少数富含硝酸盐的盐湖，其特有的极端耐高温、低温、盐碱的特有微生物可以为工业、农业、人类健康的发展提供新的途径，为现代生物技术带来革命性进步。随着这些特有极端微生物的消亡，其带来的损失不可估量。</w:t>
      </w:r>
    </w:p>
    <w:p w14:paraId="3F9309E4">
      <w:pPr>
        <w:spacing w:before="185" w:line="219" w:lineRule="auto"/>
        <w:ind w:left="14"/>
        <w:outlineLvl w:val="3"/>
        <w:rPr>
          <w:rFonts w:hint="default" w:ascii="宋体" w:hAnsi="宋体" w:eastAsia="宋体" w:cs="宋体"/>
          <w:sz w:val="24"/>
          <w:szCs w:val="24"/>
          <w:lang w:val="en-US" w:eastAsia="zh-CN"/>
        </w:rPr>
      </w:pPr>
      <w:r>
        <w:rPr>
          <w:b/>
          <w:bCs/>
        </w:rPr>
        <w:fldChar w:fldCharType="begin"/>
      </w:r>
      <w:r>
        <w:rPr>
          <w:b/>
          <w:bCs/>
        </w:rPr>
        <w:instrText xml:space="preserve"> HYPERLINK "3.1.1.3"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3.1.1.3</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b/>
          <w:bCs/>
          <w:spacing w:val="-24"/>
          <w:sz w:val="24"/>
          <w:szCs w:val="24"/>
          <w:lang w:val="en-US" w:eastAsia="zh-CN"/>
        </w:rPr>
        <w:t>规划目标</w:t>
      </w:r>
    </w:p>
    <w:p w14:paraId="01DB098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规划范围和水平年</w:t>
      </w:r>
    </w:p>
    <w:p w14:paraId="66998A1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本报告规划范围为吐鲁番市境内的艾丁湖流域，面积为4.56万km</w:t>
      </w:r>
      <w:r>
        <w:rPr>
          <w:rFonts w:hint="eastAsia" w:ascii="宋体" w:hAnsi="宋体" w:eastAsia="宋体" w:cs="宋体"/>
          <w:spacing w:val="-2"/>
          <w:sz w:val="24"/>
          <w:szCs w:val="24"/>
          <w:vertAlign w:val="superscript"/>
        </w:rPr>
        <w:t>2</w:t>
      </w:r>
      <w:r>
        <w:rPr>
          <w:rFonts w:hint="eastAsia" w:ascii="宋体" w:hAnsi="宋体" w:eastAsia="宋体" w:cs="宋体"/>
          <w:spacing w:val="-2"/>
          <w:sz w:val="24"/>
          <w:szCs w:val="24"/>
        </w:rPr>
        <w:t>，比吐鲁番市面积小2.41万km</w:t>
      </w:r>
      <w:r>
        <w:rPr>
          <w:rFonts w:hint="eastAsia" w:ascii="宋体" w:hAnsi="宋体" w:eastAsia="宋体" w:cs="宋体"/>
          <w:spacing w:val="-2"/>
          <w:sz w:val="24"/>
          <w:szCs w:val="24"/>
          <w:vertAlign w:val="superscript"/>
        </w:rPr>
        <w:t>2</w:t>
      </w:r>
      <w:r>
        <w:rPr>
          <w:rFonts w:hint="eastAsia" w:ascii="宋体" w:hAnsi="宋体" w:eastAsia="宋体" w:cs="宋体"/>
          <w:spacing w:val="-2"/>
          <w:sz w:val="24"/>
          <w:szCs w:val="24"/>
        </w:rPr>
        <w:t>，不包括库米什镇范围。艾丁湖规划范围图见附图。2015年为现状基准年；2020年为中期水平年；2025年为远期水平年。</w:t>
      </w:r>
    </w:p>
    <w:p w14:paraId="7934EA3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规划目标</w:t>
      </w:r>
    </w:p>
    <w:p w14:paraId="0F79FC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rPr>
        <w:t>根据艾丁湖生态区自然、经济、社会状况，确定规划总目标为维护艾丁湖自然生态基本功能，满足社会经济对水资源的基本需求，保障艾丁湖生态区自然人文的和谐统一，促进区域的和谐发展。规划指标集详见表3</w:t>
      </w:r>
      <w:r>
        <w:rPr>
          <w:rFonts w:hint="eastAsia" w:ascii="宋体" w:hAnsi="宋体" w:eastAsia="宋体" w:cs="宋体"/>
          <w:spacing w:val="-2"/>
          <w:sz w:val="24"/>
          <w:szCs w:val="24"/>
          <w:lang w:val="en-US" w:eastAsia="zh-CN"/>
        </w:rPr>
        <w:t>-</w:t>
      </w: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w:t>
      </w:r>
    </w:p>
    <w:p w14:paraId="2EC92E99">
      <w:pPr>
        <w:pStyle w:val="18"/>
        <w:spacing w:beforeLines="0" w:afterLines="0"/>
        <w:rPr>
          <w:rFonts w:hint="eastAsia" w:ascii="宋体" w:hAnsi="宋体" w:cs="宋体"/>
        </w:rPr>
      </w:pPr>
    </w:p>
    <w:p w14:paraId="7248A808">
      <w:pPr>
        <w:pStyle w:val="18"/>
        <w:spacing w:beforeLines="0" w:afterLines="0"/>
        <w:rPr>
          <w:rFonts w:ascii="宋体" w:hAnsi="宋体" w:cs="宋体"/>
        </w:rPr>
      </w:pPr>
      <w:r>
        <w:rPr>
          <w:rFonts w:hint="eastAsia" w:ascii="宋体" w:hAnsi="宋体" w:cs="宋体"/>
        </w:rPr>
        <w:t>表</w:t>
      </w:r>
      <w:r>
        <w:rPr>
          <w:rFonts w:hint="eastAsia" w:ascii="宋体" w:hAnsi="宋体" w:cs="宋体"/>
          <w:lang w:val="en-US" w:eastAsia="zh-CN"/>
        </w:rPr>
        <w:t>3-</w:t>
      </w:r>
      <w:r>
        <w:rPr>
          <w:rFonts w:hint="eastAsia" w:ascii="宋体" w:hAnsi="宋体" w:cs="宋体"/>
        </w:rPr>
        <w:t>1-</w:t>
      </w:r>
      <w:r>
        <w:rPr>
          <w:rFonts w:hint="eastAsia" w:ascii="宋体" w:hAnsi="宋体" w:cs="宋体"/>
          <w:lang w:val="en-US" w:eastAsia="zh-CN"/>
        </w:rPr>
        <w:t>1</w:t>
      </w:r>
      <w:r>
        <w:rPr>
          <w:rFonts w:hint="eastAsia" w:ascii="宋体" w:hAnsi="宋体" w:cs="宋体"/>
        </w:rPr>
        <w:t xml:space="preserve">  艾丁湖生态区规划指标集</w:t>
      </w:r>
    </w:p>
    <w:tbl>
      <w:tblPr>
        <w:tblStyle w:val="1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687"/>
        <w:gridCol w:w="1092"/>
        <w:gridCol w:w="1445"/>
        <w:gridCol w:w="994"/>
        <w:gridCol w:w="1095"/>
      </w:tblGrid>
      <w:tr w14:paraId="741CC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562" w:type="pct"/>
            <w:tcBorders>
              <w:tl2br w:val="nil"/>
              <w:tr2bl w:val="nil"/>
            </w:tcBorders>
            <w:noWrap/>
            <w:vAlign w:val="center"/>
          </w:tcPr>
          <w:p w14:paraId="4AAA18D2">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项目</w:t>
            </w:r>
          </w:p>
        </w:tc>
        <w:tc>
          <w:tcPr>
            <w:tcW w:w="1967" w:type="pct"/>
            <w:tcBorders>
              <w:tl2br w:val="nil"/>
              <w:tr2bl w:val="nil"/>
            </w:tcBorders>
            <w:vAlign w:val="center"/>
          </w:tcPr>
          <w:p w14:paraId="3B61A33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指标</w:t>
            </w:r>
          </w:p>
        </w:tc>
        <w:tc>
          <w:tcPr>
            <w:tcW w:w="583" w:type="pct"/>
            <w:tcBorders>
              <w:tl2br w:val="nil"/>
              <w:tr2bl w:val="nil"/>
            </w:tcBorders>
            <w:noWrap/>
            <w:vAlign w:val="center"/>
          </w:tcPr>
          <w:p w14:paraId="7E6A59E5">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单位</w:t>
            </w:r>
          </w:p>
        </w:tc>
        <w:tc>
          <w:tcPr>
            <w:tcW w:w="771" w:type="pct"/>
            <w:tcBorders>
              <w:tl2br w:val="nil"/>
              <w:tr2bl w:val="nil"/>
            </w:tcBorders>
            <w:vAlign w:val="center"/>
          </w:tcPr>
          <w:p w14:paraId="68A9DD5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现状年</w:t>
            </w:r>
          </w:p>
        </w:tc>
        <w:tc>
          <w:tcPr>
            <w:tcW w:w="530" w:type="pct"/>
            <w:tcBorders>
              <w:tl2br w:val="nil"/>
              <w:tr2bl w:val="nil"/>
            </w:tcBorders>
            <w:vAlign w:val="center"/>
          </w:tcPr>
          <w:p w14:paraId="1340C53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2020年</w:t>
            </w:r>
          </w:p>
        </w:tc>
        <w:tc>
          <w:tcPr>
            <w:tcW w:w="584" w:type="pct"/>
            <w:tcBorders>
              <w:tl2br w:val="nil"/>
              <w:tr2bl w:val="nil"/>
            </w:tcBorders>
            <w:vAlign w:val="center"/>
          </w:tcPr>
          <w:p w14:paraId="3566A93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2025年</w:t>
            </w:r>
          </w:p>
        </w:tc>
      </w:tr>
      <w:tr w14:paraId="5012B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pct"/>
            <w:vMerge w:val="restart"/>
            <w:tcBorders>
              <w:tl2br w:val="nil"/>
              <w:tr2bl w:val="nil"/>
            </w:tcBorders>
            <w:vAlign w:val="center"/>
          </w:tcPr>
          <w:p w14:paraId="76A30E5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社会经济指标</w:t>
            </w:r>
          </w:p>
        </w:tc>
        <w:tc>
          <w:tcPr>
            <w:tcW w:w="1967" w:type="pct"/>
            <w:tcBorders>
              <w:tl2br w:val="nil"/>
              <w:tr2bl w:val="nil"/>
            </w:tcBorders>
            <w:noWrap/>
            <w:vAlign w:val="center"/>
          </w:tcPr>
          <w:p w14:paraId="1298C07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用水总量</w:t>
            </w:r>
          </w:p>
        </w:tc>
        <w:tc>
          <w:tcPr>
            <w:tcW w:w="583" w:type="pct"/>
            <w:tcBorders>
              <w:tl2br w:val="nil"/>
              <w:tr2bl w:val="nil"/>
            </w:tcBorders>
            <w:noWrap/>
            <w:vAlign w:val="center"/>
          </w:tcPr>
          <w:p w14:paraId="3B5CF2F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亿m</w:t>
            </w:r>
            <w:r>
              <w:rPr>
                <w:rFonts w:hint="eastAsia" w:ascii="宋体" w:hAnsi="宋体" w:cs="宋体"/>
                <w:kern w:val="0"/>
                <w:sz w:val="21"/>
                <w:szCs w:val="21"/>
                <w:vertAlign w:val="superscript"/>
              </w:rPr>
              <w:t>3</w:t>
            </w:r>
          </w:p>
        </w:tc>
        <w:tc>
          <w:tcPr>
            <w:tcW w:w="771" w:type="pct"/>
            <w:tcBorders>
              <w:tl2br w:val="nil"/>
              <w:tr2bl w:val="nil"/>
            </w:tcBorders>
            <w:vAlign w:val="center"/>
          </w:tcPr>
          <w:p w14:paraId="349D7C9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13.56</w:t>
            </w:r>
          </w:p>
        </w:tc>
        <w:tc>
          <w:tcPr>
            <w:tcW w:w="530" w:type="pct"/>
            <w:tcBorders>
              <w:tl2br w:val="nil"/>
              <w:tr2bl w:val="nil"/>
            </w:tcBorders>
            <w:vAlign w:val="center"/>
          </w:tcPr>
          <w:p w14:paraId="6C51E5C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12.60</w:t>
            </w:r>
          </w:p>
        </w:tc>
        <w:tc>
          <w:tcPr>
            <w:tcW w:w="584" w:type="pct"/>
            <w:tcBorders>
              <w:tl2br w:val="nil"/>
              <w:tr2bl w:val="nil"/>
            </w:tcBorders>
            <w:vAlign w:val="center"/>
          </w:tcPr>
          <w:p w14:paraId="4D63FEA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11.68</w:t>
            </w:r>
          </w:p>
        </w:tc>
      </w:tr>
      <w:tr w14:paraId="6D5C9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01DB2468">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06D7E62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GDP</w:t>
            </w:r>
          </w:p>
        </w:tc>
        <w:tc>
          <w:tcPr>
            <w:tcW w:w="583" w:type="pct"/>
            <w:tcBorders>
              <w:tl2br w:val="nil"/>
              <w:tr2bl w:val="nil"/>
            </w:tcBorders>
            <w:noWrap/>
            <w:vAlign w:val="center"/>
          </w:tcPr>
          <w:p w14:paraId="50AE9AD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亿</w:t>
            </w:r>
          </w:p>
        </w:tc>
        <w:tc>
          <w:tcPr>
            <w:tcW w:w="771" w:type="pct"/>
            <w:tcBorders>
              <w:tl2br w:val="nil"/>
              <w:tr2bl w:val="nil"/>
            </w:tcBorders>
            <w:vAlign w:val="center"/>
          </w:tcPr>
          <w:p w14:paraId="0246D28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208.6</w:t>
            </w:r>
          </w:p>
        </w:tc>
        <w:tc>
          <w:tcPr>
            <w:tcW w:w="530" w:type="pct"/>
            <w:tcBorders>
              <w:tl2br w:val="nil"/>
              <w:tr2bl w:val="nil"/>
            </w:tcBorders>
            <w:vAlign w:val="center"/>
          </w:tcPr>
          <w:p w14:paraId="6E867A0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310.1</w:t>
            </w:r>
          </w:p>
        </w:tc>
        <w:tc>
          <w:tcPr>
            <w:tcW w:w="584" w:type="pct"/>
            <w:tcBorders>
              <w:tl2br w:val="nil"/>
              <w:tr2bl w:val="nil"/>
            </w:tcBorders>
            <w:vAlign w:val="center"/>
          </w:tcPr>
          <w:p w14:paraId="09263585">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821.2</w:t>
            </w:r>
          </w:p>
        </w:tc>
      </w:tr>
      <w:tr w14:paraId="679C1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23425A37">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30747D7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工业增加值</w:t>
            </w:r>
          </w:p>
        </w:tc>
        <w:tc>
          <w:tcPr>
            <w:tcW w:w="583" w:type="pct"/>
            <w:tcBorders>
              <w:tl2br w:val="nil"/>
              <w:tr2bl w:val="nil"/>
            </w:tcBorders>
            <w:noWrap/>
            <w:vAlign w:val="center"/>
          </w:tcPr>
          <w:p w14:paraId="71F3E8A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亿</w:t>
            </w:r>
          </w:p>
        </w:tc>
        <w:tc>
          <w:tcPr>
            <w:tcW w:w="771" w:type="pct"/>
            <w:tcBorders>
              <w:tl2br w:val="nil"/>
              <w:tr2bl w:val="nil"/>
            </w:tcBorders>
            <w:vAlign w:val="center"/>
          </w:tcPr>
          <w:p w14:paraId="6C4B690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59.3</w:t>
            </w:r>
          </w:p>
        </w:tc>
        <w:tc>
          <w:tcPr>
            <w:tcW w:w="530" w:type="pct"/>
            <w:tcBorders>
              <w:tl2br w:val="nil"/>
              <w:tr2bl w:val="nil"/>
            </w:tcBorders>
            <w:vAlign w:val="center"/>
          </w:tcPr>
          <w:p w14:paraId="688B623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185.2</w:t>
            </w:r>
          </w:p>
        </w:tc>
        <w:tc>
          <w:tcPr>
            <w:tcW w:w="584" w:type="pct"/>
            <w:tcBorders>
              <w:tl2br w:val="nil"/>
              <w:tr2bl w:val="nil"/>
            </w:tcBorders>
            <w:vAlign w:val="center"/>
          </w:tcPr>
          <w:p w14:paraId="51B7BBD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446.1</w:t>
            </w:r>
          </w:p>
        </w:tc>
      </w:tr>
      <w:tr w14:paraId="26FA7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restart"/>
            <w:tcBorders>
              <w:tl2br w:val="nil"/>
              <w:tr2bl w:val="nil"/>
            </w:tcBorders>
            <w:noWrap/>
            <w:vAlign w:val="center"/>
          </w:tcPr>
          <w:p w14:paraId="2E0F116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面积指标</w:t>
            </w:r>
          </w:p>
        </w:tc>
        <w:tc>
          <w:tcPr>
            <w:tcW w:w="1967" w:type="pct"/>
            <w:tcBorders>
              <w:tl2br w:val="nil"/>
              <w:tr2bl w:val="nil"/>
            </w:tcBorders>
            <w:noWrap/>
            <w:vAlign w:val="center"/>
          </w:tcPr>
          <w:p w14:paraId="5D0C04A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合计退地面积</w:t>
            </w:r>
          </w:p>
        </w:tc>
        <w:tc>
          <w:tcPr>
            <w:tcW w:w="583" w:type="pct"/>
            <w:tcBorders>
              <w:tl2br w:val="nil"/>
              <w:tr2bl w:val="nil"/>
            </w:tcBorders>
            <w:noWrap/>
            <w:vAlign w:val="center"/>
          </w:tcPr>
          <w:p w14:paraId="51A89A0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万亩</w:t>
            </w:r>
          </w:p>
        </w:tc>
        <w:tc>
          <w:tcPr>
            <w:tcW w:w="771" w:type="pct"/>
            <w:tcBorders>
              <w:tl2br w:val="nil"/>
              <w:tr2bl w:val="nil"/>
            </w:tcBorders>
            <w:vAlign w:val="center"/>
          </w:tcPr>
          <w:p w14:paraId="388E04A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530" w:type="pct"/>
            <w:tcBorders>
              <w:tl2br w:val="nil"/>
              <w:tr2bl w:val="nil"/>
            </w:tcBorders>
            <w:vAlign w:val="center"/>
          </w:tcPr>
          <w:p w14:paraId="47B9D5B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12.8</w:t>
            </w:r>
          </w:p>
        </w:tc>
        <w:tc>
          <w:tcPr>
            <w:tcW w:w="584" w:type="pct"/>
            <w:tcBorders>
              <w:tl2br w:val="nil"/>
              <w:tr2bl w:val="nil"/>
            </w:tcBorders>
            <w:vAlign w:val="center"/>
          </w:tcPr>
          <w:p w14:paraId="2E386A5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28.5</w:t>
            </w:r>
          </w:p>
        </w:tc>
      </w:tr>
      <w:tr w14:paraId="135CC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48FB3BCF">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5E5A676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农业灌溉总面积</w:t>
            </w:r>
          </w:p>
        </w:tc>
        <w:tc>
          <w:tcPr>
            <w:tcW w:w="583" w:type="pct"/>
            <w:tcBorders>
              <w:tl2br w:val="nil"/>
              <w:tr2bl w:val="nil"/>
            </w:tcBorders>
            <w:noWrap/>
            <w:vAlign w:val="center"/>
          </w:tcPr>
          <w:p w14:paraId="51586CF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万亩</w:t>
            </w:r>
          </w:p>
        </w:tc>
        <w:tc>
          <w:tcPr>
            <w:tcW w:w="771" w:type="pct"/>
            <w:tcBorders>
              <w:tl2br w:val="nil"/>
              <w:tr2bl w:val="nil"/>
            </w:tcBorders>
            <w:vAlign w:val="center"/>
          </w:tcPr>
          <w:p w14:paraId="1D97ECB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173.9</w:t>
            </w:r>
          </w:p>
        </w:tc>
        <w:tc>
          <w:tcPr>
            <w:tcW w:w="530" w:type="pct"/>
            <w:tcBorders>
              <w:tl2br w:val="nil"/>
              <w:tr2bl w:val="nil"/>
            </w:tcBorders>
            <w:vAlign w:val="center"/>
          </w:tcPr>
          <w:p w14:paraId="2E6E5D7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161.1</w:t>
            </w:r>
          </w:p>
        </w:tc>
        <w:tc>
          <w:tcPr>
            <w:tcW w:w="584" w:type="pct"/>
            <w:tcBorders>
              <w:tl2br w:val="nil"/>
              <w:tr2bl w:val="nil"/>
            </w:tcBorders>
            <w:vAlign w:val="center"/>
          </w:tcPr>
          <w:p w14:paraId="663DDAD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145.4</w:t>
            </w:r>
          </w:p>
        </w:tc>
      </w:tr>
      <w:tr w14:paraId="227C9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77DD1AA3">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019417E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高效节水面积</w:t>
            </w:r>
          </w:p>
        </w:tc>
        <w:tc>
          <w:tcPr>
            <w:tcW w:w="583" w:type="pct"/>
            <w:tcBorders>
              <w:tl2br w:val="nil"/>
              <w:tr2bl w:val="nil"/>
            </w:tcBorders>
            <w:noWrap/>
            <w:vAlign w:val="center"/>
          </w:tcPr>
          <w:p w14:paraId="61DA688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万亩</w:t>
            </w:r>
          </w:p>
        </w:tc>
        <w:tc>
          <w:tcPr>
            <w:tcW w:w="771" w:type="pct"/>
            <w:tcBorders>
              <w:tl2br w:val="nil"/>
              <w:tr2bl w:val="nil"/>
            </w:tcBorders>
            <w:vAlign w:val="center"/>
          </w:tcPr>
          <w:p w14:paraId="0C6F24E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88.7</w:t>
            </w:r>
          </w:p>
        </w:tc>
        <w:tc>
          <w:tcPr>
            <w:tcW w:w="530" w:type="pct"/>
            <w:tcBorders>
              <w:tl2br w:val="nil"/>
              <w:tr2bl w:val="nil"/>
            </w:tcBorders>
            <w:vAlign w:val="center"/>
          </w:tcPr>
          <w:p w14:paraId="11E291B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120.1</w:t>
            </w:r>
          </w:p>
        </w:tc>
        <w:tc>
          <w:tcPr>
            <w:tcW w:w="584" w:type="pct"/>
            <w:tcBorders>
              <w:tl2br w:val="nil"/>
              <w:tr2bl w:val="nil"/>
            </w:tcBorders>
            <w:vAlign w:val="center"/>
          </w:tcPr>
          <w:p w14:paraId="09D55CE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104.3</w:t>
            </w:r>
          </w:p>
        </w:tc>
      </w:tr>
      <w:tr w14:paraId="59083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2" w:type="pct"/>
            <w:vMerge w:val="restart"/>
            <w:tcBorders>
              <w:tl2br w:val="nil"/>
              <w:tr2bl w:val="nil"/>
            </w:tcBorders>
            <w:noWrap/>
            <w:vAlign w:val="center"/>
          </w:tcPr>
          <w:p w14:paraId="0A1A958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节水指标</w:t>
            </w:r>
          </w:p>
        </w:tc>
        <w:tc>
          <w:tcPr>
            <w:tcW w:w="1967" w:type="pct"/>
            <w:tcBorders>
              <w:tl2br w:val="nil"/>
              <w:tr2bl w:val="nil"/>
            </w:tcBorders>
            <w:noWrap/>
            <w:vAlign w:val="center"/>
          </w:tcPr>
          <w:p w14:paraId="302CF42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综合灌溉定额</w:t>
            </w:r>
          </w:p>
        </w:tc>
        <w:tc>
          <w:tcPr>
            <w:tcW w:w="583" w:type="pct"/>
            <w:tcBorders>
              <w:tl2br w:val="nil"/>
              <w:tr2bl w:val="nil"/>
            </w:tcBorders>
            <w:noWrap/>
            <w:vAlign w:val="center"/>
          </w:tcPr>
          <w:p w14:paraId="1ABDABE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m</w:t>
            </w:r>
            <w:r>
              <w:rPr>
                <w:rFonts w:hint="eastAsia" w:ascii="宋体" w:hAnsi="宋体" w:cs="宋体"/>
                <w:kern w:val="0"/>
                <w:sz w:val="21"/>
                <w:szCs w:val="21"/>
                <w:vertAlign w:val="superscript"/>
              </w:rPr>
              <w:t>3</w:t>
            </w:r>
            <w:r>
              <w:rPr>
                <w:rFonts w:hint="eastAsia" w:ascii="宋体" w:hAnsi="宋体" w:cs="宋体"/>
                <w:kern w:val="0"/>
                <w:sz w:val="21"/>
                <w:szCs w:val="21"/>
              </w:rPr>
              <w:t>/亩</w:t>
            </w:r>
          </w:p>
        </w:tc>
        <w:tc>
          <w:tcPr>
            <w:tcW w:w="771" w:type="pct"/>
            <w:tcBorders>
              <w:tl2br w:val="nil"/>
              <w:tr2bl w:val="nil"/>
            </w:tcBorders>
            <w:vAlign w:val="center"/>
          </w:tcPr>
          <w:p w14:paraId="40AB355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701.0</w:t>
            </w:r>
          </w:p>
        </w:tc>
        <w:tc>
          <w:tcPr>
            <w:tcW w:w="530" w:type="pct"/>
            <w:tcBorders>
              <w:tl2br w:val="nil"/>
              <w:tr2bl w:val="nil"/>
            </w:tcBorders>
            <w:vAlign w:val="center"/>
          </w:tcPr>
          <w:p w14:paraId="4321142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668.9</w:t>
            </w:r>
          </w:p>
        </w:tc>
        <w:tc>
          <w:tcPr>
            <w:tcW w:w="584" w:type="pct"/>
            <w:tcBorders>
              <w:tl2br w:val="nil"/>
              <w:tr2bl w:val="nil"/>
            </w:tcBorders>
            <w:vAlign w:val="center"/>
          </w:tcPr>
          <w:p w14:paraId="0A01F02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610.6</w:t>
            </w:r>
          </w:p>
        </w:tc>
      </w:tr>
      <w:tr w14:paraId="502EA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1B641E90">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41894F3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灌溉水利用系数</w:t>
            </w:r>
          </w:p>
        </w:tc>
        <w:tc>
          <w:tcPr>
            <w:tcW w:w="583" w:type="pct"/>
            <w:tcBorders>
              <w:tl2br w:val="nil"/>
              <w:tr2bl w:val="nil"/>
            </w:tcBorders>
            <w:noWrap/>
            <w:vAlign w:val="center"/>
          </w:tcPr>
          <w:p w14:paraId="0A7B143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无量纲</w:t>
            </w:r>
          </w:p>
        </w:tc>
        <w:tc>
          <w:tcPr>
            <w:tcW w:w="771" w:type="pct"/>
            <w:tcBorders>
              <w:tl2br w:val="nil"/>
              <w:tr2bl w:val="nil"/>
            </w:tcBorders>
            <w:vAlign w:val="center"/>
          </w:tcPr>
          <w:p w14:paraId="38DAA96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0.56</w:t>
            </w:r>
          </w:p>
        </w:tc>
        <w:tc>
          <w:tcPr>
            <w:tcW w:w="530" w:type="pct"/>
            <w:tcBorders>
              <w:tl2br w:val="nil"/>
              <w:tr2bl w:val="nil"/>
            </w:tcBorders>
            <w:vAlign w:val="center"/>
          </w:tcPr>
          <w:p w14:paraId="3A582E1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0.65</w:t>
            </w:r>
          </w:p>
        </w:tc>
        <w:tc>
          <w:tcPr>
            <w:tcW w:w="584" w:type="pct"/>
            <w:tcBorders>
              <w:tl2br w:val="nil"/>
              <w:tr2bl w:val="nil"/>
            </w:tcBorders>
            <w:vAlign w:val="center"/>
          </w:tcPr>
          <w:p w14:paraId="7A11BEB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0.66</w:t>
            </w:r>
          </w:p>
        </w:tc>
      </w:tr>
      <w:tr w14:paraId="78B13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19324252">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69DF566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节水灌溉面积比例</w:t>
            </w:r>
          </w:p>
        </w:tc>
        <w:tc>
          <w:tcPr>
            <w:tcW w:w="583" w:type="pct"/>
            <w:tcBorders>
              <w:tl2br w:val="nil"/>
              <w:tr2bl w:val="nil"/>
            </w:tcBorders>
            <w:noWrap/>
            <w:vAlign w:val="center"/>
          </w:tcPr>
          <w:p w14:paraId="66F29EC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189AB621">
            <w:pPr>
              <w:widowControl/>
              <w:spacing w:line="240" w:lineRule="atLeast"/>
              <w:ind w:firstLine="0" w:firstLineChars="0"/>
              <w:jc w:val="center"/>
              <w:rPr>
                <w:rFonts w:ascii="宋体" w:hAnsi="宋体" w:cs="宋体"/>
                <w:kern w:val="0"/>
                <w:sz w:val="21"/>
                <w:szCs w:val="21"/>
              </w:rPr>
            </w:pPr>
            <w:r>
              <w:rPr>
                <w:rFonts w:hint="eastAsia" w:ascii="宋体" w:hAnsi="宋体" w:cs="宋体"/>
                <w:color w:val="000000"/>
                <w:sz w:val="21"/>
                <w:szCs w:val="21"/>
              </w:rPr>
              <w:t>51.0</w:t>
            </w:r>
          </w:p>
        </w:tc>
        <w:tc>
          <w:tcPr>
            <w:tcW w:w="530" w:type="pct"/>
            <w:tcBorders>
              <w:tl2br w:val="nil"/>
              <w:tr2bl w:val="nil"/>
            </w:tcBorders>
            <w:vAlign w:val="center"/>
          </w:tcPr>
          <w:p w14:paraId="321DB2B7">
            <w:pPr>
              <w:widowControl/>
              <w:spacing w:line="240" w:lineRule="atLeast"/>
              <w:ind w:firstLine="0" w:firstLineChars="0"/>
              <w:jc w:val="center"/>
              <w:rPr>
                <w:rFonts w:ascii="宋体" w:hAnsi="宋体" w:cs="宋体"/>
                <w:kern w:val="0"/>
                <w:sz w:val="21"/>
                <w:szCs w:val="21"/>
              </w:rPr>
            </w:pPr>
            <w:r>
              <w:rPr>
                <w:rFonts w:hint="eastAsia" w:ascii="宋体" w:hAnsi="宋体" w:cs="宋体"/>
                <w:color w:val="000000"/>
                <w:sz w:val="21"/>
                <w:szCs w:val="21"/>
              </w:rPr>
              <w:t>63.9</w:t>
            </w:r>
          </w:p>
        </w:tc>
        <w:tc>
          <w:tcPr>
            <w:tcW w:w="584" w:type="pct"/>
            <w:tcBorders>
              <w:tl2br w:val="nil"/>
              <w:tr2bl w:val="nil"/>
            </w:tcBorders>
            <w:vAlign w:val="center"/>
          </w:tcPr>
          <w:p w14:paraId="5113D11D">
            <w:pPr>
              <w:widowControl/>
              <w:spacing w:line="240" w:lineRule="atLeast"/>
              <w:ind w:firstLine="0" w:firstLineChars="0"/>
              <w:jc w:val="center"/>
              <w:rPr>
                <w:rFonts w:ascii="宋体" w:hAnsi="宋体" w:cs="宋体"/>
                <w:kern w:val="0"/>
                <w:sz w:val="21"/>
                <w:szCs w:val="21"/>
              </w:rPr>
            </w:pPr>
            <w:r>
              <w:rPr>
                <w:rFonts w:hint="eastAsia" w:ascii="宋体" w:hAnsi="宋体" w:cs="宋体"/>
                <w:color w:val="000000"/>
                <w:sz w:val="21"/>
                <w:szCs w:val="21"/>
              </w:rPr>
              <w:t>71.7</w:t>
            </w:r>
          </w:p>
        </w:tc>
      </w:tr>
      <w:tr w14:paraId="7F7D3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pct"/>
            <w:vMerge w:val="continue"/>
            <w:tcBorders>
              <w:tl2br w:val="nil"/>
              <w:tr2bl w:val="nil"/>
            </w:tcBorders>
            <w:vAlign w:val="center"/>
          </w:tcPr>
          <w:p w14:paraId="71EA952E">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13A3085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万元工业增加值用水量</w:t>
            </w:r>
          </w:p>
        </w:tc>
        <w:tc>
          <w:tcPr>
            <w:tcW w:w="583" w:type="pct"/>
            <w:tcBorders>
              <w:tl2br w:val="nil"/>
              <w:tr2bl w:val="nil"/>
            </w:tcBorders>
            <w:noWrap/>
            <w:vAlign w:val="center"/>
          </w:tcPr>
          <w:p w14:paraId="21B202C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m</w:t>
            </w:r>
            <w:r>
              <w:rPr>
                <w:rFonts w:hint="eastAsia" w:ascii="宋体" w:hAnsi="宋体" w:cs="宋体"/>
                <w:kern w:val="0"/>
                <w:sz w:val="21"/>
                <w:szCs w:val="21"/>
                <w:vertAlign w:val="superscript"/>
              </w:rPr>
              <w:t>3</w:t>
            </w:r>
            <w:r>
              <w:rPr>
                <w:rFonts w:hint="eastAsia" w:ascii="宋体" w:hAnsi="宋体" w:cs="宋体"/>
                <w:kern w:val="0"/>
                <w:sz w:val="21"/>
                <w:szCs w:val="21"/>
              </w:rPr>
              <w:t>/万元</w:t>
            </w:r>
          </w:p>
        </w:tc>
        <w:tc>
          <w:tcPr>
            <w:tcW w:w="771" w:type="pct"/>
            <w:tcBorders>
              <w:tl2br w:val="nil"/>
              <w:tr2bl w:val="nil"/>
            </w:tcBorders>
            <w:vAlign w:val="center"/>
          </w:tcPr>
          <w:p w14:paraId="5658F60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79.7</w:t>
            </w:r>
          </w:p>
        </w:tc>
        <w:tc>
          <w:tcPr>
            <w:tcW w:w="530" w:type="pct"/>
            <w:tcBorders>
              <w:tl2br w:val="nil"/>
              <w:tr2bl w:val="nil"/>
            </w:tcBorders>
            <w:vAlign w:val="center"/>
          </w:tcPr>
          <w:p w14:paraId="71C9671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42.1</w:t>
            </w:r>
          </w:p>
        </w:tc>
        <w:tc>
          <w:tcPr>
            <w:tcW w:w="584" w:type="pct"/>
            <w:tcBorders>
              <w:tl2br w:val="nil"/>
              <w:tr2bl w:val="nil"/>
            </w:tcBorders>
            <w:vAlign w:val="center"/>
          </w:tcPr>
          <w:p w14:paraId="42FB780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36.5</w:t>
            </w:r>
          </w:p>
        </w:tc>
      </w:tr>
      <w:tr w14:paraId="40467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166EC1BC">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6183A68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工业用水重复利用率</w:t>
            </w:r>
          </w:p>
        </w:tc>
        <w:tc>
          <w:tcPr>
            <w:tcW w:w="583" w:type="pct"/>
            <w:tcBorders>
              <w:tl2br w:val="nil"/>
              <w:tr2bl w:val="nil"/>
            </w:tcBorders>
            <w:noWrap/>
            <w:vAlign w:val="center"/>
          </w:tcPr>
          <w:p w14:paraId="47B87325">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5DD1239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530" w:type="pct"/>
            <w:tcBorders>
              <w:tl2br w:val="nil"/>
              <w:tr2bl w:val="nil"/>
            </w:tcBorders>
            <w:vAlign w:val="center"/>
          </w:tcPr>
          <w:p w14:paraId="2BC39F4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95</w:t>
            </w:r>
          </w:p>
        </w:tc>
        <w:tc>
          <w:tcPr>
            <w:tcW w:w="584" w:type="pct"/>
            <w:tcBorders>
              <w:tl2br w:val="nil"/>
              <w:tr2bl w:val="nil"/>
            </w:tcBorders>
            <w:vAlign w:val="center"/>
          </w:tcPr>
          <w:p w14:paraId="140B876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95</w:t>
            </w:r>
          </w:p>
        </w:tc>
      </w:tr>
      <w:tr w14:paraId="4C6A0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2" w:type="pct"/>
            <w:vMerge w:val="continue"/>
            <w:tcBorders>
              <w:tl2br w:val="nil"/>
              <w:tr2bl w:val="nil"/>
            </w:tcBorders>
            <w:vAlign w:val="center"/>
          </w:tcPr>
          <w:p w14:paraId="0544E73D">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5848235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人均综合用水量</w:t>
            </w:r>
          </w:p>
        </w:tc>
        <w:tc>
          <w:tcPr>
            <w:tcW w:w="583" w:type="pct"/>
            <w:tcBorders>
              <w:tl2br w:val="nil"/>
              <w:tr2bl w:val="nil"/>
            </w:tcBorders>
            <w:noWrap/>
            <w:vAlign w:val="center"/>
          </w:tcPr>
          <w:p w14:paraId="6AF75BE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m3</w:t>
            </w:r>
          </w:p>
        </w:tc>
        <w:tc>
          <w:tcPr>
            <w:tcW w:w="771" w:type="pct"/>
            <w:tcBorders>
              <w:tl2br w:val="nil"/>
              <w:tr2bl w:val="nil"/>
            </w:tcBorders>
            <w:vAlign w:val="center"/>
          </w:tcPr>
          <w:p w14:paraId="4C2812A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2113.6</w:t>
            </w:r>
          </w:p>
        </w:tc>
        <w:tc>
          <w:tcPr>
            <w:tcW w:w="530" w:type="pct"/>
            <w:tcBorders>
              <w:tl2br w:val="nil"/>
              <w:tr2bl w:val="nil"/>
            </w:tcBorders>
            <w:vAlign w:val="center"/>
          </w:tcPr>
          <w:p w14:paraId="33BEA25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1846.8</w:t>
            </w:r>
          </w:p>
        </w:tc>
        <w:tc>
          <w:tcPr>
            <w:tcW w:w="584" w:type="pct"/>
            <w:tcBorders>
              <w:tl2br w:val="nil"/>
              <w:tr2bl w:val="nil"/>
            </w:tcBorders>
            <w:vAlign w:val="center"/>
          </w:tcPr>
          <w:p w14:paraId="0042940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1382.64</w:t>
            </w:r>
          </w:p>
        </w:tc>
      </w:tr>
      <w:tr w14:paraId="7EA48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73ED4E54">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7CE11405">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城市供水管网漏损率</w:t>
            </w:r>
          </w:p>
        </w:tc>
        <w:tc>
          <w:tcPr>
            <w:tcW w:w="583" w:type="pct"/>
            <w:tcBorders>
              <w:tl2br w:val="nil"/>
              <w:tr2bl w:val="nil"/>
            </w:tcBorders>
            <w:noWrap/>
            <w:vAlign w:val="center"/>
          </w:tcPr>
          <w:p w14:paraId="17F4A3A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75FD076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13.7</w:t>
            </w:r>
          </w:p>
        </w:tc>
        <w:tc>
          <w:tcPr>
            <w:tcW w:w="530" w:type="pct"/>
            <w:tcBorders>
              <w:tl2br w:val="nil"/>
              <w:tr2bl w:val="nil"/>
            </w:tcBorders>
            <w:vAlign w:val="center"/>
          </w:tcPr>
          <w:p w14:paraId="6615B73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12.7</w:t>
            </w:r>
          </w:p>
        </w:tc>
        <w:tc>
          <w:tcPr>
            <w:tcW w:w="584" w:type="pct"/>
            <w:tcBorders>
              <w:tl2br w:val="nil"/>
              <w:tr2bl w:val="nil"/>
            </w:tcBorders>
            <w:vAlign w:val="center"/>
          </w:tcPr>
          <w:p w14:paraId="1C9FFB8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7D6C6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7A358AA2">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noWrap/>
            <w:vAlign w:val="center"/>
          </w:tcPr>
          <w:p w14:paraId="6C42029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城市节水器具普及率</w:t>
            </w:r>
          </w:p>
        </w:tc>
        <w:tc>
          <w:tcPr>
            <w:tcW w:w="583" w:type="pct"/>
            <w:tcBorders>
              <w:tl2br w:val="nil"/>
              <w:tr2bl w:val="nil"/>
            </w:tcBorders>
            <w:noWrap/>
            <w:vAlign w:val="center"/>
          </w:tcPr>
          <w:p w14:paraId="48B0DF4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5724E49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530" w:type="pct"/>
            <w:tcBorders>
              <w:tl2br w:val="nil"/>
              <w:tr2bl w:val="nil"/>
            </w:tcBorders>
            <w:vAlign w:val="center"/>
          </w:tcPr>
          <w:p w14:paraId="5E5482B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80.0</w:t>
            </w:r>
          </w:p>
        </w:tc>
        <w:tc>
          <w:tcPr>
            <w:tcW w:w="584" w:type="pct"/>
            <w:tcBorders>
              <w:tl2br w:val="nil"/>
              <w:tr2bl w:val="nil"/>
            </w:tcBorders>
            <w:vAlign w:val="center"/>
          </w:tcPr>
          <w:p w14:paraId="419ADAE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90.0</w:t>
            </w:r>
          </w:p>
        </w:tc>
      </w:tr>
      <w:tr w14:paraId="36A7D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2" w:type="pct"/>
            <w:vMerge w:val="restart"/>
            <w:tcBorders>
              <w:tl2br w:val="nil"/>
              <w:tr2bl w:val="nil"/>
            </w:tcBorders>
            <w:vAlign w:val="center"/>
          </w:tcPr>
          <w:p w14:paraId="5AE3F29A">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生态环境指标</w:t>
            </w:r>
          </w:p>
        </w:tc>
        <w:tc>
          <w:tcPr>
            <w:tcW w:w="1967" w:type="pct"/>
            <w:tcBorders>
              <w:tl2br w:val="nil"/>
              <w:tr2bl w:val="nil"/>
            </w:tcBorders>
            <w:vAlign w:val="center"/>
          </w:tcPr>
          <w:p w14:paraId="4E5D95F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入湖水量</w:t>
            </w:r>
          </w:p>
        </w:tc>
        <w:tc>
          <w:tcPr>
            <w:tcW w:w="583" w:type="pct"/>
            <w:tcBorders>
              <w:tl2br w:val="nil"/>
              <w:tr2bl w:val="nil"/>
            </w:tcBorders>
            <w:vAlign w:val="center"/>
          </w:tcPr>
          <w:p w14:paraId="2834560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亿m</w:t>
            </w:r>
            <w:r>
              <w:rPr>
                <w:rFonts w:hint="eastAsia" w:ascii="宋体" w:hAnsi="宋体" w:cs="宋体"/>
                <w:kern w:val="0"/>
                <w:sz w:val="21"/>
                <w:szCs w:val="21"/>
                <w:vertAlign w:val="superscript"/>
              </w:rPr>
              <w:t>3</w:t>
            </w:r>
            <w:r>
              <w:rPr>
                <w:rFonts w:hint="eastAsia" w:ascii="宋体" w:hAnsi="宋体" w:cs="宋体"/>
                <w:kern w:val="0"/>
                <w:sz w:val="21"/>
                <w:szCs w:val="21"/>
              </w:rPr>
              <w:t>/a</w:t>
            </w:r>
          </w:p>
        </w:tc>
        <w:tc>
          <w:tcPr>
            <w:tcW w:w="771" w:type="pct"/>
            <w:tcBorders>
              <w:tl2br w:val="nil"/>
              <w:tr2bl w:val="nil"/>
            </w:tcBorders>
            <w:vAlign w:val="center"/>
          </w:tcPr>
          <w:p w14:paraId="4F9F7ACF">
            <w:pPr>
              <w:widowControl/>
              <w:spacing w:line="240" w:lineRule="atLeast"/>
              <w:ind w:firstLine="0" w:firstLineChars="0"/>
              <w:jc w:val="center"/>
              <w:rPr>
                <w:rFonts w:ascii="宋体" w:hAnsi="宋体" w:cs="宋体"/>
                <w:kern w:val="0"/>
                <w:sz w:val="21"/>
                <w:szCs w:val="21"/>
              </w:rPr>
            </w:pPr>
            <w:r>
              <w:rPr>
                <w:rFonts w:hint="eastAsia" w:ascii="宋体" w:hAnsi="宋体" w:cs="宋体"/>
                <w:color w:val="000000"/>
                <w:sz w:val="21"/>
                <w:szCs w:val="21"/>
              </w:rPr>
              <w:t>0.28</w:t>
            </w:r>
          </w:p>
        </w:tc>
        <w:tc>
          <w:tcPr>
            <w:tcW w:w="530" w:type="pct"/>
            <w:tcBorders>
              <w:tl2br w:val="nil"/>
              <w:tr2bl w:val="nil"/>
            </w:tcBorders>
            <w:vAlign w:val="center"/>
          </w:tcPr>
          <w:p w14:paraId="6174B7D0">
            <w:pPr>
              <w:widowControl/>
              <w:spacing w:line="240" w:lineRule="atLeast"/>
              <w:ind w:firstLine="0" w:firstLineChars="0"/>
              <w:jc w:val="center"/>
              <w:rPr>
                <w:rFonts w:ascii="宋体" w:hAnsi="宋体" w:cs="宋体"/>
                <w:kern w:val="0"/>
                <w:sz w:val="21"/>
                <w:szCs w:val="21"/>
              </w:rPr>
            </w:pPr>
            <w:r>
              <w:rPr>
                <w:rFonts w:hint="eastAsia" w:ascii="宋体" w:hAnsi="宋体" w:cs="宋体"/>
                <w:color w:val="000000"/>
                <w:sz w:val="21"/>
                <w:szCs w:val="21"/>
              </w:rPr>
              <w:t>0.30</w:t>
            </w:r>
          </w:p>
        </w:tc>
        <w:tc>
          <w:tcPr>
            <w:tcW w:w="584" w:type="pct"/>
            <w:tcBorders>
              <w:tl2br w:val="nil"/>
              <w:tr2bl w:val="nil"/>
            </w:tcBorders>
            <w:vAlign w:val="center"/>
          </w:tcPr>
          <w:p w14:paraId="527ED662">
            <w:pPr>
              <w:widowControl/>
              <w:spacing w:line="240" w:lineRule="atLeast"/>
              <w:ind w:firstLine="0" w:firstLineChars="0"/>
              <w:jc w:val="center"/>
              <w:rPr>
                <w:rFonts w:ascii="宋体" w:hAnsi="宋体" w:cs="宋体"/>
                <w:kern w:val="0"/>
                <w:sz w:val="21"/>
                <w:szCs w:val="21"/>
              </w:rPr>
            </w:pPr>
            <w:r>
              <w:rPr>
                <w:rFonts w:hint="eastAsia" w:ascii="宋体" w:hAnsi="宋体" w:cs="宋体"/>
                <w:color w:val="000000"/>
                <w:sz w:val="21"/>
                <w:szCs w:val="21"/>
              </w:rPr>
              <w:t>0.60</w:t>
            </w:r>
          </w:p>
        </w:tc>
      </w:tr>
      <w:tr w14:paraId="0759C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62" w:type="pct"/>
            <w:vMerge w:val="continue"/>
            <w:tcBorders>
              <w:tl2br w:val="nil"/>
              <w:tr2bl w:val="nil"/>
            </w:tcBorders>
            <w:vAlign w:val="center"/>
          </w:tcPr>
          <w:p w14:paraId="01F6256D">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2861E1C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自然旱生植被面积</w:t>
            </w:r>
          </w:p>
        </w:tc>
        <w:tc>
          <w:tcPr>
            <w:tcW w:w="583" w:type="pct"/>
            <w:tcBorders>
              <w:tl2br w:val="nil"/>
              <w:tr2bl w:val="nil"/>
            </w:tcBorders>
            <w:vAlign w:val="center"/>
          </w:tcPr>
          <w:p w14:paraId="0BD852D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万亩</w:t>
            </w:r>
          </w:p>
        </w:tc>
        <w:tc>
          <w:tcPr>
            <w:tcW w:w="771" w:type="pct"/>
            <w:tcBorders>
              <w:tl2br w:val="nil"/>
              <w:tr2bl w:val="nil"/>
            </w:tcBorders>
            <w:vAlign w:val="center"/>
          </w:tcPr>
          <w:p w14:paraId="11313AF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160</w:t>
            </w:r>
          </w:p>
        </w:tc>
        <w:tc>
          <w:tcPr>
            <w:tcW w:w="530" w:type="pct"/>
            <w:tcBorders>
              <w:tl2br w:val="nil"/>
              <w:tr2bl w:val="nil"/>
            </w:tcBorders>
            <w:vAlign w:val="center"/>
          </w:tcPr>
          <w:p w14:paraId="2996C10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160</w:t>
            </w:r>
          </w:p>
        </w:tc>
        <w:tc>
          <w:tcPr>
            <w:tcW w:w="584" w:type="pct"/>
            <w:tcBorders>
              <w:tl2br w:val="nil"/>
              <w:tr2bl w:val="nil"/>
            </w:tcBorders>
            <w:vAlign w:val="center"/>
          </w:tcPr>
          <w:p w14:paraId="71CFA6F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160</w:t>
            </w:r>
          </w:p>
        </w:tc>
      </w:tr>
      <w:tr w14:paraId="3DF02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pct"/>
            <w:vMerge w:val="continue"/>
            <w:tcBorders>
              <w:tl2br w:val="nil"/>
              <w:tr2bl w:val="nil"/>
            </w:tcBorders>
            <w:vAlign w:val="center"/>
          </w:tcPr>
          <w:p w14:paraId="76F60930">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6D443F5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城镇集中饮用水源地水质达标率</w:t>
            </w:r>
          </w:p>
        </w:tc>
        <w:tc>
          <w:tcPr>
            <w:tcW w:w="583" w:type="pct"/>
            <w:tcBorders>
              <w:tl2br w:val="nil"/>
              <w:tr2bl w:val="nil"/>
            </w:tcBorders>
            <w:vAlign w:val="center"/>
          </w:tcPr>
          <w:p w14:paraId="554413C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072CAC8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c>
          <w:tcPr>
            <w:tcW w:w="530" w:type="pct"/>
            <w:tcBorders>
              <w:tl2br w:val="nil"/>
              <w:tr2bl w:val="nil"/>
            </w:tcBorders>
            <w:vAlign w:val="center"/>
          </w:tcPr>
          <w:p w14:paraId="3DA94A3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c>
          <w:tcPr>
            <w:tcW w:w="584" w:type="pct"/>
            <w:tcBorders>
              <w:tl2br w:val="nil"/>
              <w:tr2bl w:val="nil"/>
            </w:tcBorders>
            <w:vAlign w:val="center"/>
          </w:tcPr>
          <w:p w14:paraId="19A53B0A">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29E80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62" w:type="pct"/>
            <w:vMerge w:val="continue"/>
            <w:tcBorders>
              <w:tl2br w:val="nil"/>
              <w:tr2bl w:val="nil"/>
            </w:tcBorders>
            <w:vAlign w:val="center"/>
          </w:tcPr>
          <w:p w14:paraId="2F0B7E8B">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5963619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水功能区达标率</w:t>
            </w:r>
          </w:p>
        </w:tc>
        <w:tc>
          <w:tcPr>
            <w:tcW w:w="583" w:type="pct"/>
            <w:tcBorders>
              <w:tl2br w:val="nil"/>
              <w:tr2bl w:val="nil"/>
            </w:tcBorders>
            <w:vAlign w:val="center"/>
          </w:tcPr>
          <w:p w14:paraId="7341676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1E81424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重点河段65</w:t>
            </w:r>
          </w:p>
        </w:tc>
        <w:tc>
          <w:tcPr>
            <w:tcW w:w="530" w:type="pct"/>
            <w:tcBorders>
              <w:tl2br w:val="nil"/>
              <w:tr2bl w:val="nil"/>
            </w:tcBorders>
            <w:vAlign w:val="center"/>
          </w:tcPr>
          <w:p w14:paraId="02F94B3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&gt;50</w:t>
            </w:r>
          </w:p>
        </w:tc>
        <w:tc>
          <w:tcPr>
            <w:tcW w:w="584" w:type="pct"/>
            <w:tcBorders>
              <w:tl2br w:val="nil"/>
              <w:tr2bl w:val="nil"/>
            </w:tcBorders>
            <w:vAlign w:val="center"/>
          </w:tcPr>
          <w:p w14:paraId="0F2AAAA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32A11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continue"/>
            <w:tcBorders>
              <w:tl2br w:val="nil"/>
              <w:tr2bl w:val="nil"/>
            </w:tcBorders>
            <w:vAlign w:val="center"/>
          </w:tcPr>
          <w:p w14:paraId="7052A698">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70155D1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城市、县城污水处理率</w:t>
            </w:r>
          </w:p>
        </w:tc>
        <w:tc>
          <w:tcPr>
            <w:tcW w:w="583" w:type="pct"/>
            <w:tcBorders>
              <w:tl2br w:val="nil"/>
              <w:tr2bl w:val="nil"/>
            </w:tcBorders>
            <w:vAlign w:val="center"/>
          </w:tcPr>
          <w:p w14:paraId="03437D8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63236D8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87</w:t>
            </w:r>
          </w:p>
        </w:tc>
        <w:tc>
          <w:tcPr>
            <w:tcW w:w="530" w:type="pct"/>
            <w:tcBorders>
              <w:tl2br w:val="nil"/>
              <w:tr2bl w:val="nil"/>
            </w:tcBorders>
            <w:vAlign w:val="center"/>
          </w:tcPr>
          <w:p w14:paraId="44DD130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90</w:t>
            </w:r>
          </w:p>
        </w:tc>
        <w:tc>
          <w:tcPr>
            <w:tcW w:w="584" w:type="pct"/>
            <w:tcBorders>
              <w:tl2br w:val="nil"/>
              <w:tr2bl w:val="nil"/>
            </w:tcBorders>
            <w:vAlign w:val="center"/>
          </w:tcPr>
          <w:p w14:paraId="14DF8C3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&gt;95</w:t>
            </w:r>
          </w:p>
        </w:tc>
      </w:tr>
      <w:tr w14:paraId="11671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continue"/>
            <w:tcBorders>
              <w:tl2br w:val="nil"/>
              <w:tr2bl w:val="nil"/>
            </w:tcBorders>
            <w:vAlign w:val="center"/>
          </w:tcPr>
          <w:p w14:paraId="0E5F54D0">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293DF39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重点乡镇污水处理率</w:t>
            </w:r>
          </w:p>
        </w:tc>
        <w:tc>
          <w:tcPr>
            <w:tcW w:w="583" w:type="pct"/>
            <w:tcBorders>
              <w:tl2br w:val="nil"/>
              <w:tr2bl w:val="nil"/>
            </w:tcBorders>
            <w:vAlign w:val="center"/>
          </w:tcPr>
          <w:p w14:paraId="46CD5D8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6D315C6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15</w:t>
            </w:r>
          </w:p>
        </w:tc>
        <w:tc>
          <w:tcPr>
            <w:tcW w:w="530" w:type="pct"/>
            <w:tcBorders>
              <w:tl2br w:val="nil"/>
              <w:tr2bl w:val="nil"/>
            </w:tcBorders>
            <w:vAlign w:val="center"/>
          </w:tcPr>
          <w:p w14:paraId="6FEBD70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60</w:t>
            </w:r>
          </w:p>
        </w:tc>
        <w:tc>
          <w:tcPr>
            <w:tcW w:w="584" w:type="pct"/>
            <w:tcBorders>
              <w:tl2br w:val="nil"/>
              <w:tr2bl w:val="nil"/>
            </w:tcBorders>
            <w:vAlign w:val="center"/>
          </w:tcPr>
          <w:p w14:paraId="541A7CBD">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80</w:t>
            </w:r>
          </w:p>
        </w:tc>
      </w:tr>
      <w:tr w14:paraId="7574C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562" w:type="pct"/>
            <w:vMerge w:val="continue"/>
            <w:tcBorders>
              <w:tl2br w:val="nil"/>
              <w:tr2bl w:val="nil"/>
            </w:tcBorders>
            <w:vAlign w:val="center"/>
          </w:tcPr>
          <w:p w14:paraId="30592D8B">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5D361732">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城市再生水利用率</w:t>
            </w:r>
          </w:p>
        </w:tc>
        <w:tc>
          <w:tcPr>
            <w:tcW w:w="583" w:type="pct"/>
            <w:tcBorders>
              <w:tl2br w:val="nil"/>
              <w:tr2bl w:val="nil"/>
            </w:tcBorders>
            <w:vAlign w:val="center"/>
          </w:tcPr>
          <w:p w14:paraId="650BB23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37E875C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23</w:t>
            </w:r>
          </w:p>
        </w:tc>
        <w:tc>
          <w:tcPr>
            <w:tcW w:w="530" w:type="pct"/>
            <w:tcBorders>
              <w:tl2br w:val="nil"/>
              <w:tr2bl w:val="nil"/>
            </w:tcBorders>
            <w:vAlign w:val="center"/>
          </w:tcPr>
          <w:p w14:paraId="2B660FB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&gt;30</w:t>
            </w:r>
          </w:p>
        </w:tc>
        <w:tc>
          <w:tcPr>
            <w:tcW w:w="584" w:type="pct"/>
            <w:tcBorders>
              <w:tl2br w:val="nil"/>
              <w:tr2bl w:val="nil"/>
            </w:tcBorders>
            <w:vAlign w:val="center"/>
          </w:tcPr>
          <w:p w14:paraId="0B6A9E5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&gt;50</w:t>
            </w:r>
          </w:p>
        </w:tc>
      </w:tr>
      <w:tr w14:paraId="0B43F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continue"/>
            <w:tcBorders>
              <w:tl2br w:val="nil"/>
              <w:tr2bl w:val="nil"/>
            </w:tcBorders>
            <w:vAlign w:val="center"/>
          </w:tcPr>
          <w:p w14:paraId="7E6BE2BA">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0E3215F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工业废水排放稳定达标率</w:t>
            </w:r>
          </w:p>
        </w:tc>
        <w:tc>
          <w:tcPr>
            <w:tcW w:w="583" w:type="pct"/>
            <w:tcBorders>
              <w:tl2br w:val="nil"/>
              <w:tr2bl w:val="nil"/>
            </w:tcBorders>
            <w:vAlign w:val="center"/>
          </w:tcPr>
          <w:p w14:paraId="7F0490C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3E848C0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无外排</w:t>
            </w:r>
          </w:p>
        </w:tc>
        <w:tc>
          <w:tcPr>
            <w:tcW w:w="530" w:type="pct"/>
            <w:tcBorders>
              <w:tl2br w:val="nil"/>
              <w:tr2bl w:val="nil"/>
            </w:tcBorders>
            <w:vAlign w:val="center"/>
          </w:tcPr>
          <w:p w14:paraId="23C2D4F5">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&gt;90</w:t>
            </w:r>
          </w:p>
        </w:tc>
        <w:tc>
          <w:tcPr>
            <w:tcW w:w="584" w:type="pct"/>
            <w:tcBorders>
              <w:tl2br w:val="nil"/>
              <w:tr2bl w:val="nil"/>
            </w:tcBorders>
            <w:vAlign w:val="center"/>
          </w:tcPr>
          <w:p w14:paraId="3CA3A552">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&gt;95</w:t>
            </w:r>
          </w:p>
        </w:tc>
      </w:tr>
      <w:tr w14:paraId="39ABA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restart"/>
            <w:tcBorders>
              <w:tl2br w:val="nil"/>
              <w:tr2bl w:val="nil"/>
            </w:tcBorders>
            <w:vAlign w:val="center"/>
          </w:tcPr>
          <w:p w14:paraId="71A63D4A">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水资源监测</w:t>
            </w:r>
          </w:p>
        </w:tc>
        <w:tc>
          <w:tcPr>
            <w:tcW w:w="1967" w:type="pct"/>
            <w:tcBorders>
              <w:tl2br w:val="nil"/>
              <w:tr2bl w:val="nil"/>
            </w:tcBorders>
            <w:vAlign w:val="center"/>
          </w:tcPr>
          <w:p w14:paraId="23BB868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取用水量监测覆盖率</w:t>
            </w:r>
          </w:p>
        </w:tc>
        <w:tc>
          <w:tcPr>
            <w:tcW w:w="583" w:type="pct"/>
            <w:tcBorders>
              <w:tl2br w:val="nil"/>
              <w:tr2bl w:val="nil"/>
            </w:tcBorders>
            <w:vAlign w:val="center"/>
          </w:tcPr>
          <w:p w14:paraId="53CDB72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6AEA2AE9">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15</w:t>
            </w:r>
          </w:p>
        </w:tc>
        <w:tc>
          <w:tcPr>
            <w:tcW w:w="530" w:type="pct"/>
            <w:tcBorders>
              <w:tl2br w:val="nil"/>
              <w:tr2bl w:val="nil"/>
            </w:tcBorders>
            <w:vAlign w:val="center"/>
          </w:tcPr>
          <w:p w14:paraId="2F587A12">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97</w:t>
            </w:r>
          </w:p>
        </w:tc>
        <w:tc>
          <w:tcPr>
            <w:tcW w:w="584" w:type="pct"/>
            <w:tcBorders>
              <w:tl2br w:val="nil"/>
              <w:tr2bl w:val="nil"/>
            </w:tcBorders>
            <w:vAlign w:val="center"/>
          </w:tcPr>
          <w:p w14:paraId="770B6D1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1DAAC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continue"/>
            <w:tcBorders>
              <w:tl2br w:val="nil"/>
              <w:tr2bl w:val="nil"/>
            </w:tcBorders>
            <w:vAlign w:val="center"/>
          </w:tcPr>
          <w:p w14:paraId="1E84C8D0">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0D24F9B2">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水文站网覆盖率</w:t>
            </w:r>
          </w:p>
        </w:tc>
        <w:tc>
          <w:tcPr>
            <w:tcW w:w="583" w:type="pct"/>
            <w:tcBorders>
              <w:tl2br w:val="nil"/>
              <w:tr2bl w:val="nil"/>
            </w:tcBorders>
            <w:vAlign w:val="center"/>
          </w:tcPr>
          <w:p w14:paraId="5F29A27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71C6B88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17</w:t>
            </w:r>
          </w:p>
        </w:tc>
        <w:tc>
          <w:tcPr>
            <w:tcW w:w="530" w:type="pct"/>
            <w:tcBorders>
              <w:tl2br w:val="nil"/>
              <w:tr2bl w:val="nil"/>
            </w:tcBorders>
            <w:vAlign w:val="center"/>
          </w:tcPr>
          <w:p w14:paraId="1672EC8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97</w:t>
            </w:r>
          </w:p>
        </w:tc>
        <w:tc>
          <w:tcPr>
            <w:tcW w:w="584" w:type="pct"/>
            <w:tcBorders>
              <w:tl2br w:val="nil"/>
              <w:tr2bl w:val="nil"/>
            </w:tcBorders>
            <w:vAlign w:val="center"/>
          </w:tcPr>
          <w:p w14:paraId="1DB91DD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18EDA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continue"/>
            <w:tcBorders>
              <w:tl2br w:val="nil"/>
              <w:tr2bl w:val="nil"/>
            </w:tcBorders>
            <w:vAlign w:val="center"/>
          </w:tcPr>
          <w:p w14:paraId="464F38E9">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1558C91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水质监测评价覆盖率</w:t>
            </w:r>
          </w:p>
        </w:tc>
        <w:tc>
          <w:tcPr>
            <w:tcW w:w="583" w:type="pct"/>
            <w:tcBorders>
              <w:tl2br w:val="nil"/>
              <w:tr2bl w:val="nil"/>
            </w:tcBorders>
            <w:vAlign w:val="center"/>
          </w:tcPr>
          <w:p w14:paraId="707B712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53A2AFE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530" w:type="pct"/>
            <w:tcBorders>
              <w:tl2br w:val="nil"/>
              <w:tr2bl w:val="nil"/>
            </w:tcBorders>
            <w:vAlign w:val="center"/>
          </w:tcPr>
          <w:p w14:paraId="229F6318">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97</w:t>
            </w:r>
          </w:p>
        </w:tc>
        <w:tc>
          <w:tcPr>
            <w:tcW w:w="584" w:type="pct"/>
            <w:tcBorders>
              <w:tl2br w:val="nil"/>
              <w:tr2bl w:val="nil"/>
            </w:tcBorders>
            <w:vAlign w:val="center"/>
          </w:tcPr>
          <w:p w14:paraId="0F712E6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6BE03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2" w:type="pct"/>
            <w:vMerge w:val="continue"/>
            <w:tcBorders>
              <w:tl2br w:val="nil"/>
              <w:tr2bl w:val="nil"/>
            </w:tcBorders>
            <w:vAlign w:val="center"/>
          </w:tcPr>
          <w:p w14:paraId="12CC6EB9">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26BD6B0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水资源与生态遥感监测使用率</w:t>
            </w:r>
          </w:p>
        </w:tc>
        <w:tc>
          <w:tcPr>
            <w:tcW w:w="583" w:type="pct"/>
            <w:tcBorders>
              <w:tl2br w:val="nil"/>
              <w:tr2bl w:val="nil"/>
            </w:tcBorders>
            <w:vAlign w:val="center"/>
          </w:tcPr>
          <w:p w14:paraId="7FF736C5">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51064D3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530" w:type="pct"/>
            <w:tcBorders>
              <w:tl2br w:val="nil"/>
              <w:tr2bl w:val="nil"/>
            </w:tcBorders>
            <w:vAlign w:val="center"/>
          </w:tcPr>
          <w:p w14:paraId="57E0385B">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c>
          <w:tcPr>
            <w:tcW w:w="584" w:type="pct"/>
            <w:tcBorders>
              <w:tl2br w:val="nil"/>
              <w:tr2bl w:val="nil"/>
            </w:tcBorders>
            <w:vAlign w:val="center"/>
          </w:tcPr>
          <w:p w14:paraId="2F26560C">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297DA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pct"/>
            <w:vMerge w:val="continue"/>
            <w:tcBorders>
              <w:tl2br w:val="nil"/>
              <w:tr2bl w:val="nil"/>
            </w:tcBorders>
            <w:vAlign w:val="center"/>
          </w:tcPr>
          <w:p w14:paraId="55952A2E">
            <w:pPr>
              <w:widowControl/>
              <w:spacing w:line="240" w:lineRule="atLeast"/>
              <w:ind w:firstLine="0" w:firstLineChars="0"/>
              <w:jc w:val="center"/>
              <w:rPr>
                <w:rFonts w:ascii="宋体" w:hAnsi="宋体" w:cs="宋体"/>
                <w:kern w:val="0"/>
                <w:sz w:val="21"/>
                <w:szCs w:val="21"/>
              </w:rPr>
            </w:pPr>
          </w:p>
        </w:tc>
        <w:tc>
          <w:tcPr>
            <w:tcW w:w="1967" w:type="pct"/>
            <w:tcBorders>
              <w:tl2br w:val="nil"/>
              <w:tr2bl w:val="nil"/>
            </w:tcBorders>
            <w:vAlign w:val="center"/>
          </w:tcPr>
          <w:p w14:paraId="3C5362AE">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水资源与生态管理系统覆盖率</w:t>
            </w:r>
          </w:p>
        </w:tc>
        <w:tc>
          <w:tcPr>
            <w:tcW w:w="583" w:type="pct"/>
            <w:tcBorders>
              <w:tl2br w:val="nil"/>
              <w:tr2bl w:val="nil"/>
            </w:tcBorders>
            <w:vAlign w:val="center"/>
          </w:tcPr>
          <w:p w14:paraId="44182E34">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771" w:type="pct"/>
            <w:tcBorders>
              <w:tl2br w:val="nil"/>
              <w:tr2bl w:val="nil"/>
            </w:tcBorders>
            <w:vAlign w:val="center"/>
          </w:tcPr>
          <w:p w14:paraId="1C00769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530" w:type="pct"/>
            <w:tcBorders>
              <w:tl2br w:val="nil"/>
              <w:tr2bl w:val="nil"/>
            </w:tcBorders>
            <w:vAlign w:val="center"/>
          </w:tcPr>
          <w:p w14:paraId="5D7E2C1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71</w:t>
            </w:r>
          </w:p>
        </w:tc>
        <w:tc>
          <w:tcPr>
            <w:tcW w:w="584" w:type="pct"/>
            <w:tcBorders>
              <w:tl2br w:val="nil"/>
              <w:tr2bl w:val="nil"/>
            </w:tcBorders>
            <w:vAlign w:val="center"/>
          </w:tcPr>
          <w:p w14:paraId="7553367F">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100</w:t>
            </w:r>
          </w:p>
        </w:tc>
      </w:tr>
      <w:tr w14:paraId="5A566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tcBorders>
              <w:tl2br w:val="nil"/>
              <w:tr2bl w:val="nil"/>
            </w:tcBorders>
            <w:vAlign w:val="center"/>
          </w:tcPr>
          <w:p w14:paraId="5FE824C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投资</w:t>
            </w:r>
          </w:p>
        </w:tc>
        <w:tc>
          <w:tcPr>
            <w:tcW w:w="1967" w:type="pct"/>
            <w:tcBorders>
              <w:tl2br w:val="nil"/>
              <w:tr2bl w:val="nil"/>
            </w:tcBorders>
            <w:vAlign w:val="center"/>
          </w:tcPr>
          <w:p w14:paraId="7006F130">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累计总投资</w:t>
            </w:r>
          </w:p>
        </w:tc>
        <w:tc>
          <w:tcPr>
            <w:tcW w:w="583" w:type="pct"/>
            <w:tcBorders>
              <w:tl2br w:val="nil"/>
              <w:tr2bl w:val="nil"/>
            </w:tcBorders>
            <w:vAlign w:val="center"/>
          </w:tcPr>
          <w:p w14:paraId="019DA216">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亿元</w:t>
            </w:r>
          </w:p>
        </w:tc>
        <w:tc>
          <w:tcPr>
            <w:tcW w:w="771" w:type="pct"/>
            <w:tcBorders>
              <w:tl2br w:val="nil"/>
              <w:tr2bl w:val="nil"/>
            </w:tcBorders>
            <w:vAlign w:val="center"/>
          </w:tcPr>
          <w:p w14:paraId="180AA503">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530" w:type="pct"/>
            <w:tcBorders>
              <w:tl2br w:val="nil"/>
              <w:tr2bl w:val="nil"/>
            </w:tcBorders>
            <w:vAlign w:val="center"/>
          </w:tcPr>
          <w:p w14:paraId="15D4AC31">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74.01</w:t>
            </w:r>
          </w:p>
        </w:tc>
        <w:tc>
          <w:tcPr>
            <w:tcW w:w="584" w:type="pct"/>
            <w:tcBorders>
              <w:tl2br w:val="nil"/>
              <w:tr2bl w:val="nil"/>
            </w:tcBorders>
            <w:vAlign w:val="center"/>
          </w:tcPr>
          <w:p w14:paraId="4F43F5B7">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119.62</w:t>
            </w:r>
          </w:p>
        </w:tc>
      </w:tr>
    </w:tbl>
    <w:p w14:paraId="39EDF5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1.艾丁湖保护目标。艾丁湖现状生态处于严重濒危状态，必须给予改善。艾丁湖生态保护需水和社会经济需水的矛盾非常突出，现状水资源开发利用程度达到124%，为此，必须保护艾丁湖生态系统的基本功能，保证艾丁湖生态系统不崩溃，同时，必须保证社会经济的基本需水，维护社会稳定。因此，将艾丁湖生态保护目标确定为保护艾丁湖生态系统的基本功能，保证艾丁湖生态系统不崩溃。为此，需要维持艾丁湖入湖水量0.60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/a，维持现状艾丁湖160万亩自然旱生植被的稳定。</w:t>
      </w:r>
    </w:p>
    <w:p w14:paraId="3B18DFD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鉴于艾丁湖保护的艰巨性和复杂性，艾丁湖保护目标需要分阶段完成，2020年维持现状不恶化，到2025年基本实现艾丁湖生态保护目标。</w:t>
      </w:r>
    </w:p>
    <w:p w14:paraId="5177C39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水资源开发利用目标。以维护人与自然及人与水和谐发展为目标，以保障城乡饮用水安全和生态环境安全为出发点，到远期规划水平年（2025年），基本形成以艾丁湖生态区水资源配置工程为主体、以各县市与工业园区为重点，与全流域各县市总体规划和工业园区规划相协调和相适应的水资源配置总体格局，水资源供需矛盾基本得到解决，河道内生态环境与河道外“三生”用水需求基本得到保障，促进和保障生态区人口、资源、环境与经济的协调发展，支持生态区生态保护治理和可持续跨越式发展。2020年艾丁湖生态区用水总量12.60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，其中生活等需水量0.43亿m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，农业需水量11.19亿m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，工业需水量0.79亿m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；万元工业增加值取水量42.1 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/万元，高效节水面积120.1万亩，农田亩均综合灌溉定额668.9m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/亩。</w:t>
      </w:r>
    </w:p>
    <w:p w14:paraId="57AADEF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2025年艾丁湖生态区需水总量11.68亿m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。其中生活等需水量0.56亿m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，农业需水量9.28亿m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，工业需水量1.64亿m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；万元工业增加值取水量36.5m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/万元，高效节水面积104.3万亩，农田亩均综合灌溉定额610.6m</w:t>
      </w:r>
      <w:r>
        <w:rPr>
          <w:rFonts w:hint="eastAsia" w:ascii="宋体" w:hAnsi="宋体" w:eastAsia="宋体" w:cs="宋体"/>
          <w:spacing w:val="-2"/>
          <w:sz w:val="24"/>
          <w:szCs w:val="24"/>
          <w:vertAlign w:val="superscript"/>
        </w:rPr>
        <w:t>3</w:t>
      </w:r>
      <w:r>
        <w:rPr>
          <w:rFonts w:hint="eastAsia" w:ascii="宋体" w:hAnsi="宋体" w:eastAsia="宋体" w:cs="宋体"/>
          <w:spacing w:val="-2"/>
          <w:sz w:val="24"/>
          <w:szCs w:val="24"/>
        </w:rPr>
        <w:t>/亩。</w:t>
      </w:r>
    </w:p>
    <w:p w14:paraId="181B40D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3.水资源保护目标。近期目标（2020年）：城镇集中饮用水源地水质达标率100%，水功能区的达标率50%以上；城市、县城污水处理率达到90%，重点乡镇污水处理率60%；城市再生水利用率30%以上；工业废水排放稳定达标率90%以上，主要污染物化学需氧量、氨氮排放总量控制在新疆维吾尔自治区下达的指标范围内。完善城乡饮用水质安全保障体系，地表、地下水水质得到全面改善。</w:t>
      </w:r>
    </w:p>
    <w:p w14:paraId="7366EB3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远期目标（2025年）：城镇集中饮用水源地水质达标率100%，水功能区的达标率100%；城市、县城污水处理率达到95%以上；重点乡镇污水处理率达到80%，城市再生水利用率50%以上；工业废水排放稳定达标率95%以上，主要污染物化学需氧量、氨氮排放总量控制在新疆维吾尔自治区下达的指标范围内，单位GDP主要污染物排放强度明显下降；保证城乡饮用水质安全，地表、地下水环境得到全面恢复与改善。</w:t>
      </w:r>
    </w:p>
    <w:p w14:paraId="200A5D7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4.水资源监测目标。为加强艾丁湖生态环境保护，强化水资源严格管理，立足于吐鲁番市水资源特点及社会经济发展形势，在2015年至2025年期间，提出切实提高地区水资源与生态监控体系的目标：</w:t>
      </w:r>
    </w:p>
    <w:p w14:paraId="5BB5DEB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1）结合现有监测站网，建立能够服务于地区最严格水资源管理和艾丁湖水生态环境保护的“降水-蒸散发-地表水-土壤水-地下水”自然水循环监测体系，监测站网密度和监测站网位置覆盖符合《水文站网规划技术导则》（SL34-2013）。对行政界、河流出山口、艾丁湖入湖等关键断面流量在线监测。</w:t>
      </w:r>
    </w:p>
    <w:p w14:paraId="1B06159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建立对“取水-用水-排水”等社会水循环主要环节的监测体系。对拥有取水许可证的取用水户的取用水量在线监测，对机井、坎儿井和泉水的出流量在线监测，对城镇污水处理厂的进出口流量在线监测，对农业用水效率指标在线统计监测。</w:t>
      </w:r>
    </w:p>
    <w:p w14:paraId="2550137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3）建设与自然水循环和社会水循环相协调的覆盖水源地、水功能区、艾丁湖水域等的水环境监测和水生态监测体系。对地表水源地和城镇污水处理厂进出口的水质在线自动监测，对水功能区和地下水水源地的水质进行定期巡测。</w:t>
      </w:r>
    </w:p>
    <w:p w14:paraId="4A84C8F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建设与地面监测相补充的蒸散发、骆驼刺植被分布、水面面积及蓄水量、水库库容、水土流失等指标的卫星和低空遥感监测体系，快速大面积动态获取上述指标信息，为系统分析水资源与生态的相互作用关系及实现生态治理保护目标提供详实的基础数据。</w:t>
      </w:r>
    </w:p>
    <w:p w14:paraId="13F70B6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5）综合监测体系能够获取的数据，建设集信息传输、数据存储、业务应用于一体的水资源与生态监控系统平台，达到数据全面采集、高效传输存储、信息融合共享、信息快速处理及业务高度协同的系统建设目的，全面支撑艾丁湖流域生态保护治理工作</w:t>
      </w:r>
      <w:r>
        <w:rPr>
          <w:rFonts w:hint="eastAsia" w:ascii="宋体" w:hAnsi="宋体" w:eastAsia="宋体" w:cs="宋体"/>
          <w:spacing w:val="-2"/>
          <w:sz w:val="24"/>
          <w:szCs w:val="24"/>
          <w:lang w:val="en-US" w:eastAsia="zh-CN"/>
        </w:rPr>
        <w:t>.</w:t>
      </w:r>
    </w:p>
    <w:p w14:paraId="797838D7">
      <w:pPr>
        <w:pStyle w:val="17"/>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rPr>
      </w:pPr>
      <w:r>
        <w:rPr>
          <w:rFonts w:hint="eastAsia" w:ascii="宋体" w:hAnsi="宋体" w:cs="宋体"/>
          <w:sz w:val="24"/>
          <w:szCs w:val="24"/>
        </w:rPr>
        <w:t>《艾丁湖生态保护治理规划》，艾丁湖生态区需建立和完善节水、水资源配置、生态环境保护、河道保护治理四大工程体系，总投资76.46亿元，详见表</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w:t>
      </w:r>
      <w:r>
        <w:rPr>
          <w:rFonts w:hint="eastAsia" w:ascii="宋体" w:hAnsi="宋体" w:cs="宋体"/>
          <w:sz w:val="24"/>
          <w:szCs w:val="24"/>
        </w:rPr>
        <w:t>1-3。</w:t>
      </w:r>
    </w:p>
    <w:p w14:paraId="1469F8DE">
      <w:pPr>
        <w:pStyle w:val="18"/>
        <w:spacing w:beforeLines="0" w:afterLines="0"/>
        <w:rPr>
          <w:rFonts w:ascii="宋体" w:hAnsi="宋体" w:cs="宋体"/>
        </w:rPr>
      </w:pPr>
      <w:r>
        <w:rPr>
          <w:rFonts w:hint="eastAsia" w:ascii="宋体" w:hAnsi="宋体" w:cs="宋体"/>
        </w:rPr>
        <w:t>表</w:t>
      </w:r>
      <w:r>
        <w:rPr>
          <w:rFonts w:hint="eastAsia" w:ascii="宋体" w:hAnsi="宋体" w:cs="宋体"/>
          <w:lang w:val="en-US" w:eastAsia="zh-CN"/>
        </w:rPr>
        <w:t>3-</w:t>
      </w:r>
      <w:r>
        <w:rPr>
          <w:rFonts w:hint="eastAsia" w:ascii="宋体" w:hAnsi="宋体" w:cs="宋体"/>
        </w:rPr>
        <w:t xml:space="preserve">1-3  艾丁湖生态保护治理规划投资汇总表 </w:t>
      </w:r>
      <w:r>
        <w:rPr>
          <w:rFonts w:hint="eastAsia" w:ascii="宋体" w:hAnsi="宋体" w:cs="宋体"/>
          <w:sz w:val="21"/>
          <w:szCs w:val="21"/>
        </w:rPr>
        <w:t xml:space="preserve"> 单位 ：亿元</w:t>
      </w:r>
    </w:p>
    <w:tbl>
      <w:tblPr>
        <w:tblStyle w:val="1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559"/>
        <w:gridCol w:w="2819"/>
        <w:gridCol w:w="1229"/>
        <w:gridCol w:w="1126"/>
        <w:gridCol w:w="1457"/>
      </w:tblGrid>
      <w:tr w14:paraId="2BD6E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29" w:type="pct"/>
            <w:vMerge w:val="restart"/>
            <w:tcBorders>
              <w:tl2br w:val="nil"/>
              <w:tr2bl w:val="nil"/>
            </w:tcBorders>
            <w:vAlign w:val="center"/>
          </w:tcPr>
          <w:p w14:paraId="488DB49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分类</w:t>
            </w:r>
          </w:p>
        </w:tc>
        <w:tc>
          <w:tcPr>
            <w:tcW w:w="2336" w:type="pct"/>
            <w:gridSpan w:val="2"/>
            <w:vMerge w:val="restart"/>
            <w:tcBorders>
              <w:tl2br w:val="nil"/>
              <w:tr2bl w:val="nil"/>
            </w:tcBorders>
            <w:vAlign w:val="center"/>
          </w:tcPr>
          <w:p w14:paraId="7C03BE9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工程项目</w:t>
            </w:r>
          </w:p>
        </w:tc>
        <w:tc>
          <w:tcPr>
            <w:tcW w:w="2034" w:type="pct"/>
            <w:gridSpan w:val="3"/>
            <w:tcBorders>
              <w:tl2br w:val="nil"/>
              <w:tr2bl w:val="nil"/>
            </w:tcBorders>
            <w:vAlign w:val="center"/>
          </w:tcPr>
          <w:p w14:paraId="675727B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投资</w:t>
            </w:r>
          </w:p>
        </w:tc>
      </w:tr>
      <w:tr w14:paraId="6F5DD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29" w:type="pct"/>
            <w:vMerge w:val="continue"/>
            <w:tcBorders>
              <w:tl2br w:val="nil"/>
              <w:tr2bl w:val="nil"/>
            </w:tcBorders>
            <w:vAlign w:val="center"/>
          </w:tcPr>
          <w:p w14:paraId="7AA8788F">
            <w:pPr>
              <w:pStyle w:val="18"/>
              <w:spacing w:beforeLines="0" w:afterLines="0" w:line="240" w:lineRule="atLeast"/>
              <w:rPr>
                <w:rFonts w:ascii="宋体" w:hAnsi="宋体" w:cs="宋体"/>
                <w:b w:val="0"/>
                <w:sz w:val="21"/>
                <w:szCs w:val="21"/>
              </w:rPr>
            </w:pPr>
          </w:p>
        </w:tc>
        <w:tc>
          <w:tcPr>
            <w:tcW w:w="2336" w:type="pct"/>
            <w:gridSpan w:val="2"/>
            <w:vMerge w:val="continue"/>
            <w:tcBorders>
              <w:tl2br w:val="nil"/>
              <w:tr2bl w:val="nil"/>
            </w:tcBorders>
            <w:vAlign w:val="center"/>
          </w:tcPr>
          <w:p w14:paraId="46BB5929">
            <w:pPr>
              <w:pStyle w:val="18"/>
              <w:spacing w:beforeLines="0" w:afterLines="0" w:line="240" w:lineRule="atLeast"/>
              <w:rPr>
                <w:rFonts w:ascii="宋体" w:hAnsi="宋体" w:cs="宋体"/>
                <w:b w:val="0"/>
                <w:sz w:val="21"/>
                <w:szCs w:val="21"/>
              </w:rPr>
            </w:pPr>
          </w:p>
        </w:tc>
        <w:tc>
          <w:tcPr>
            <w:tcW w:w="656" w:type="pct"/>
            <w:tcBorders>
              <w:tl2br w:val="nil"/>
              <w:tr2bl w:val="nil"/>
            </w:tcBorders>
            <w:vAlign w:val="center"/>
          </w:tcPr>
          <w:p w14:paraId="1FC08A0D">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小计</w:t>
            </w:r>
          </w:p>
        </w:tc>
        <w:tc>
          <w:tcPr>
            <w:tcW w:w="601" w:type="pct"/>
            <w:tcBorders>
              <w:tl2br w:val="nil"/>
              <w:tr2bl w:val="nil"/>
            </w:tcBorders>
            <w:vAlign w:val="center"/>
          </w:tcPr>
          <w:p w14:paraId="4707935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近期</w:t>
            </w:r>
          </w:p>
        </w:tc>
        <w:tc>
          <w:tcPr>
            <w:tcW w:w="775" w:type="pct"/>
            <w:tcBorders>
              <w:tl2br w:val="nil"/>
              <w:tr2bl w:val="nil"/>
            </w:tcBorders>
            <w:vAlign w:val="center"/>
          </w:tcPr>
          <w:p w14:paraId="48C677F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远期</w:t>
            </w:r>
          </w:p>
        </w:tc>
      </w:tr>
      <w:tr w14:paraId="247A7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29" w:type="pct"/>
            <w:vMerge w:val="restart"/>
            <w:tcBorders>
              <w:tl2br w:val="nil"/>
              <w:tr2bl w:val="nil"/>
            </w:tcBorders>
            <w:vAlign w:val="center"/>
          </w:tcPr>
          <w:p w14:paraId="668B445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水资源配置工程</w:t>
            </w:r>
          </w:p>
        </w:tc>
        <w:tc>
          <w:tcPr>
            <w:tcW w:w="2336" w:type="pct"/>
            <w:gridSpan w:val="2"/>
            <w:tcBorders>
              <w:tl2br w:val="nil"/>
              <w:tr2bl w:val="nil"/>
            </w:tcBorders>
            <w:vAlign w:val="center"/>
          </w:tcPr>
          <w:p w14:paraId="0C261D3D">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水源工程</w:t>
            </w:r>
          </w:p>
        </w:tc>
        <w:tc>
          <w:tcPr>
            <w:tcW w:w="656" w:type="pct"/>
            <w:tcBorders>
              <w:tl2br w:val="nil"/>
              <w:tr2bl w:val="nil"/>
            </w:tcBorders>
            <w:vAlign w:val="center"/>
          </w:tcPr>
          <w:p w14:paraId="7A35D94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40.40 </w:t>
            </w:r>
          </w:p>
        </w:tc>
        <w:tc>
          <w:tcPr>
            <w:tcW w:w="601" w:type="pct"/>
            <w:tcBorders>
              <w:tl2br w:val="nil"/>
              <w:tr2bl w:val="nil"/>
            </w:tcBorders>
            <w:vAlign w:val="center"/>
          </w:tcPr>
          <w:p w14:paraId="08396FB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16.83 </w:t>
            </w:r>
          </w:p>
        </w:tc>
        <w:tc>
          <w:tcPr>
            <w:tcW w:w="775" w:type="pct"/>
            <w:tcBorders>
              <w:tl2br w:val="nil"/>
              <w:tr2bl w:val="nil"/>
            </w:tcBorders>
            <w:vAlign w:val="center"/>
          </w:tcPr>
          <w:p w14:paraId="05DDF44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23.57 </w:t>
            </w:r>
          </w:p>
        </w:tc>
      </w:tr>
      <w:tr w14:paraId="5474C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29" w:type="pct"/>
            <w:vMerge w:val="continue"/>
            <w:tcBorders>
              <w:tl2br w:val="nil"/>
              <w:tr2bl w:val="nil"/>
            </w:tcBorders>
            <w:vAlign w:val="center"/>
          </w:tcPr>
          <w:p w14:paraId="2B8DA8EA">
            <w:pPr>
              <w:pStyle w:val="18"/>
              <w:spacing w:beforeLines="0" w:afterLines="0" w:line="240" w:lineRule="atLeast"/>
              <w:rPr>
                <w:rFonts w:ascii="宋体" w:hAnsi="宋体" w:cs="宋体"/>
                <w:b w:val="0"/>
                <w:sz w:val="21"/>
                <w:szCs w:val="21"/>
              </w:rPr>
            </w:pPr>
          </w:p>
        </w:tc>
        <w:tc>
          <w:tcPr>
            <w:tcW w:w="832" w:type="pct"/>
            <w:vMerge w:val="restart"/>
            <w:tcBorders>
              <w:tl2br w:val="nil"/>
              <w:tr2bl w:val="nil"/>
            </w:tcBorders>
            <w:vAlign w:val="center"/>
          </w:tcPr>
          <w:p w14:paraId="3C3AC1D6">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其中</w:t>
            </w:r>
          </w:p>
        </w:tc>
        <w:tc>
          <w:tcPr>
            <w:tcW w:w="1503" w:type="pct"/>
            <w:tcBorders>
              <w:tl2br w:val="nil"/>
              <w:tr2bl w:val="nil"/>
            </w:tcBorders>
            <w:vAlign w:val="center"/>
          </w:tcPr>
          <w:p w14:paraId="31A2DE7D">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水库工程</w:t>
            </w:r>
          </w:p>
        </w:tc>
        <w:tc>
          <w:tcPr>
            <w:tcW w:w="656" w:type="pct"/>
            <w:tcBorders>
              <w:tl2br w:val="nil"/>
              <w:tr2bl w:val="nil"/>
            </w:tcBorders>
            <w:vAlign w:val="center"/>
          </w:tcPr>
          <w:p w14:paraId="765AD751">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38.40 </w:t>
            </w:r>
          </w:p>
        </w:tc>
        <w:tc>
          <w:tcPr>
            <w:tcW w:w="601" w:type="pct"/>
            <w:tcBorders>
              <w:tl2br w:val="nil"/>
              <w:tr2bl w:val="nil"/>
            </w:tcBorders>
            <w:vAlign w:val="center"/>
          </w:tcPr>
          <w:p w14:paraId="42F21324">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16.83 </w:t>
            </w:r>
          </w:p>
        </w:tc>
        <w:tc>
          <w:tcPr>
            <w:tcW w:w="775" w:type="pct"/>
            <w:tcBorders>
              <w:tl2br w:val="nil"/>
              <w:tr2bl w:val="nil"/>
            </w:tcBorders>
            <w:vAlign w:val="center"/>
          </w:tcPr>
          <w:p w14:paraId="062A884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21.57 </w:t>
            </w:r>
          </w:p>
        </w:tc>
      </w:tr>
      <w:tr w14:paraId="1A098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629" w:type="pct"/>
            <w:vMerge w:val="continue"/>
            <w:tcBorders>
              <w:tl2br w:val="nil"/>
              <w:tr2bl w:val="nil"/>
            </w:tcBorders>
            <w:vAlign w:val="center"/>
          </w:tcPr>
          <w:p w14:paraId="03CDE92F">
            <w:pPr>
              <w:pStyle w:val="18"/>
              <w:spacing w:beforeLines="0" w:afterLines="0" w:line="240" w:lineRule="atLeast"/>
              <w:rPr>
                <w:rFonts w:ascii="宋体" w:hAnsi="宋体" w:cs="宋体"/>
                <w:b w:val="0"/>
                <w:sz w:val="21"/>
                <w:szCs w:val="21"/>
              </w:rPr>
            </w:pPr>
          </w:p>
        </w:tc>
        <w:tc>
          <w:tcPr>
            <w:tcW w:w="832" w:type="pct"/>
            <w:vMerge w:val="continue"/>
            <w:tcBorders>
              <w:tl2br w:val="nil"/>
              <w:tr2bl w:val="nil"/>
            </w:tcBorders>
            <w:vAlign w:val="center"/>
          </w:tcPr>
          <w:p w14:paraId="3E77C11C">
            <w:pPr>
              <w:pStyle w:val="18"/>
              <w:spacing w:beforeLines="0" w:afterLines="0" w:line="240" w:lineRule="atLeast"/>
              <w:rPr>
                <w:rFonts w:ascii="宋体" w:hAnsi="宋体" w:cs="宋体"/>
                <w:b w:val="0"/>
                <w:sz w:val="21"/>
                <w:szCs w:val="21"/>
              </w:rPr>
            </w:pPr>
          </w:p>
        </w:tc>
        <w:tc>
          <w:tcPr>
            <w:tcW w:w="1503" w:type="pct"/>
            <w:tcBorders>
              <w:tl2br w:val="nil"/>
              <w:tr2bl w:val="nil"/>
            </w:tcBorders>
            <w:vAlign w:val="center"/>
          </w:tcPr>
          <w:p w14:paraId="210C5CD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坎儿井保护工程</w:t>
            </w:r>
          </w:p>
        </w:tc>
        <w:tc>
          <w:tcPr>
            <w:tcW w:w="656" w:type="pct"/>
            <w:tcBorders>
              <w:tl2br w:val="nil"/>
              <w:tr2bl w:val="nil"/>
            </w:tcBorders>
            <w:vAlign w:val="center"/>
          </w:tcPr>
          <w:p w14:paraId="53FDF710">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2.00 </w:t>
            </w:r>
          </w:p>
        </w:tc>
        <w:tc>
          <w:tcPr>
            <w:tcW w:w="601" w:type="pct"/>
            <w:tcBorders>
              <w:tl2br w:val="nil"/>
              <w:tr2bl w:val="nil"/>
            </w:tcBorders>
            <w:vAlign w:val="center"/>
          </w:tcPr>
          <w:p w14:paraId="5E170CB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w:t>
            </w:r>
          </w:p>
        </w:tc>
        <w:tc>
          <w:tcPr>
            <w:tcW w:w="775" w:type="pct"/>
            <w:tcBorders>
              <w:tl2br w:val="nil"/>
              <w:tr2bl w:val="nil"/>
            </w:tcBorders>
            <w:vAlign w:val="center"/>
          </w:tcPr>
          <w:p w14:paraId="3232E49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2.00 </w:t>
            </w:r>
          </w:p>
        </w:tc>
      </w:tr>
      <w:tr w14:paraId="6ED69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29" w:type="pct"/>
            <w:vMerge w:val="continue"/>
            <w:tcBorders>
              <w:tl2br w:val="nil"/>
              <w:tr2bl w:val="nil"/>
            </w:tcBorders>
            <w:vAlign w:val="center"/>
          </w:tcPr>
          <w:p w14:paraId="5C226908">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1829DC31">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生态输水工程</w:t>
            </w:r>
          </w:p>
        </w:tc>
        <w:tc>
          <w:tcPr>
            <w:tcW w:w="656" w:type="pct"/>
            <w:tcBorders>
              <w:tl2br w:val="nil"/>
              <w:tr2bl w:val="nil"/>
            </w:tcBorders>
            <w:vAlign w:val="center"/>
          </w:tcPr>
          <w:p w14:paraId="4F8B1CB4">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4.48 </w:t>
            </w:r>
          </w:p>
        </w:tc>
        <w:tc>
          <w:tcPr>
            <w:tcW w:w="601" w:type="pct"/>
            <w:tcBorders>
              <w:tl2br w:val="nil"/>
              <w:tr2bl w:val="nil"/>
            </w:tcBorders>
            <w:vAlign w:val="center"/>
          </w:tcPr>
          <w:p w14:paraId="5C21366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3.70 </w:t>
            </w:r>
          </w:p>
        </w:tc>
        <w:tc>
          <w:tcPr>
            <w:tcW w:w="775" w:type="pct"/>
            <w:tcBorders>
              <w:tl2br w:val="nil"/>
              <w:tr2bl w:val="nil"/>
            </w:tcBorders>
            <w:vAlign w:val="center"/>
          </w:tcPr>
          <w:p w14:paraId="4210E888">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0.78 </w:t>
            </w:r>
          </w:p>
        </w:tc>
      </w:tr>
      <w:tr w14:paraId="55ADD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29" w:type="pct"/>
            <w:vMerge w:val="continue"/>
            <w:tcBorders>
              <w:tl2br w:val="nil"/>
              <w:tr2bl w:val="nil"/>
            </w:tcBorders>
            <w:vAlign w:val="center"/>
          </w:tcPr>
          <w:p w14:paraId="4F0CEB73">
            <w:pPr>
              <w:pStyle w:val="18"/>
              <w:spacing w:beforeLines="0" w:afterLines="0" w:line="240" w:lineRule="atLeast"/>
              <w:rPr>
                <w:rFonts w:ascii="宋体" w:hAnsi="宋体" w:cs="宋体"/>
                <w:b w:val="0"/>
                <w:sz w:val="21"/>
                <w:szCs w:val="21"/>
              </w:rPr>
            </w:pPr>
          </w:p>
        </w:tc>
        <w:tc>
          <w:tcPr>
            <w:tcW w:w="832" w:type="pct"/>
            <w:tcBorders>
              <w:tl2br w:val="nil"/>
              <w:tr2bl w:val="nil"/>
            </w:tcBorders>
            <w:vAlign w:val="center"/>
          </w:tcPr>
          <w:p w14:paraId="5806367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其中</w:t>
            </w:r>
          </w:p>
        </w:tc>
        <w:tc>
          <w:tcPr>
            <w:tcW w:w="1503" w:type="pct"/>
            <w:tcBorders>
              <w:tl2br w:val="nil"/>
              <w:tr2bl w:val="nil"/>
            </w:tcBorders>
            <w:vAlign w:val="center"/>
          </w:tcPr>
          <w:p w14:paraId="48500E9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输水工程</w:t>
            </w:r>
          </w:p>
        </w:tc>
        <w:tc>
          <w:tcPr>
            <w:tcW w:w="656" w:type="pct"/>
            <w:tcBorders>
              <w:tl2br w:val="nil"/>
              <w:tr2bl w:val="nil"/>
            </w:tcBorders>
            <w:vAlign w:val="center"/>
          </w:tcPr>
          <w:p w14:paraId="6EF89E8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4.48 </w:t>
            </w:r>
          </w:p>
        </w:tc>
        <w:tc>
          <w:tcPr>
            <w:tcW w:w="601" w:type="pct"/>
            <w:tcBorders>
              <w:tl2br w:val="nil"/>
              <w:tr2bl w:val="nil"/>
            </w:tcBorders>
            <w:vAlign w:val="center"/>
          </w:tcPr>
          <w:p w14:paraId="6E07A8D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3.70 </w:t>
            </w:r>
          </w:p>
        </w:tc>
        <w:tc>
          <w:tcPr>
            <w:tcW w:w="775" w:type="pct"/>
            <w:tcBorders>
              <w:tl2br w:val="nil"/>
              <w:tr2bl w:val="nil"/>
            </w:tcBorders>
            <w:vAlign w:val="center"/>
          </w:tcPr>
          <w:p w14:paraId="08AF01A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0.78 </w:t>
            </w:r>
          </w:p>
        </w:tc>
      </w:tr>
      <w:tr w14:paraId="64B88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29" w:type="pct"/>
            <w:vMerge w:val="continue"/>
            <w:tcBorders>
              <w:tl2br w:val="nil"/>
              <w:tr2bl w:val="nil"/>
            </w:tcBorders>
            <w:vAlign w:val="center"/>
          </w:tcPr>
          <w:p w14:paraId="0A86215B">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12422F4E">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小计</w:t>
            </w:r>
          </w:p>
        </w:tc>
        <w:tc>
          <w:tcPr>
            <w:tcW w:w="656" w:type="pct"/>
            <w:tcBorders>
              <w:tl2br w:val="nil"/>
              <w:tr2bl w:val="nil"/>
            </w:tcBorders>
            <w:vAlign w:val="center"/>
          </w:tcPr>
          <w:p w14:paraId="701800F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44.88 </w:t>
            </w:r>
          </w:p>
        </w:tc>
        <w:tc>
          <w:tcPr>
            <w:tcW w:w="601" w:type="pct"/>
            <w:tcBorders>
              <w:tl2br w:val="nil"/>
              <w:tr2bl w:val="nil"/>
            </w:tcBorders>
            <w:vAlign w:val="center"/>
          </w:tcPr>
          <w:p w14:paraId="5415F794">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20.53 </w:t>
            </w:r>
          </w:p>
        </w:tc>
        <w:tc>
          <w:tcPr>
            <w:tcW w:w="775" w:type="pct"/>
            <w:tcBorders>
              <w:tl2br w:val="nil"/>
              <w:tr2bl w:val="nil"/>
            </w:tcBorders>
            <w:vAlign w:val="center"/>
          </w:tcPr>
          <w:p w14:paraId="36B2A7D0">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24.35 </w:t>
            </w:r>
          </w:p>
        </w:tc>
      </w:tr>
      <w:tr w14:paraId="38FBE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29" w:type="pct"/>
            <w:vMerge w:val="restart"/>
            <w:tcBorders>
              <w:tl2br w:val="nil"/>
              <w:tr2bl w:val="nil"/>
            </w:tcBorders>
            <w:vAlign w:val="center"/>
          </w:tcPr>
          <w:p w14:paraId="64B0C16E">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节水工程</w:t>
            </w:r>
          </w:p>
        </w:tc>
        <w:tc>
          <w:tcPr>
            <w:tcW w:w="2336" w:type="pct"/>
            <w:gridSpan w:val="2"/>
            <w:tcBorders>
              <w:tl2br w:val="nil"/>
              <w:tr2bl w:val="nil"/>
            </w:tcBorders>
            <w:vAlign w:val="center"/>
          </w:tcPr>
          <w:p w14:paraId="15FD7041">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农业节水工程</w:t>
            </w:r>
          </w:p>
        </w:tc>
        <w:tc>
          <w:tcPr>
            <w:tcW w:w="656" w:type="pct"/>
            <w:tcBorders>
              <w:tl2br w:val="nil"/>
              <w:tr2bl w:val="nil"/>
            </w:tcBorders>
            <w:vAlign w:val="center"/>
          </w:tcPr>
          <w:p w14:paraId="444EBE7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15.76 </w:t>
            </w:r>
          </w:p>
        </w:tc>
        <w:tc>
          <w:tcPr>
            <w:tcW w:w="601" w:type="pct"/>
            <w:tcBorders>
              <w:tl2br w:val="nil"/>
              <w:tr2bl w:val="nil"/>
            </w:tcBorders>
            <w:vAlign w:val="center"/>
          </w:tcPr>
          <w:p w14:paraId="326BF842">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6.44 </w:t>
            </w:r>
          </w:p>
        </w:tc>
        <w:tc>
          <w:tcPr>
            <w:tcW w:w="775" w:type="pct"/>
            <w:tcBorders>
              <w:tl2br w:val="nil"/>
              <w:tr2bl w:val="nil"/>
            </w:tcBorders>
            <w:vAlign w:val="center"/>
          </w:tcPr>
          <w:p w14:paraId="4EEEB938">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9.32 </w:t>
            </w:r>
          </w:p>
        </w:tc>
      </w:tr>
      <w:tr w14:paraId="3F8B7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29" w:type="pct"/>
            <w:vMerge w:val="continue"/>
            <w:tcBorders>
              <w:tl2br w:val="nil"/>
              <w:tr2bl w:val="nil"/>
            </w:tcBorders>
            <w:vAlign w:val="center"/>
          </w:tcPr>
          <w:p w14:paraId="02136C69">
            <w:pPr>
              <w:pStyle w:val="18"/>
              <w:spacing w:beforeLines="0" w:afterLines="0" w:line="240" w:lineRule="atLeast"/>
              <w:rPr>
                <w:rFonts w:ascii="宋体" w:hAnsi="宋体" w:cs="宋体"/>
                <w:b w:val="0"/>
                <w:sz w:val="21"/>
                <w:szCs w:val="21"/>
              </w:rPr>
            </w:pPr>
          </w:p>
        </w:tc>
        <w:tc>
          <w:tcPr>
            <w:tcW w:w="832" w:type="pct"/>
            <w:vMerge w:val="restart"/>
            <w:tcBorders>
              <w:tl2br w:val="nil"/>
              <w:tr2bl w:val="nil"/>
            </w:tcBorders>
            <w:vAlign w:val="center"/>
          </w:tcPr>
          <w:p w14:paraId="06F542C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其中</w:t>
            </w:r>
          </w:p>
        </w:tc>
        <w:tc>
          <w:tcPr>
            <w:tcW w:w="1503" w:type="pct"/>
            <w:tcBorders>
              <w:tl2br w:val="nil"/>
              <w:tr2bl w:val="nil"/>
            </w:tcBorders>
            <w:vAlign w:val="center"/>
          </w:tcPr>
          <w:p w14:paraId="7359533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灌区续建配套与节水改造工程</w:t>
            </w:r>
          </w:p>
        </w:tc>
        <w:tc>
          <w:tcPr>
            <w:tcW w:w="656" w:type="pct"/>
            <w:tcBorders>
              <w:tl2br w:val="nil"/>
              <w:tr2bl w:val="nil"/>
            </w:tcBorders>
            <w:vAlign w:val="center"/>
          </w:tcPr>
          <w:p w14:paraId="7139DA9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10.62 </w:t>
            </w:r>
          </w:p>
        </w:tc>
        <w:tc>
          <w:tcPr>
            <w:tcW w:w="601" w:type="pct"/>
            <w:tcBorders>
              <w:tl2br w:val="nil"/>
              <w:tr2bl w:val="nil"/>
            </w:tcBorders>
            <w:vAlign w:val="center"/>
          </w:tcPr>
          <w:p w14:paraId="67EA9E6E">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4.77 </w:t>
            </w:r>
          </w:p>
        </w:tc>
        <w:tc>
          <w:tcPr>
            <w:tcW w:w="775" w:type="pct"/>
            <w:tcBorders>
              <w:tl2br w:val="nil"/>
              <w:tr2bl w:val="nil"/>
            </w:tcBorders>
            <w:vAlign w:val="center"/>
          </w:tcPr>
          <w:p w14:paraId="1A7CE83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5.85 </w:t>
            </w:r>
          </w:p>
        </w:tc>
      </w:tr>
      <w:tr w14:paraId="05284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29" w:type="pct"/>
            <w:vMerge w:val="continue"/>
            <w:tcBorders>
              <w:tl2br w:val="nil"/>
              <w:tr2bl w:val="nil"/>
            </w:tcBorders>
            <w:vAlign w:val="center"/>
          </w:tcPr>
          <w:p w14:paraId="0EA05EF6">
            <w:pPr>
              <w:pStyle w:val="18"/>
              <w:spacing w:beforeLines="0" w:afterLines="0" w:line="240" w:lineRule="atLeast"/>
              <w:rPr>
                <w:rFonts w:ascii="宋体" w:hAnsi="宋体" w:cs="宋体"/>
                <w:b w:val="0"/>
                <w:sz w:val="21"/>
                <w:szCs w:val="21"/>
              </w:rPr>
            </w:pPr>
          </w:p>
        </w:tc>
        <w:tc>
          <w:tcPr>
            <w:tcW w:w="832" w:type="pct"/>
            <w:vMerge w:val="continue"/>
            <w:tcBorders>
              <w:tl2br w:val="nil"/>
              <w:tr2bl w:val="nil"/>
            </w:tcBorders>
            <w:vAlign w:val="center"/>
          </w:tcPr>
          <w:p w14:paraId="20A042AE">
            <w:pPr>
              <w:pStyle w:val="18"/>
              <w:spacing w:beforeLines="0" w:afterLines="0" w:line="240" w:lineRule="atLeast"/>
              <w:rPr>
                <w:rFonts w:ascii="宋体" w:hAnsi="宋体" w:cs="宋体"/>
                <w:b w:val="0"/>
                <w:sz w:val="21"/>
                <w:szCs w:val="21"/>
              </w:rPr>
            </w:pPr>
          </w:p>
        </w:tc>
        <w:tc>
          <w:tcPr>
            <w:tcW w:w="1503" w:type="pct"/>
            <w:tcBorders>
              <w:tl2br w:val="nil"/>
              <w:tr2bl w:val="nil"/>
            </w:tcBorders>
            <w:vAlign w:val="center"/>
          </w:tcPr>
          <w:p w14:paraId="72767958">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高效节水工程</w:t>
            </w:r>
          </w:p>
        </w:tc>
        <w:tc>
          <w:tcPr>
            <w:tcW w:w="656" w:type="pct"/>
            <w:tcBorders>
              <w:tl2br w:val="nil"/>
              <w:tr2bl w:val="nil"/>
            </w:tcBorders>
            <w:vAlign w:val="center"/>
          </w:tcPr>
          <w:p w14:paraId="5CE058D1">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3.74 </w:t>
            </w:r>
          </w:p>
        </w:tc>
        <w:tc>
          <w:tcPr>
            <w:tcW w:w="601" w:type="pct"/>
            <w:tcBorders>
              <w:tl2br w:val="nil"/>
              <w:tr2bl w:val="nil"/>
            </w:tcBorders>
            <w:vAlign w:val="center"/>
          </w:tcPr>
          <w:p w14:paraId="649017A2">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0.44 </w:t>
            </w:r>
          </w:p>
        </w:tc>
        <w:tc>
          <w:tcPr>
            <w:tcW w:w="775" w:type="pct"/>
            <w:tcBorders>
              <w:tl2br w:val="nil"/>
              <w:tr2bl w:val="nil"/>
            </w:tcBorders>
            <w:vAlign w:val="center"/>
          </w:tcPr>
          <w:p w14:paraId="4B5D8C2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3.30 </w:t>
            </w:r>
          </w:p>
        </w:tc>
      </w:tr>
      <w:tr w14:paraId="112C2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29" w:type="pct"/>
            <w:vMerge w:val="continue"/>
            <w:tcBorders>
              <w:tl2br w:val="nil"/>
              <w:tr2bl w:val="nil"/>
            </w:tcBorders>
            <w:vAlign w:val="center"/>
          </w:tcPr>
          <w:p w14:paraId="1C31732B">
            <w:pPr>
              <w:pStyle w:val="18"/>
              <w:spacing w:beforeLines="0" w:afterLines="0" w:line="240" w:lineRule="atLeast"/>
              <w:rPr>
                <w:rFonts w:ascii="宋体" w:hAnsi="宋体" w:cs="宋体"/>
                <w:b w:val="0"/>
                <w:sz w:val="21"/>
                <w:szCs w:val="21"/>
              </w:rPr>
            </w:pPr>
          </w:p>
        </w:tc>
        <w:tc>
          <w:tcPr>
            <w:tcW w:w="832" w:type="pct"/>
            <w:vMerge w:val="continue"/>
            <w:tcBorders>
              <w:tl2br w:val="nil"/>
              <w:tr2bl w:val="nil"/>
            </w:tcBorders>
            <w:vAlign w:val="center"/>
          </w:tcPr>
          <w:p w14:paraId="0E18FFE1">
            <w:pPr>
              <w:pStyle w:val="18"/>
              <w:spacing w:beforeLines="0" w:afterLines="0" w:line="240" w:lineRule="atLeast"/>
              <w:rPr>
                <w:rFonts w:ascii="宋体" w:hAnsi="宋体" w:cs="宋体"/>
                <w:b w:val="0"/>
                <w:sz w:val="21"/>
                <w:szCs w:val="21"/>
              </w:rPr>
            </w:pPr>
          </w:p>
        </w:tc>
        <w:tc>
          <w:tcPr>
            <w:tcW w:w="1503" w:type="pct"/>
            <w:tcBorders>
              <w:tl2br w:val="nil"/>
              <w:tr2bl w:val="nil"/>
            </w:tcBorders>
            <w:vAlign w:val="center"/>
          </w:tcPr>
          <w:p w14:paraId="05DCF4F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地下水和地表水远程控制系统建设</w:t>
            </w:r>
          </w:p>
        </w:tc>
        <w:tc>
          <w:tcPr>
            <w:tcW w:w="656" w:type="pct"/>
            <w:tcBorders>
              <w:tl2br w:val="nil"/>
              <w:tr2bl w:val="nil"/>
            </w:tcBorders>
            <w:vAlign w:val="center"/>
          </w:tcPr>
          <w:p w14:paraId="105AD64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1.40 </w:t>
            </w:r>
          </w:p>
        </w:tc>
        <w:tc>
          <w:tcPr>
            <w:tcW w:w="601" w:type="pct"/>
            <w:tcBorders>
              <w:tl2br w:val="nil"/>
              <w:tr2bl w:val="nil"/>
            </w:tcBorders>
            <w:vAlign w:val="center"/>
          </w:tcPr>
          <w:p w14:paraId="206A6A6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1.23 </w:t>
            </w:r>
          </w:p>
        </w:tc>
        <w:tc>
          <w:tcPr>
            <w:tcW w:w="775" w:type="pct"/>
            <w:tcBorders>
              <w:tl2br w:val="nil"/>
              <w:tr2bl w:val="nil"/>
            </w:tcBorders>
            <w:vAlign w:val="center"/>
          </w:tcPr>
          <w:p w14:paraId="147CE59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0.17 </w:t>
            </w:r>
          </w:p>
        </w:tc>
      </w:tr>
      <w:tr w14:paraId="3B6EB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29" w:type="pct"/>
            <w:vMerge w:val="continue"/>
            <w:tcBorders>
              <w:tl2br w:val="nil"/>
              <w:tr2bl w:val="nil"/>
            </w:tcBorders>
            <w:vAlign w:val="center"/>
          </w:tcPr>
          <w:p w14:paraId="4C43E2F5">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207B677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工业节水工程</w:t>
            </w:r>
          </w:p>
        </w:tc>
        <w:tc>
          <w:tcPr>
            <w:tcW w:w="656" w:type="pct"/>
            <w:tcBorders>
              <w:tl2br w:val="nil"/>
              <w:tr2bl w:val="nil"/>
            </w:tcBorders>
            <w:vAlign w:val="center"/>
          </w:tcPr>
          <w:p w14:paraId="022377E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w:t>
            </w:r>
          </w:p>
        </w:tc>
        <w:tc>
          <w:tcPr>
            <w:tcW w:w="601" w:type="pct"/>
            <w:tcBorders>
              <w:tl2br w:val="nil"/>
              <w:tr2bl w:val="nil"/>
            </w:tcBorders>
            <w:vAlign w:val="center"/>
          </w:tcPr>
          <w:p w14:paraId="180C8731">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w:t>
            </w:r>
          </w:p>
        </w:tc>
        <w:tc>
          <w:tcPr>
            <w:tcW w:w="775" w:type="pct"/>
            <w:tcBorders>
              <w:tl2br w:val="nil"/>
              <w:tr2bl w:val="nil"/>
            </w:tcBorders>
            <w:vAlign w:val="center"/>
          </w:tcPr>
          <w:p w14:paraId="7E818026">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w:t>
            </w:r>
          </w:p>
        </w:tc>
      </w:tr>
      <w:tr w14:paraId="31676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29" w:type="pct"/>
            <w:vMerge w:val="continue"/>
            <w:tcBorders>
              <w:tl2br w:val="nil"/>
              <w:tr2bl w:val="nil"/>
            </w:tcBorders>
            <w:vAlign w:val="center"/>
          </w:tcPr>
          <w:p w14:paraId="2CE68C1F">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2C6D903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生活节水工程</w:t>
            </w:r>
          </w:p>
        </w:tc>
        <w:tc>
          <w:tcPr>
            <w:tcW w:w="656" w:type="pct"/>
            <w:tcBorders>
              <w:tl2br w:val="nil"/>
              <w:tr2bl w:val="nil"/>
            </w:tcBorders>
            <w:vAlign w:val="center"/>
          </w:tcPr>
          <w:p w14:paraId="538B5DF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0.00 </w:t>
            </w:r>
          </w:p>
        </w:tc>
        <w:tc>
          <w:tcPr>
            <w:tcW w:w="601" w:type="pct"/>
            <w:tcBorders>
              <w:tl2br w:val="nil"/>
              <w:tr2bl w:val="nil"/>
            </w:tcBorders>
            <w:vAlign w:val="center"/>
          </w:tcPr>
          <w:p w14:paraId="125F597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0.00 </w:t>
            </w:r>
          </w:p>
        </w:tc>
        <w:tc>
          <w:tcPr>
            <w:tcW w:w="775" w:type="pct"/>
            <w:tcBorders>
              <w:tl2br w:val="nil"/>
              <w:tr2bl w:val="nil"/>
            </w:tcBorders>
            <w:vAlign w:val="center"/>
          </w:tcPr>
          <w:p w14:paraId="650C9F03">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0.00 </w:t>
            </w:r>
          </w:p>
        </w:tc>
      </w:tr>
      <w:tr w14:paraId="6914E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29" w:type="pct"/>
            <w:vMerge w:val="continue"/>
            <w:tcBorders>
              <w:tl2br w:val="nil"/>
              <w:tr2bl w:val="nil"/>
            </w:tcBorders>
            <w:vAlign w:val="center"/>
          </w:tcPr>
          <w:p w14:paraId="364EA75C">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44A0999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小计</w:t>
            </w:r>
          </w:p>
        </w:tc>
        <w:tc>
          <w:tcPr>
            <w:tcW w:w="656" w:type="pct"/>
            <w:tcBorders>
              <w:tl2br w:val="nil"/>
              <w:tr2bl w:val="nil"/>
            </w:tcBorders>
            <w:vAlign w:val="center"/>
          </w:tcPr>
          <w:p w14:paraId="2177D37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15.76 </w:t>
            </w:r>
          </w:p>
        </w:tc>
        <w:tc>
          <w:tcPr>
            <w:tcW w:w="601" w:type="pct"/>
            <w:tcBorders>
              <w:tl2br w:val="nil"/>
              <w:tr2bl w:val="nil"/>
            </w:tcBorders>
            <w:vAlign w:val="center"/>
          </w:tcPr>
          <w:p w14:paraId="7E426532">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6.44 </w:t>
            </w:r>
          </w:p>
        </w:tc>
        <w:tc>
          <w:tcPr>
            <w:tcW w:w="775" w:type="pct"/>
            <w:tcBorders>
              <w:tl2br w:val="nil"/>
              <w:tr2bl w:val="nil"/>
            </w:tcBorders>
            <w:vAlign w:val="center"/>
          </w:tcPr>
          <w:p w14:paraId="04CDABD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9.32 </w:t>
            </w:r>
          </w:p>
        </w:tc>
      </w:tr>
      <w:tr w14:paraId="3CE0D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29" w:type="pct"/>
            <w:vMerge w:val="restart"/>
            <w:tcBorders>
              <w:tl2br w:val="nil"/>
              <w:tr2bl w:val="nil"/>
            </w:tcBorders>
            <w:vAlign w:val="center"/>
          </w:tcPr>
          <w:p w14:paraId="7D96A48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生态环境保护工程</w:t>
            </w:r>
          </w:p>
        </w:tc>
        <w:tc>
          <w:tcPr>
            <w:tcW w:w="2336" w:type="pct"/>
            <w:gridSpan w:val="2"/>
            <w:tcBorders>
              <w:tl2br w:val="nil"/>
              <w:tr2bl w:val="nil"/>
            </w:tcBorders>
            <w:vAlign w:val="center"/>
          </w:tcPr>
          <w:p w14:paraId="70A01652">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水源地保护工程</w:t>
            </w:r>
          </w:p>
        </w:tc>
        <w:tc>
          <w:tcPr>
            <w:tcW w:w="656" w:type="pct"/>
            <w:tcBorders>
              <w:tl2br w:val="nil"/>
              <w:tr2bl w:val="nil"/>
            </w:tcBorders>
            <w:vAlign w:val="center"/>
          </w:tcPr>
          <w:p w14:paraId="761FFE40">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0.66 </w:t>
            </w:r>
          </w:p>
        </w:tc>
        <w:tc>
          <w:tcPr>
            <w:tcW w:w="601" w:type="pct"/>
            <w:tcBorders>
              <w:tl2br w:val="nil"/>
              <w:tr2bl w:val="nil"/>
            </w:tcBorders>
            <w:vAlign w:val="center"/>
          </w:tcPr>
          <w:p w14:paraId="45538E27">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0.50 </w:t>
            </w:r>
          </w:p>
        </w:tc>
        <w:tc>
          <w:tcPr>
            <w:tcW w:w="775" w:type="pct"/>
            <w:tcBorders>
              <w:tl2br w:val="nil"/>
              <w:tr2bl w:val="nil"/>
            </w:tcBorders>
            <w:vAlign w:val="center"/>
          </w:tcPr>
          <w:p w14:paraId="3623BC3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0.16 </w:t>
            </w:r>
          </w:p>
        </w:tc>
      </w:tr>
      <w:tr w14:paraId="6AD41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29" w:type="pct"/>
            <w:vMerge w:val="continue"/>
            <w:tcBorders>
              <w:tl2br w:val="nil"/>
              <w:tr2bl w:val="nil"/>
            </w:tcBorders>
            <w:vAlign w:val="center"/>
          </w:tcPr>
          <w:p w14:paraId="54636C06">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71998DC2">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河道保护治理工程</w:t>
            </w:r>
          </w:p>
        </w:tc>
        <w:tc>
          <w:tcPr>
            <w:tcW w:w="656" w:type="pct"/>
            <w:tcBorders>
              <w:tl2br w:val="nil"/>
              <w:tr2bl w:val="nil"/>
            </w:tcBorders>
            <w:vAlign w:val="center"/>
          </w:tcPr>
          <w:p w14:paraId="676F0F0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5.26 </w:t>
            </w:r>
          </w:p>
        </w:tc>
        <w:tc>
          <w:tcPr>
            <w:tcW w:w="601" w:type="pct"/>
            <w:tcBorders>
              <w:tl2br w:val="nil"/>
              <w:tr2bl w:val="nil"/>
            </w:tcBorders>
            <w:vAlign w:val="center"/>
          </w:tcPr>
          <w:p w14:paraId="2256714E">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0.80 </w:t>
            </w:r>
          </w:p>
        </w:tc>
        <w:tc>
          <w:tcPr>
            <w:tcW w:w="775" w:type="pct"/>
            <w:tcBorders>
              <w:tl2br w:val="nil"/>
              <w:tr2bl w:val="nil"/>
            </w:tcBorders>
            <w:vAlign w:val="center"/>
          </w:tcPr>
          <w:p w14:paraId="6062C0A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4.46 </w:t>
            </w:r>
          </w:p>
        </w:tc>
      </w:tr>
      <w:tr w14:paraId="3B880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29" w:type="pct"/>
            <w:vMerge w:val="continue"/>
            <w:tcBorders>
              <w:tl2br w:val="nil"/>
              <w:tr2bl w:val="nil"/>
            </w:tcBorders>
            <w:vAlign w:val="center"/>
          </w:tcPr>
          <w:p w14:paraId="23180171">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20011A7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防风林建设及沙化土地治理工程</w:t>
            </w:r>
          </w:p>
        </w:tc>
        <w:tc>
          <w:tcPr>
            <w:tcW w:w="656" w:type="pct"/>
            <w:tcBorders>
              <w:tl2br w:val="nil"/>
              <w:tr2bl w:val="nil"/>
            </w:tcBorders>
            <w:vAlign w:val="center"/>
          </w:tcPr>
          <w:p w14:paraId="4CF1AED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9.35 </w:t>
            </w:r>
          </w:p>
        </w:tc>
        <w:tc>
          <w:tcPr>
            <w:tcW w:w="601" w:type="pct"/>
            <w:tcBorders>
              <w:tl2br w:val="nil"/>
              <w:tr2bl w:val="nil"/>
            </w:tcBorders>
            <w:vAlign w:val="center"/>
          </w:tcPr>
          <w:p w14:paraId="0E821EB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3.62 </w:t>
            </w:r>
          </w:p>
        </w:tc>
        <w:tc>
          <w:tcPr>
            <w:tcW w:w="775" w:type="pct"/>
            <w:tcBorders>
              <w:tl2br w:val="nil"/>
              <w:tr2bl w:val="nil"/>
            </w:tcBorders>
            <w:vAlign w:val="center"/>
          </w:tcPr>
          <w:p w14:paraId="4BF9CBA5">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5.73 </w:t>
            </w:r>
          </w:p>
        </w:tc>
      </w:tr>
      <w:tr w14:paraId="078E3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29" w:type="pct"/>
            <w:vMerge w:val="continue"/>
            <w:tcBorders>
              <w:tl2br w:val="nil"/>
              <w:tr2bl w:val="nil"/>
            </w:tcBorders>
            <w:vAlign w:val="center"/>
          </w:tcPr>
          <w:p w14:paraId="3CBAD9A0">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2ABAC34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骆驼刺草场保护工程</w:t>
            </w:r>
          </w:p>
        </w:tc>
        <w:tc>
          <w:tcPr>
            <w:tcW w:w="656" w:type="pct"/>
            <w:tcBorders>
              <w:tl2br w:val="nil"/>
              <w:tr2bl w:val="nil"/>
            </w:tcBorders>
            <w:vAlign w:val="center"/>
          </w:tcPr>
          <w:p w14:paraId="18A0C136">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0.09 </w:t>
            </w:r>
          </w:p>
        </w:tc>
        <w:tc>
          <w:tcPr>
            <w:tcW w:w="601" w:type="pct"/>
            <w:tcBorders>
              <w:tl2br w:val="nil"/>
              <w:tr2bl w:val="nil"/>
            </w:tcBorders>
            <w:vAlign w:val="center"/>
          </w:tcPr>
          <w:p w14:paraId="335E6F9C">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0.09 </w:t>
            </w:r>
          </w:p>
        </w:tc>
        <w:tc>
          <w:tcPr>
            <w:tcW w:w="775" w:type="pct"/>
            <w:tcBorders>
              <w:tl2br w:val="nil"/>
              <w:tr2bl w:val="nil"/>
            </w:tcBorders>
            <w:vAlign w:val="center"/>
          </w:tcPr>
          <w:p w14:paraId="1904D074">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w:t>
            </w:r>
          </w:p>
        </w:tc>
      </w:tr>
      <w:tr w14:paraId="65674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29" w:type="pct"/>
            <w:vMerge w:val="continue"/>
            <w:tcBorders>
              <w:tl2br w:val="nil"/>
              <w:tr2bl w:val="nil"/>
            </w:tcBorders>
            <w:vAlign w:val="center"/>
          </w:tcPr>
          <w:p w14:paraId="0733CF84">
            <w:pPr>
              <w:pStyle w:val="18"/>
              <w:spacing w:beforeLines="0" w:afterLines="0" w:line="240" w:lineRule="atLeast"/>
              <w:rPr>
                <w:rFonts w:ascii="宋体" w:hAnsi="宋体" w:cs="宋体"/>
                <w:b w:val="0"/>
                <w:sz w:val="21"/>
                <w:szCs w:val="21"/>
              </w:rPr>
            </w:pPr>
          </w:p>
        </w:tc>
        <w:tc>
          <w:tcPr>
            <w:tcW w:w="2336" w:type="pct"/>
            <w:gridSpan w:val="2"/>
            <w:tcBorders>
              <w:tl2br w:val="nil"/>
              <w:tr2bl w:val="nil"/>
            </w:tcBorders>
            <w:vAlign w:val="center"/>
          </w:tcPr>
          <w:p w14:paraId="6288155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小计</w:t>
            </w:r>
          </w:p>
        </w:tc>
        <w:tc>
          <w:tcPr>
            <w:tcW w:w="656" w:type="pct"/>
            <w:tcBorders>
              <w:tl2br w:val="nil"/>
              <w:tr2bl w:val="nil"/>
            </w:tcBorders>
            <w:vAlign w:val="center"/>
          </w:tcPr>
          <w:p w14:paraId="38C91EB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15.36 </w:t>
            </w:r>
          </w:p>
        </w:tc>
        <w:tc>
          <w:tcPr>
            <w:tcW w:w="601" w:type="pct"/>
            <w:tcBorders>
              <w:tl2br w:val="nil"/>
              <w:tr2bl w:val="nil"/>
            </w:tcBorders>
            <w:vAlign w:val="center"/>
          </w:tcPr>
          <w:p w14:paraId="00BBC1DB">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5.01 </w:t>
            </w:r>
          </w:p>
        </w:tc>
        <w:tc>
          <w:tcPr>
            <w:tcW w:w="775" w:type="pct"/>
            <w:tcBorders>
              <w:tl2br w:val="nil"/>
              <w:tr2bl w:val="nil"/>
            </w:tcBorders>
            <w:vAlign w:val="center"/>
          </w:tcPr>
          <w:p w14:paraId="772A64C9">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10.35 </w:t>
            </w:r>
          </w:p>
        </w:tc>
      </w:tr>
      <w:tr w14:paraId="7D749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9" w:type="pct"/>
            <w:tcBorders>
              <w:tl2br w:val="nil"/>
              <w:tr2bl w:val="nil"/>
            </w:tcBorders>
            <w:vAlign w:val="center"/>
          </w:tcPr>
          <w:p w14:paraId="6E17A97A">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监测工程</w:t>
            </w:r>
          </w:p>
        </w:tc>
        <w:tc>
          <w:tcPr>
            <w:tcW w:w="2336" w:type="pct"/>
            <w:gridSpan w:val="2"/>
            <w:tcBorders>
              <w:tl2br w:val="nil"/>
              <w:tr2bl w:val="nil"/>
            </w:tcBorders>
            <w:vAlign w:val="center"/>
          </w:tcPr>
          <w:p w14:paraId="2A8610C6">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水资源水生态监测工程</w:t>
            </w:r>
          </w:p>
        </w:tc>
        <w:tc>
          <w:tcPr>
            <w:tcW w:w="656" w:type="pct"/>
            <w:tcBorders>
              <w:tl2br w:val="nil"/>
              <w:tr2bl w:val="nil"/>
            </w:tcBorders>
            <w:vAlign w:val="center"/>
          </w:tcPr>
          <w:p w14:paraId="38D6DC21">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0.46 </w:t>
            </w:r>
          </w:p>
        </w:tc>
        <w:tc>
          <w:tcPr>
            <w:tcW w:w="601" w:type="pct"/>
            <w:tcBorders>
              <w:tl2br w:val="nil"/>
              <w:tr2bl w:val="nil"/>
            </w:tcBorders>
            <w:vAlign w:val="center"/>
          </w:tcPr>
          <w:p w14:paraId="4A703D70">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0.46 </w:t>
            </w:r>
          </w:p>
        </w:tc>
        <w:tc>
          <w:tcPr>
            <w:tcW w:w="775" w:type="pct"/>
            <w:tcBorders>
              <w:tl2br w:val="nil"/>
              <w:tr2bl w:val="nil"/>
            </w:tcBorders>
            <w:vAlign w:val="center"/>
          </w:tcPr>
          <w:p w14:paraId="2325649E">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w:t>
            </w:r>
          </w:p>
        </w:tc>
      </w:tr>
      <w:tr w14:paraId="08224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965" w:type="pct"/>
            <w:gridSpan w:val="3"/>
            <w:tcBorders>
              <w:tl2br w:val="nil"/>
              <w:tr2bl w:val="nil"/>
            </w:tcBorders>
            <w:vAlign w:val="center"/>
          </w:tcPr>
          <w:p w14:paraId="5773C230">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总计</w:t>
            </w:r>
          </w:p>
        </w:tc>
        <w:tc>
          <w:tcPr>
            <w:tcW w:w="656" w:type="pct"/>
            <w:tcBorders>
              <w:tl2br w:val="nil"/>
              <w:tr2bl w:val="nil"/>
            </w:tcBorders>
            <w:vAlign w:val="center"/>
          </w:tcPr>
          <w:p w14:paraId="32DF1E2E">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76.46 </w:t>
            </w:r>
          </w:p>
        </w:tc>
        <w:tc>
          <w:tcPr>
            <w:tcW w:w="601" w:type="pct"/>
            <w:tcBorders>
              <w:tl2br w:val="nil"/>
              <w:tr2bl w:val="nil"/>
            </w:tcBorders>
            <w:vAlign w:val="center"/>
          </w:tcPr>
          <w:p w14:paraId="008188AF">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32.44 </w:t>
            </w:r>
          </w:p>
        </w:tc>
        <w:tc>
          <w:tcPr>
            <w:tcW w:w="775" w:type="pct"/>
            <w:tcBorders>
              <w:tl2br w:val="nil"/>
              <w:tr2bl w:val="nil"/>
            </w:tcBorders>
            <w:vAlign w:val="center"/>
          </w:tcPr>
          <w:p w14:paraId="25841A53">
            <w:pPr>
              <w:pStyle w:val="18"/>
              <w:spacing w:beforeLines="0" w:afterLines="0" w:line="240" w:lineRule="atLeast"/>
              <w:rPr>
                <w:rFonts w:ascii="宋体" w:hAnsi="宋体" w:cs="宋体"/>
                <w:b w:val="0"/>
                <w:sz w:val="21"/>
                <w:szCs w:val="21"/>
              </w:rPr>
            </w:pPr>
            <w:r>
              <w:rPr>
                <w:rFonts w:hint="eastAsia" w:ascii="宋体" w:hAnsi="宋体" w:cs="宋体"/>
                <w:b w:val="0"/>
                <w:sz w:val="21"/>
                <w:szCs w:val="21"/>
              </w:rPr>
              <w:t xml:space="preserve">44.02 </w:t>
            </w:r>
          </w:p>
        </w:tc>
      </w:tr>
    </w:tbl>
    <w:p w14:paraId="2C35B35B">
      <w:pPr>
        <w:pStyle w:val="3"/>
        <w:spacing w:line="323" w:lineRule="auto"/>
      </w:pPr>
    </w:p>
    <w:p w14:paraId="6CC35BBF">
      <w:pPr>
        <w:spacing w:before="92" w:line="221" w:lineRule="auto"/>
        <w:ind w:left="19"/>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3.1.2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hint="eastAsia" w:ascii="宋体" w:hAnsi="宋体" w:eastAsia="宋体" w:cs="宋体"/>
          <w:b/>
          <w:bCs/>
          <w:spacing w:val="-1"/>
          <w:sz w:val="28"/>
          <w:szCs w:val="28"/>
          <w14:textOutline w14:w="5103" w14:cap="sq" w14:cmpd="sng">
            <w14:solidFill>
              <w14:srgbClr w14:val="000000"/>
            </w14:solidFill>
            <w14:prstDash w14:val="solid"/>
            <w14:bevel/>
          </w14:textOutline>
        </w:rPr>
        <w:t>艾丁湖生态保护治理项目“十三五”期间</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实施</w:t>
      </w:r>
      <w:r>
        <w:rPr>
          <w:rFonts w:ascii="宋体" w:hAnsi="宋体" w:eastAsia="宋体" w:cs="宋体"/>
          <w:b/>
          <w:bCs/>
          <w:spacing w:val="-1"/>
          <w:sz w:val="28"/>
          <w:szCs w:val="28"/>
          <w14:textOutline w14:w="5103" w14:cap="sq" w14:cmpd="sng">
            <w14:solidFill>
              <w14:srgbClr w14:val="000000"/>
            </w14:solidFill>
            <w14:prstDash w14:val="solid"/>
            <w14:bevel/>
          </w14:textOutline>
        </w:rPr>
        <w:t>情况</w:t>
      </w:r>
    </w:p>
    <w:p w14:paraId="65195C38">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484" w:firstLineChars="200"/>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2016 年 12 月市发改委下发了《关于艾丁湖生态保护治理项目可行性研究报告的批复》（吐市发改农经[2016]528 号）“十三五”期间国家发改委和自治区发改委于 2018 年、2019 年、2020 年分别下达艾丁湖生态保护治理项目专项资金 0.5 亿元、3.0 亿元、1.5 亿元。实施完了 8 个子项目，其中 2018 年实施了吐鲁番市水资源管理系统及农田水利设施项目（一期）；2019 年实施了高昌区大河沿水库至塔尔朗引水、桃儿沟水资源配置及生态综合治理、大草湖中型灌区配套改造（一期）、柯柯亚大型灌区配套改造（一期）、托克逊县高效节水（一期）、吐鲁番市水资源管理系统及农田水利设施（二期）等子项目；2020 年实施了大草湖中型灌区配套改造（二期）、柯柯亚大型灌区配套改造（二期）、托克逊县高效节水（二期）等子项目。</w:t>
      </w:r>
    </w:p>
    <w:p w14:paraId="4B8F60FF">
      <w:pPr>
        <w:spacing w:before="92" w:line="220" w:lineRule="auto"/>
        <w:ind w:left="19"/>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3.1.3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hint="eastAsia" w:ascii="宋体" w:hAnsi="宋体" w:eastAsia="宋体" w:cs="宋体"/>
          <w:b/>
          <w:bCs/>
          <w:spacing w:val="-1"/>
          <w:sz w:val="28"/>
          <w:szCs w:val="28"/>
          <w14:textOutline w14:w="5103" w14:cap="sq" w14:cmpd="sng">
            <w14:solidFill>
              <w14:srgbClr w14:val="000000"/>
            </w14:solidFill>
            <w14:prstDash w14:val="solid"/>
            <w14:bevel/>
          </w14:textOutline>
        </w:rPr>
        <w:t>艾丁湖生态保护治理项目（十三五期间）</w:t>
      </w:r>
      <w:r>
        <w:rPr>
          <w:rFonts w:ascii="宋体" w:hAnsi="宋体" w:eastAsia="宋体" w:cs="宋体"/>
          <w:b/>
          <w:bCs/>
          <w:spacing w:val="-1"/>
          <w:sz w:val="28"/>
          <w:szCs w:val="28"/>
          <w14:textOutline w14:w="5103" w14:cap="sq" w14:cmpd="sng">
            <w14:solidFill>
              <w14:srgbClr w14:val="000000"/>
            </w14:solidFill>
            <w14:prstDash w14:val="solid"/>
            <w14:bevel/>
          </w14:textOutline>
        </w:rPr>
        <w:t>存在的主要环境问题</w:t>
      </w:r>
    </w:p>
    <w:p w14:paraId="1C2AC01A">
      <w:pPr>
        <w:keepNext w:val="0"/>
        <w:keepLines w:val="0"/>
        <w:pageBreakBefore w:val="0"/>
        <w:widowControl/>
        <w:kinsoku w:val="0"/>
        <w:wordWrap/>
        <w:overflowPunct/>
        <w:topLinePunct w:val="0"/>
        <w:autoSpaceDE w:val="0"/>
        <w:autoSpaceDN w:val="0"/>
        <w:bidi w:val="0"/>
        <w:adjustRightInd w:val="0"/>
        <w:snapToGrid w:val="0"/>
        <w:spacing w:before="180" w:line="360" w:lineRule="auto"/>
        <w:ind w:firstLine="484" w:firstLineChars="200"/>
        <w:jc w:val="both"/>
        <w:textAlignment w:val="baseline"/>
        <w:rPr>
          <w:rFonts w:hint="eastAsia" w:ascii="宋体" w:hAnsi="宋体" w:eastAsia="宋体" w:cs="宋体"/>
          <w:sz w:val="24"/>
          <w:szCs w:val="24"/>
        </w:rPr>
      </w:pPr>
      <w:r>
        <w:rPr>
          <w:rFonts w:hint="eastAsia" w:ascii="宋体" w:hAnsi="宋体" w:eastAsia="宋体" w:cs="宋体"/>
          <w:spacing w:val="1"/>
          <w:sz w:val="24"/>
          <w:szCs w:val="24"/>
          <w:lang w:val="en-US" w:eastAsia="zh-CN"/>
        </w:rPr>
        <w:t>经现场踏勘，艾丁湖生态保护治理项目（十三五期间）施工期无遗留环境问题，项目建成后运行稳定，</w:t>
      </w:r>
      <w:r>
        <w:rPr>
          <w:rFonts w:hint="eastAsia" w:ascii="宋体" w:hAnsi="宋体" w:eastAsia="宋体" w:cs="宋体"/>
          <w:sz w:val="24"/>
          <w:szCs w:val="24"/>
          <w:lang w:val="en-US" w:eastAsia="zh-CN"/>
        </w:rPr>
        <w:t>取得了一定的生态治理成效。</w:t>
      </w:r>
      <w:r>
        <w:rPr>
          <w:rFonts w:hint="eastAsia" w:ascii="宋体" w:hAnsi="宋体" w:eastAsia="宋体" w:cs="宋体"/>
          <w:sz w:val="24"/>
          <w:szCs w:val="24"/>
          <w:lang w:eastAsia="zh-CN"/>
        </w:rPr>
        <w:t>吐鲁番14条主要河流中已有5条主要河流的生态基流具备了给艾丁湖补水的工程条件，初步构建了补水体系，缓解了艾丁湖水位下降趋势。同时，人工造林、退耕还林、沙化治理、封禁保护项目也稳步推行。</w:t>
      </w:r>
      <w:r>
        <w:rPr>
          <w:rFonts w:hint="eastAsia" w:ascii="宋体" w:hAnsi="宋体" w:eastAsia="宋体" w:cs="宋体"/>
          <w:sz w:val="24"/>
          <w:szCs w:val="24"/>
          <w:lang w:val="en-US" w:eastAsia="zh-CN"/>
        </w:rPr>
        <w:t>骆驼刺生长区域从2010年的180万亩恢复至220万亩，多年未见的天鹅、野鸭、大雁数量也大幅增加，湿地功能已得到了极大改善，艾丁湖正在由季节性湖泊逐渐恢复为常年性湖泊</w:t>
      </w:r>
      <w:r>
        <w:rPr>
          <w:rFonts w:hint="eastAsia" w:ascii="宋体" w:hAnsi="宋体" w:eastAsia="宋体" w:cs="宋体"/>
          <w:spacing w:val="-2"/>
          <w:sz w:val="24"/>
          <w:szCs w:val="24"/>
        </w:rPr>
        <w:t>。</w:t>
      </w:r>
    </w:p>
    <w:p w14:paraId="78F1EAA6">
      <w:pPr>
        <w:spacing w:before="97" w:line="219" w:lineRule="auto"/>
        <w:ind w:left="18"/>
        <w:outlineLvl w:val="1"/>
        <w:rPr>
          <w:rFonts w:ascii="宋体" w:hAnsi="宋体" w:eastAsia="宋体" w:cs="宋体"/>
          <w:sz w:val="30"/>
          <w:szCs w:val="30"/>
        </w:rPr>
      </w:pPr>
      <w:bookmarkStart w:id="17" w:name="bookmark17"/>
      <w:bookmarkEnd w:id="17"/>
      <w:r>
        <w:rPr>
          <w:rFonts w:hint="eastAsia" w:ascii="黑体" w:hAnsi="黑体" w:eastAsia="黑体" w:cs="黑体"/>
          <w:spacing w:val="1"/>
          <w:sz w:val="30"/>
          <w:szCs w:val="30"/>
          <w14:textOutline w14:w="5448" w14:cap="sq" w14:cmpd="sng">
            <w14:solidFill>
              <w14:srgbClr w14:val="000000"/>
            </w14:solidFill>
            <w14:prstDash w14:val="solid"/>
            <w14:bevel/>
          </w14:textOutline>
        </w:rPr>
        <w:t>3.2.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本项目</w:t>
      </w:r>
      <w:r>
        <w:rPr>
          <w:rFonts w:hint="eastAsia" w:ascii="黑体" w:hAnsi="黑体" w:eastAsia="黑体" w:cs="黑体"/>
          <w:spacing w:val="1"/>
          <w:sz w:val="30"/>
          <w:szCs w:val="30"/>
          <w14:textOutline w14:w="5448" w14:cap="sq" w14:cmpd="sng">
            <w14:solidFill>
              <w14:srgbClr w14:val="000000"/>
            </w14:solidFill>
            <w14:prstDash w14:val="solid"/>
            <w14:bevel/>
          </w14:textOutline>
        </w:rPr>
        <w:t>工程概况及工程分析</w:t>
      </w:r>
    </w:p>
    <w:p w14:paraId="010655C9">
      <w:pPr>
        <w:spacing w:before="224" w:line="220" w:lineRule="auto"/>
        <w:ind w:left="16"/>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3.2.1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工程概况</w:t>
      </w:r>
    </w:p>
    <w:p w14:paraId="5D4FBBE4">
      <w:pPr>
        <w:spacing w:before="205" w:line="219" w:lineRule="auto"/>
        <w:ind w:left="14"/>
        <w:outlineLvl w:val="3"/>
        <w:rPr>
          <w:rFonts w:ascii="宋体" w:hAnsi="宋体" w:eastAsia="宋体" w:cs="宋体"/>
          <w:sz w:val="24"/>
          <w:szCs w:val="24"/>
        </w:rPr>
      </w:pPr>
      <w:r>
        <w:rPr>
          <w:b/>
          <w:bCs/>
        </w:rPr>
        <w:fldChar w:fldCharType="begin"/>
      </w:r>
      <w:r>
        <w:rPr>
          <w:b/>
          <w:bCs/>
        </w:rPr>
        <w:instrText xml:space="preserve"> HYPERLINK "3.2.1.1"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3.2.1.1</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项目基本情况</w:t>
      </w:r>
    </w:p>
    <w:p w14:paraId="2058F5D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lang w:eastAsia="zh-CN"/>
          <w14:textFill>
            <w14:solidFill>
              <w14:schemeClr w14:val="tx1"/>
            </w14:solidFill>
          </w14:textFill>
        </w:rPr>
        <w:t>艾丁湖生态保护治理项目（二期）</w:t>
      </w:r>
      <w:r>
        <w:rPr>
          <w:rFonts w:ascii="宋体" w:hAnsi="宋体" w:eastAsia="宋体" w:cs="宋体"/>
          <w:color w:val="000000" w:themeColor="text1"/>
          <w:sz w:val="24"/>
          <w:szCs w:val="24"/>
          <w14:textFill>
            <w14:solidFill>
              <w14:schemeClr w14:val="tx1"/>
            </w14:solidFill>
          </w14:textFill>
        </w:rPr>
        <w:t>；</w:t>
      </w:r>
    </w:p>
    <w:p w14:paraId="67D1251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建设单位：</w:t>
      </w:r>
      <w:r>
        <w:rPr>
          <w:rFonts w:hint="eastAsia" w:ascii="宋体" w:hAnsi="宋体" w:eastAsia="宋体" w:cs="宋体"/>
          <w:color w:val="000000" w:themeColor="text1"/>
          <w:sz w:val="24"/>
          <w:szCs w:val="24"/>
          <w:lang w:eastAsia="zh-CN"/>
          <w14:textFill>
            <w14:solidFill>
              <w14:schemeClr w14:val="tx1"/>
            </w14:solidFill>
          </w14:textFill>
        </w:rPr>
        <w:t>吐鲁番市水务投资发展集团有限公司</w:t>
      </w:r>
      <w:r>
        <w:rPr>
          <w:rFonts w:ascii="宋体" w:hAnsi="宋体" w:eastAsia="宋体" w:cs="宋体"/>
          <w:color w:val="000000" w:themeColor="text1"/>
          <w:sz w:val="24"/>
          <w:szCs w:val="24"/>
          <w14:textFill>
            <w14:solidFill>
              <w14:schemeClr w14:val="tx1"/>
            </w14:solidFill>
          </w14:textFill>
        </w:rPr>
        <w:t>；</w:t>
      </w:r>
    </w:p>
    <w:p w14:paraId="314FC7E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建设性质：改建；</w:t>
      </w:r>
    </w:p>
    <w:p w14:paraId="135102C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项目投资及资金来源：本工程总投资</w:t>
      </w:r>
      <w:r>
        <w:rPr>
          <w:rFonts w:hint="eastAsia" w:ascii="宋体" w:hAnsi="宋体" w:eastAsia="宋体" w:cs="宋体"/>
          <w:color w:val="000000" w:themeColor="text1"/>
          <w:sz w:val="24"/>
          <w:szCs w:val="24"/>
          <w:lang w:eastAsia="zh-CN"/>
          <w14:textFill>
            <w14:solidFill>
              <w14:schemeClr w14:val="tx1"/>
            </w14:solidFill>
          </w14:textFill>
        </w:rPr>
        <w:t>100377.93</w:t>
      </w:r>
      <w:r>
        <w:rPr>
          <w:rFonts w:hint="eastAsia" w:ascii="宋体" w:hAnsi="宋体" w:eastAsia="宋体" w:cs="宋体"/>
          <w:color w:val="000000" w:themeColor="text1"/>
          <w:sz w:val="24"/>
          <w:szCs w:val="24"/>
          <w14:textFill>
            <w14:solidFill>
              <w14:schemeClr w14:val="tx1"/>
            </w14:solidFill>
          </w14:textFill>
        </w:rPr>
        <w:t>万元，资金来源为中央预算内投资和地方配套；</w:t>
      </w:r>
    </w:p>
    <w:p w14:paraId="63475F9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宋体" w:hAnsi="宋体" w:eastAsia="宋体" w:cs="宋体"/>
          <w:color w:val="000000" w:themeColor="text1"/>
          <w:sz w:val="24"/>
          <w:szCs w:val="24"/>
          <w:lang w:val="en-US"/>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建设周期：</w:t>
      </w:r>
      <w:r>
        <w:rPr>
          <w:rFonts w:hint="eastAsia" w:ascii="宋体" w:hAnsi="宋体" w:eastAsia="宋体" w:cs="宋体"/>
          <w:color w:val="000000" w:themeColor="text1"/>
          <w:sz w:val="24"/>
          <w:szCs w:val="24"/>
          <w14:textFill>
            <w14:solidFill>
              <w14:schemeClr w14:val="tx1"/>
            </w14:solidFill>
          </w14:textFill>
        </w:rPr>
        <w:t>艾丁湖生态保护治理项目（二期）</w:t>
      </w:r>
      <w:r>
        <w:rPr>
          <w:rFonts w:hint="eastAsia" w:ascii="宋体" w:hAnsi="宋体" w:eastAsia="宋体" w:cs="宋体"/>
          <w:color w:val="000000" w:themeColor="text1"/>
          <w:sz w:val="24"/>
          <w:szCs w:val="24"/>
          <w:lang w:val="en-US" w:eastAsia="zh-CN"/>
          <w14:textFill>
            <w14:solidFill>
              <w14:schemeClr w14:val="tx1"/>
            </w14:solidFill>
          </w14:textFill>
        </w:rPr>
        <w:t>计划分三年实施，总工期32个月。</w:t>
      </w:r>
    </w:p>
    <w:p w14:paraId="43936C5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建设地点：项目位于新疆维吾尔自治区</w:t>
      </w:r>
      <w:r>
        <w:rPr>
          <w:rFonts w:hint="eastAsia" w:ascii="宋体" w:hAnsi="宋体" w:eastAsia="宋体" w:cs="宋体"/>
          <w:color w:val="000000" w:themeColor="text1"/>
          <w:sz w:val="24"/>
          <w:szCs w:val="24"/>
          <w:lang w:eastAsia="zh-CN"/>
          <w14:textFill>
            <w14:solidFill>
              <w14:schemeClr w14:val="tx1"/>
            </w14:solidFill>
          </w14:textFill>
        </w:rPr>
        <w:t>吐鲁番市高昌区、鄯善县、托克逊县</w:t>
      </w:r>
      <w:r>
        <w:rPr>
          <w:rFonts w:ascii="宋体" w:hAnsi="宋体" w:eastAsia="宋体" w:cs="宋体"/>
          <w:color w:val="000000" w:themeColor="text1"/>
          <w:sz w:val="24"/>
          <w:szCs w:val="24"/>
          <w14:textFill>
            <w14:solidFill>
              <w14:schemeClr w14:val="tx1"/>
            </w14:solidFill>
          </w14:textFill>
        </w:rPr>
        <w:t>；</w:t>
      </w:r>
    </w:p>
    <w:p w14:paraId="18F9BA4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建设内容：</w:t>
      </w:r>
      <w:r>
        <w:rPr>
          <w:rFonts w:hint="eastAsia" w:ascii="宋体" w:hAnsi="宋体" w:eastAsia="宋体" w:cs="宋体"/>
          <w:color w:val="000000" w:themeColor="text1"/>
          <w:sz w:val="24"/>
          <w:szCs w:val="24"/>
          <w14:textFill>
            <w14:solidFill>
              <w14:schemeClr w14:val="tx1"/>
            </w14:solidFill>
          </w14:textFill>
        </w:rPr>
        <w:t>本项目建设内容主要包括3个方面:</w:t>
      </w:r>
    </w:p>
    <w:p w14:paraId="7C9E81DB">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 w:line="360" w:lineRule="auto"/>
        <w:ind w:left="33" w:firstLine="484" w:firstLineChars="200"/>
        <w:textAlignment w:val="baseline"/>
        <w:rPr>
          <w:rFonts w:hint="eastAsia" w:ascii="宋体" w:hAnsi="宋体" w:eastAsia="宋体" w:cs="宋体"/>
          <w:color w:val="000000" w:themeColor="text1"/>
          <w:spacing w:val="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水资源配置工程:本工程主要包含6个子工程，①高昌区黑沟至煤窑沟河引水工程，该工程主要建设地点在高昌区，主要为引黑沟渠首冬闲水，提高地表水利用，管道长度 22km，采用 DN600 球墨铸铁管。②高昌区木头沟至艾丁湖引水工程，该工程建设地点在高昌区，主要引火焰山渠首处冬闲水至艾丁湖生态区，管道长度 23km，采用DN700玻璃钢管，修建10km土渠。③托克逊县阿拉沟至白杨河引水工程，该工程建设地点在托克逊县，主要建设任务为改造输水渠道15km并沿程配套附属建筑物。④高昌区坎儿井保护工程，对艾丁湖生态区高昌区各乡镇改造加固56条坎儿井，并利用冬闲水对地下水进行回补。⑤鄯善县坎儿井保护工程，对艾丁湖生态区鄯善县各乡镇改造加固21条坎儿井，并利用冬闲水对地下水进行回补。⑥托克逊县坎儿井保护工程，对艾丁湖生态区托克逊县各乡镇改造加固22条坎儿井，并利用冬闲水对地下水进行回补</w:t>
      </w:r>
      <w:r>
        <w:rPr>
          <w:rFonts w:hint="eastAsia" w:ascii="宋体" w:hAnsi="宋体" w:eastAsia="宋体" w:cs="宋体"/>
          <w:color w:val="000000" w:themeColor="text1"/>
          <w:spacing w:val="1"/>
          <w:sz w:val="24"/>
          <w:szCs w:val="24"/>
          <w:lang w:eastAsia="zh-CN"/>
          <w14:textFill>
            <w14:solidFill>
              <w14:schemeClr w14:val="tx1"/>
            </w14:solidFill>
          </w14:textFill>
        </w:rPr>
        <w:t>。</w:t>
      </w:r>
    </w:p>
    <w:p w14:paraId="7B98A16D">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 w:line="360" w:lineRule="auto"/>
        <w:ind w:left="33" w:firstLine="484" w:firstLineChars="200"/>
        <w:textAlignment w:val="baseline"/>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节水工程:本工程主要包含5个子工程，①阿拉沟大型灌区配套改造该工程项目区位于托克逊县，主要对灌区内干、支渠道107.82km 及附属建筑物等进行改造。②高昌区农田防渗渠改造及渠系配套工程，该工程项目区位于高昌区,主要对艾丁湖生态区高昌区各乡镇184.0km 渠道及附属建筑物建进行改造。③鄯善县农田防渗渠改造及渠系配套工程，该工程项目区位于鄯善县，主要对艾丁湖生态区鄯善县各乡镇416.88km 渠道及附属建筑物建进行改造。④托克逊县农田防渗渠改造及渠系配套工程，该工程项目区位于托克逊县，主要对艾丁湖生态区托克逊县各乡镇103.0km渠道及附属建筑物建进行改造。⑤吐鲁番市水资源管理系统及计量设施工程，该工程项目区高昌区、鄯善县、托克逊县，主要建设任务为安装地下水、地表水计量设施1990处(高昌区740处、鄯善县500处、托克逊县 750处)。</w:t>
      </w:r>
    </w:p>
    <w:p w14:paraId="402DB5BE">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 w:line="360" w:lineRule="auto"/>
        <w:ind w:left="33" w:firstLine="484" w:firstLineChars="200"/>
        <w:textAlignment w:val="baseline"/>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生态环境保护工程:水源地保护工程，该工程项目区高昌区、鄯善县、托克逊县，对高昌区8处、鄯善县4处、托克逊县6处水源地修建防护栏和标识惮</w:t>
      </w:r>
      <w:r>
        <w:rPr>
          <w:rFonts w:ascii="宋体" w:hAnsi="宋体" w:eastAsia="宋体" w:cs="宋体"/>
          <w:color w:val="000000" w:themeColor="text1"/>
          <w:spacing w:val="-6"/>
          <w:sz w:val="24"/>
          <w:szCs w:val="24"/>
          <w14:textFill>
            <w14:solidFill>
              <w14:schemeClr w14:val="tx1"/>
            </w14:solidFill>
          </w14:textFill>
        </w:rPr>
        <w:t>。</w:t>
      </w:r>
    </w:p>
    <w:p w14:paraId="2246173B">
      <w:pPr>
        <w:spacing w:before="301" w:line="219" w:lineRule="auto"/>
        <w:ind w:left="133"/>
        <w:outlineLvl w:val="3"/>
        <w:rPr>
          <w:b/>
          <w:bCs/>
        </w:rPr>
      </w:pPr>
    </w:p>
    <w:p w14:paraId="06F60305">
      <w:pPr>
        <w:spacing w:before="301" w:line="219" w:lineRule="auto"/>
        <w:ind w:left="133"/>
        <w:outlineLvl w:val="3"/>
        <w:rPr>
          <w:b/>
          <w:bCs/>
        </w:rPr>
      </w:pPr>
    </w:p>
    <w:p w14:paraId="23567513">
      <w:pPr>
        <w:spacing w:before="301" w:line="219" w:lineRule="auto"/>
        <w:ind w:left="133"/>
        <w:outlineLvl w:val="3"/>
        <w:rPr>
          <w:b/>
          <w:bCs/>
        </w:rPr>
      </w:pPr>
    </w:p>
    <w:p w14:paraId="030230CC">
      <w:pPr>
        <w:spacing w:before="301" w:line="219" w:lineRule="auto"/>
        <w:ind w:left="133"/>
        <w:outlineLvl w:val="3"/>
        <w:rPr>
          <w:rFonts w:ascii="宋体" w:hAnsi="宋体" w:eastAsia="宋体" w:cs="宋体"/>
          <w:sz w:val="24"/>
          <w:szCs w:val="24"/>
        </w:rPr>
      </w:pPr>
      <w:r>
        <w:rPr>
          <w:b/>
          <w:bCs/>
        </w:rPr>
        <w:fldChar w:fldCharType="begin"/>
      </w:r>
      <w:r>
        <w:rPr>
          <w:b/>
          <w:bCs/>
        </w:rPr>
        <w:instrText xml:space="preserve"> HYPERLINK "3.2.1.3"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3.2.1.3</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工程规模及等级</w:t>
      </w:r>
    </w:p>
    <w:p w14:paraId="713F8F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工程等级:依据《水利水电工程等级划分及洪水标准》(SL252-2017)确定，即按艾丁湖在保护治理所涉及的吐鲁番市灌溉面积为167.97万亩，大于150万亩，确定本工程规模为大(1)型。</w:t>
      </w:r>
    </w:p>
    <w:p w14:paraId="3E07E9D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sectPr>
          <w:pgSz w:w="11906" w:h="16839"/>
          <w:pgMar w:top="1152" w:right="1333" w:bottom="1262" w:left="1418" w:header="882" w:footer="986" w:gutter="0"/>
          <w:pgBorders>
            <w:top w:val="none" w:sz="0" w:space="0"/>
            <w:left w:val="none" w:sz="0" w:space="0"/>
            <w:bottom w:val="none" w:sz="0" w:space="0"/>
            <w:right w:val="none" w:sz="0" w:space="0"/>
          </w:pgBorders>
          <w:pgNumType w:fmt="decimal" w:start="1"/>
          <w:cols w:space="720" w:num="1"/>
        </w:sectPr>
      </w:pPr>
      <w:r>
        <w:rPr>
          <w:rFonts w:hint="eastAsia" w:ascii="宋体" w:hAnsi="宋体" w:eastAsia="宋体" w:cs="宋体"/>
          <w:spacing w:val="-2"/>
          <w:sz w:val="24"/>
          <w:szCs w:val="24"/>
        </w:rPr>
        <w:t>艾丁湖生态保护治理项目(二期)项目子项目(12个子项目)多且规模大、中、小型都有,对项目整体规模不好界定,</w:t>
      </w:r>
      <w:r>
        <w:rPr>
          <w:rFonts w:hint="eastAsia" w:ascii="宋体" w:hAnsi="宋体" w:eastAsia="宋体" w:cs="宋体"/>
          <w:spacing w:val="-2"/>
          <w:sz w:val="24"/>
          <w:szCs w:val="24"/>
          <w:lang w:val="en-US" w:eastAsia="zh-CN"/>
        </w:rPr>
        <w:t>设计</w:t>
      </w:r>
      <w:r>
        <w:rPr>
          <w:rFonts w:hint="eastAsia" w:ascii="宋体" w:hAnsi="宋体" w:eastAsia="宋体" w:cs="宋体"/>
          <w:spacing w:val="-2"/>
          <w:sz w:val="24"/>
          <w:szCs w:val="24"/>
        </w:rPr>
        <w:t>对其子项目规模进行分析界定</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根据《水利水电工程等级划分及洪水标准》(SL252-2017)表3.0.1水利水电工程分等指标及《灌溉与排水工程设计标准》(GB50288-2018)表3.1.5灌溉渠道与排水沟道级别确定其规模。</w:t>
      </w:r>
    </w:p>
    <w:p w14:paraId="45E45A3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eastAsia" w:ascii="宋体" w:hAnsi="宋体" w:cs="宋体"/>
          <w:b/>
          <w:bCs/>
        </w:rPr>
      </w:pPr>
      <w:r>
        <w:rPr>
          <w:rFonts w:hint="eastAsia" w:ascii="宋体" w:hAnsi="宋体" w:cs="宋体"/>
          <w:b/>
          <w:bCs/>
        </w:rPr>
        <w:t>表</w:t>
      </w:r>
      <w:r>
        <w:rPr>
          <w:rFonts w:hint="eastAsia" w:ascii="宋体" w:hAnsi="宋体" w:cs="宋体"/>
          <w:b/>
          <w:bCs/>
          <w:lang w:val="en-US" w:eastAsia="zh-CN"/>
        </w:rPr>
        <w:t>3-2</w:t>
      </w:r>
      <w:r>
        <w:rPr>
          <w:rFonts w:hint="eastAsia" w:ascii="宋体" w:hAnsi="宋体" w:cs="宋体"/>
          <w:b/>
          <w:bCs/>
        </w:rPr>
        <w:t>-</w:t>
      </w:r>
      <w:r>
        <w:rPr>
          <w:rFonts w:hint="eastAsia" w:ascii="宋体" w:hAnsi="宋体" w:eastAsia="宋体" w:cs="宋体"/>
          <w:b/>
          <w:bCs/>
          <w:lang w:val="en-US" w:eastAsia="zh-CN"/>
        </w:rPr>
        <w:t xml:space="preserve">1  </w:t>
      </w:r>
      <w:r>
        <w:rPr>
          <w:rFonts w:hint="eastAsia" w:ascii="宋体" w:hAnsi="宋体" w:cs="宋体"/>
          <w:b/>
          <w:bCs/>
        </w:rPr>
        <w:t xml:space="preserve">  工程等别和标准汇总表</w:t>
      </w:r>
    </w:p>
    <w:tbl>
      <w:tblPr>
        <w:tblStyle w:val="1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39"/>
        <w:gridCol w:w="2675"/>
        <w:gridCol w:w="1418"/>
        <w:gridCol w:w="685"/>
        <w:gridCol w:w="6424"/>
        <w:gridCol w:w="709"/>
        <w:gridCol w:w="662"/>
        <w:gridCol w:w="794"/>
        <w:gridCol w:w="826"/>
      </w:tblGrid>
      <w:tr w14:paraId="7025D7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5" w:hRule="atLeast"/>
          <w:jc w:val="center"/>
        </w:trPr>
        <w:tc>
          <w:tcPr>
            <w:tcW w:w="150" w:type="pct"/>
            <w:tcBorders>
              <w:tl2br w:val="nil"/>
              <w:tr2bl w:val="nil"/>
            </w:tcBorders>
            <w:shd w:val="clear" w:color="auto" w:fill="auto"/>
            <w:vAlign w:val="center"/>
          </w:tcPr>
          <w:p w14:paraId="6871EB5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序号</w:t>
            </w:r>
          </w:p>
        </w:tc>
        <w:tc>
          <w:tcPr>
            <w:tcW w:w="913" w:type="pct"/>
            <w:tcBorders>
              <w:tl2br w:val="nil"/>
              <w:tr2bl w:val="nil"/>
            </w:tcBorders>
            <w:shd w:val="clear" w:color="auto" w:fill="auto"/>
            <w:vAlign w:val="center"/>
          </w:tcPr>
          <w:p w14:paraId="1D021DC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项目名称</w:t>
            </w:r>
          </w:p>
        </w:tc>
        <w:tc>
          <w:tcPr>
            <w:tcW w:w="484" w:type="pct"/>
            <w:tcBorders>
              <w:tl2br w:val="nil"/>
              <w:tr2bl w:val="nil"/>
            </w:tcBorders>
            <w:shd w:val="clear" w:color="auto" w:fill="auto"/>
            <w:vAlign w:val="center"/>
          </w:tcPr>
          <w:p w14:paraId="48F9BBD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建设地点</w:t>
            </w:r>
          </w:p>
        </w:tc>
        <w:tc>
          <w:tcPr>
            <w:tcW w:w="234" w:type="pct"/>
            <w:tcBorders>
              <w:tl2br w:val="nil"/>
              <w:tr2bl w:val="nil"/>
            </w:tcBorders>
            <w:shd w:val="clear" w:color="auto" w:fill="auto"/>
            <w:vAlign w:val="center"/>
          </w:tcPr>
          <w:p w14:paraId="45B96D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建设</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性质</w:t>
            </w:r>
          </w:p>
        </w:tc>
        <w:tc>
          <w:tcPr>
            <w:tcW w:w="2193" w:type="pct"/>
            <w:tcBorders>
              <w:tl2br w:val="nil"/>
              <w:tr2bl w:val="nil"/>
            </w:tcBorders>
            <w:shd w:val="clear" w:color="auto" w:fill="auto"/>
            <w:vAlign w:val="center"/>
          </w:tcPr>
          <w:p w14:paraId="50C002B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建设内容</w:t>
            </w:r>
          </w:p>
        </w:tc>
        <w:tc>
          <w:tcPr>
            <w:tcW w:w="242" w:type="pct"/>
            <w:tcBorders>
              <w:tl2br w:val="nil"/>
              <w:tr2bl w:val="nil"/>
            </w:tcBorders>
            <w:shd w:val="clear" w:color="auto" w:fill="auto"/>
            <w:vAlign w:val="center"/>
          </w:tcPr>
          <w:p w14:paraId="2964E49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灌溉面积</w:t>
            </w:r>
          </w:p>
        </w:tc>
        <w:tc>
          <w:tcPr>
            <w:tcW w:w="226" w:type="pct"/>
            <w:tcBorders>
              <w:tl2br w:val="nil"/>
              <w:tr2bl w:val="nil"/>
            </w:tcBorders>
            <w:shd w:val="clear" w:color="auto" w:fill="auto"/>
            <w:vAlign w:val="center"/>
          </w:tcPr>
          <w:p w14:paraId="1F9F41E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设计流量</w:t>
            </w:r>
          </w:p>
        </w:tc>
        <w:tc>
          <w:tcPr>
            <w:tcW w:w="271" w:type="pct"/>
            <w:tcBorders>
              <w:tl2br w:val="nil"/>
              <w:tr2bl w:val="nil"/>
            </w:tcBorders>
            <w:shd w:val="clear" w:color="auto" w:fill="auto"/>
            <w:vAlign w:val="center"/>
          </w:tcPr>
          <w:p w14:paraId="1D6561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规模</w:t>
            </w:r>
          </w:p>
        </w:tc>
        <w:tc>
          <w:tcPr>
            <w:tcW w:w="282" w:type="pct"/>
            <w:tcBorders>
              <w:tl2br w:val="nil"/>
              <w:tr2bl w:val="nil"/>
            </w:tcBorders>
            <w:shd w:val="clear" w:color="auto" w:fill="auto"/>
            <w:vAlign w:val="center"/>
          </w:tcPr>
          <w:p w14:paraId="1E8460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建筑物级别</w:t>
            </w:r>
          </w:p>
        </w:tc>
      </w:tr>
      <w:tr w14:paraId="140EF8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jc w:val="center"/>
        </w:trPr>
        <w:tc>
          <w:tcPr>
            <w:tcW w:w="150" w:type="pct"/>
            <w:tcBorders>
              <w:tl2br w:val="nil"/>
              <w:tr2bl w:val="nil"/>
            </w:tcBorders>
            <w:shd w:val="clear" w:color="auto" w:fill="auto"/>
            <w:vAlign w:val="center"/>
          </w:tcPr>
          <w:p w14:paraId="499C925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一</w:t>
            </w:r>
          </w:p>
        </w:tc>
        <w:tc>
          <w:tcPr>
            <w:tcW w:w="913" w:type="pct"/>
            <w:tcBorders>
              <w:tl2br w:val="nil"/>
              <w:tr2bl w:val="nil"/>
            </w:tcBorders>
            <w:shd w:val="clear" w:color="auto" w:fill="auto"/>
            <w:vAlign w:val="center"/>
          </w:tcPr>
          <w:p w14:paraId="332C4DC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水资源配置工程</w:t>
            </w:r>
          </w:p>
        </w:tc>
        <w:tc>
          <w:tcPr>
            <w:tcW w:w="484" w:type="pct"/>
            <w:tcBorders>
              <w:tl2br w:val="nil"/>
              <w:tr2bl w:val="nil"/>
            </w:tcBorders>
            <w:shd w:val="clear" w:color="auto" w:fill="auto"/>
            <w:vAlign w:val="center"/>
          </w:tcPr>
          <w:p w14:paraId="45E7990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34" w:type="pct"/>
            <w:tcBorders>
              <w:tl2br w:val="nil"/>
              <w:tr2bl w:val="nil"/>
            </w:tcBorders>
            <w:shd w:val="clear" w:color="auto" w:fill="auto"/>
            <w:vAlign w:val="center"/>
          </w:tcPr>
          <w:p w14:paraId="66D639A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193" w:type="pct"/>
            <w:tcBorders>
              <w:tl2br w:val="nil"/>
              <w:tr2bl w:val="nil"/>
            </w:tcBorders>
            <w:shd w:val="clear" w:color="auto" w:fill="auto"/>
            <w:vAlign w:val="center"/>
          </w:tcPr>
          <w:p w14:paraId="5CE8CCA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42" w:type="pct"/>
            <w:tcBorders>
              <w:tl2br w:val="nil"/>
              <w:tr2bl w:val="nil"/>
            </w:tcBorders>
            <w:shd w:val="clear" w:color="auto" w:fill="auto"/>
            <w:vAlign w:val="center"/>
          </w:tcPr>
          <w:p w14:paraId="392D20A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3298113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72293B5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82" w:type="pct"/>
            <w:tcBorders>
              <w:tl2br w:val="nil"/>
              <w:tr2bl w:val="nil"/>
            </w:tcBorders>
            <w:shd w:val="clear" w:color="auto" w:fill="auto"/>
            <w:vAlign w:val="center"/>
          </w:tcPr>
          <w:p w14:paraId="4C198CA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r>
      <w:tr w14:paraId="51AFD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jc w:val="center"/>
        </w:trPr>
        <w:tc>
          <w:tcPr>
            <w:tcW w:w="150" w:type="pct"/>
            <w:tcBorders>
              <w:tl2br w:val="nil"/>
              <w:tr2bl w:val="nil"/>
            </w:tcBorders>
            <w:shd w:val="clear" w:color="auto" w:fill="auto"/>
            <w:vAlign w:val="center"/>
          </w:tcPr>
          <w:p w14:paraId="295F310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w:t>
            </w:r>
          </w:p>
        </w:tc>
        <w:tc>
          <w:tcPr>
            <w:tcW w:w="913" w:type="pct"/>
            <w:tcBorders>
              <w:tl2br w:val="nil"/>
              <w:tr2bl w:val="nil"/>
            </w:tcBorders>
            <w:shd w:val="clear" w:color="auto" w:fill="auto"/>
            <w:vAlign w:val="center"/>
          </w:tcPr>
          <w:p w14:paraId="1F7A664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高吕区黑沟至煤窑沟河引水工程</w:t>
            </w:r>
          </w:p>
        </w:tc>
        <w:tc>
          <w:tcPr>
            <w:tcW w:w="484" w:type="pct"/>
            <w:tcBorders>
              <w:tl2br w:val="nil"/>
              <w:tr2bl w:val="nil"/>
            </w:tcBorders>
            <w:shd w:val="clear" w:color="auto" w:fill="auto"/>
            <w:vAlign w:val="center"/>
          </w:tcPr>
          <w:p w14:paraId="3322CC1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高吕区</w:t>
            </w:r>
          </w:p>
        </w:tc>
        <w:tc>
          <w:tcPr>
            <w:tcW w:w="234" w:type="pct"/>
            <w:tcBorders>
              <w:tl2br w:val="nil"/>
              <w:tr2bl w:val="nil"/>
            </w:tcBorders>
            <w:shd w:val="clear" w:color="auto" w:fill="auto"/>
            <w:vAlign w:val="center"/>
          </w:tcPr>
          <w:p w14:paraId="3F69C9B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新建</w:t>
            </w:r>
          </w:p>
        </w:tc>
        <w:tc>
          <w:tcPr>
            <w:tcW w:w="2193" w:type="pct"/>
            <w:tcBorders>
              <w:tl2br w:val="nil"/>
              <w:tr2bl w:val="nil"/>
            </w:tcBorders>
            <w:shd w:val="clear" w:color="auto" w:fill="auto"/>
            <w:vAlign w:val="center"/>
          </w:tcPr>
          <w:p w14:paraId="3CC6AE8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引冬闲水，设计流量0.38m3/s,管道长度22km,采用DN600球墨铸铁管</w:t>
            </w:r>
          </w:p>
        </w:tc>
        <w:tc>
          <w:tcPr>
            <w:tcW w:w="242" w:type="pct"/>
            <w:tcBorders>
              <w:tl2br w:val="nil"/>
              <w:tr2bl w:val="nil"/>
            </w:tcBorders>
            <w:shd w:val="clear" w:color="auto" w:fill="auto"/>
            <w:vAlign w:val="center"/>
          </w:tcPr>
          <w:p w14:paraId="5F33CD5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3099EEC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0.38</w:t>
            </w:r>
          </w:p>
        </w:tc>
        <w:tc>
          <w:tcPr>
            <w:tcW w:w="271" w:type="pct"/>
            <w:tcBorders>
              <w:tl2br w:val="nil"/>
              <w:tr2bl w:val="nil"/>
            </w:tcBorders>
            <w:shd w:val="clear" w:color="auto" w:fill="auto"/>
            <w:vAlign w:val="center"/>
          </w:tcPr>
          <w:p w14:paraId="0F4DD59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小(2)</w:t>
            </w:r>
          </w:p>
        </w:tc>
        <w:tc>
          <w:tcPr>
            <w:tcW w:w="282" w:type="pct"/>
            <w:tcBorders>
              <w:tl2br w:val="nil"/>
              <w:tr2bl w:val="nil"/>
            </w:tcBorders>
            <w:shd w:val="clear" w:color="auto" w:fill="auto"/>
            <w:vAlign w:val="center"/>
          </w:tcPr>
          <w:p w14:paraId="7DCD277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r>
      <w:tr w14:paraId="476CCC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jc w:val="center"/>
        </w:trPr>
        <w:tc>
          <w:tcPr>
            <w:tcW w:w="150" w:type="pct"/>
            <w:tcBorders>
              <w:tl2br w:val="nil"/>
              <w:tr2bl w:val="nil"/>
            </w:tcBorders>
            <w:shd w:val="clear" w:color="auto" w:fill="auto"/>
            <w:vAlign w:val="center"/>
          </w:tcPr>
          <w:p w14:paraId="5033113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2</w:t>
            </w:r>
          </w:p>
        </w:tc>
        <w:tc>
          <w:tcPr>
            <w:tcW w:w="913" w:type="pct"/>
            <w:tcBorders>
              <w:tl2br w:val="nil"/>
              <w:tr2bl w:val="nil"/>
            </w:tcBorders>
            <w:shd w:val="clear" w:color="auto" w:fill="auto"/>
            <w:vAlign w:val="center"/>
          </w:tcPr>
          <w:p w14:paraId="1B1455B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高昌区木头沟至艾丁湖引水工程</w:t>
            </w:r>
          </w:p>
        </w:tc>
        <w:tc>
          <w:tcPr>
            <w:tcW w:w="484" w:type="pct"/>
            <w:tcBorders>
              <w:tl2br w:val="nil"/>
              <w:tr2bl w:val="nil"/>
            </w:tcBorders>
            <w:shd w:val="clear" w:color="auto" w:fill="auto"/>
            <w:vAlign w:val="center"/>
          </w:tcPr>
          <w:p w14:paraId="6540F53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w:t>
            </w:r>
          </w:p>
        </w:tc>
        <w:tc>
          <w:tcPr>
            <w:tcW w:w="234" w:type="pct"/>
            <w:tcBorders>
              <w:tl2br w:val="nil"/>
              <w:tr2bl w:val="nil"/>
            </w:tcBorders>
            <w:shd w:val="clear" w:color="auto" w:fill="auto"/>
            <w:vAlign w:val="center"/>
          </w:tcPr>
          <w:p w14:paraId="306386E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新建</w:t>
            </w:r>
          </w:p>
        </w:tc>
        <w:tc>
          <w:tcPr>
            <w:tcW w:w="2193" w:type="pct"/>
            <w:tcBorders>
              <w:tl2br w:val="nil"/>
              <w:tr2bl w:val="nil"/>
            </w:tcBorders>
            <w:shd w:val="clear" w:color="auto" w:fill="auto"/>
            <w:vAlign w:val="center"/>
          </w:tcPr>
          <w:p w14:paraId="66B385E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引冬闲水，设计流量0.46m3/s,管道长度23km,采用DN700玻璃钢管，修建10km土渠，引至艾丁湖生态区</w:t>
            </w:r>
          </w:p>
        </w:tc>
        <w:tc>
          <w:tcPr>
            <w:tcW w:w="242" w:type="pct"/>
            <w:tcBorders>
              <w:tl2br w:val="nil"/>
              <w:tr2bl w:val="nil"/>
            </w:tcBorders>
            <w:shd w:val="clear" w:color="auto" w:fill="auto"/>
            <w:vAlign w:val="center"/>
          </w:tcPr>
          <w:p w14:paraId="5932D1D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08F732C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0.46</w:t>
            </w:r>
          </w:p>
        </w:tc>
        <w:tc>
          <w:tcPr>
            <w:tcW w:w="271" w:type="pct"/>
            <w:tcBorders>
              <w:tl2br w:val="nil"/>
              <w:tr2bl w:val="nil"/>
            </w:tcBorders>
            <w:shd w:val="clear" w:color="auto" w:fill="auto"/>
            <w:vAlign w:val="center"/>
          </w:tcPr>
          <w:p w14:paraId="60DF70C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小(2)</w:t>
            </w:r>
          </w:p>
        </w:tc>
        <w:tc>
          <w:tcPr>
            <w:tcW w:w="282" w:type="pct"/>
            <w:tcBorders>
              <w:tl2br w:val="nil"/>
              <w:tr2bl w:val="nil"/>
            </w:tcBorders>
            <w:shd w:val="clear" w:color="auto" w:fill="auto"/>
            <w:vAlign w:val="center"/>
          </w:tcPr>
          <w:p w14:paraId="0F2C43A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r>
      <w:tr w14:paraId="57835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jc w:val="center"/>
        </w:trPr>
        <w:tc>
          <w:tcPr>
            <w:tcW w:w="150" w:type="pct"/>
            <w:tcBorders>
              <w:tl2br w:val="nil"/>
              <w:tr2bl w:val="nil"/>
            </w:tcBorders>
            <w:shd w:val="clear" w:color="auto" w:fill="auto"/>
            <w:vAlign w:val="center"/>
          </w:tcPr>
          <w:p w14:paraId="2A8B835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3</w:t>
            </w:r>
          </w:p>
        </w:tc>
        <w:tc>
          <w:tcPr>
            <w:tcW w:w="913" w:type="pct"/>
            <w:tcBorders>
              <w:tl2br w:val="nil"/>
              <w:tr2bl w:val="nil"/>
            </w:tcBorders>
            <w:shd w:val="clear" w:color="auto" w:fill="auto"/>
            <w:vAlign w:val="center"/>
          </w:tcPr>
          <w:p w14:paraId="237A666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托克进县阿拉沟至白杨河引水工程</w:t>
            </w:r>
          </w:p>
        </w:tc>
        <w:tc>
          <w:tcPr>
            <w:tcW w:w="484" w:type="pct"/>
            <w:tcBorders>
              <w:tl2br w:val="nil"/>
              <w:tr2bl w:val="nil"/>
            </w:tcBorders>
            <w:shd w:val="clear" w:color="auto" w:fill="auto"/>
            <w:vAlign w:val="center"/>
          </w:tcPr>
          <w:p w14:paraId="79A1B9A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托克避县</w:t>
            </w:r>
          </w:p>
        </w:tc>
        <w:tc>
          <w:tcPr>
            <w:tcW w:w="234" w:type="pct"/>
            <w:tcBorders>
              <w:tl2br w:val="nil"/>
              <w:tr2bl w:val="nil"/>
            </w:tcBorders>
            <w:shd w:val="clear" w:color="auto" w:fill="auto"/>
            <w:vAlign w:val="center"/>
          </w:tcPr>
          <w:p w14:paraId="1C0552E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742BB3A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设计流量8m3/s,改建渠道15.0公里及其附属建筑物</w:t>
            </w:r>
          </w:p>
        </w:tc>
        <w:tc>
          <w:tcPr>
            <w:tcW w:w="242" w:type="pct"/>
            <w:tcBorders>
              <w:tl2br w:val="nil"/>
              <w:tr2bl w:val="nil"/>
            </w:tcBorders>
            <w:shd w:val="clear" w:color="auto" w:fill="auto"/>
            <w:vAlign w:val="center"/>
          </w:tcPr>
          <w:p w14:paraId="603A21C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10.15</w:t>
            </w:r>
          </w:p>
        </w:tc>
        <w:tc>
          <w:tcPr>
            <w:tcW w:w="226" w:type="pct"/>
            <w:tcBorders>
              <w:tl2br w:val="nil"/>
              <w:tr2bl w:val="nil"/>
            </w:tcBorders>
            <w:shd w:val="clear" w:color="auto" w:fill="auto"/>
            <w:vAlign w:val="center"/>
          </w:tcPr>
          <w:p w14:paraId="2C2E134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7E390AB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中型</w:t>
            </w:r>
          </w:p>
        </w:tc>
        <w:tc>
          <w:tcPr>
            <w:tcW w:w="282" w:type="pct"/>
            <w:tcBorders>
              <w:tl2br w:val="nil"/>
              <w:tr2bl w:val="nil"/>
            </w:tcBorders>
            <w:shd w:val="clear" w:color="auto" w:fill="auto"/>
            <w:vAlign w:val="center"/>
          </w:tcPr>
          <w:p w14:paraId="44266C3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w:t>
            </w:r>
          </w:p>
        </w:tc>
      </w:tr>
      <w:tr w14:paraId="0775BC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jc w:val="center"/>
        </w:trPr>
        <w:tc>
          <w:tcPr>
            <w:tcW w:w="150" w:type="pct"/>
            <w:tcBorders>
              <w:tl2br w:val="nil"/>
              <w:tr2bl w:val="nil"/>
            </w:tcBorders>
            <w:shd w:val="clear" w:color="auto" w:fill="auto"/>
            <w:vAlign w:val="center"/>
          </w:tcPr>
          <w:p w14:paraId="67DF0EA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w:t>
            </w:r>
          </w:p>
        </w:tc>
        <w:tc>
          <w:tcPr>
            <w:tcW w:w="913" w:type="pct"/>
            <w:tcBorders>
              <w:tl2br w:val="nil"/>
              <w:tr2bl w:val="nil"/>
            </w:tcBorders>
            <w:shd w:val="clear" w:color="auto" w:fill="auto"/>
            <w:vAlign w:val="center"/>
          </w:tcPr>
          <w:p w14:paraId="1494D10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高昌区坎儿井保护工程</w:t>
            </w:r>
          </w:p>
        </w:tc>
        <w:tc>
          <w:tcPr>
            <w:tcW w:w="484" w:type="pct"/>
            <w:tcBorders>
              <w:tl2br w:val="nil"/>
              <w:tr2bl w:val="nil"/>
            </w:tcBorders>
            <w:shd w:val="clear" w:color="auto" w:fill="auto"/>
            <w:vAlign w:val="center"/>
          </w:tcPr>
          <w:p w14:paraId="730AF03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w:t>
            </w:r>
          </w:p>
        </w:tc>
        <w:tc>
          <w:tcPr>
            <w:tcW w:w="234" w:type="pct"/>
            <w:tcBorders>
              <w:tl2br w:val="nil"/>
              <w:tr2bl w:val="nil"/>
            </w:tcBorders>
            <w:shd w:val="clear" w:color="auto" w:fill="auto"/>
            <w:vAlign w:val="center"/>
          </w:tcPr>
          <w:p w14:paraId="06DBA48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613FCA3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在艾丁湖生态区高昌区各乡镇改造加固56条坎儿井</w:t>
            </w:r>
          </w:p>
        </w:tc>
        <w:tc>
          <w:tcPr>
            <w:tcW w:w="242" w:type="pct"/>
            <w:tcBorders>
              <w:tl2br w:val="nil"/>
              <w:tr2bl w:val="nil"/>
            </w:tcBorders>
            <w:shd w:val="clear" w:color="auto" w:fill="auto"/>
            <w:vAlign w:val="center"/>
          </w:tcPr>
          <w:p w14:paraId="422A4BF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1A37037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2CCC080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小(2)</w:t>
            </w:r>
          </w:p>
        </w:tc>
        <w:tc>
          <w:tcPr>
            <w:tcW w:w="282" w:type="pct"/>
            <w:tcBorders>
              <w:tl2br w:val="nil"/>
              <w:tr2bl w:val="nil"/>
            </w:tcBorders>
            <w:shd w:val="clear" w:color="auto" w:fill="auto"/>
            <w:vAlign w:val="center"/>
          </w:tcPr>
          <w:p w14:paraId="6E01797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r>
      <w:tr w14:paraId="7EC182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jc w:val="center"/>
        </w:trPr>
        <w:tc>
          <w:tcPr>
            <w:tcW w:w="150" w:type="pct"/>
            <w:tcBorders>
              <w:tl2br w:val="nil"/>
              <w:tr2bl w:val="nil"/>
            </w:tcBorders>
            <w:shd w:val="clear" w:color="auto" w:fill="auto"/>
            <w:vAlign w:val="center"/>
          </w:tcPr>
          <w:p w14:paraId="595AC65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c>
          <w:tcPr>
            <w:tcW w:w="913" w:type="pct"/>
            <w:tcBorders>
              <w:tl2br w:val="nil"/>
              <w:tr2bl w:val="nil"/>
            </w:tcBorders>
            <w:shd w:val="clear" w:color="auto" w:fill="auto"/>
            <w:vAlign w:val="center"/>
          </w:tcPr>
          <w:p w14:paraId="2E28B1D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部善县坎儿井保护工程</w:t>
            </w:r>
          </w:p>
        </w:tc>
        <w:tc>
          <w:tcPr>
            <w:tcW w:w="484" w:type="pct"/>
            <w:tcBorders>
              <w:tl2br w:val="nil"/>
              <w:tr2bl w:val="nil"/>
            </w:tcBorders>
            <w:shd w:val="clear" w:color="auto" w:fill="auto"/>
            <w:vAlign w:val="center"/>
          </w:tcPr>
          <w:p w14:paraId="782EA58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部善县</w:t>
            </w:r>
          </w:p>
        </w:tc>
        <w:tc>
          <w:tcPr>
            <w:tcW w:w="234" w:type="pct"/>
            <w:tcBorders>
              <w:tl2br w:val="nil"/>
              <w:tr2bl w:val="nil"/>
            </w:tcBorders>
            <w:shd w:val="clear" w:color="auto" w:fill="auto"/>
            <w:vAlign w:val="center"/>
          </w:tcPr>
          <w:p w14:paraId="24E73C9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1BF9C5B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在艾丁湖生态区部善县各乡镇改造加固21条坎儿井</w:t>
            </w:r>
          </w:p>
        </w:tc>
        <w:tc>
          <w:tcPr>
            <w:tcW w:w="242" w:type="pct"/>
            <w:tcBorders>
              <w:tl2br w:val="nil"/>
              <w:tr2bl w:val="nil"/>
            </w:tcBorders>
            <w:shd w:val="clear" w:color="auto" w:fill="auto"/>
            <w:vAlign w:val="center"/>
          </w:tcPr>
          <w:p w14:paraId="5DF18D4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6BB9F31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3B611D9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小(2)</w:t>
            </w:r>
          </w:p>
        </w:tc>
        <w:tc>
          <w:tcPr>
            <w:tcW w:w="282" w:type="pct"/>
            <w:tcBorders>
              <w:tl2br w:val="nil"/>
              <w:tr2bl w:val="nil"/>
            </w:tcBorders>
            <w:shd w:val="clear" w:color="auto" w:fill="auto"/>
            <w:vAlign w:val="center"/>
          </w:tcPr>
          <w:p w14:paraId="13C419B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r>
      <w:tr w14:paraId="39550E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jc w:val="center"/>
        </w:trPr>
        <w:tc>
          <w:tcPr>
            <w:tcW w:w="150" w:type="pct"/>
            <w:tcBorders>
              <w:tl2br w:val="nil"/>
              <w:tr2bl w:val="nil"/>
            </w:tcBorders>
            <w:shd w:val="clear" w:color="auto" w:fill="auto"/>
            <w:vAlign w:val="center"/>
          </w:tcPr>
          <w:p w14:paraId="73844DE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6</w:t>
            </w:r>
          </w:p>
        </w:tc>
        <w:tc>
          <w:tcPr>
            <w:tcW w:w="913" w:type="pct"/>
            <w:tcBorders>
              <w:tl2br w:val="nil"/>
              <w:tr2bl w:val="nil"/>
            </w:tcBorders>
            <w:shd w:val="clear" w:color="auto" w:fill="auto"/>
            <w:vAlign w:val="center"/>
          </w:tcPr>
          <w:p w14:paraId="63E78E4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托克逊县坎儿井保护工程</w:t>
            </w:r>
          </w:p>
        </w:tc>
        <w:tc>
          <w:tcPr>
            <w:tcW w:w="484" w:type="pct"/>
            <w:tcBorders>
              <w:tl2br w:val="nil"/>
              <w:tr2bl w:val="nil"/>
            </w:tcBorders>
            <w:shd w:val="clear" w:color="auto" w:fill="auto"/>
            <w:vAlign w:val="center"/>
          </w:tcPr>
          <w:p w14:paraId="793BDF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托克避县</w:t>
            </w:r>
          </w:p>
        </w:tc>
        <w:tc>
          <w:tcPr>
            <w:tcW w:w="234" w:type="pct"/>
            <w:tcBorders>
              <w:tl2br w:val="nil"/>
              <w:tr2bl w:val="nil"/>
            </w:tcBorders>
            <w:shd w:val="clear" w:color="auto" w:fill="auto"/>
            <w:vAlign w:val="center"/>
          </w:tcPr>
          <w:p w14:paraId="45FE061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0E9EBEB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在艾丁湖生态区托克恐县各乡镇改造加固22条坎儿井</w:t>
            </w:r>
          </w:p>
        </w:tc>
        <w:tc>
          <w:tcPr>
            <w:tcW w:w="242" w:type="pct"/>
            <w:tcBorders>
              <w:tl2br w:val="nil"/>
              <w:tr2bl w:val="nil"/>
            </w:tcBorders>
            <w:shd w:val="clear" w:color="auto" w:fill="auto"/>
            <w:vAlign w:val="center"/>
          </w:tcPr>
          <w:p w14:paraId="3EA777F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4691127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3AB76DF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小(2)</w:t>
            </w:r>
          </w:p>
        </w:tc>
        <w:tc>
          <w:tcPr>
            <w:tcW w:w="282" w:type="pct"/>
            <w:tcBorders>
              <w:tl2br w:val="nil"/>
              <w:tr2bl w:val="nil"/>
            </w:tcBorders>
            <w:shd w:val="clear" w:color="auto" w:fill="auto"/>
            <w:vAlign w:val="center"/>
          </w:tcPr>
          <w:p w14:paraId="48538D6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r>
      <w:tr w14:paraId="5204D1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jc w:val="center"/>
        </w:trPr>
        <w:tc>
          <w:tcPr>
            <w:tcW w:w="150" w:type="pct"/>
            <w:tcBorders>
              <w:tl2br w:val="nil"/>
              <w:tr2bl w:val="nil"/>
            </w:tcBorders>
            <w:shd w:val="clear" w:color="auto" w:fill="auto"/>
            <w:vAlign w:val="center"/>
          </w:tcPr>
          <w:p w14:paraId="11815A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二</w:t>
            </w:r>
          </w:p>
        </w:tc>
        <w:tc>
          <w:tcPr>
            <w:tcW w:w="913" w:type="pct"/>
            <w:tcBorders>
              <w:tl2br w:val="nil"/>
              <w:tr2bl w:val="nil"/>
            </w:tcBorders>
            <w:shd w:val="clear" w:color="auto" w:fill="auto"/>
            <w:vAlign w:val="center"/>
          </w:tcPr>
          <w:p w14:paraId="353D0F1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节水工程</w:t>
            </w:r>
          </w:p>
        </w:tc>
        <w:tc>
          <w:tcPr>
            <w:tcW w:w="484" w:type="pct"/>
            <w:tcBorders>
              <w:tl2br w:val="nil"/>
              <w:tr2bl w:val="nil"/>
            </w:tcBorders>
            <w:shd w:val="clear" w:color="auto" w:fill="auto"/>
            <w:vAlign w:val="center"/>
          </w:tcPr>
          <w:p w14:paraId="6600E16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34" w:type="pct"/>
            <w:tcBorders>
              <w:tl2br w:val="nil"/>
              <w:tr2bl w:val="nil"/>
            </w:tcBorders>
            <w:shd w:val="clear" w:color="auto" w:fill="auto"/>
            <w:vAlign w:val="center"/>
          </w:tcPr>
          <w:p w14:paraId="35CC86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193" w:type="pct"/>
            <w:tcBorders>
              <w:tl2br w:val="nil"/>
              <w:tr2bl w:val="nil"/>
            </w:tcBorders>
            <w:shd w:val="clear" w:color="auto" w:fill="auto"/>
            <w:vAlign w:val="center"/>
          </w:tcPr>
          <w:p w14:paraId="7F1AB38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42" w:type="pct"/>
            <w:tcBorders>
              <w:tl2br w:val="nil"/>
              <w:tr2bl w:val="nil"/>
            </w:tcBorders>
            <w:shd w:val="clear" w:color="auto" w:fill="auto"/>
            <w:vAlign w:val="center"/>
          </w:tcPr>
          <w:p w14:paraId="2820F3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7010776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25EC89A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82" w:type="pct"/>
            <w:tcBorders>
              <w:tl2br w:val="nil"/>
              <w:tr2bl w:val="nil"/>
            </w:tcBorders>
            <w:shd w:val="clear" w:color="auto" w:fill="auto"/>
            <w:vAlign w:val="center"/>
          </w:tcPr>
          <w:p w14:paraId="432DC4E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r>
      <w:tr w14:paraId="3C5254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jc w:val="center"/>
        </w:trPr>
        <w:tc>
          <w:tcPr>
            <w:tcW w:w="150" w:type="pct"/>
            <w:tcBorders>
              <w:tl2br w:val="nil"/>
              <w:tr2bl w:val="nil"/>
            </w:tcBorders>
            <w:shd w:val="clear" w:color="auto" w:fill="auto"/>
            <w:vAlign w:val="center"/>
          </w:tcPr>
          <w:p w14:paraId="001FC58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w:t>
            </w:r>
          </w:p>
        </w:tc>
        <w:tc>
          <w:tcPr>
            <w:tcW w:w="913" w:type="pct"/>
            <w:tcBorders>
              <w:tl2br w:val="nil"/>
              <w:tr2bl w:val="nil"/>
            </w:tcBorders>
            <w:shd w:val="clear" w:color="auto" w:fill="auto"/>
            <w:vAlign w:val="center"/>
          </w:tcPr>
          <w:p w14:paraId="70C4439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阿拉沟大型灌区配套改造</w:t>
            </w:r>
          </w:p>
        </w:tc>
        <w:tc>
          <w:tcPr>
            <w:tcW w:w="484" w:type="pct"/>
            <w:tcBorders>
              <w:tl2br w:val="nil"/>
              <w:tr2bl w:val="nil"/>
            </w:tcBorders>
            <w:shd w:val="clear" w:color="auto" w:fill="auto"/>
            <w:vAlign w:val="center"/>
          </w:tcPr>
          <w:p w14:paraId="4CC3491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托克避县</w:t>
            </w:r>
          </w:p>
        </w:tc>
        <w:tc>
          <w:tcPr>
            <w:tcW w:w="234" w:type="pct"/>
            <w:tcBorders>
              <w:tl2br w:val="nil"/>
              <w:tr2bl w:val="nil"/>
            </w:tcBorders>
            <w:shd w:val="clear" w:color="auto" w:fill="auto"/>
            <w:vAlign w:val="center"/>
          </w:tcPr>
          <w:p w14:paraId="191189D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30B7AF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改造干、支渠道107.82km及附属建筑物等建设内容</w:t>
            </w:r>
          </w:p>
        </w:tc>
        <w:tc>
          <w:tcPr>
            <w:tcW w:w="242" w:type="pct"/>
            <w:tcBorders>
              <w:tl2br w:val="nil"/>
              <w:tr2bl w:val="nil"/>
            </w:tcBorders>
            <w:shd w:val="clear" w:color="auto" w:fill="auto"/>
            <w:vAlign w:val="center"/>
          </w:tcPr>
          <w:p w14:paraId="000A4CC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38</w:t>
            </w:r>
          </w:p>
        </w:tc>
        <w:tc>
          <w:tcPr>
            <w:tcW w:w="226" w:type="pct"/>
            <w:tcBorders>
              <w:tl2br w:val="nil"/>
              <w:tr2bl w:val="nil"/>
            </w:tcBorders>
            <w:shd w:val="clear" w:color="auto" w:fill="auto"/>
            <w:vAlign w:val="center"/>
          </w:tcPr>
          <w:p w14:paraId="787D7A6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07953A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大型</w:t>
            </w:r>
          </w:p>
        </w:tc>
        <w:tc>
          <w:tcPr>
            <w:tcW w:w="282" w:type="pct"/>
            <w:tcBorders>
              <w:tl2br w:val="nil"/>
              <w:tr2bl w:val="nil"/>
            </w:tcBorders>
            <w:shd w:val="clear" w:color="auto" w:fill="auto"/>
            <w:vAlign w:val="center"/>
          </w:tcPr>
          <w:p w14:paraId="5547D3F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3</w:t>
            </w:r>
          </w:p>
        </w:tc>
      </w:tr>
      <w:tr w14:paraId="7B58AA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jc w:val="center"/>
        </w:trPr>
        <w:tc>
          <w:tcPr>
            <w:tcW w:w="150" w:type="pct"/>
            <w:tcBorders>
              <w:tl2br w:val="nil"/>
              <w:tr2bl w:val="nil"/>
            </w:tcBorders>
            <w:shd w:val="clear" w:color="auto" w:fill="auto"/>
            <w:vAlign w:val="center"/>
          </w:tcPr>
          <w:p w14:paraId="33F2359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2</w:t>
            </w:r>
          </w:p>
        </w:tc>
        <w:tc>
          <w:tcPr>
            <w:tcW w:w="913" w:type="pct"/>
            <w:tcBorders>
              <w:tl2br w:val="nil"/>
              <w:tr2bl w:val="nil"/>
            </w:tcBorders>
            <w:shd w:val="clear" w:color="auto" w:fill="auto"/>
            <w:vAlign w:val="center"/>
          </w:tcPr>
          <w:p w14:paraId="2289E6A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高昌区农田防渗渠改造及渠系配套工程</w:t>
            </w:r>
          </w:p>
        </w:tc>
        <w:tc>
          <w:tcPr>
            <w:tcW w:w="484" w:type="pct"/>
            <w:tcBorders>
              <w:tl2br w:val="nil"/>
              <w:tr2bl w:val="nil"/>
            </w:tcBorders>
            <w:shd w:val="clear" w:color="auto" w:fill="auto"/>
            <w:vAlign w:val="center"/>
          </w:tcPr>
          <w:p w14:paraId="7CAD608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w:t>
            </w:r>
          </w:p>
        </w:tc>
        <w:tc>
          <w:tcPr>
            <w:tcW w:w="234" w:type="pct"/>
            <w:tcBorders>
              <w:tl2br w:val="nil"/>
              <w:tr2bl w:val="nil"/>
            </w:tcBorders>
            <w:shd w:val="clear" w:color="auto" w:fill="auto"/>
            <w:vAlign w:val="center"/>
          </w:tcPr>
          <w:p w14:paraId="0199A0D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30551C2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在艾丁湖生态区高吕区各乡镇改造184.0km渠道及附属建筑物</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集道设计流量为0.1m3/s-2.5m3/s</w:t>
            </w:r>
          </w:p>
        </w:tc>
        <w:tc>
          <w:tcPr>
            <w:tcW w:w="242" w:type="pct"/>
            <w:tcBorders>
              <w:tl2br w:val="nil"/>
              <w:tr2bl w:val="nil"/>
            </w:tcBorders>
            <w:shd w:val="clear" w:color="auto" w:fill="auto"/>
            <w:vAlign w:val="center"/>
          </w:tcPr>
          <w:p w14:paraId="1548CB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116</w:t>
            </w:r>
          </w:p>
        </w:tc>
        <w:tc>
          <w:tcPr>
            <w:tcW w:w="226" w:type="pct"/>
            <w:tcBorders>
              <w:tl2br w:val="nil"/>
              <w:tr2bl w:val="nil"/>
            </w:tcBorders>
            <w:shd w:val="clear" w:color="auto" w:fill="auto"/>
            <w:vAlign w:val="center"/>
          </w:tcPr>
          <w:p w14:paraId="6516DD1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2BF86D0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中型</w:t>
            </w:r>
          </w:p>
        </w:tc>
        <w:tc>
          <w:tcPr>
            <w:tcW w:w="282" w:type="pct"/>
            <w:tcBorders>
              <w:tl2br w:val="nil"/>
              <w:tr2bl w:val="nil"/>
            </w:tcBorders>
            <w:shd w:val="clear" w:color="auto" w:fill="auto"/>
            <w:vAlign w:val="center"/>
          </w:tcPr>
          <w:p w14:paraId="387202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w:t>
            </w:r>
          </w:p>
        </w:tc>
      </w:tr>
      <w:tr w14:paraId="449C2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jc w:val="center"/>
        </w:trPr>
        <w:tc>
          <w:tcPr>
            <w:tcW w:w="150" w:type="pct"/>
            <w:tcBorders>
              <w:tl2br w:val="nil"/>
              <w:tr2bl w:val="nil"/>
            </w:tcBorders>
            <w:shd w:val="clear" w:color="auto" w:fill="auto"/>
            <w:vAlign w:val="center"/>
          </w:tcPr>
          <w:p w14:paraId="1E16822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3</w:t>
            </w:r>
          </w:p>
        </w:tc>
        <w:tc>
          <w:tcPr>
            <w:tcW w:w="913" w:type="pct"/>
            <w:tcBorders>
              <w:tl2br w:val="nil"/>
              <w:tr2bl w:val="nil"/>
            </w:tcBorders>
            <w:shd w:val="clear" w:color="auto" w:fill="auto"/>
            <w:vAlign w:val="center"/>
          </w:tcPr>
          <w:p w14:paraId="0D9688E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部善县农田防渗渠改造及渠系配套工程</w:t>
            </w:r>
          </w:p>
        </w:tc>
        <w:tc>
          <w:tcPr>
            <w:tcW w:w="484" w:type="pct"/>
            <w:tcBorders>
              <w:tl2br w:val="nil"/>
              <w:tr2bl w:val="nil"/>
            </w:tcBorders>
            <w:shd w:val="clear" w:color="auto" w:fill="auto"/>
            <w:vAlign w:val="center"/>
          </w:tcPr>
          <w:p w14:paraId="0D1E3D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部善县</w:t>
            </w:r>
          </w:p>
        </w:tc>
        <w:tc>
          <w:tcPr>
            <w:tcW w:w="234" w:type="pct"/>
            <w:tcBorders>
              <w:tl2br w:val="nil"/>
              <w:tr2bl w:val="nil"/>
            </w:tcBorders>
            <w:shd w:val="clear" w:color="auto" w:fill="auto"/>
            <w:vAlign w:val="center"/>
          </w:tcPr>
          <w:p w14:paraId="0F49651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023E83F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在艾丁湖生态区部善县各乡镇改造416.88km渠道及附属建筑物</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梁道设计流量为0.1m3/g-10m3/s</w:t>
            </w:r>
          </w:p>
        </w:tc>
        <w:tc>
          <w:tcPr>
            <w:tcW w:w="242" w:type="pct"/>
            <w:tcBorders>
              <w:tl2br w:val="nil"/>
              <w:tr2bl w:val="nil"/>
            </w:tcBorders>
            <w:shd w:val="clear" w:color="auto" w:fill="auto"/>
            <w:vAlign w:val="center"/>
          </w:tcPr>
          <w:p w14:paraId="67A91B2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28.6</w:t>
            </w:r>
          </w:p>
        </w:tc>
        <w:tc>
          <w:tcPr>
            <w:tcW w:w="226" w:type="pct"/>
            <w:tcBorders>
              <w:tl2br w:val="nil"/>
              <w:tr2bl w:val="nil"/>
            </w:tcBorders>
            <w:shd w:val="clear" w:color="auto" w:fill="auto"/>
            <w:vAlign w:val="center"/>
          </w:tcPr>
          <w:p w14:paraId="7B23FCA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341714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中型</w:t>
            </w:r>
          </w:p>
        </w:tc>
        <w:tc>
          <w:tcPr>
            <w:tcW w:w="282" w:type="pct"/>
            <w:tcBorders>
              <w:tl2br w:val="nil"/>
              <w:tr2bl w:val="nil"/>
            </w:tcBorders>
            <w:shd w:val="clear" w:color="auto" w:fill="auto"/>
            <w:vAlign w:val="center"/>
          </w:tcPr>
          <w:p w14:paraId="1A0722E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w:t>
            </w:r>
          </w:p>
        </w:tc>
      </w:tr>
      <w:tr w14:paraId="242865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jc w:val="center"/>
        </w:trPr>
        <w:tc>
          <w:tcPr>
            <w:tcW w:w="150" w:type="pct"/>
            <w:tcBorders>
              <w:tl2br w:val="nil"/>
              <w:tr2bl w:val="nil"/>
            </w:tcBorders>
            <w:shd w:val="clear" w:color="auto" w:fill="auto"/>
            <w:vAlign w:val="center"/>
          </w:tcPr>
          <w:p w14:paraId="45DA7B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w:t>
            </w:r>
          </w:p>
        </w:tc>
        <w:tc>
          <w:tcPr>
            <w:tcW w:w="913" w:type="pct"/>
            <w:tcBorders>
              <w:tl2br w:val="nil"/>
              <w:tr2bl w:val="nil"/>
            </w:tcBorders>
            <w:shd w:val="clear" w:color="auto" w:fill="auto"/>
            <w:vAlign w:val="center"/>
          </w:tcPr>
          <w:p w14:paraId="04A24E0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托克逊县农田防渗梁改造及渠系配套工程</w:t>
            </w:r>
          </w:p>
        </w:tc>
        <w:tc>
          <w:tcPr>
            <w:tcW w:w="484" w:type="pct"/>
            <w:tcBorders>
              <w:tl2br w:val="nil"/>
              <w:tr2bl w:val="nil"/>
            </w:tcBorders>
            <w:shd w:val="clear" w:color="auto" w:fill="auto"/>
            <w:vAlign w:val="center"/>
          </w:tcPr>
          <w:p w14:paraId="246C56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托克避县</w:t>
            </w:r>
          </w:p>
        </w:tc>
        <w:tc>
          <w:tcPr>
            <w:tcW w:w="234" w:type="pct"/>
            <w:tcBorders>
              <w:tl2br w:val="nil"/>
              <w:tr2bl w:val="nil"/>
            </w:tcBorders>
            <w:shd w:val="clear" w:color="auto" w:fill="auto"/>
            <w:vAlign w:val="center"/>
          </w:tcPr>
          <w:p w14:paraId="5F3B694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改建</w:t>
            </w:r>
          </w:p>
        </w:tc>
        <w:tc>
          <w:tcPr>
            <w:tcW w:w="2193" w:type="pct"/>
            <w:tcBorders>
              <w:tl2br w:val="nil"/>
              <w:tr2bl w:val="nil"/>
            </w:tcBorders>
            <w:shd w:val="clear" w:color="auto" w:fill="auto"/>
            <w:vAlign w:val="center"/>
          </w:tcPr>
          <w:p w14:paraId="55E5B5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在艾丁湖生态区部善县各乡镇改造103.0km渠道及附属建筑物</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渠道设计流量为0.1m3/s-5m3/s</w:t>
            </w:r>
          </w:p>
        </w:tc>
        <w:tc>
          <w:tcPr>
            <w:tcW w:w="242" w:type="pct"/>
            <w:tcBorders>
              <w:tl2br w:val="nil"/>
              <w:tr2bl w:val="nil"/>
            </w:tcBorders>
            <w:shd w:val="clear" w:color="auto" w:fill="auto"/>
            <w:vAlign w:val="center"/>
          </w:tcPr>
          <w:p w14:paraId="266A9AE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6.17</w:t>
            </w:r>
          </w:p>
        </w:tc>
        <w:tc>
          <w:tcPr>
            <w:tcW w:w="226" w:type="pct"/>
            <w:tcBorders>
              <w:tl2br w:val="nil"/>
              <w:tr2bl w:val="nil"/>
            </w:tcBorders>
            <w:shd w:val="clear" w:color="auto" w:fill="auto"/>
            <w:vAlign w:val="center"/>
          </w:tcPr>
          <w:p w14:paraId="28753F9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35E96B8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中型</w:t>
            </w:r>
          </w:p>
        </w:tc>
        <w:tc>
          <w:tcPr>
            <w:tcW w:w="282" w:type="pct"/>
            <w:tcBorders>
              <w:tl2br w:val="nil"/>
              <w:tr2bl w:val="nil"/>
            </w:tcBorders>
            <w:shd w:val="clear" w:color="auto" w:fill="auto"/>
            <w:vAlign w:val="center"/>
          </w:tcPr>
          <w:p w14:paraId="51730F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w:t>
            </w:r>
          </w:p>
        </w:tc>
      </w:tr>
      <w:tr w14:paraId="59220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jc w:val="center"/>
        </w:trPr>
        <w:tc>
          <w:tcPr>
            <w:tcW w:w="150" w:type="pct"/>
            <w:tcBorders>
              <w:tl2br w:val="nil"/>
              <w:tr2bl w:val="nil"/>
            </w:tcBorders>
            <w:shd w:val="clear" w:color="auto" w:fill="auto"/>
            <w:vAlign w:val="center"/>
          </w:tcPr>
          <w:p w14:paraId="58991CE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w:t>
            </w:r>
          </w:p>
        </w:tc>
        <w:tc>
          <w:tcPr>
            <w:tcW w:w="913" w:type="pct"/>
            <w:tcBorders>
              <w:tl2br w:val="nil"/>
              <w:tr2bl w:val="nil"/>
            </w:tcBorders>
            <w:shd w:val="clear" w:color="auto" w:fill="auto"/>
            <w:vAlign w:val="center"/>
          </w:tcPr>
          <w:p w14:paraId="44327B5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吐鲁番市水资源管理系统及计量设施工程</w:t>
            </w:r>
          </w:p>
        </w:tc>
        <w:tc>
          <w:tcPr>
            <w:tcW w:w="484" w:type="pct"/>
            <w:tcBorders>
              <w:tl2br w:val="nil"/>
              <w:tr2bl w:val="nil"/>
            </w:tcBorders>
            <w:shd w:val="clear" w:color="auto" w:fill="auto"/>
            <w:vAlign w:val="center"/>
          </w:tcPr>
          <w:p w14:paraId="32CF280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高昌区 、</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部善县、托克逊县</w:t>
            </w:r>
          </w:p>
        </w:tc>
        <w:tc>
          <w:tcPr>
            <w:tcW w:w="234" w:type="pct"/>
            <w:tcBorders>
              <w:tl2br w:val="nil"/>
              <w:tr2bl w:val="nil"/>
            </w:tcBorders>
            <w:shd w:val="clear" w:color="auto" w:fill="auto"/>
            <w:vAlign w:val="center"/>
          </w:tcPr>
          <w:p w14:paraId="4F0E0A2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新建</w:t>
            </w:r>
          </w:p>
        </w:tc>
        <w:tc>
          <w:tcPr>
            <w:tcW w:w="2193" w:type="pct"/>
            <w:tcBorders>
              <w:tl2br w:val="nil"/>
              <w:tr2bl w:val="nil"/>
            </w:tcBorders>
            <w:shd w:val="clear" w:color="auto" w:fill="auto"/>
            <w:vAlign w:val="center"/>
          </w:tcPr>
          <w:p w14:paraId="68F4B31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计划安装地下水、地表水计量设施1990个</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(高品区740处、部善县500处、托克进县750处)</w:t>
            </w:r>
          </w:p>
        </w:tc>
        <w:tc>
          <w:tcPr>
            <w:tcW w:w="242" w:type="pct"/>
            <w:tcBorders>
              <w:tl2br w:val="nil"/>
              <w:tr2bl w:val="nil"/>
            </w:tcBorders>
            <w:shd w:val="clear" w:color="auto" w:fill="auto"/>
            <w:vAlign w:val="center"/>
          </w:tcPr>
          <w:p w14:paraId="64E2D2A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34DE2E1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5D402EA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82" w:type="pct"/>
            <w:tcBorders>
              <w:tl2br w:val="nil"/>
              <w:tr2bl w:val="nil"/>
            </w:tcBorders>
            <w:shd w:val="clear" w:color="auto" w:fill="auto"/>
            <w:vAlign w:val="center"/>
          </w:tcPr>
          <w:p w14:paraId="794BAE5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r>
      <w:tr w14:paraId="1F87D1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jc w:val="center"/>
        </w:trPr>
        <w:tc>
          <w:tcPr>
            <w:tcW w:w="150" w:type="pct"/>
            <w:tcBorders>
              <w:tl2br w:val="nil"/>
              <w:tr2bl w:val="nil"/>
            </w:tcBorders>
            <w:shd w:val="clear" w:color="auto" w:fill="auto"/>
            <w:vAlign w:val="center"/>
          </w:tcPr>
          <w:p w14:paraId="70923A8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三</w:t>
            </w:r>
          </w:p>
        </w:tc>
        <w:tc>
          <w:tcPr>
            <w:tcW w:w="913" w:type="pct"/>
            <w:tcBorders>
              <w:tl2br w:val="nil"/>
              <w:tr2bl w:val="nil"/>
            </w:tcBorders>
            <w:shd w:val="clear" w:color="auto" w:fill="auto"/>
            <w:vAlign w:val="center"/>
          </w:tcPr>
          <w:p w14:paraId="64CF24D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生态环境保护工程</w:t>
            </w:r>
          </w:p>
        </w:tc>
        <w:tc>
          <w:tcPr>
            <w:tcW w:w="484" w:type="pct"/>
            <w:tcBorders>
              <w:tl2br w:val="nil"/>
              <w:tr2bl w:val="nil"/>
            </w:tcBorders>
            <w:shd w:val="clear" w:color="auto" w:fill="auto"/>
            <w:vAlign w:val="center"/>
          </w:tcPr>
          <w:p w14:paraId="5C61067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34" w:type="pct"/>
            <w:tcBorders>
              <w:tl2br w:val="nil"/>
              <w:tr2bl w:val="nil"/>
            </w:tcBorders>
            <w:shd w:val="clear" w:color="auto" w:fill="auto"/>
            <w:vAlign w:val="center"/>
          </w:tcPr>
          <w:p w14:paraId="1A4788D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193" w:type="pct"/>
            <w:tcBorders>
              <w:tl2br w:val="nil"/>
              <w:tr2bl w:val="nil"/>
            </w:tcBorders>
            <w:shd w:val="clear" w:color="auto" w:fill="auto"/>
            <w:vAlign w:val="center"/>
          </w:tcPr>
          <w:p w14:paraId="54E06A9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42" w:type="pct"/>
            <w:tcBorders>
              <w:tl2br w:val="nil"/>
              <w:tr2bl w:val="nil"/>
            </w:tcBorders>
            <w:shd w:val="clear" w:color="auto" w:fill="auto"/>
            <w:vAlign w:val="center"/>
          </w:tcPr>
          <w:p w14:paraId="1F84292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2DCC67D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579B732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82" w:type="pct"/>
            <w:tcBorders>
              <w:tl2br w:val="nil"/>
              <w:tr2bl w:val="nil"/>
            </w:tcBorders>
            <w:shd w:val="clear" w:color="auto" w:fill="auto"/>
            <w:vAlign w:val="center"/>
          </w:tcPr>
          <w:p w14:paraId="56BB3D2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r>
      <w:tr w14:paraId="26F317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5" w:hRule="atLeast"/>
          <w:jc w:val="center"/>
        </w:trPr>
        <w:tc>
          <w:tcPr>
            <w:tcW w:w="150" w:type="pct"/>
            <w:tcBorders>
              <w:tl2br w:val="nil"/>
              <w:tr2bl w:val="nil"/>
            </w:tcBorders>
            <w:shd w:val="clear" w:color="auto" w:fill="auto"/>
            <w:vAlign w:val="center"/>
          </w:tcPr>
          <w:p w14:paraId="5E098D0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w:t>
            </w:r>
          </w:p>
        </w:tc>
        <w:tc>
          <w:tcPr>
            <w:tcW w:w="913" w:type="pct"/>
            <w:tcBorders>
              <w:tl2br w:val="nil"/>
              <w:tr2bl w:val="nil"/>
            </w:tcBorders>
            <w:shd w:val="clear" w:color="auto" w:fill="auto"/>
            <w:vAlign w:val="center"/>
          </w:tcPr>
          <w:p w14:paraId="00FC6EE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水源地保护工程</w:t>
            </w:r>
          </w:p>
        </w:tc>
        <w:tc>
          <w:tcPr>
            <w:tcW w:w="484" w:type="pct"/>
            <w:tcBorders>
              <w:tl2br w:val="nil"/>
              <w:tr2bl w:val="nil"/>
            </w:tcBorders>
            <w:shd w:val="clear" w:color="auto" w:fill="auto"/>
            <w:vAlign w:val="center"/>
          </w:tcPr>
          <w:p w14:paraId="1F10E00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高吕区、部善县</w:t>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br w:type="textWrapping"/>
            </w:r>
            <w:r>
              <w:rPr>
                <w:rFonts w:hint="default" w:ascii="Times New Roman" w:hAnsi="Times New Roman" w:eastAsia="宋体" w:cs="Times New Roman"/>
                <w:sz w:val="20"/>
                <w:szCs w:val="20"/>
                <w:lang w:val="en-US" w:eastAsia="zh-CN"/>
              </w:rPr>
              <w:t>托克逊县</w:t>
            </w:r>
          </w:p>
        </w:tc>
        <w:tc>
          <w:tcPr>
            <w:tcW w:w="234" w:type="pct"/>
            <w:tcBorders>
              <w:tl2br w:val="nil"/>
              <w:tr2bl w:val="nil"/>
            </w:tcBorders>
            <w:shd w:val="clear" w:color="auto" w:fill="auto"/>
            <w:vAlign w:val="center"/>
          </w:tcPr>
          <w:p w14:paraId="765AF55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新建</w:t>
            </w:r>
          </w:p>
        </w:tc>
        <w:tc>
          <w:tcPr>
            <w:tcW w:w="2193" w:type="pct"/>
            <w:tcBorders>
              <w:tl2br w:val="nil"/>
              <w:tr2bl w:val="nil"/>
            </w:tcBorders>
            <w:shd w:val="clear" w:color="auto" w:fill="auto"/>
            <w:vAlign w:val="center"/>
          </w:tcPr>
          <w:p w14:paraId="4114B17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在高品区8处、部善县4处、托克迎县6处水源地修建防护栏和标识牌</w:t>
            </w:r>
          </w:p>
        </w:tc>
        <w:tc>
          <w:tcPr>
            <w:tcW w:w="242" w:type="pct"/>
            <w:tcBorders>
              <w:tl2br w:val="nil"/>
              <w:tr2bl w:val="nil"/>
            </w:tcBorders>
            <w:shd w:val="clear" w:color="auto" w:fill="auto"/>
            <w:vAlign w:val="center"/>
          </w:tcPr>
          <w:p w14:paraId="138A099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26" w:type="pct"/>
            <w:tcBorders>
              <w:tl2br w:val="nil"/>
              <w:tr2bl w:val="nil"/>
            </w:tcBorders>
            <w:shd w:val="clear" w:color="auto" w:fill="auto"/>
            <w:vAlign w:val="center"/>
          </w:tcPr>
          <w:p w14:paraId="26CCA08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71" w:type="pct"/>
            <w:tcBorders>
              <w:tl2br w:val="nil"/>
              <w:tr2bl w:val="nil"/>
            </w:tcBorders>
            <w:shd w:val="clear" w:color="auto" w:fill="auto"/>
            <w:vAlign w:val="center"/>
          </w:tcPr>
          <w:p w14:paraId="0815F82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c>
          <w:tcPr>
            <w:tcW w:w="282" w:type="pct"/>
            <w:tcBorders>
              <w:tl2br w:val="nil"/>
              <w:tr2bl w:val="nil"/>
            </w:tcBorders>
            <w:shd w:val="clear" w:color="auto" w:fill="auto"/>
            <w:vAlign w:val="center"/>
          </w:tcPr>
          <w:p w14:paraId="28E50F4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0"/>
                <w:szCs w:val="20"/>
              </w:rPr>
            </w:pPr>
          </w:p>
        </w:tc>
      </w:tr>
    </w:tbl>
    <w:p w14:paraId="13BEC2C6">
      <w:pPr>
        <w:pStyle w:val="3"/>
        <w:spacing w:line="268" w:lineRule="auto"/>
        <w:sectPr>
          <w:pgSz w:w="16839" w:h="11906" w:orient="landscape"/>
          <w:pgMar w:top="1418" w:right="1152" w:bottom="1333" w:left="1262" w:header="882" w:footer="986" w:gutter="0"/>
          <w:pgBorders>
            <w:top w:val="none" w:sz="0" w:space="0"/>
            <w:left w:val="none" w:sz="0" w:space="0"/>
            <w:bottom w:val="none" w:sz="0" w:space="0"/>
            <w:right w:val="none" w:sz="0" w:space="0"/>
          </w:pgBorders>
          <w:pgNumType w:fmt="decimal"/>
          <w:cols w:space="720" w:num="1"/>
        </w:sectPr>
      </w:pPr>
    </w:p>
    <w:p w14:paraId="2CF90BFF">
      <w:pPr>
        <w:pStyle w:val="3"/>
        <w:spacing w:line="268" w:lineRule="auto"/>
      </w:pPr>
    </w:p>
    <w:p w14:paraId="09D078AB">
      <w:pPr>
        <w:spacing w:before="78" w:line="220" w:lineRule="auto"/>
        <w:ind w:left="136"/>
        <w:outlineLvl w:val="3"/>
        <w:rPr>
          <w:rFonts w:ascii="宋体" w:hAnsi="宋体" w:eastAsia="宋体" w:cs="宋体"/>
          <w:sz w:val="24"/>
          <w:szCs w:val="24"/>
        </w:rPr>
      </w:pPr>
      <w:r>
        <w:rPr>
          <w:b/>
          <w:bCs/>
        </w:rPr>
        <w:fldChar w:fldCharType="begin"/>
      </w:r>
      <w:r>
        <w:rPr>
          <w:b/>
          <w:bCs/>
        </w:rPr>
        <w:instrText xml:space="preserve"> HYPERLINK "3.2.1.4"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3.2.1.4</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工程主要设备</w:t>
      </w:r>
    </w:p>
    <w:p w14:paraId="45192C56">
      <w:pPr>
        <w:spacing w:before="179" w:line="360" w:lineRule="auto"/>
        <w:ind w:left="613"/>
        <w:rPr>
          <w:rFonts w:ascii="宋体" w:hAnsi="宋体" w:eastAsia="宋体" w:cs="宋体"/>
          <w:sz w:val="24"/>
          <w:szCs w:val="24"/>
        </w:rPr>
      </w:pPr>
      <w:r>
        <w:rPr>
          <w:rFonts w:ascii="宋体" w:hAnsi="宋体" w:eastAsia="宋体" w:cs="宋体"/>
          <w:spacing w:val="-2"/>
          <w:sz w:val="24"/>
          <w:szCs w:val="24"/>
        </w:rPr>
        <w:t>本工程施工主要设备见表</w:t>
      </w:r>
      <w:r>
        <w:rPr>
          <w:rFonts w:ascii="宋体" w:hAnsi="宋体" w:eastAsia="宋体" w:cs="宋体"/>
          <w:spacing w:val="-38"/>
          <w:sz w:val="24"/>
          <w:szCs w:val="24"/>
        </w:rPr>
        <w:t xml:space="preserve"> </w:t>
      </w:r>
      <w:r>
        <w:rPr>
          <w:rFonts w:ascii="宋体" w:hAnsi="宋体" w:eastAsia="宋体" w:cs="宋体"/>
          <w:spacing w:val="-2"/>
          <w:sz w:val="24"/>
          <w:szCs w:val="24"/>
        </w:rPr>
        <w:t>3-2-</w:t>
      </w: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w:t>
      </w:r>
    </w:p>
    <w:p w14:paraId="375C91D6">
      <w:pPr>
        <w:spacing w:before="183" w:line="213" w:lineRule="auto"/>
        <w:ind w:left="133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2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3-2-</w:t>
      </w: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2</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主要施工机械汇总表</w:t>
      </w:r>
    </w:p>
    <w:tbl>
      <w:tblPr>
        <w:tblStyle w:val="14"/>
        <w:tblW w:w="4998"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274"/>
        <w:gridCol w:w="3015"/>
        <w:gridCol w:w="2139"/>
        <w:gridCol w:w="2153"/>
      </w:tblGrid>
      <w:tr w14:paraId="059B3970">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742" w:type="pct"/>
            <w:tcBorders>
              <w:tl2br w:val="nil"/>
              <w:tr2bl w:val="nil"/>
            </w:tcBorders>
            <w:vAlign w:val="top"/>
          </w:tcPr>
          <w:p w14:paraId="6067781C">
            <w:pPr>
              <w:pStyle w:val="15"/>
              <w:spacing w:before="79" w:line="220" w:lineRule="auto"/>
              <w:ind w:left="469"/>
              <w:outlineLvl w:val="2"/>
            </w:pPr>
            <w:r>
              <w:rPr>
                <w:spacing w:val="5"/>
              </w:rPr>
              <w:t>序号</w:t>
            </w:r>
          </w:p>
        </w:tc>
        <w:tc>
          <w:tcPr>
            <w:tcW w:w="1756" w:type="pct"/>
            <w:tcBorders>
              <w:tl2br w:val="nil"/>
              <w:tr2bl w:val="nil"/>
            </w:tcBorders>
            <w:vAlign w:val="top"/>
          </w:tcPr>
          <w:p w14:paraId="28E2BBF7">
            <w:pPr>
              <w:pStyle w:val="15"/>
              <w:spacing w:before="79" w:line="220" w:lineRule="auto"/>
              <w:ind w:left="1217"/>
              <w:outlineLvl w:val="2"/>
            </w:pPr>
            <w:r>
              <w:rPr>
                <w:spacing w:val="6"/>
              </w:rPr>
              <w:t>设备名称</w:t>
            </w:r>
          </w:p>
        </w:tc>
        <w:tc>
          <w:tcPr>
            <w:tcW w:w="1246" w:type="pct"/>
            <w:tcBorders>
              <w:tl2br w:val="nil"/>
              <w:tr2bl w:val="nil"/>
            </w:tcBorders>
            <w:vAlign w:val="top"/>
          </w:tcPr>
          <w:p w14:paraId="3FAF9755">
            <w:pPr>
              <w:pStyle w:val="15"/>
              <w:spacing w:before="79" w:line="220" w:lineRule="auto"/>
              <w:ind w:left="748"/>
              <w:outlineLvl w:val="2"/>
            </w:pPr>
            <w:r>
              <w:rPr>
                <w:spacing w:val="7"/>
              </w:rPr>
              <w:t>规格型号</w:t>
            </w:r>
          </w:p>
        </w:tc>
        <w:tc>
          <w:tcPr>
            <w:tcW w:w="1254" w:type="pct"/>
            <w:tcBorders>
              <w:tl2br w:val="nil"/>
              <w:tr2bl w:val="nil"/>
            </w:tcBorders>
            <w:vAlign w:val="top"/>
          </w:tcPr>
          <w:p w14:paraId="52C0657D">
            <w:pPr>
              <w:pStyle w:val="15"/>
              <w:spacing w:before="79" w:line="220" w:lineRule="auto"/>
              <w:ind w:left="545"/>
              <w:outlineLvl w:val="2"/>
            </w:pPr>
            <w:r>
              <w:rPr>
                <w:spacing w:val="7"/>
              </w:rPr>
              <w:t>数量(台、辆)</w:t>
            </w:r>
          </w:p>
        </w:tc>
      </w:tr>
      <w:tr w14:paraId="27991712">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615EC882">
            <w:pPr>
              <w:pStyle w:val="15"/>
              <w:spacing w:before="110" w:line="187" w:lineRule="auto"/>
              <w:ind w:left="644"/>
              <w:outlineLvl w:val="2"/>
            </w:pPr>
            <w:r>
              <w:t>1</w:t>
            </w:r>
          </w:p>
        </w:tc>
        <w:tc>
          <w:tcPr>
            <w:tcW w:w="1756" w:type="pct"/>
            <w:tcBorders>
              <w:tl2br w:val="nil"/>
              <w:tr2bl w:val="nil"/>
            </w:tcBorders>
            <w:vAlign w:val="top"/>
          </w:tcPr>
          <w:p w14:paraId="7F3A2528">
            <w:pPr>
              <w:pStyle w:val="15"/>
              <w:spacing w:before="77" w:line="217" w:lineRule="auto"/>
              <w:ind w:left="1318"/>
              <w:outlineLvl w:val="2"/>
            </w:pPr>
            <w:r>
              <w:rPr>
                <w:spacing w:val="7"/>
              </w:rPr>
              <w:t>挖掘机</w:t>
            </w:r>
          </w:p>
        </w:tc>
        <w:tc>
          <w:tcPr>
            <w:tcW w:w="1246" w:type="pct"/>
            <w:tcBorders>
              <w:tl2br w:val="nil"/>
              <w:tr2bl w:val="nil"/>
            </w:tcBorders>
            <w:vAlign w:val="top"/>
          </w:tcPr>
          <w:p w14:paraId="2B85FD6F">
            <w:pPr>
              <w:pStyle w:val="15"/>
              <w:spacing w:before="77" w:line="217" w:lineRule="auto"/>
              <w:ind w:left="1051"/>
              <w:outlineLvl w:val="2"/>
              <w:rPr>
                <w:sz w:val="10"/>
                <w:szCs w:val="10"/>
              </w:rPr>
            </w:pPr>
            <w:r>
              <w:rPr>
                <w:spacing w:val="-4"/>
              </w:rPr>
              <w:t>1m</w:t>
            </w:r>
            <w:r>
              <w:rPr>
                <w:spacing w:val="-4"/>
                <w:position w:val="9"/>
                <w:sz w:val="10"/>
                <w:szCs w:val="10"/>
              </w:rPr>
              <w:t>3</w:t>
            </w:r>
          </w:p>
        </w:tc>
        <w:tc>
          <w:tcPr>
            <w:tcW w:w="1254" w:type="pct"/>
            <w:tcBorders>
              <w:tl2br w:val="nil"/>
              <w:tr2bl w:val="nil"/>
            </w:tcBorders>
            <w:vAlign w:val="top"/>
          </w:tcPr>
          <w:p w14:paraId="2381070A">
            <w:pPr>
              <w:pStyle w:val="15"/>
              <w:spacing w:before="110" w:line="187" w:lineRule="auto"/>
              <w:ind w:left="1082"/>
              <w:outlineLvl w:val="2"/>
            </w:pPr>
            <w:r>
              <w:rPr>
                <w:spacing w:val="-7"/>
              </w:rPr>
              <w:t>14</w:t>
            </w:r>
          </w:p>
        </w:tc>
      </w:tr>
      <w:tr w14:paraId="4CCC668B">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7D210199">
            <w:pPr>
              <w:pStyle w:val="15"/>
              <w:spacing w:before="111" w:line="186" w:lineRule="auto"/>
              <w:ind w:left="631"/>
              <w:outlineLvl w:val="2"/>
            </w:pPr>
            <w:r>
              <w:t>2</w:t>
            </w:r>
          </w:p>
        </w:tc>
        <w:tc>
          <w:tcPr>
            <w:tcW w:w="1756" w:type="pct"/>
            <w:vMerge w:val="restart"/>
            <w:tcBorders>
              <w:tl2br w:val="nil"/>
              <w:tr2bl w:val="nil"/>
            </w:tcBorders>
            <w:vAlign w:val="top"/>
          </w:tcPr>
          <w:p w14:paraId="2D566DBF">
            <w:pPr>
              <w:spacing w:line="342" w:lineRule="auto"/>
              <w:rPr>
                <w:rFonts w:ascii="Arial"/>
                <w:sz w:val="21"/>
              </w:rPr>
            </w:pPr>
          </w:p>
          <w:p w14:paraId="63D8DDE8">
            <w:pPr>
              <w:pStyle w:val="15"/>
              <w:spacing w:before="65" w:line="228" w:lineRule="auto"/>
              <w:ind w:left="1248"/>
              <w:outlineLvl w:val="2"/>
            </w:pPr>
            <w:r>
              <w:rPr>
                <w:spacing w:val="-2"/>
              </w:rPr>
              <w:t>自卸汽车</w:t>
            </w:r>
          </w:p>
        </w:tc>
        <w:tc>
          <w:tcPr>
            <w:tcW w:w="1246" w:type="pct"/>
            <w:tcBorders>
              <w:tl2br w:val="nil"/>
              <w:tr2bl w:val="nil"/>
            </w:tcBorders>
            <w:vAlign w:val="top"/>
          </w:tcPr>
          <w:p w14:paraId="6DEBD8F8">
            <w:pPr>
              <w:pStyle w:val="15"/>
              <w:spacing w:before="79" w:line="216" w:lineRule="auto"/>
              <w:ind w:left="1063"/>
              <w:outlineLvl w:val="2"/>
            </w:pPr>
            <w:r>
              <w:t>8t</w:t>
            </w:r>
          </w:p>
        </w:tc>
        <w:tc>
          <w:tcPr>
            <w:tcW w:w="1254" w:type="pct"/>
            <w:tcBorders>
              <w:tl2br w:val="nil"/>
              <w:tr2bl w:val="nil"/>
            </w:tcBorders>
            <w:vAlign w:val="top"/>
          </w:tcPr>
          <w:p w14:paraId="71CB1753">
            <w:pPr>
              <w:pStyle w:val="15"/>
              <w:spacing w:before="111" w:line="186" w:lineRule="auto"/>
              <w:ind w:left="1082"/>
              <w:outlineLvl w:val="2"/>
            </w:pPr>
            <w:r>
              <w:rPr>
                <w:spacing w:val="-7"/>
              </w:rPr>
              <w:t>14</w:t>
            </w:r>
          </w:p>
        </w:tc>
      </w:tr>
      <w:tr w14:paraId="65ADFCE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5BD2B45B">
            <w:pPr>
              <w:pStyle w:val="15"/>
              <w:spacing w:before="114" w:line="183" w:lineRule="auto"/>
              <w:ind w:left="633"/>
              <w:outlineLvl w:val="2"/>
            </w:pPr>
            <w:r>
              <w:t>3</w:t>
            </w:r>
          </w:p>
        </w:tc>
        <w:tc>
          <w:tcPr>
            <w:tcW w:w="1756" w:type="pct"/>
            <w:vMerge w:val="continue"/>
            <w:tcBorders>
              <w:tl2br w:val="nil"/>
              <w:tr2bl w:val="nil"/>
            </w:tcBorders>
            <w:vAlign w:val="top"/>
          </w:tcPr>
          <w:p w14:paraId="389D8AE8">
            <w:pPr>
              <w:rPr>
                <w:rFonts w:ascii="Arial"/>
                <w:sz w:val="21"/>
              </w:rPr>
            </w:pPr>
          </w:p>
        </w:tc>
        <w:tc>
          <w:tcPr>
            <w:tcW w:w="1246" w:type="pct"/>
            <w:tcBorders>
              <w:tl2br w:val="nil"/>
              <w:tr2bl w:val="nil"/>
            </w:tcBorders>
            <w:vAlign w:val="top"/>
          </w:tcPr>
          <w:p w14:paraId="0990AFB9">
            <w:pPr>
              <w:pStyle w:val="15"/>
              <w:spacing w:before="82" w:line="213" w:lineRule="auto"/>
              <w:ind w:left="1025"/>
              <w:outlineLvl w:val="2"/>
            </w:pPr>
            <w:r>
              <w:rPr>
                <w:spacing w:val="-3"/>
              </w:rPr>
              <w:t>10t</w:t>
            </w:r>
          </w:p>
        </w:tc>
        <w:tc>
          <w:tcPr>
            <w:tcW w:w="1254" w:type="pct"/>
            <w:tcBorders>
              <w:tl2br w:val="nil"/>
              <w:tr2bl w:val="nil"/>
            </w:tcBorders>
            <w:vAlign w:val="top"/>
          </w:tcPr>
          <w:p w14:paraId="14485F7E">
            <w:pPr>
              <w:pStyle w:val="15"/>
              <w:spacing w:before="114" w:line="183" w:lineRule="auto"/>
              <w:ind w:left="1082"/>
              <w:outlineLvl w:val="2"/>
            </w:pPr>
            <w:r>
              <w:rPr>
                <w:spacing w:val="-7"/>
              </w:rPr>
              <w:t>14</w:t>
            </w:r>
          </w:p>
        </w:tc>
      </w:tr>
      <w:tr w14:paraId="5F2DF9F4">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79EF0698">
            <w:pPr>
              <w:pStyle w:val="15"/>
              <w:spacing w:before="115" w:line="182" w:lineRule="auto"/>
              <w:ind w:left="628"/>
              <w:outlineLvl w:val="2"/>
            </w:pPr>
            <w:r>
              <w:t>4</w:t>
            </w:r>
          </w:p>
        </w:tc>
        <w:tc>
          <w:tcPr>
            <w:tcW w:w="1756" w:type="pct"/>
            <w:vMerge w:val="continue"/>
            <w:tcBorders>
              <w:tl2br w:val="nil"/>
              <w:tr2bl w:val="nil"/>
            </w:tcBorders>
            <w:vAlign w:val="top"/>
          </w:tcPr>
          <w:p w14:paraId="7ECBCA05">
            <w:pPr>
              <w:rPr>
                <w:rFonts w:ascii="Arial"/>
                <w:sz w:val="21"/>
              </w:rPr>
            </w:pPr>
          </w:p>
        </w:tc>
        <w:tc>
          <w:tcPr>
            <w:tcW w:w="1246" w:type="pct"/>
            <w:tcBorders>
              <w:tl2br w:val="nil"/>
              <w:tr2bl w:val="nil"/>
            </w:tcBorders>
            <w:vAlign w:val="top"/>
          </w:tcPr>
          <w:p w14:paraId="2C2F0C37">
            <w:pPr>
              <w:pStyle w:val="15"/>
              <w:spacing w:before="83" w:line="212" w:lineRule="auto"/>
              <w:ind w:left="1025"/>
              <w:outlineLvl w:val="2"/>
            </w:pPr>
            <w:r>
              <w:rPr>
                <w:spacing w:val="-3"/>
              </w:rPr>
              <w:t>15t</w:t>
            </w:r>
          </w:p>
        </w:tc>
        <w:tc>
          <w:tcPr>
            <w:tcW w:w="1254" w:type="pct"/>
            <w:tcBorders>
              <w:tl2br w:val="nil"/>
              <w:tr2bl w:val="nil"/>
            </w:tcBorders>
            <w:vAlign w:val="top"/>
          </w:tcPr>
          <w:p w14:paraId="71175F9F">
            <w:pPr>
              <w:pStyle w:val="15"/>
              <w:spacing w:before="114" w:line="183" w:lineRule="auto"/>
              <w:ind w:left="1082"/>
            </w:pPr>
            <w:r>
              <w:rPr>
                <w:spacing w:val="-7"/>
              </w:rPr>
              <w:t>14</w:t>
            </w:r>
          </w:p>
        </w:tc>
      </w:tr>
      <w:tr w14:paraId="359541EC">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7BE2AC98">
            <w:pPr>
              <w:pStyle w:val="15"/>
              <w:spacing w:before="120" w:line="178" w:lineRule="auto"/>
              <w:ind w:left="633"/>
              <w:outlineLvl w:val="2"/>
            </w:pPr>
            <w:r>
              <w:t>5</w:t>
            </w:r>
          </w:p>
        </w:tc>
        <w:tc>
          <w:tcPr>
            <w:tcW w:w="1756" w:type="pct"/>
            <w:vMerge w:val="restart"/>
            <w:tcBorders>
              <w:tl2br w:val="nil"/>
              <w:tr2bl w:val="nil"/>
            </w:tcBorders>
            <w:vAlign w:val="top"/>
          </w:tcPr>
          <w:p w14:paraId="25588219">
            <w:pPr>
              <w:pStyle w:val="15"/>
              <w:spacing w:before="248" w:line="228" w:lineRule="auto"/>
              <w:ind w:left="1214"/>
              <w:outlineLvl w:val="2"/>
            </w:pPr>
            <w:r>
              <w:rPr>
                <w:spacing w:val="7"/>
              </w:rPr>
              <w:t>载重汽车</w:t>
            </w:r>
          </w:p>
        </w:tc>
        <w:tc>
          <w:tcPr>
            <w:tcW w:w="1246" w:type="pct"/>
            <w:tcBorders>
              <w:tl2br w:val="nil"/>
              <w:tr2bl w:val="nil"/>
            </w:tcBorders>
            <w:vAlign w:val="top"/>
          </w:tcPr>
          <w:p w14:paraId="4CF238FF">
            <w:pPr>
              <w:pStyle w:val="15"/>
              <w:spacing w:before="86" w:line="209" w:lineRule="auto"/>
              <w:ind w:left="1063"/>
              <w:outlineLvl w:val="2"/>
            </w:pPr>
            <w:r>
              <w:t>8t</w:t>
            </w:r>
          </w:p>
        </w:tc>
        <w:tc>
          <w:tcPr>
            <w:tcW w:w="1254" w:type="pct"/>
            <w:tcBorders>
              <w:tl2br w:val="nil"/>
              <w:tr2bl w:val="nil"/>
            </w:tcBorders>
            <w:vAlign w:val="top"/>
          </w:tcPr>
          <w:p w14:paraId="42FBF54F">
            <w:pPr>
              <w:pStyle w:val="15"/>
              <w:spacing w:before="119" w:line="179" w:lineRule="auto"/>
              <w:ind w:left="1069"/>
              <w:outlineLvl w:val="2"/>
            </w:pPr>
            <w:r>
              <w:rPr>
                <w:spacing w:val="-1"/>
              </w:rPr>
              <w:t>24</w:t>
            </w:r>
          </w:p>
        </w:tc>
      </w:tr>
      <w:tr w14:paraId="0C692E9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34713421">
            <w:pPr>
              <w:pStyle w:val="15"/>
              <w:spacing w:before="120" w:line="178" w:lineRule="auto"/>
              <w:ind w:left="630"/>
              <w:outlineLvl w:val="2"/>
            </w:pPr>
            <w:r>
              <w:t>6</w:t>
            </w:r>
          </w:p>
        </w:tc>
        <w:tc>
          <w:tcPr>
            <w:tcW w:w="1756" w:type="pct"/>
            <w:vMerge w:val="continue"/>
            <w:tcBorders>
              <w:tl2br w:val="nil"/>
              <w:tr2bl w:val="nil"/>
            </w:tcBorders>
            <w:vAlign w:val="top"/>
          </w:tcPr>
          <w:p w14:paraId="5AE0A135">
            <w:pPr>
              <w:rPr>
                <w:rFonts w:ascii="Arial"/>
                <w:sz w:val="21"/>
              </w:rPr>
            </w:pPr>
          </w:p>
        </w:tc>
        <w:tc>
          <w:tcPr>
            <w:tcW w:w="1246" w:type="pct"/>
            <w:tcBorders>
              <w:tl2br w:val="nil"/>
              <w:tr2bl w:val="nil"/>
            </w:tcBorders>
            <w:vAlign w:val="top"/>
          </w:tcPr>
          <w:p w14:paraId="790B2EA1">
            <w:pPr>
              <w:pStyle w:val="15"/>
              <w:spacing w:before="86" w:line="209" w:lineRule="auto"/>
              <w:ind w:left="1012"/>
              <w:outlineLvl w:val="2"/>
            </w:pPr>
            <w:r>
              <w:rPr>
                <w:spacing w:val="1"/>
              </w:rPr>
              <w:t>20t</w:t>
            </w:r>
          </w:p>
        </w:tc>
        <w:tc>
          <w:tcPr>
            <w:tcW w:w="1254" w:type="pct"/>
            <w:tcBorders>
              <w:tl2br w:val="nil"/>
              <w:tr2bl w:val="nil"/>
            </w:tcBorders>
            <w:vAlign w:val="top"/>
          </w:tcPr>
          <w:p w14:paraId="33E012E5">
            <w:pPr>
              <w:pStyle w:val="15"/>
              <w:spacing w:before="119" w:line="179" w:lineRule="auto"/>
              <w:ind w:left="1030"/>
              <w:outlineLvl w:val="2"/>
            </w:pPr>
            <w:r>
              <w:rPr>
                <w:spacing w:val="-3"/>
              </w:rPr>
              <w:t>114</w:t>
            </w:r>
          </w:p>
        </w:tc>
      </w:tr>
      <w:tr w14:paraId="1AC97C26">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2C9B2D6E">
            <w:pPr>
              <w:pStyle w:val="15"/>
              <w:spacing w:before="124" w:line="174" w:lineRule="auto"/>
              <w:ind w:left="634"/>
              <w:outlineLvl w:val="2"/>
            </w:pPr>
            <w:r>
              <w:t>7</w:t>
            </w:r>
          </w:p>
        </w:tc>
        <w:tc>
          <w:tcPr>
            <w:tcW w:w="1756" w:type="pct"/>
            <w:tcBorders>
              <w:tl2br w:val="nil"/>
              <w:tr2bl w:val="nil"/>
            </w:tcBorders>
            <w:vAlign w:val="top"/>
          </w:tcPr>
          <w:p w14:paraId="7410FDDC">
            <w:pPr>
              <w:pStyle w:val="15"/>
              <w:spacing w:before="89" w:line="206" w:lineRule="auto"/>
              <w:ind w:left="1319"/>
              <w:outlineLvl w:val="2"/>
            </w:pPr>
            <w:r>
              <w:rPr>
                <w:spacing w:val="6"/>
              </w:rPr>
              <w:t>推土机</w:t>
            </w:r>
          </w:p>
        </w:tc>
        <w:tc>
          <w:tcPr>
            <w:tcW w:w="1246" w:type="pct"/>
            <w:tcBorders>
              <w:tl2br w:val="nil"/>
              <w:tr2bl w:val="nil"/>
            </w:tcBorders>
            <w:vAlign w:val="top"/>
          </w:tcPr>
          <w:p w14:paraId="6B4928CC">
            <w:pPr>
              <w:pStyle w:val="15"/>
              <w:spacing w:before="89" w:line="206" w:lineRule="auto"/>
              <w:ind w:left="961"/>
              <w:outlineLvl w:val="2"/>
            </w:pPr>
            <w:r>
              <w:rPr>
                <w:spacing w:val="4"/>
              </w:rPr>
              <w:t>74</w:t>
            </w:r>
            <w:r>
              <w:t>kW</w:t>
            </w:r>
          </w:p>
        </w:tc>
        <w:tc>
          <w:tcPr>
            <w:tcW w:w="1254" w:type="pct"/>
            <w:tcBorders>
              <w:tl2br w:val="nil"/>
              <w:tr2bl w:val="nil"/>
            </w:tcBorders>
            <w:vAlign w:val="top"/>
          </w:tcPr>
          <w:p w14:paraId="068CA805">
            <w:pPr>
              <w:pStyle w:val="15"/>
              <w:spacing w:before="122" w:line="176" w:lineRule="auto"/>
              <w:ind w:left="1082"/>
              <w:outlineLvl w:val="2"/>
            </w:pPr>
            <w:r>
              <w:rPr>
                <w:spacing w:val="-7"/>
              </w:rPr>
              <w:t>17</w:t>
            </w:r>
          </w:p>
        </w:tc>
      </w:tr>
      <w:tr w14:paraId="6ABD4F04">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4ADF1F5D">
            <w:pPr>
              <w:pStyle w:val="15"/>
              <w:spacing w:before="123" w:line="175" w:lineRule="auto"/>
              <w:ind w:left="629"/>
              <w:outlineLvl w:val="2"/>
            </w:pPr>
            <w:r>
              <w:t>8</w:t>
            </w:r>
          </w:p>
        </w:tc>
        <w:tc>
          <w:tcPr>
            <w:tcW w:w="1756" w:type="pct"/>
            <w:tcBorders>
              <w:tl2br w:val="nil"/>
              <w:tr2bl w:val="nil"/>
            </w:tcBorders>
            <w:vAlign w:val="top"/>
          </w:tcPr>
          <w:p w14:paraId="200154C4">
            <w:pPr>
              <w:pStyle w:val="15"/>
              <w:spacing w:before="90" w:line="205" w:lineRule="auto"/>
              <w:ind w:left="1319"/>
            </w:pPr>
            <w:r>
              <w:rPr>
                <w:spacing w:val="6"/>
              </w:rPr>
              <w:t>推土机</w:t>
            </w:r>
          </w:p>
        </w:tc>
        <w:tc>
          <w:tcPr>
            <w:tcW w:w="1246" w:type="pct"/>
            <w:tcBorders>
              <w:tl2br w:val="nil"/>
              <w:tr2bl w:val="nil"/>
            </w:tcBorders>
            <w:vAlign w:val="top"/>
          </w:tcPr>
          <w:p w14:paraId="313CCA96">
            <w:pPr>
              <w:pStyle w:val="15"/>
              <w:spacing w:before="90" w:line="205" w:lineRule="auto"/>
              <w:ind w:left="919"/>
              <w:outlineLvl w:val="2"/>
            </w:pPr>
            <w:r>
              <w:t>118kW</w:t>
            </w:r>
          </w:p>
        </w:tc>
        <w:tc>
          <w:tcPr>
            <w:tcW w:w="1254" w:type="pct"/>
            <w:tcBorders>
              <w:tl2br w:val="nil"/>
              <w:tr2bl w:val="nil"/>
            </w:tcBorders>
            <w:vAlign w:val="top"/>
          </w:tcPr>
          <w:p w14:paraId="3C6CEF75">
            <w:pPr>
              <w:pStyle w:val="15"/>
              <w:spacing w:before="123" w:line="175" w:lineRule="auto"/>
              <w:ind w:left="1082"/>
            </w:pPr>
            <w:r>
              <w:rPr>
                <w:spacing w:val="-7"/>
              </w:rPr>
              <w:t>17</w:t>
            </w:r>
          </w:p>
        </w:tc>
      </w:tr>
      <w:tr w14:paraId="21F34FEF">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42" w:type="pct"/>
            <w:tcBorders>
              <w:tl2br w:val="nil"/>
              <w:tr2bl w:val="nil"/>
            </w:tcBorders>
            <w:vAlign w:val="top"/>
          </w:tcPr>
          <w:p w14:paraId="0669A1D4">
            <w:pPr>
              <w:pStyle w:val="15"/>
              <w:spacing w:before="126" w:line="172" w:lineRule="auto"/>
              <w:ind w:left="629"/>
              <w:outlineLvl w:val="2"/>
            </w:pPr>
            <w:r>
              <w:t>9</w:t>
            </w:r>
          </w:p>
        </w:tc>
        <w:tc>
          <w:tcPr>
            <w:tcW w:w="1756" w:type="pct"/>
            <w:tcBorders>
              <w:tl2br w:val="nil"/>
              <w:tr2bl w:val="nil"/>
            </w:tcBorders>
            <w:vAlign w:val="top"/>
          </w:tcPr>
          <w:p w14:paraId="430FBF8A">
            <w:pPr>
              <w:pStyle w:val="15"/>
              <w:spacing w:before="94" w:line="202" w:lineRule="auto"/>
              <w:ind w:left="1107"/>
              <w:outlineLvl w:val="2"/>
            </w:pPr>
            <w:r>
              <w:rPr>
                <w:spacing w:val="8"/>
              </w:rPr>
              <w:t>机动翻斗车</w:t>
            </w:r>
          </w:p>
        </w:tc>
        <w:tc>
          <w:tcPr>
            <w:tcW w:w="1246" w:type="pct"/>
            <w:tcBorders>
              <w:tl2br w:val="nil"/>
              <w:tr2bl w:val="nil"/>
            </w:tcBorders>
            <w:vAlign w:val="top"/>
          </w:tcPr>
          <w:p w14:paraId="1A2CE732">
            <w:pPr>
              <w:pStyle w:val="15"/>
              <w:spacing w:before="94" w:line="202" w:lineRule="auto"/>
              <w:ind w:left="1078"/>
              <w:outlineLvl w:val="2"/>
            </w:pPr>
            <w:r>
              <w:rPr>
                <w:spacing w:val="-7"/>
              </w:rPr>
              <w:t>1t</w:t>
            </w:r>
          </w:p>
        </w:tc>
        <w:tc>
          <w:tcPr>
            <w:tcW w:w="1254" w:type="pct"/>
            <w:tcBorders>
              <w:tl2br w:val="nil"/>
              <w:tr2bl w:val="nil"/>
            </w:tcBorders>
            <w:vAlign w:val="top"/>
          </w:tcPr>
          <w:p w14:paraId="66D84463">
            <w:pPr>
              <w:pStyle w:val="15"/>
              <w:spacing w:before="126" w:line="172" w:lineRule="auto"/>
              <w:ind w:left="1071"/>
              <w:outlineLvl w:val="2"/>
            </w:pPr>
            <w:r>
              <w:rPr>
                <w:spacing w:val="-2"/>
              </w:rPr>
              <w:t>38</w:t>
            </w:r>
          </w:p>
        </w:tc>
      </w:tr>
      <w:tr w14:paraId="086046F6">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l2br w:val="nil"/>
              <w:tr2bl w:val="nil"/>
            </w:tcBorders>
            <w:vAlign w:val="top"/>
          </w:tcPr>
          <w:p w14:paraId="681D9AD7">
            <w:pPr>
              <w:pStyle w:val="15"/>
              <w:spacing w:before="126" w:line="173" w:lineRule="auto"/>
              <w:ind w:left="591"/>
              <w:outlineLvl w:val="2"/>
            </w:pPr>
            <w:r>
              <w:rPr>
                <w:spacing w:val="-7"/>
              </w:rPr>
              <w:t>10</w:t>
            </w:r>
          </w:p>
        </w:tc>
        <w:tc>
          <w:tcPr>
            <w:tcW w:w="1756" w:type="pct"/>
            <w:tcBorders>
              <w:tl2br w:val="nil"/>
              <w:tr2bl w:val="nil"/>
            </w:tcBorders>
            <w:vAlign w:val="top"/>
          </w:tcPr>
          <w:p w14:paraId="711720D3">
            <w:pPr>
              <w:pStyle w:val="15"/>
              <w:spacing w:before="95" w:line="202" w:lineRule="auto"/>
              <w:ind w:left="1108"/>
              <w:outlineLvl w:val="2"/>
            </w:pPr>
            <w:r>
              <w:rPr>
                <w:spacing w:val="8"/>
              </w:rPr>
              <w:t>汽车起重机</w:t>
            </w:r>
          </w:p>
        </w:tc>
        <w:tc>
          <w:tcPr>
            <w:tcW w:w="1246" w:type="pct"/>
            <w:tcBorders>
              <w:tl2br w:val="nil"/>
              <w:tr2bl w:val="nil"/>
            </w:tcBorders>
            <w:vAlign w:val="top"/>
          </w:tcPr>
          <w:p w14:paraId="0350752C">
            <w:pPr>
              <w:pStyle w:val="15"/>
              <w:spacing w:before="95" w:line="202" w:lineRule="auto"/>
              <w:ind w:left="1013"/>
              <w:outlineLvl w:val="2"/>
            </w:pPr>
            <w:r>
              <w:rPr>
                <w:spacing w:val="1"/>
              </w:rPr>
              <w:t>50t</w:t>
            </w:r>
          </w:p>
        </w:tc>
        <w:tc>
          <w:tcPr>
            <w:tcW w:w="1254" w:type="pct"/>
            <w:tcBorders>
              <w:tl2br w:val="nil"/>
              <w:tr2bl w:val="nil"/>
            </w:tcBorders>
            <w:vAlign w:val="top"/>
          </w:tcPr>
          <w:p w14:paraId="5B1DC515">
            <w:pPr>
              <w:pStyle w:val="15"/>
              <w:spacing w:before="126" w:line="173" w:lineRule="auto"/>
              <w:ind w:left="1082"/>
              <w:outlineLvl w:val="2"/>
            </w:pPr>
            <w:r>
              <w:rPr>
                <w:spacing w:val="-7"/>
              </w:rPr>
              <w:t>13</w:t>
            </w:r>
          </w:p>
        </w:tc>
      </w:tr>
      <w:tr w14:paraId="0A6BEEB4">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l2br w:val="nil"/>
              <w:tr2bl w:val="nil"/>
            </w:tcBorders>
            <w:vAlign w:val="top"/>
          </w:tcPr>
          <w:p w14:paraId="76E57D6E">
            <w:pPr>
              <w:pStyle w:val="15"/>
              <w:spacing w:before="128" w:line="171" w:lineRule="auto"/>
              <w:ind w:left="591"/>
              <w:outlineLvl w:val="2"/>
            </w:pPr>
            <w:r>
              <w:rPr>
                <w:spacing w:val="-7"/>
              </w:rPr>
              <w:t>11</w:t>
            </w:r>
          </w:p>
        </w:tc>
        <w:tc>
          <w:tcPr>
            <w:tcW w:w="1756" w:type="pct"/>
            <w:tcBorders>
              <w:tl2br w:val="nil"/>
              <w:tr2bl w:val="nil"/>
            </w:tcBorders>
            <w:vAlign w:val="top"/>
          </w:tcPr>
          <w:p w14:paraId="28DBE1AF">
            <w:pPr>
              <w:pStyle w:val="15"/>
              <w:spacing w:before="97" w:line="200" w:lineRule="auto"/>
              <w:ind w:left="1005"/>
              <w:outlineLvl w:val="2"/>
            </w:pPr>
            <w:r>
              <w:rPr>
                <w:spacing w:val="7"/>
              </w:rPr>
              <w:t>混凝土搅拌机</w:t>
            </w:r>
          </w:p>
        </w:tc>
        <w:tc>
          <w:tcPr>
            <w:tcW w:w="1246" w:type="pct"/>
            <w:tcBorders>
              <w:tl2br w:val="nil"/>
              <w:tr2bl w:val="nil"/>
            </w:tcBorders>
            <w:vAlign w:val="top"/>
          </w:tcPr>
          <w:p w14:paraId="2C248CF1">
            <w:pPr>
              <w:pStyle w:val="15"/>
              <w:spacing w:before="96" w:line="201" w:lineRule="auto"/>
              <w:ind w:left="932"/>
              <w:outlineLvl w:val="2"/>
              <w:rPr>
                <w:sz w:val="10"/>
                <w:szCs w:val="10"/>
              </w:rPr>
            </w:pPr>
            <w:r>
              <w:rPr>
                <w:spacing w:val="2"/>
              </w:rPr>
              <w:t>0.8m</w:t>
            </w:r>
            <w:r>
              <w:rPr>
                <w:spacing w:val="2"/>
                <w:position w:val="9"/>
                <w:sz w:val="10"/>
                <w:szCs w:val="10"/>
              </w:rPr>
              <w:t>3</w:t>
            </w:r>
          </w:p>
        </w:tc>
        <w:tc>
          <w:tcPr>
            <w:tcW w:w="1254" w:type="pct"/>
            <w:tcBorders>
              <w:tl2br w:val="nil"/>
              <w:tr2bl w:val="nil"/>
            </w:tcBorders>
            <w:vAlign w:val="top"/>
          </w:tcPr>
          <w:p w14:paraId="0041958F">
            <w:pPr>
              <w:pStyle w:val="15"/>
              <w:spacing w:before="128" w:line="171" w:lineRule="auto"/>
              <w:ind w:left="1082"/>
              <w:outlineLvl w:val="2"/>
            </w:pPr>
            <w:r>
              <w:rPr>
                <w:spacing w:val="-7"/>
              </w:rPr>
              <w:t>14</w:t>
            </w:r>
          </w:p>
        </w:tc>
      </w:tr>
      <w:tr w14:paraId="6B23561D">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l2br w:val="nil"/>
              <w:tr2bl w:val="nil"/>
            </w:tcBorders>
            <w:vAlign w:val="top"/>
          </w:tcPr>
          <w:p w14:paraId="217B3AA7">
            <w:pPr>
              <w:pStyle w:val="15"/>
              <w:spacing w:before="128" w:line="171" w:lineRule="auto"/>
              <w:ind w:left="591"/>
              <w:outlineLvl w:val="2"/>
            </w:pPr>
            <w:r>
              <w:rPr>
                <w:spacing w:val="-7"/>
              </w:rPr>
              <w:t>12</w:t>
            </w:r>
          </w:p>
        </w:tc>
        <w:tc>
          <w:tcPr>
            <w:tcW w:w="1756" w:type="pct"/>
            <w:tcBorders>
              <w:tl2br w:val="nil"/>
              <w:tr2bl w:val="nil"/>
            </w:tcBorders>
            <w:vAlign w:val="top"/>
          </w:tcPr>
          <w:p w14:paraId="3A9F9129">
            <w:pPr>
              <w:pStyle w:val="15"/>
              <w:spacing w:before="97" w:line="200" w:lineRule="auto"/>
              <w:ind w:left="1423"/>
              <w:outlineLvl w:val="2"/>
            </w:pPr>
            <w:r>
              <w:rPr>
                <w:spacing w:val="4"/>
              </w:rPr>
              <w:t>蛙夯</w:t>
            </w:r>
          </w:p>
        </w:tc>
        <w:tc>
          <w:tcPr>
            <w:tcW w:w="1246" w:type="pct"/>
            <w:tcBorders>
              <w:tl2br w:val="nil"/>
              <w:tr2bl w:val="nil"/>
            </w:tcBorders>
            <w:vAlign w:val="top"/>
          </w:tcPr>
          <w:p w14:paraId="478C1A1F">
            <w:pPr>
              <w:pStyle w:val="15"/>
              <w:spacing w:before="97" w:line="200" w:lineRule="auto"/>
              <w:ind w:left="906"/>
              <w:outlineLvl w:val="2"/>
            </w:pPr>
            <w:r>
              <w:rPr>
                <w:spacing w:val="4"/>
              </w:rPr>
              <w:t>2.8</w:t>
            </w:r>
            <w:r>
              <w:t>kW</w:t>
            </w:r>
          </w:p>
        </w:tc>
        <w:tc>
          <w:tcPr>
            <w:tcW w:w="1254" w:type="pct"/>
            <w:tcBorders>
              <w:tl2br w:val="nil"/>
              <w:tr2bl w:val="nil"/>
            </w:tcBorders>
            <w:vAlign w:val="top"/>
          </w:tcPr>
          <w:p w14:paraId="1C473F3C">
            <w:pPr>
              <w:pStyle w:val="15"/>
              <w:spacing w:before="128" w:line="171" w:lineRule="auto"/>
              <w:ind w:left="1082"/>
              <w:outlineLvl w:val="2"/>
            </w:pPr>
            <w:r>
              <w:rPr>
                <w:spacing w:val="-7"/>
              </w:rPr>
              <w:t>16</w:t>
            </w:r>
          </w:p>
        </w:tc>
      </w:tr>
      <w:tr w14:paraId="6C455D09">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l2br w:val="nil"/>
              <w:tr2bl w:val="nil"/>
            </w:tcBorders>
            <w:vAlign w:val="top"/>
          </w:tcPr>
          <w:p w14:paraId="607644AA">
            <w:pPr>
              <w:pStyle w:val="15"/>
              <w:spacing w:before="130" w:line="169" w:lineRule="auto"/>
              <w:ind w:left="591"/>
              <w:outlineLvl w:val="2"/>
            </w:pPr>
            <w:r>
              <w:rPr>
                <w:spacing w:val="-7"/>
              </w:rPr>
              <w:t>13</w:t>
            </w:r>
          </w:p>
        </w:tc>
        <w:tc>
          <w:tcPr>
            <w:tcW w:w="1756" w:type="pct"/>
            <w:tcBorders>
              <w:tl2br w:val="nil"/>
              <w:tr2bl w:val="nil"/>
            </w:tcBorders>
            <w:vAlign w:val="top"/>
          </w:tcPr>
          <w:p w14:paraId="02F62B91">
            <w:pPr>
              <w:pStyle w:val="15"/>
              <w:spacing w:before="99" w:line="198" w:lineRule="auto"/>
              <w:ind w:left="1318"/>
              <w:outlineLvl w:val="2"/>
            </w:pPr>
            <w:r>
              <w:rPr>
                <w:spacing w:val="7"/>
              </w:rPr>
              <w:t>振捣器</w:t>
            </w:r>
          </w:p>
        </w:tc>
        <w:tc>
          <w:tcPr>
            <w:tcW w:w="1246" w:type="pct"/>
            <w:tcBorders>
              <w:tl2br w:val="nil"/>
              <w:tr2bl w:val="nil"/>
            </w:tcBorders>
            <w:vAlign w:val="top"/>
          </w:tcPr>
          <w:p w14:paraId="6925028E">
            <w:pPr>
              <w:pStyle w:val="15"/>
              <w:spacing w:before="99" w:line="198" w:lineRule="auto"/>
              <w:ind w:left="919"/>
              <w:outlineLvl w:val="2"/>
            </w:pPr>
            <w:r>
              <w:t>1.1kW</w:t>
            </w:r>
          </w:p>
        </w:tc>
        <w:tc>
          <w:tcPr>
            <w:tcW w:w="1254" w:type="pct"/>
            <w:tcBorders>
              <w:tl2br w:val="nil"/>
              <w:tr2bl w:val="nil"/>
            </w:tcBorders>
            <w:vAlign w:val="top"/>
          </w:tcPr>
          <w:p w14:paraId="34513D4E">
            <w:pPr>
              <w:pStyle w:val="15"/>
              <w:spacing w:before="130" w:line="169" w:lineRule="auto"/>
              <w:ind w:left="1082"/>
              <w:outlineLvl w:val="2"/>
            </w:pPr>
            <w:r>
              <w:rPr>
                <w:spacing w:val="-7"/>
              </w:rPr>
              <w:t>14</w:t>
            </w:r>
          </w:p>
        </w:tc>
      </w:tr>
      <w:tr w14:paraId="16289699">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42" w:type="pct"/>
            <w:tcBorders>
              <w:tl2br w:val="nil"/>
              <w:tr2bl w:val="nil"/>
            </w:tcBorders>
            <w:vAlign w:val="top"/>
          </w:tcPr>
          <w:p w14:paraId="468453F3">
            <w:pPr>
              <w:pStyle w:val="15"/>
              <w:spacing w:before="131" w:line="189" w:lineRule="auto"/>
              <w:ind w:left="591"/>
              <w:outlineLvl w:val="2"/>
            </w:pPr>
            <w:r>
              <w:rPr>
                <w:spacing w:val="-7"/>
              </w:rPr>
              <w:t>14</w:t>
            </w:r>
          </w:p>
        </w:tc>
        <w:tc>
          <w:tcPr>
            <w:tcW w:w="1756" w:type="pct"/>
            <w:tcBorders>
              <w:tl2br w:val="nil"/>
              <w:tr2bl w:val="nil"/>
            </w:tcBorders>
            <w:vAlign w:val="top"/>
          </w:tcPr>
          <w:p w14:paraId="675643EA">
            <w:pPr>
              <w:pStyle w:val="15"/>
              <w:spacing w:before="98" w:line="220" w:lineRule="auto"/>
              <w:ind w:left="1000"/>
              <w:outlineLvl w:val="2"/>
            </w:pPr>
            <w:r>
              <w:rPr>
                <w:spacing w:val="8"/>
              </w:rPr>
              <w:t>钢木加工设备</w:t>
            </w:r>
          </w:p>
        </w:tc>
        <w:tc>
          <w:tcPr>
            <w:tcW w:w="1246" w:type="pct"/>
            <w:tcBorders>
              <w:tl2br w:val="nil"/>
              <w:tr2bl w:val="nil"/>
            </w:tcBorders>
            <w:vAlign w:val="top"/>
          </w:tcPr>
          <w:p w14:paraId="3F9B092A">
            <w:pPr>
              <w:pStyle w:val="15"/>
              <w:spacing w:before="98" w:line="220" w:lineRule="auto"/>
              <w:ind w:left="1063"/>
              <w:outlineLvl w:val="2"/>
            </w:pPr>
            <w:r>
              <w:t>套</w:t>
            </w:r>
          </w:p>
        </w:tc>
        <w:tc>
          <w:tcPr>
            <w:tcW w:w="1254" w:type="pct"/>
            <w:tcBorders>
              <w:tl2br w:val="nil"/>
              <w:tr2bl w:val="nil"/>
            </w:tcBorders>
            <w:vAlign w:val="top"/>
          </w:tcPr>
          <w:p w14:paraId="6FF7926C">
            <w:pPr>
              <w:pStyle w:val="15"/>
              <w:spacing w:before="131" w:line="189" w:lineRule="auto"/>
              <w:ind w:left="1082"/>
            </w:pPr>
            <w:r>
              <w:rPr>
                <w:spacing w:val="-7"/>
              </w:rPr>
              <w:t>14</w:t>
            </w:r>
          </w:p>
        </w:tc>
      </w:tr>
    </w:tbl>
    <w:p w14:paraId="0183D584">
      <w:pPr>
        <w:pStyle w:val="3"/>
        <w:spacing w:line="422" w:lineRule="auto"/>
      </w:pPr>
    </w:p>
    <w:p w14:paraId="30E4467F">
      <w:pPr>
        <w:spacing w:before="78" w:line="219" w:lineRule="auto"/>
        <w:ind w:left="136"/>
        <w:outlineLvl w:val="3"/>
        <w:rPr>
          <w:rFonts w:ascii="宋体" w:hAnsi="宋体" w:eastAsia="宋体" w:cs="宋体"/>
          <w:sz w:val="24"/>
          <w:szCs w:val="24"/>
        </w:rPr>
      </w:pPr>
      <w:r>
        <w:rPr>
          <w:b/>
          <w:bCs/>
        </w:rPr>
        <w:fldChar w:fldCharType="begin"/>
      </w:r>
      <w:r>
        <w:rPr>
          <w:b/>
          <w:bCs/>
        </w:rPr>
        <w:instrText xml:space="preserve"> HYPERLINK "3.2.1.5"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3.2.1.5</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原辅材料</w:t>
      </w:r>
    </w:p>
    <w:p w14:paraId="4D8636F2">
      <w:pPr>
        <w:spacing w:before="181" w:line="360" w:lineRule="auto"/>
        <w:ind w:left="512"/>
        <w:rPr>
          <w:rFonts w:ascii="宋体" w:hAnsi="宋体" w:eastAsia="宋体" w:cs="宋体"/>
          <w:sz w:val="24"/>
          <w:szCs w:val="24"/>
        </w:rPr>
      </w:pPr>
      <w:r>
        <w:rPr>
          <w:rFonts w:ascii="宋体" w:hAnsi="宋体" w:eastAsia="宋体" w:cs="宋体"/>
          <w:spacing w:val="-1"/>
          <w:sz w:val="24"/>
          <w:szCs w:val="24"/>
        </w:rPr>
        <w:t>本工程施工使用的主要原辅材料及能耗见表</w:t>
      </w:r>
      <w:r>
        <w:rPr>
          <w:rFonts w:ascii="宋体" w:hAnsi="宋体" w:eastAsia="宋体" w:cs="宋体"/>
          <w:spacing w:val="-46"/>
          <w:sz w:val="24"/>
          <w:szCs w:val="24"/>
        </w:rPr>
        <w:t xml:space="preserve"> </w:t>
      </w:r>
      <w:r>
        <w:rPr>
          <w:rFonts w:ascii="宋体" w:hAnsi="宋体" w:eastAsia="宋体" w:cs="宋体"/>
          <w:spacing w:val="-1"/>
          <w:sz w:val="24"/>
          <w:szCs w:val="24"/>
        </w:rPr>
        <w:t>3-2-</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w:t>
      </w:r>
    </w:p>
    <w:p w14:paraId="4A5FF7B1">
      <w:pPr>
        <w:spacing w:before="184" w:line="212" w:lineRule="auto"/>
        <w:ind w:left="109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3-2-</w:t>
      </w:r>
      <w:r>
        <w:rPr>
          <w:rFonts w:hint="eastAsia" w:ascii="宋体" w:hAnsi="宋体" w:eastAsia="宋体" w:cs="宋体"/>
          <w:sz w:val="24"/>
          <w:szCs w:val="24"/>
          <w:lang w:val="en-US" w:eastAsia="zh-CN"/>
          <w14:textOutline w14:w="4358" w14:cap="sq" w14:cmpd="sng">
            <w14:solidFill>
              <w14:srgbClr w14:val="000000"/>
            </w14:solidFill>
            <w14:prstDash w14:val="solid"/>
            <w14:bevel/>
          </w14:textOutline>
        </w:rPr>
        <w:t>3</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主要原辅材料及能源消耗</w:t>
      </w:r>
      <w:r>
        <w:rPr>
          <w:rFonts w:ascii="宋体" w:hAnsi="宋体" w:eastAsia="宋体" w:cs="宋体"/>
          <w:spacing w:val="-1"/>
          <w:sz w:val="24"/>
          <w:szCs w:val="24"/>
          <w14:textOutline w14:w="4358" w14:cap="sq" w14:cmpd="sng">
            <w14:solidFill>
              <w14:srgbClr w14:val="000000"/>
            </w14:solidFill>
            <w14:prstDash w14:val="solid"/>
            <w14:bevel/>
          </w14:textOutline>
        </w:rPr>
        <w:t>一览表</w:t>
      </w:r>
    </w:p>
    <w:tbl>
      <w:tblPr>
        <w:tblStyle w:val="14"/>
        <w:tblW w:w="4998"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11"/>
        <w:gridCol w:w="1796"/>
        <w:gridCol w:w="932"/>
        <w:gridCol w:w="1035"/>
        <w:gridCol w:w="4107"/>
      </w:tblGrid>
      <w:tr w14:paraId="257284EA">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414" w:type="pct"/>
            <w:tcBorders>
              <w:tl2br w:val="nil"/>
              <w:tr2bl w:val="nil"/>
            </w:tcBorders>
            <w:vAlign w:val="top"/>
          </w:tcPr>
          <w:p w14:paraId="1022F036">
            <w:pPr>
              <w:pStyle w:val="15"/>
              <w:spacing w:before="111" w:line="229" w:lineRule="auto"/>
              <w:ind w:left="145"/>
            </w:pPr>
            <w:r>
              <w:rPr>
                <w:spacing w:val="5"/>
              </w:rPr>
              <w:t>序号</w:t>
            </w:r>
          </w:p>
        </w:tc>
        <w:tc>
          <w:tcPr>
            <w:tcW w:w="1046" w:type="pct"/>
            <w:tcBorders>
              <w:tl2br w:val="nil"/>
              <w:tr2bl w:val="nil"/>
            </w:tcBorders>
            <w:vAlign w:val="top"/>
          </w:tcPr>
          <w:p w14:paraId="65A16503">
            <w:pPr>
              <w:pStyle w:val="15"/>
              <w:spacing w:before="111" w:line="230" w:lineRule="auto"/>
              <w:ind w:left="712"/>
            </w:pPr>
            <w:r>
              <w:rPr>
                <w:spacing w:val="3"/>
              </w:rPr>
              <w:t>名称</w:t>
            </w:r>
          </w:p>
        </w:tc>
        <w:tc>
          <w:tcPr>
            <w:tcW w:w="543" w:type="pct"/>
            <w:tcBorders>
              <w:tl2br w:val="nil"/>
              <w:tr2bl w:val="nil"/>
            </w:tcBorders>
            <w:vAlign w:val="top"/>
          </w:tcPr>
          <w:p w14:paraId="77E6B2D3">
            <w:pPr>
              <w:pStyle w:val="15"/>
              <w:spacing w:before="112" w:line="228" w:lineRule="auto"/>
              <w:ind w:left="273"/>
            </w:pPr>
            <w:r>
              <w:rPr>
                <w:spacing w:val="3"/>
              </w:rPr>
              <w:t>单位</w:t>
            </w:r>
          </w:p>
        </w:tc>
        <w:tc>
          <w:tcPr>
            <w:tcW w:w="603" w:type="pct"/>
            <w:tcBorders>
              <w:tl2br w:val="nil"/>
              <w:tr2bl w:val="nil"/>
            </w:tcBorders>
            <w:vAlign w:val="top"/>
          </w:tcPr>
          <w:p w14:paraId="70A8D25F">
            <w:pPr>
              <w:pStyle w:val="15"/>
              <w:spacing w:before="111" w:line="228" w:lineRule="auto"/>
              <w:ind w:left="226"/>
            </w:pPr>
            <w:r>
              <w:rPr>
                <w:spacing w:val="5"/>
              </w:rPr>
              <w:t>消耗量</w:t>
            </w:r>
          </w:p>
        </w:tc>
        <w:tc>
          <w:tcPr>
            <w:tcW w:w="2392" w:type="pct"/>
            <w:tcBorders>
              <w:tl2br w:val="nil"/>
              <w:tr2bl w:val="nil"/>
            </w:tcBorders>
            <w:vAlign w:val="top"/>
          </w:tcPr>
          <w:p w14:paraId="1EFA8F5C">
            <w:pPr>
              <w:pStyle w:val="15"/>
              <w:spacing w:before="111" w:line="229" w:lineRule="auto"/>
              <w:ind w:left="1905"/>
            </w:pPr>
            <w:r>
              <w:rPr>
                <w:spacing w:val="3"/>
              </w:rPr>
              <w:t>备注</w:t>
            </w:r>
          </w:p>
        </w:tc>
      </w:tr>
      <w:tr w14:paraId="3228903C">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414" w:type="pct"/>
            <w:tcBorders>
              <w:tl2br w:val="nil"/>
              <w:tr2bl w:val="nil"/>
            </w:tcBorders>
            <w:vAlign w:val="top"/>
          </w:tcPr>
          <w:p w14:paraId="2D3D2AC7">
            <w:pPr>
              <w:pStyle w:val="15"/>
              <w:spacing w:before="174" w:line="189" w:lineRule="auto"/>
              <w:ind w:left="319"/>
            </w:pPr>
            <w:r>
              <w:t>1</w:t>
            </w:r>
          </w:p>
        </w:tc>
        <w:tc>
          <w:tcPr>
            <w:tcW w:w="1046" w:type="pct"/>
            <w:tcBorders>
              <w:tl2br w:val="nil"/>
              <w:tr2bl w:val="nil"/>
            </w:tcBorders>
            <w:vAlign w:val="top"/>
          </w:tcPr>
          <w:p w14:paraId="65377EE4">
            <w:pPr>
              <w:pStyle w:val="15"/>
              <w:spacing w:before="141" w:line="228" w:lineRule="auto"/>
              <w:ind w:left="712"/>
            </w:pPr>
            <w:r>
              <w:rPr>
                <w:spacing w:val="3"/>
              </w:rPr>
              <w:t>水泥</w:t>
            </w:r>
          </w:p>
        </w:tc>
        <w:tc>
          <w:tcPr>
            <w:tcW w:w="543" w:type="pct"/>
            <w:tcBorders>
              <w:tl2br w:val="nil"/>
              <w:tr2bl w:val="nil"/>
            </w:tcBorders>
            <w:vAlign w:val="top"/>
          </w:tcPr>
          <w:p w14:paraId="783E3546">
            <w:pPr>
              <w:pStyle w:val="15"/>
              <w:spacing w:before="141" w:line="270" w:lineRule="exact"/>
              <w:ind w:left="432"/>
            </w:pPr>
            <w:r>
              <w:rPr>
                <w:position w:val="2"/>
              </w:rPr>
              <w:t>t</w:t>
            </w:r>
          </w:p>
        </w:tc>
        <w:tc>
          <w:tcPr>
            <w:tcW w:w="603" w:type="pct"/>
            <w:tcBorders>
              <w:tl2br w:val="nil"/>
              <w:tr2bl w:val="nil"/>
            </w:tcBorders>
            <w:vAlign w:val="top"/>
          </w:tcPr>
          <w:p w14:paraId="7A54D1D3">
            <w:pPr>
              <w:pStyle w:val="15"/>
              <w:spacing w:before="174" w:line="189" w:lineRule="auto"/>
              <w:ind w:left="171"/>
            </w:pPr>
            <w:r>
              <w:rPr>
                <w:spacing w:val="3"/>
              </w:rPr>
              <w:t>2725.54</w:t>
            </w:r>
          </w:p>
        </w:tc>
        <w:tc>
          <w:tcPr>
            <w:tcW w:w="2392" w:type="pct"/>
            <w:tcBorders>
              <w:tl2br w:val="nil"/>
              <w:tr2bl w:val="nil"/>
            </w:tcBorders>
            <w:vAlign w:val="top"/>
          </w:tcPr>
          <w:p w14:paraId="610D258D">
            <w:pPr>
              <w:pStyle w:val="15"/>
              <w:spacing w:before="141" w:line="227" w:lineRule="auto"/>
              <w:ind w:left="1184"/>
            </w:pPr>
            <w:r>
              <w:rPr>
                <w:spacing w:val="7"/>
              </w:rPr>
              <w:t>附近县城水泥厂采购</w:t>
            </w:r>
          </w:p>
        </w:tc>
      </w:tr>
      <w:tr w14:paraId="3635A35A">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414" w:type="pct"/>
            <w:tcBorders>
              <w:tl2br w:val="nil"/>
              <w:tr2bl w:val="nil"/>
            </w:tcBorders>
            <w:vAlign w:val="top"/>
          </w:tcPr>
          <w:p w14:paraId="444DCF65">
            <w:pPr>
              <w:pStyle w:val="15"/>
              <w:spacing w:before="177" w:line="189" w:lineRule="auto"/>
              <w:ind w:left="306"/>
            </w:pPr>
            <w:r>
              <w:t>2</w:t>
            </w:r>
          </w:p>
        </w:tc>
        <w:tc>
          <w:tcPr>
            <w:tcW w:w="1046" w:type="pct"/>
            <w:tcBorders>
              <w:tl2br w:val="nil"/>
              <w:tr2bl w:val="nil"/>
            </w:tcBorders>
            <w:vAlign w:val="top"/>
          </w:tcPr>
          <w:p w14:paraId="1ED768C9">
            <w:pPr>
              <w:pStyle w:val="15"/>
              <w:spacing w:before="144" w:line="228" w:lineRule="auto"/>
              <w:ind w:left="708"/>
            </w:pPr>
            <w:r>
              <w:rPr>
                <w:spacing w:val="5"/>
              </w:rPr>
              <w:t>钢筋</w:t>
            </w:r>
          </w:p>
        </w:tc>
        <w:tc>
          <w:tcPr>
            <w:tcW w:w="543" w:type="pct"/>
            <w:tcBorders>
              <w:tl2br w:val="nil"/>
              <w:tr2bl w:val="nil"/>
            </w:tcBorders>
            <w:vAlign w:val="top"/>
          </w:tcPr>
          <w:p w14:paraId="64E6237F">
            <w:pPr>
              <w:pStyle w:val="15"/>
              <w:spacing w:before="145" w:line="269" w:lineRule="exact"/>
              <w:ind w:left="432"/>
            </w:pPr>
            <w:r>
              <w:rPr>
                <w:position w:val="2"/>
              </w:rPr>
              <w:t>t</w:t>
            </w:r>
          </w:p>
        </w:tc>
        <w:tc>
          <w:tcPr>
            <w:tcW w:w="603" w:type="pct"/>
            <w:tcBorders>
              <w:tl2br w:val="nil"/>
              <w:tr2bl w:val="nil"/>
            </w:tcBorders>
            <w:vAlign w:val="top"/>
          </w:tcPr>
          <w:p w14:paraId="66B209A4">
            <w:pPr>
              <w:pStyle w:val="15"/>
              <w:spacing w:before="176" w:line="190" w:lineRule="auto"/>
              <w:ind w:left="226"/>
            </w:pPr>
            <w:r>
              <w:rPr>
                <w:spacing w:val="2"/>
              </w:rPr>
              <w:t>500.10</w:t>
            </w:r>
          </w:p>
        </w:tc>
        <w:tc>
          <w:tcPr>
            <w:tcW w:w="2392" w:type="pct"/>
            <w:tcBorders>
              <w:tl2br w:val="nil"/>
              <w:tr2bl w:val="nil"/>
            </w:tcBorders>
            <w:vAlign w:val="top"/>
          </w:tcPr>
          <w:p w14:paraId="212B9397">
            <w:pPr>
              <w:pStyle w:val="15"/>
              <w:spacing w:before="144" w:line="227" w:lineRule="auto"/>
              <w:ind w:left="1498"/>
            </w:pPr>
            <w:r>
              <w:rPr>
                <w:spacing w:val="5"/>
              </w:rPr>
              <w:t>附近县城采购</w:t>
            </w:r>
          </w:p>
        </w:tc>
      </w:tr>
      <w:tr w14:paraId="619CB848">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14" w:type="pct"/>
            <w:tcBorders>
              <w:tl2br w:val="nil"/>
              <w:tr2bl w:val="nil"/>
            </w:tcBorders>
            <w:vAlign w:val="top"/>
          </w:tcPr>
          <w:p w14:paraId="50B8E817">
            <w:pPr>
              <w:pStyle w:val="15"/>
              <w:spacing w:before="149" w:line="189" w:lineRule="auto"/>
              <w:ind w:left="308"/>
            </w:pPr>
            <w:r>
              <w:t>3</w:t>
            </w:r>
          </w:p>
        </w:tc>
        <w:tc>
          <w:tcPr>
            <w:tcW w:w="1046" w:type="pct"/>
            <w:tcBorders>
              <w:tl2br w:val="nil"/>
              <w:tr2bl w:val="nil"/>
            </w:tcBorders>
            <w:vAlign w:val="top"/>
          </w:tcPr>
          <w:p w14:paraId="79CE1D75">
            <w:pPr>
              <w:pStyle w:val="15"/>
              <w:spacing w:before="116" w:line="227" w:lineRule="auto"/>
              <w:ind w:left="708"/>
            </w:pPr>
            <w:r>
              <w:rPr>
                <w:spacing w:val="5"/>
              </w:rPr>
              <w:t>钢材</w:t>
            </w:r>
          </w:p>
        </w:tc>
        <w:tc>
          <w:tcPr>
            <w:tcW w:w="543" w:type="pct"/>
            <w:tcBorders>
              <w:tl2br w:val="nil"/>
              <w:tr2bl w:val="nil"/>
            </w:tcBorders>
            <w:vAlign w:val="top"/>
          </w:tcPr>
          <w:p w14:paraId="10C2FC23">
            <w:pPr>
              <w:pStyle w:val="15"/>
              <w:spacing w:before="117" w:line="269" w:lineRule="exact"/>
              <w:ind w:left="432"/>
            </w:pPr>
            <w:r>
              <w:rPr>
                <w:position w:val="2"/>
              </w:rPr>
              <w:t>t</w:t>
            </w:r>
          </w:p>
        </w:tc>
        <w:tc>
          <w:tcPr>
            <w:tcW w:w="603" w:type="pct"/>
            <w:tcBorders>
              <w:tl2br w:val="nil"/>
              <w:tr2bl w:val="nil"/>
            </w:tcBorders>
            <w:vAlign w:val="top"/>
          </w:tcPr>
          <w:p w14:paraId="1859C0AD">
            <w:pPr>
              <w:pStyle w:val="15"/>
              <w:spacing w:before="148" w:line="190" w:lineRule="auto"/>
              <w:ind w:left="224"/>
            </w:pPr>
            <w:r>
              <w:rPr>
                <w:spacing w:val="3"/>
              </w:rPr>
              <w:t>229.13</w:t>
            </w:r>
          </w:p>
        </w:tc>
        <w:tc>
          <w:tcPr>
            <w:tcW w:w="2392" w:type="pct"/>
            <w:tcBorders>
              <w:tl2br w:val="nil"/>
              <w:tr2bl w:val="nil"/>
            </w:tcBorders>
            <w:vAlign w:val="top"/>
          </w:tcPr>
          <w:p w14:paraId="268F7022">
            <w:pPr>
              <w:pStyle w:val="15"/>
              <w:spacing w:before="116" w:line="227" w:lineRule="auto"/>
              <w:ind w:left="1498"/>
            </w:pPr>
            <w:r>
              <w:rPr>
                <w:spacing w:val="5"/>
              </w:rPr>
              <w:t>附近县城采购</w:t>
            </w:r>
          </w:p>
        </w:tc>
      </w:tr>
      <w:tr w14:paraId="77A1A8E5">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14" w:type="pct"/>
            <w:tcBorders>
              <w:tl2br w:val="nil"/>
              <w:tr2bl w:val="nil"/>
            </w:tcBorders>
            <w:vAlign w:val="top"/>
          </w:tcPr>
          <w:p w14:paraId="35685135">
            <w:pPr>
              <w:pStyle w:val="15"/>
              <w:spacing w:before="151" w:line="189" w:lineRule="auto"/>
              <w:ind w:left="303"/>
            </w:pPr>
            <w:r>
              <w:t>4</w:t>
            </w:r>
          </w:p>
        </w:tc>
        <w:tc>
          <w:tcPr>
            <w:tcW w:w="1046" w:type="pct"/>
            <w:tcBorders>
              <w:tl2br w:val="nil"/>
              <w:tr2bl w:val="nil"/>
            </w:tcBorders>
            <w:vAlign w:val="top"/>
          </w:tcPr>
          <w:p w14:paraId="4C9AAD7E">
            <w:pPr>
              <w:pStyle w:val="15"/>
              <w:spacing w:before="118" w:line="231" w:lineRule="auto"/>
              <w:ind w:left="709"/>
            </w:pPr>
            <w:r>
              <w:rPr>
                <w:spacing w:val="4"/>
              </w:rPr>
              <w:t>汽油</w:t>
            </w:r>
          </w:p>
        </w:tc>
        <w:tc>
          <w:tcPr>
            <w:tcW w:w="543" w:type="pct"/>
            <w:tcBorders>
              <w:tl2br w:val="nil"/>
              <w:tr2bl w:val="nil"/>
            </w:tcBorders>
            <w:vAlign w:val="top"/>
          </w:tcPr>
          <w:p w14:paraId="62898F54">
            <w:pPr>
              <w:pStyle w:val="15"/>
              <w:spacing w:before="118" w:line="269" w:lineRule="exact"/>
              <w:ind w:left="432"/>
            </w:pPr>
            <w:r>
              <w:rPr>
                <w:position w:val="2"/>
              </w:rPr>
              <w:t>t</w:t>
            </w:r>
          </w:p>
        </w:tc>
        <w:tc>
          <w:tcPr>
            <w:tcW w:w="603" w:type="pct"/>
            <w:tcBorders>
              <w:tl2br w:val="nil"/>
              <w:tr2bl w:val="nil"/>
            </w:tcBorders>
            <w:vAlign w:val="top"/>
          </w:tcPr>
          <w:p w14:paraId="2912A7B2">
            <w:pPr>
              <w:pStyle w:val="15"/>
              <w:spacing w:before="151" w:line="189" w:lineRule="auto"/>
              <w:ind w:left="278"/>
            </w:pPr>
            <w:r>
              <w:rPr>
                <w:spacing w:val="2"/>
              </w:rPr>
              <w:t>34.58</w:t>
            </w:r>
          </w:p>
        </w:tc>
        <w:tc>
          <w:tcPr>
            <w:tcW w:w="2392" w:type="pct"/>
            <w:tcBorders>
              <w:tl2br w:val="nil"/>
              <w:tr2bl w:val="nil"/>
            </w:tcBorders>
            <w:vAlign w:val="top"/>
          </w:tcPr>
          <w:p w14:paraId="51F541B5">
            <w:pPr>
              <w:pStyle w:val="15"/>
              <w:spacing w:before="118" w:line="228" w:lineRule="auto"/>
              <w:ind w:left="1588"/>
            </w:pPr>
            <w:r>
              <w:rPr>
                <w:spacing w:val="8"/>
              </w:rPr>
              <w:t>加油站购买</w:t>
            </w:r>
          </w:p>
        </w:tc>
      </w:tr>
      <w:tr w14:paraId="10011218">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14" w:type="pct"/>
            <w:tcBorders>
              <w:tl2br w:val="nil"/>
              <w:tr2bl w:val="nil"/>
            </w:tcBorders>
            <w:vAlign w:val="top"/>
          </w:tcPr>
          <w:p w14:paraId="0251C414">
            <w:pPr>
              <w:pStyle w:val="15"/>
              <w:spacing w:before="157" w:line="187" w:lineRule="auto"/>
              <w:ind w:left="308"/>
            </w:pPr>
            <w:r>
              <w:t>5</w:t>
            </w:r>
          </w:p>
        </w:tc>
        <w:tc>
          <w:tcPr>
            <w:tcW w:w="1046" w:type="pct"/>
            <w:tcBorders>
              <w:tl2br w:val="nil"/>
              <w:tr2bl w:val="nil"/>
            </w:tcBorders>
            <w:vAlign w:val="top"/>
          </w:tcPr>
          <w:p w14:paraId="1B1EB13A">
            <w:pPr>
              <w:pStyle w:val="15"/>
              <w:spacing w:before="122" w:line="228" w:lineRule="auto"/>
              <w:ind w:left="709"/>
            </w:pPr>
            <w:r>
              <w:rPr>
                <w:spacing w:val="4"/>
              </w:rPr>
              <w:t>柴油</w:t>
            </w:r>
          </w:p>
        </w:tc>
        <w:tc>
          <w:tcPr>
            <w:tcW w:w="543" w:type="pct"/>
            <w:tcBorders>
              <w:tl2br w:val="nil"/>
              <w:tr2bl w:val="nil"/>
            </w:tcBorders>
            <w:vAlign w:val="top"/>
          </w:tcPr>
          <w:p w14:paraId="77454CC2">
            <w:pPr>
              <w:pStyle w:val="15"/>
              <w:spacing w:before="122" w:line="269" w:lineRule="exact"/>
              <w:ind w:left="432"/>
            </w:pPr>
            <w:r>
              <w:rPr>
                <w:position w:val="2"/>
              </w:rPr>
              <w:t>t</w:t>
            </w:r>
          </w:p>
        </w:tc>
        <w:tc>
          <w:tcPr>
            <w:tcW w:w="603" w:type="pct"/>
            <w:tcBorders>
              <w:tl2br w:val="nil"/>
              <w:tr2bl w:val="nil"/>
            </w:tcBorders>
            <w:vAlign w:val="top"/>
          </w:tcPr>
          <w:p w14:paraId="7959F99E">
            <w:pPr>
              <w:pStyle w:val="15"/>
              <w:spacing w:before="154" w:line="190" w:lineRule="auto"/>
              <w:ind w:left="237"/>
            </w:pPr>
            <w:r>
              <w:rPr>
                <w:spacing w:val="1"/>
              </w:rPr>
              <w:t>136.69</w:t>
            </w:r>
          </w:p>
        </w:tc>
        <w:tc>
          <w:tcPr>
            <w:tcW w:w="2392" w:type="pct"/>
            <w:tcBorders>
              <w:tl2br w:val="nil"/>
              <w:tr2bl w:val="nil"/>
            </w:tcBorders>
            <w:vAlign w:val="top"/>
          </w:tcPr>
          <w:p w14:paraId="5778952D">
            <w:pPr>
              <w:pStyle w:val="15"/>
              <w:spacing w:before="122" w:line="228" w:lineRule="auto"/>
              <w:ind w:left="1588"/>
            </w:pPr>
            <w:r>
              <w:rPr>
                <w:spacing w:val="8"/>
              </w:rPr>
              <w:t>加油站购买</w:t>
            </w:r>
          </w:p>
        </w:tc>
      </w:tr>
      <w:tr w14:paraId="250C74B7">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14" w:type="pct"/>
            <w:tcBorders>
              <w:tl2br w:val="nil"/>
              <w:tr2bl w:val="nil"/>
            </w:tcBorders>
            <w:vAlign w:val="top"/>
          </w:tcPr>
          <w:p w14:paraId="3FBF53B8">
            <w:pPr>
              <w:pStyle w:val="15"/>
              <w:spacing w:before="157" w:line="189" w:lineRule="auto"/>
              <w:ind w:left="306"/>
            </w:pPr>
            <w:r>
              <w:t>6</w:t>
            </w:r>
          </w:p>
        </w:tc>
        <w:tc>
          <w:tcPr>
            <w:tcW w:w="1046" w:type="pct"/>
            <w:tcBorders>
              <w:tl2br w:val="nil"/>
              <w:tr2bl w:val="nil"/>
            </w:tcBorders>
            <w:vAlign w:val="top"/>
          </w:tcPr>
          <w:p w14:paraId="00B6ED3B">
            <w:pPr>
              <w:pStyle w:val="15"/>
              <w:spacing w:before="124" w:line="231" w:lineRule="auto"/>
              <w:ind w:left="814"/>
            </w:pPr>
            <w:r>
              <w:rPr>
                <w:spacing w:val="1"/>
              </w:rPr>
              <w:t>砂</w:t>
            </w:r>
          </w:p>
        </w:tc>
        <w:tc>
          <w:tcPr>
            <w:tcW w:w="543" w:type="pct"/>
            <w:tcBorders>
              <w:tl2br w:val="nil"/>
              <w:tr2bl w:val="nil"/>
            </w:tcBorders>
            <w:vAlign w:val="top"/>
          </w:tcPr>
          <w:p w14:paraId="28649A48">
            <w:pPr>
              <w:pStyle w:val="15"/>
              <w:spacing w:before="124" w:line="271" w:lineRule="exact"/>
              <w:ind w:left="397"/>
              <w:rPr>
                <w:sz w:val="10"/>
                <w:szCs w:val="10"/>
              </w:rPr>
            </w:pPr>
            <w:r>
              <w:rPr>
                <w:spacing w:val="1"/>
                <w:position w:val="-1"/>
              </w:rPr>
              <w:t>m</w:t>
            </w:r>
            <w:r>
              <w:rPr>
                <w:spacing w:val="1"/>
                <w:position w:val="9"/>
                <w:sz w:val="10"/>
                <w:szCs w:val="10"/>
              </w:rPr>
              <w:t>3</w:t>
            </w:r>
          </w:p>
        </w:tc>
        <w:tc>
          <w:tcPr>
            <w:tcW w:w="603" w:type="pct"/>
            <w:tcBorders>
              <w:tl2br w:val="nil"/>
              <w:tr2bl w:val="nil"/>
            </w:tcBorders>
            <w:vAlign w:val="top"/>
          </w:tcPr>
          <w:p w14:paraId="6C1A77C7">
            <w:pPr>
              <w:pStyle w:val="15"/>
              <w:spacing w:before="156" w:line="190" w:lineRule="auto"/>
              <w:ind w:left="131"/>
            </w:pPr>
            <w:r>
              <w:rPr>
                <w:spacing w:val="2"/>
              </w:rPr>
              <w:t>12348.96</w:t>
            </w:r>
          </w:p>
        </w:tc>
        <w:tc>
          <w:tcPr>
            <w:tcW w:w="2392" w:type="pct"/>
            <w:tcBorders>
              <w:tl2br w:val="nil"/>
              <w:tr2bl w:val="nil"/>
            </w:tcBorders>
            <w:vAlign w:val="top"/>
          </w:tcPr>
          <w:p w14:paraId="143E3CCB">
            <w:pPr>
              <w:pStyle w:val="15"/>
              <w:spacing w:before="125" w:line="228" w:lineRule="auto"/>
              <w:ind w:left="1202"/>
            </w:pPr>
            <w:r>
              <w:rPr>
                <w:spacing w:val="5"/>
              </w:rPr>
              <w:t>砂石料场购买</w:t>
            </w:r>
          </w:p>
        </w:tc>
      </w:tr>
      <w:tr w14:paraId="12D519EE">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14" w:type="pct"/>
            <w:tcBorders>
              <w:tl2br w:val="nil"/>
              <w:tr2bl w:val="nil"/>
            </w:tcBorders>
            <w:vAlign w:val="top"/>
          </w:tcPr>
          <w:p w14:paraId="70035C3F">
            <w:pPr>
              <w:pStyle w:val="15"/>
              <w:spacing w:before="161" w:line="187" w:lineRule="auto"/>
              <w:ind w:left="309"/>
            </w:pPr>
            <w:r>
              <w:t>7</w:t>
            </w:r>
          </w:p>
        </w:tc>
        <w:tc>
          <w:tcPr>
            <w:tcW w:w="1046" w:type="pct"/>
            <w:tcBorders>
              <w:tl2br w:val="nil"/>
              <w:tr2bl w:val="nil"/>
            </w:tcBorders>
            <w:vAlign w:val="top"/>
          </w:tcPr>
          <w:p w14:paraId="1011326C">
            <w:pPr>
              <w:pStyle w:val="15"/>
              <w:spacing w:before="126" w:line="230" w:lineRule="auto"/>
              <w:ind w:left="709"/>
            </w:pPr>
            <w:r>
              <w:rPr>
                <w:spacing w:val="5"/>
              </w:rPr>
              <w:t>砾石</w:t>
            </w:r>
          </w:p>
        </w:tc>
        <w:tc>
          <w:tcPr>
            <w:tcW w:w="543" w:type="pct"/>
            <w:tcBorders>
              <w:tl2br w:val="nil"/>
              <w:tr2bl w:val="nil"/>
            </w:tcBorders>
            <w:vAlign w:val="top"/>
          </w:tcPr>
          <w:p w14:paraId="185EED71">
            <w:pPr>
              <w:pStyle w:val="15"/>
              <w:spacing w:before="126" w:line="270" w:lineRule="exact"/>
              <w:ind w:left="397"/>
              <w:rPr>
                <w:sz w:val="10"/>
                <w:szCs w:val="10"/>
              </w:rPr>
            </w:pPr>
            <w:r>
              <w:rPr>
                <w:spacing w:val="1"/>
                <w:position w:val="-1"/>
              </w:rPr>
              <w:t>m</w:t>
            </w:r>
            <w:r>
              <w:rPr>
                <w:spacing w:val="1"/>
                <w:position w:val="9"/>
                <w:sz w:val="10"/>
                <w:szCs w:val="10"/>
              </w:rPr>
              <w:t>3</w:t>
            </w:r>
          </w:p>
        </w:tc>
        <w:tc>
          <w:tcPr>
            <w:tcW w:w="603" w:type="pct"/>
            <w:tcBorders>
              <w:tl2br w:val="nil"/>
              <w:tr2bl w:val="nil"/>
            </w:tcBorders>
            <w:vAlign w:val="top"/>
          </w:tcPr>
          <w:p w14:paraId="5AAEA187">
            <w:pPr>
              <w:pStyle w:val="15"/>
              <w:spacing w:before="159" w:line="189" w:lineRule="auto"/>
              <w:ind w:left="174"/>
            </w:pPr>
            <w:r>
              <w:rPr>
                <w:spacing w:val="3"/>
              </w:rPr>
              <w:t>7509.03</w:t>
            </w:r>
          </w:p>
        </w:tc>
        <w:tc>
          <w:tcPr>
            <w:tcW w:w="2392" w:type="pct"/>
            <w:tcBorders>
              <w:tl2br w:val="nil"/>
              <w:tr2bl w:val="nil"/>
            </w:tcBorders>
            <w:vAlign w:val="top"/>
          </w:tcPr>
          <w:p w14:paraId="7F7797A1">
            <w:pPr>
              <w:pStyle w:val="15"/>
              <w:spacing w:before="126" w:line="228" w:lineRule="auto"/>
              <w:ind w:left="1202"/>
            </w:pPr>
            <w:r>
              <w:rPr>
                <w:spacing w:val="5"/>
              </w:rPr>
              <w:t>砂石料场购买</w:t>
            </w:r>
          </w:p>
        </w:tc>
      </w:tr>
      <w:tr w14:paraId="4DD14628">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414" w:type="pct"/>
            <w:tcBorders>
              <w:tl2br w:val="nil"/>
              <w:tr2bl w:val="nil"/>
            </w:tcBorders>
            <w:vAlign w:val="top"/>
          </w:tcPr>
          <w:p w14:paraId="339F8DDE">
            <w:pPr>
              <w:pStyle w:val="15"/>
              <w:spacing w:before="163" w:line="189" w:lineRule="auto"/>
              <w:ind w:left="305"/>
            </w:pPr>
            <w:r>
              <w:t>8</w:t>
            </w:r>
          </w:p>
        </w:tc>
        <w:tc>
          <w:tcPr>
            <w:tcW w:w="1046" w:type="pct"/>
            <w:tcBorders>
              <w:tl2br w:val="nil"/>
              <w:tr2bl w:val="nil"/>
            </w:tcBorders>
            <w:vAlign w:val="top"/>
          </w:tcPr>
          <w:p w14:paraId="060258F1">
            <w:pPr>
              <w:pStyle w:val="15"/>
              <w:spacing w:before="130" w:line="228" w:lineRule="auto"/>
              <w:ind w:left="715"/>
            </w:pPr>
            <w:r>
              <w:rPr>
                <w:spacing w:val="2"/>
              </w:rPr>
              <w:t>卵石</w:t>
            </w:r>
          </w:p>
        </w:tc>
        <w:tc>
          <w:tcPr>
            <w:tcW w:w="543" w:type="pct"/>
            <w:tcBorders>
              <w:tl2br w:val="nil"/>
              <w:tr2bl w:val="nil"/>
            </w:tcBorders>
            <w:vAlign w:val="top"/>
          </w:tcPr>
          <w:p w14:paraId="1BBF7475">
            <w:pPr>
              <w:pStyle w:val="15"/>
              <w:spacing w:before="129" w:line="271" w:lineRule="exact"/>
              <w:ind w:left="397"/>
              <w:rPr>
                <w:sz w:val="10"/>
                <w:szCs w:val="10"/>
              </w:rPr>
            </w:pPr>
            <w:r>
              <w:rPr>
                <w:spacing w:val="1"/>
                <w:position w:val="-1"/>
              </w:rPr>
              <w:t>m</w:t>
            </w:r>
            <w:r>
              <w:rPr>
                <w:spacing w:val="1"/>
                <w:position w:val="9"/>
                <w:sz w:val="10"/>
                <w:szCs w:val="10"/>
              </w:rPr>
              <w:t>3</w:t>
            </w:r>
          </w:p>
        </w:tc>
        <w:tc>
          <w:tcPr>
            <w:tcW w:w="603" w:type="pct"/>
            <w:tcBorders>
              <w:tl2br w:val="nil"/>
              <w:tr2bl w:val="nil"/>
            </w:tcBorders>
            <w:vAlign w:val="top"/>
          </w:tcPr>
          <w:p w14:paraId="29ED68BE">
            <w:pPr>
              <w:pStyle w:val="15"/>
              <w:spacing w:before="163" w:line="189" w:lineRule="auto"/>
              <w:ind w:left="171"/>
            </w:pPr>
            <w:r>
              <w:rPr>
                <w:spacing w:val="3"/>
              </w:rPr>
              <w:t>2725.54</w:t>
            </w:r>
          </w:p>
        </w:tc>
        <w:tc>
          <w:tcPr>
            <w:tcW w:w="2392" w:type="pct"/>
            <w:tcBorders>
              <w:tl2br w:val="nil"/>
              <w:tr2bl w:val="nil"/>
            </w:tcBorders>
            <w:vAlign w:val="top"/>
          </w:tcPr>
          <w:p w14:paraId="1C129491">
            <w:pPr>
              <w:pStyle w:val="15"/>
              <w:spacing w:before="129" w:line="228" w:lineRule="auto"/>
              <w:ind w:left="888"/>
            </w:pPr>
            <w:r>
              <w:rPr>
                <w:spacing w:val="6"/>
              </w:rPr>
              <w:t>自片石料场购买</w:t>
            </w:r>
          </w:p>
        </w:tc>
      </w:tr>
    </w:tbl>
    <w:p w14:paraId="67A4C928">
      <w:pPr>
        <w:pStyle w:val="3"/>
      </w:pPr>
    </w:p>
    <w:p w14:paraId="38CBC769">
      <w:pPr>
        <w:keepNext w:val="0"/>
        <w:keepLines w:val="0"/>
        <w:pageBreakBefore w:val="0"/>
        <w:widowControl/>
        <w:kinsoku w:val="0"/>
        <w:wordWrap/>
        <w:overflowPunct/>
        <w:topLinePunct w:val="0"/>
        <w:autoSpaceDE w:val="0"/>
        <w:autoSpaceDN w:val="0"/>
        <w:bidi w:val="0"/>
        <w:adjustRightInd w:val="0"/>
        <w:snapToGrid w:val="0"/>
        <w:spacing w:before="301" w:line="360" w:lineRule="auto"/>
        <w:textAlignment w:val="baseline"/>
        <w:rPr>
          <w:rFonts w:ascii="宋体" w:hAnsi="宋体" w:eastAsia="宋体" w:cs="宋体"/>
          <w:b/>
          <w:bCs/>
          <w:spacing w:val="-1"/>
          <w:sz w:val="24"/>
          <w:szCs w:val="24"/>
          <w14:textOutline w14:w="4358" w14:cap="sq" w14:cmpd="sng">
            <w14:solidFill>
              <w14:srgbClr w14:val="000000"/>
            </w14:solidFill>
            <w14:prstDash w14:val="solid"/>
            <w14:bevel/>
          </w14:textOutline>
        </w:rPr>
      </w:pPr>
      <w:r>
        <w:rPr>
          <w:b/>
          <w:bCs/>
        </w:rPr>
        <w:fldChar w:fldCharType="begin"/>
      </w:r>
      <w:r>
        <w:rPr>
          <w:b/>
          <w:bCs/>
        </w:rPr>
        <w:instrText xml:space="preserve"> HYPERLINK "3.2.1.6"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3.2.1.6</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工程布局及主要构筑物</w:t>
      </w:r>
    </w:p>
    <w:p w14:paraId="344DBD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渠道及渠系建筑物</w:t>
      </w:r>
    </w:p>
    <w:p w14:paraId="01AEC0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textAlignment w:val="baseline"/>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1</w:t>
      </w:r>
      <w:r>
        <w:rPr>
          <w:rFonts w:hint="eastAsia" w:ascii="宋体" w:hAnsi="宋体" w:eastAsia="宋体" w:cs="宋体"/>
          <w:spacing w:val="-8"/>
          <w:sz w:val="24"/>
          <w:szCs w:val="24"/>
          <w:lang w:eastAsia="zh-CN"/>
        </w:rPr>
        <w:t>）</w:t>
      </w:r>
      <w:r>
        <w:rPr>
          <w:rFonts w:ascii="宋体" w:hAnsi="宋体" w:eastAsia="宋体" w:cs="宋体"/>
          <w:spacing w:val="-8"/>
          <w:sz w:val="24"/>
          <w:szCs w:val="24"/>
        </w:rPr>
        <w:t>渠道工程</w:t>
      </w:r>
    </w:p>
    <w:p w14:paraId="710388B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ascii="宋体" w:hAnsi="宋体" w:eastAsia="宋体" w:cs="宋体"/>
          <w:sz w:val="24"/>
          <w:szCs w:val="24"/>
        </w:rPr>
      </w:pPr>
      <w:r>
        <w:rPr>
          <w:rFonts w:ascii="宋体" w:hAnsi="宋体" w:eastAsia="宋体" w:cs="宋体"/>
          <w:spacing w:val="-5"/>
          <w:sz w:val="24"/>
          <w:szCs w:val="24"/>
        </w:rPr>
        <w:t>1)设计参数</w:t>
      </w:r>
    </w:p>
    <w:p w14:paraId="172170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①纵断面设计</w:t>
      </w:r>
    </w:p>
    <w:p w14:paraId="7C5044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建新支渠防渗改造原则上是基本用老渠底纵坡，对原渠道部分不合理的渠段纵坡进行适当调整。不产生大的挖填方量，尽量减少施工难度、缩短施工工期。</w:t>
      </w:r>
    </w:p>
    <w:p w14:paraId="44E098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②横断面设计</w:t>
      </w:r>
    </w:p>
    <w:p w14:paraId="6D9820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Ⅰ 、渠道横断面形式</w:t>
      </w:r>
    </w:p>
    <w:p w14:paraId="31A4464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建新支渠现状为梯形断面渠道，采用现浇混凝土板+苯板衬砌形式，两侧分段设有 机耕道，布置、施工空间可满足一般设计、施工要求。本工程渠道工程仅为 1 条渠，为 建新支渠，周边开阔，无用地困难问题，因此不考虑矩形槽、U 型断面等断面形式。本 次设计综合考虑经济性、施工、衬砌材料和运行管理等因素，横断面型式仍采用梯形断面方案，同时为减少挖填工程量，横断面尺寸尽量采用与现状渠道断面相近尺寸。</w:t>
      </w:r>
    </w:p>
    <w:p w14:paraId="27967B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Ⅱ 、设计参数</w:t>
      </w:r>
    </w:p>
    <w:p w14:paraId="234824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A、糙率：依据《渠道防渗衬砌工程技术标准》（GBT 50 600-2020），现浇砼板护面糙率 0.016～0.018 之间，取 0.016。</w:t>
      </w:r>
    </w:p>
    <w:p w14:paraId="5B3663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B、边坡系数：依据《渠道防渗衬砌工程技术标准》（GBT50600-2020），本次渠道防渗改造工程拟采用砼板衬砌，渠道内边坡取1：1.75，外边坡取1：1.5。</w:t>
      </w:r>
    </w:p>
    <w:p w14:paraId="649B7A3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C、渠道超高：依据《灌溉与排水工程设计标准》 (GB50288-2018) ，本渠道为 5级建筑物，各渠段岸顶超高值均为规范允许范围之内。</w:t>
      </w:r>
    </w:p>
    <w:p w14:paraId="345017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D、堤顶宽度：依据《渠道防渗衬砌工程技术标准》（GBT 50600-2020），设计流 量为＜2m³/s 之间时，渠道堤顶宽度为 0.5～1.0m；本次设计建新支渠防渗渠道设计流 量在 1.2m³/s，因此渠道堤顶宽度渠堤通车要求取为右岸 4.0m、左岸 1.0m。其中，建新支渠 1+641～2+120 段因右岸已有柏油路面，渠道堤顶宽度调整为右岸 1.0m、左岸 1.0m。</w:t>
      </w:r>
    </w:p>
    <w:p w14:paraId="7605CC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E、路沿石：采用预制混凝土路沿石，长×宽×高：0.4×0.12×0.3m，下部埋入土中 0.2m，上部露出地面 0.1m。</w:t>
      </w:r>
    </w:p>
    <w:p w14:paraId="003D7C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F、伸缩缝：在渠道边坡砼板与底板砼板相交处设纵向伸缩缝；垂直水流方向，渠 道砼板每 2.5m 设一道横向伸缩缝，边坡板每隔 2.5m 设一道横向伸缩缝。渠道刚性材料 伸缩缝形式为矩形缝、缝宽 20mm，填缝材料：上部聚氨酯密封胶填充(深 20mm)，下部为 L-600 型高压闭孔板。G、压实指标：依据《渠道防渗衬砌工程技术标准》（GBT 50600-2020），综合考 虑确定填筑标准为：对粘性土压实度不小于 0.93；填筑无粘性土时，无粘性土中小于 0.075mm 粒径含量不得大于 10%，小于 2mm 粒径含量不得大于 40%，最大粒径 50mm，对无粘性土相对密度不小于 0.75。</w:t>
      </w:r>
    </w:p>
    <w:p w14:paraId="0B6D8C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H、防渗衬砌材料：依据《渠道防渗衬砌工程技术标准》（GBT 50600-2020）</w:t>
      </w:r>
      <w:r>
        <w:rPr>
          <w:rFonts w:hint="eastAsia" w:ascii="宋体" w:hAnsi="宋体" w:eastAsia="宋体" w:cs="宋体"/>
          <w:sz w:val="24"/>
          <w:szCs w:val="24"/>
          <w:lang w:eastAsia="zh-CN"/>
        </w:rPr>
        <w:t>，</w:t>
      </w:r>
      <w:r>
        <w:rPr>
          <w:rFonts w:ascii="宋体" w:hAnsi="宋体" w:eastAsia="宋体" w:cs="宋体"/>
          <w:sz w:val="24"/>
          <w:szCs w:val="24"/>
        </w:rPr>
        <w:t>轻度化学侵蚀性严寒地区，使用年限 20 年渠道防渗衬砌混凝土采用C35F250W6，使用年限30 年渠道防渗衬砌混凝土采用 C40F300W6。</w:t>
      </w:r>
    </w:p>
    <w:p w14:paraId="708C54A3">
      <w:pPr>
        <w:spacing w:before="300" w:line="220" w:lineRule="auto"/>
        <w:ind w:left="18"/>
        <w:outlineLvl w:val="3"/>
        <w:rPr>
          <w:rFonts w:ascii="宋体" w:hAnsi="宋体" w:eastAsia="宋体" w:cs="宋体"/>
          <w:sz w:val="24"/>
          <w:szCs w:val="24"/>
        </w:rPr>
      </w:pPr>
      <w:r>
        <w:rPr>
          <w:b/>
          <w:bCs/>
        </w:rPr>
        <w:fldChar w:fldCharType="begin"/>
      </w:r>
      <w:r>
        <w:rPr>
          <w:b/>
          <w:bCs/>
        </w:rPr>
        <w:instrText xml:space="preserve"> HYPERLINK "3.2.1.7"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3.2.1.7</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工程占地</w:t>
      </w:r>
    </w:p>
    <w:p w14:paraId="69F7AEB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宋体" w:hAnsi="宋体" w:eastAsia="宋体" w:cs="宋体"/>
          <w:spacing w:val="-1"/>
          <w:sz w:val="24"/>
          <w:szCs w:val="24"/>
        </w:rPr>
      </w:pPr>
      <w:r>
        <w:rPr>
          <w:rFonts w:ascii="宋体" w:hAnsi="宋体" w:eastAsia="宋体" w:cs="宋体"/>
          <w:spacing w:val="-3"/>
          <w:sz w:val="24"/>
          <w:szCs w:val="24"/>
        </w:rPr>
        <w:t>本工程</w:t>
      </w:r>
      <w:r>
        <w:rPr>
          <w:rFonts w:hint="eastAsia" w:ascii="宋体" w:hAnsi="宋体" w:eastAsia="宋体" w:cs="宋体"/>
          <w:spacing w:val="-3"/>
          <w:sz w:val="24"/>
          <w:szCs w:val="24"/>
        </w:rPr>
        <w:t>本工程占地为渠道及管道占地，改建渠道及管道征占的原有渠道及管道和两侧的管理范围。从占地性质分析，项目区总占地面积675.81hm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，其中永久性征地面积为 437.48hm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，均为主体工程的渠道工程区占地;临时性用地面积 238.33hm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其中主体工程的管线工程区临时征占地面积为31.72hm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，取料(弃渣)场临时征占地面积为30.98hm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，临时生产生活区临时征占地面积为3.45hm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，施工道路临时征占地面积为 172.18hm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w:t>
      </w:r>
      <w:r>
        <w:rPr>
          <w:rFonts w:ascii="宋体" w:hAnsi="宋体" w:eastAsia="宋体" w:cs="宋体"/>
          <w:spacing w:val="-1"/>
          <w:sz w:val="24"/>
          <w:szCs w:val="24"/>
        </w:rPr>
        <w:t>本工程占地情况见表</w:t>
      </w:r>
      <w:r>
        <w:rPr>
          <w:rFonts w:ascii="宋体" w:hAnsi="宋体" w:eastAsia="宋体" w:cs="宋体"/>
          <w:spacing w:val="-45"/>
          <w:sz w:val="24"/>
          <w:szCs w:val="24"/>
        </w:rPr>
        <w:t xml:space="preserve"> </w:t>
      </w:r>
      <w:r>
        <w:rPr>
          <w:rFonts w:ascii="宋体" w:hAnsi="宋体" w:eastAsia="宋体" w:cs="宋体"/>
          <w:spacing w:val="-1"/>
          <w:sz w:val="24"/>
          <w:szCs w:val="24"/>
        </w:rPr>
        <w:t>3-2-10。</w:t>
      </w:r>
    </w:p>
    <w:p w14:paraId="258600A9">
      <w:pPr>
        <w:spacing w:line="218" w:lineRule="auto"/>
        <w:jc w:val="center"/>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 xml:space="preserve">表3-2-10  </w:t>
      </w:r>
      <w:r>
        <w:rPr>
          <w:rFonts w:ascii="宋体" w:hAnsi="宋体" w:eastAsia="宋体" w:cs="宋体"/>
          <w:b/>
          <w:bCs/>
          <w:spacing w:val="-1"/>
          <w:sz w:val="24"/>
          <w:szCs w:val="24"/>
        </w:rPr>
        <w:t>工程占地情况</w:t>
      </w:r>
      <w:r>
        <w:rPr>
          <w:rFonts w:hint="eastAsia" w:ascii="宋体" w:hAnsi="宋体" w:eastAsia="宋体" w:cs="宋体"/>
          <w:b/>
          <w:bCs/>
          <w:spacing w:val="-1"/>
          <w:sz w:val="24"/>
          <w:szCs w:val="24"/>
          <w:lang w:val="en-US" w:eastAsia="zh-CN"/>
        </w:rPr>
        <w:t>汇总</w:t>
      </w:r>
      <w:r>
        <w:rPr>
          <w:rFonts w:ascii="宋体" w:hAnsi="宋体" w:eastAsia="宋体" w:cs="宋体"/>
          <w:b/>
          <w:bCs/>
          <w:spacing w:val="-1"/>
          <w:sz w:val="24"/>
          <w:szCs w:val="24"/>
        </w:rPr>
        <w:t>表</w:t>
      </w:r>
    </w:p>
    <w:tbl>
      <w:tblPr>
        <w:tblStyle w:val="1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36"/>
        <w:gridCol w:w="1014"/>
        <w:gridCol w:w="1026"/>
        <w:gridCol w:w="1068"/>
        <w:gridCol w:w="1295"/>
        <w:gridCol w:w="3256"/>
      </w:tblGrid>
      <w:tr w14:paraId="7CC23F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5" w:hRule="atLeast"/>
          <w:jc w:val="center"/>
        </w:trPr>
        <w:tc>
          <w:tcPr>
            <w:tcW w:w="646" w:type="pct"/>
            <w:vMerge w:val="restart"/>
            <w:tcBorders>
              <w:tl2br w:val="nil"/>
              <w:tr2bl w:val="nil"/>
            </w:tcBorders>
            <w:shd w:val="clear" w:color="auto" w:fill="auto"/>
            <w:vAlign w:val="center"/>
          </w:tcPr>
          <w:p w14:paraId="1D86E80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二级分</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区</w:t>
            </w:r>
          </w:p>
        </w:tc>
        <w:tc>
          <w:tcPr>
            <w:tcW w:w="1766" w:type="pct"/>
            <w:gridSpan w:val="3"/>
            <w:tcBorders>
              <w:tl2br w:val="nil"/>
              <w:tr2bl w:val="nil"/>
            </w:tcBorders>
            <w:shd w:val="clear" w:color="auto" w:fill="auto"/>
            <w:vAlign w:val="center"/>
          </w:tcPr>
          <w:p w14:paraId="69DE121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防治面积(hm²)</w:t>
            </w:r>
          </w:p>
        </w:tc>
        <w:tc>
          <w:tcPr>
            <w:tcW w:w="736" w:type="pct"/>
            <w:vMerge w:val="restart"/>
            <w:tcBorders>
              <w:tl2br w:val="nil"/>
              <w:tr2bl w:val="nil"/>
            </w:tcBorders>
            <w:shd w:val="clear" w:color="auto" w:fill="auto"/>
            <w:vAlign w:val="center"/>
          </w:tcPr>
          <w:p w14:paraId="484B181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原地貌占</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地类型</w:t>
            </w:r>
          </w:p>
        </w:tc>
        <w:tc>
          <w:tcPr>
            <w:tcW w:w="1850" w:type="pct"/>
            <w:vMerge w:val="restart"/>
            <w:tcBorders>
              <w:tl2br w:val="nil"/>
              <w:tr2bl w:val="nil"/>
            </w:tcBorders>
            <w:shd w:val="clear" w:color="auto" w:fill="auto"/>
            <w:vAlign w:val="center"/>
          </w:tcPr>
          <w:p w14:paraId="2FA2054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边界条件</w:t>
            </w:r>
          </w:p>
        </w:tc>
      </w:tr>
      <w:tr w14:paraId="330108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6" w:hRule="atLeast"/>
          <w:jc w:val="center"/>
        </w:trPr>
        <w:tc>
          <w:tcPr>
            <w:tcW w:w="646" w:type="pct"/>
            <w:vMerge w:val="continue"/>
            <w:tcBorders>
              <w:tl2br w:val="nil"/>
              <w:tr2bl w:val="nil"/>
            </w:tcBorders>
            <w:shd w:val="clear" w:color="auto" w:fill="auto"/>
            <w:vAlign w:val="center"/>
          </w:tcPr>
          <w:p w14:paraId="3907DCB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576" w:type="pct"/>
            <w:tcBorders>
              <w:tl2br w:val="nil"/>
              <w:tr2bl w:val="nil"/>
            </w:tcBorders>
            <w:shd w:val="clear" w:color="auto" w:fill="auto"/>
            <w:vAlign w:val="center"/>
          </w:tcPr>
          <w:p w14:paraId="2588B33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永久</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占地</w:t>
            </w:r>
          </w:p>
        </w:tc>
        <w:tc>
          <w:tcPr>
            <w:tcW w:w="583" w:type="pct"/>
            <w:tcBorders>
              <w:tl2br w:val="nil"/>
              <w:tr2bl w:val="nil"/>
            </w:tcBorders>
            <w:shd w:val="clear" w:color="auto" w:fill="auto"/>
            <w:vAlign w:val="center"/>
          </w:tcPr>
          <w:p w14:paraId="427E1CC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临时</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占地</w:t>
            </w:r>
          </w:p>
        </w:tc>
        <w:tc>
          <w:tcPr>
            <w:tcW w:w="606" w:type="pct"/>
            <w:tcBorders>
              <w:tl2br w:val="nil"/>
              <w:tr2bl w:val="nil"/>
            </w:tcBorders>
            <w:shd w:val="clear" w:color="auto" w:fill="auto"/>
            <w:vAlign w:val="center"/>
          </w:tcPr>
          <w:p w14:paraId="1D265F7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小计</w:t>
            </w:r>
          </w:p>
        </w:tc>
        <w:tc>
          <w:tcPr>
            <w:tcW w:w="736" w:type="pct"/>
            <w:vMerge w:val="continue"/>
            <w:tcBorders>
              <w:tl2br w:val="nil"/>
              <w:tr2bl w:val="nil"/>
            </w:tcBorders>
            <w:shd w:val="clear" w:color="auto" w:fill="auto"/>
            <w:vAlign w:val="center"/>
          </w:tcPr>
          <w:p w14:paraId="03B7C08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1850" w:type="pct"/>
            <w:vMerge w:val="continue"/>
            <w:tcBorders>
              <w:tl2br w:val="nil"/>
              <w:tr2bl w:val="nil"/>
            </w:tcBorders>
            <w:shd w:val="clear" w:color="auto" w:fill="auto"/>
            <w:vAlign w:val="center"/>
          </w:tcPr>
          <w:p w14:paraId="4B14F3A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06FD4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10" w:hRule="atLeast"/>
          <w:jc w:val="center"/>
        </w:trPr>
        <w:tc>
          <w:tcPr>
            <w:tcW w:w="646" w:type="pct"/>
            <w:tcBorders>
              <w:tl2br w:val="nil"/>
              <w:tr2bl w:val="nil"/>
            </w:tcBorders>
            <w:shd w:val="clear" w:color="auto" w:fill="auto"/>
            <w:vAlign w:val="center"/>
          </w:tcPr>
          <w:p w14:paraId="68EB6B3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主体工</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程防治</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区</w:t>
            </w:r>
          </w:p>
        </w:tc>
        <w:tc>
          <w:tcPr>
            <w:tcW w:w="576" w:type="pct"/>
            <w:tcBorders>
              <w:tl2br w:val="nil"/>
              <w:tr2bl w:val="nil"/>
            </w:tcBorders>
            <w:shd w:val="clear" w:color="auto" w:fill="auto"/>
            <w:vAlign w:val="center"/>
          </w:tcPr>
          <w:p w14:paraId="184FF51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437.48</w:t>
            </w:r>
          </w:p>
        </w:tc>
        <w:tc>
          <w:tcPr>
            <w:tcW w:w="583" w:type="pct"/>
            <w:tcBorders>
              <w:tl2br w:val="nil"/>
              <w:tr2bl w:val="nil"/>
            </w:tcBorders>
            <w:shd w:val="clear" w:color="auto" w:fill="auto"/>
            <w:vAlign w:val="center"/>
          </w:tcPr>
          <w:p w14:paraId="11EB48E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31.72</w:t>
            </w:r>
          </w:p>
        </w:tc>
        <w:tc>
          <w:tcPr>
            <w:tcW w:w="606" w:type="pct"/>
            <w:tcBorders>
              <w:tl2br w:val="nil"/>
              <w:tr2bl w:val="nil"/>
            </w:tcBorders>
            <w:shd w:val="clear" w:color="auto" w:fill="auto"/>
            <w:vAlign w:val="center"/>
          </w:tcPr>
          <w:p w14:paraId="389847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469.20</w:t>
            </w:r>
          </w:p>
        </w:tc>
        <w:tc>
          <w:tcPr>
            <w:tcW w:w="736" w:type="pct"/>
            <w:tcBorders>
              <w:tl2br w:val="nil"/>
              <w:tr2bl w:val="nil"/>
            </w:tcBorders>
            <w:shd w:val="clear" w:color="auto" w:fill="auto"/>
            <w:vAlign w:val="center"/>
          </w:tcPr>
          <w:p w14:paraId="46389F4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水域及水</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利设施用</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地</w:t>
            </w:r>
          </w:p>
        </w:tc>
        <w:tc>
          <w:tcPr>
            <w:tcW w:w="1850" w:type="pct"/>
            <w:tcBorders>
              <w:tl2br w:val="nil"/>
              <w:tr2bl w:val="nil"/>
            </w:tcBorders>
            <w:shd w:val="clear" w:color="auto" w:fill="auto"/>
            <w:vAlign w:val="center"/>
          </w:tcPr>
          <w:p w14:paraId="366D1E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包括艾丁湖生态保护治理项目(二期)工程中各子项目中渠道的新建渠道及改建渠道，新建管道工程等。</w:t>
            </w:r>
          </w:p>
        </w:tc>
      </w:tr>
      <w:tr w14:paraId="67AB0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0" w:hRule="atLeast"/>
          <w:jc w:val="center"/>
        </w:trPr>
        <w:tc>
          <w:tcPr>
            <w:tcW w:w="646" w:type="pct"/>
            <w:tcBorders>
              <w:tl2br w:val="nil"/>
              <w:tr2bl w:val="nil"/>
            </w:tcBorders>
            <w:shd w:val="clear" w:color="auto" w:fill="auto"/>
            <w:vAlign w:val="center"/>
          </w:tcPr>
          <w:p w14:paraId="6166DC7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取料(弃</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渣)场防</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治区</w:t>
            </w:r>
          </w:p>
        </w:tc>
        <w:tc>
          <w:tcPr>
            <w:tcW w:w="576" w:type="pct"/>
            <w:tcBorders>
              <w:tl2br w:val="nil"/>
              <w:tr2bl w:val="nil"/>
            </w:tcBorders>
            <w:shd w:val="clear" w:color="auto" w:fill="auto"/>
            <w:vAlign w:val="center"/>
          </w:tcPr>
          <w:p w14:paraId="7D2212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583" w:type="pct"/>
            <w:tcBorders>
              <w:tl2br w:val="nil"/>
              <w:tr2bl w:val="nil"/>
            </w:tcBorders>
            <w:shd w:val="clear" w:color="auto" w:fill="auto"/>
            <w:vAlign w:val="center"/>
          </w:tcPr>
          <w:p w14:paraId="16FCC47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30.98</w:t>
            </w:r>
          </w:p>
        </w:tc>
        <w:tc>
          <w:tcPr>
            <w:tcW w:w="606" w:type="pct"/>
            <w:tcBorders>
              <w:tl2br w:val="nil"/>
              <w:tr2bl w:val="nil"/>
            </w:tcBorders>
            <w:shd w:val="clear" w:color="auto" w:fill="auto"/>
            <w:vAlign w:val="center"/>
          </w:tcPr>
          <w:p w14:paraId="4768D39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30.98</w:t>
            </w:r>
          </w:p>
        </w:tc>
        <w:tc>
          <w:tcPr>
            <w:tcW w:w="736" w:type="pct"/>
            <w:vMerge w:val="restart"/>
            <w:tcBorders>
              <w:tl2br w:val="nil"/>
              <w:tr2bl w:val="nil"/>
            </w:tcBorders>
            <w:shd w:val="clear" w:color="auto" w:fill="auto"/>
            <w:vAlign w:val="center"/>
          </w:tcPr>
          <w:p w14:paraId="781C0D2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其他</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用地</w:t>
            </w:r>
          </w:p>
        </w:tc>
        <w:tc>
          <w:tcPr>
            <w:tcW w:w="1850" w:type="pct"/>
            <w:tcBorders>
              <w:tl2br w:val="nil"/>
              <w:tr2bl w:val="nil"/>
            </w:tcBorders>
            <w:shd w:val="clear" w:color="auto" w:fill="auto"/>
            <w:vAlign w:val="center"/>
          </w:tcPr>
          <w:p w14:paraId="1E1136B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包括各项目取料(弃渣)场总          计面积</w:t>
            </w:r>
          </w:p>
        </w:tc>
      </w:tr>
      <w:tr w14:paraId="4B4C6E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0" w:hRule="atLeast"/>
          <w:jc w:val="center"/>
        </w:trPr>
        <w:tc>
          <w:tcPr>
            <w:tcW w:w="646" w:type="pct"/>
            <w:tcBorders>
              <w:tl2br w:val="nil"/>
              <w:tr2bl w:val="nil"/>
            </w:tcBorders>
            <w:shd w:val="clear" w:color="auto" w:fill="auto"/>
            <w:vAlign w:val="center"/>
          </w:tcPr>
          <w:p w14:paraId="11C76B0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道路工</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程防治</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区</w:t>
            </w:r>
          </w:p>
        </w:tc>
        <w:tc>
          <w:tcPr>
            <w:tcW w:w="576" w:type="pct"/>
            <w:tcBorders>
              <w:tl2br w:val="nil"/>
              <w:tr2bl w:val="nil"/>
            </w:tcBorders>
            <w:shd w:val="clear" w:color="auto" w:fill="auto"/>
            <w:vAlign w:val="center"/>
          </w:tcPr>
          <w:p w14:paraId="77C25FA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583" w:type="pct"/>
            <w:tcBorders>
              <w:tl2br w:val="nil"/>
              <w:tr2bl w:val="nil"/>
            </w:tcBorders>
            <w:shd w:val="clear" w:color="auto" w:fill="auto"/>
            <w:vAlign w:val="center"/>
          </w:tcPr>
          <w:p w14:paraId="7515634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172.18</w:t>
            </w:r>
          </w:p>
        </w:tc>
        <w:tc>
          <w:tcPr>
            <w:tcW w:w="606" w:type="pct"/>
            <w:tcBorders>
              <w:tl2br w:val="nil"/>
              <w:tr2bl w:val="nil"/>
            </w:tcBorders>
            <w:shd w:val="clear" w:color="auto" w:fill="auto"/>
            <w:vAlign w:val="center"/>
          </w:tcPr>
          <w:p w14:paraId="27A6BB5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172.18</w:t>
            </w:r>
          </w:p>
        </w:tc>
        <w:tc>
          <w:tcPr>
            <w:tcW w:w="736" w:type="pct"/>
            <w:vMerge w:val="continue"/>
            <w:tcBorders>
              <w:tl2br w:val="nil"/>
              <w:tr2bl w:val="nil"/>
            </w:tcBorders>
            <w:shd w:val="clear" w:color="auto" w:fill="auto"/>
            <w:vAlign w:val="center"/>
          </w:tcPr>
          <w:p w14:paraId="24CDB5E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1850" w:type="pct"/>
            <w:tcBorders>
              <w:tl2br w:val="nil"/>
              <w:tr2bl w:val="nil"/>
            </w:tcBorders>
            <w:shd w:val="clear" w:color="auto" w:fill="auto"/>
            <w:vAlign w:val="center"/>
          </w:tcPr>
          <w:p w14:paraId="1270070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包括各项目临时施工道路，道       路平均宽度4m。</w:t>
            </w:r>
          </w:p>
        </w:tc>
      </w:tr>
      <w:tr w14:paraId="1A1E2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0" w:hRule="atLeast"/>
          <w:jc w:val="center"/>
        </w:trPr>
        <w:tc>
          <w:tcPr>
            <w:tcW w:w="646" w:type="pct"/>
            <w:tcBorders>
              <w:tl2br w:val="nil"/>
              <w:tr2bl w:val="nil"/>
            </w:tcBorders>
            <w:shd w:val="clear" w:color="auto" w:fill="auto"/>
            <w:vAlign w:val="center"/>
          </w:tcPr>
          <w:p w14:paraId="5B0BB5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临时生</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产生活</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防治区</w:t>
            </w:r>
          </w:p>
        </w:tc>
        <w:tc>
          <w:tcPr>
            <w:tcW w:w="576" w:type="pct"/>
            <w:tcBorders>
              <w:tl2br w:val="nil"/>
              <w:tr2bl w:val="nil"/>
            </w:tcBorders>
            <w:shd w:val="clear" w:color="auto" w:fill="auto"/>
            <w:vAlign w:val="center"/>
          </w:tcPr>
          <w:p w14:paraId="74DFAA8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583" w:type="pct"/>
            <w:tcBorders>
              <w:tl2br w:val="nil"/>
              <w:tr2bl w:val="nil"/>
            </w:tcBorders>
            <w:shd w:val="clear" w:color="auto" w:fill="auto"/>
            <w:vAlign w:val="center"/>
          </w:tcPr>
          <w:p w14:paraId="067F2FD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3.45</w:t>
            </w:r>
          </w:p>
        </w:tc>
        <w:tc>
          <w:tcPr>
            <w:tcW w:w="606" w:type="pct"/>
            <w:tcBorders>
              <w:tl2br w:val="nil"/>
              <w:tr2bl w:val="nil"/>
            </w:tcBorders>
            <w:shd w:val="clear" w:color="auto" w:fill="auto"/>
            <w:vAlign w:val="center"/>
          </w:tcPr>
          <w:p w14:paraId="232A476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3.45</w:t>
            </w:r>
          </w:p>
        </w:tc>
        <w:tc>
          <w:tcPr>
            <w:tcW w:w="736" w:type="pct"/>
            <w:vMerge w:val="continue"/>
            <w:tcBorders>
              <w:tl2br w:val="nil"/>
              <w:tr2bl w:val="nil"/>
            </w:tcBorders>
            <w:shd w:val="clear" w:color="auto" w:fill="auto"/>
            <w:vAlign w:val="center"/>
          </w:tcPr>
          <w:p w14:paraId="36F27CA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1850" w:type="pct"/>
            <w:tcBorders>
              <w:tl2br w:val="nil"/>
              <w:tr2bl w:val="nil"/>
            </w:tcBorders>
            <w:shd w:val="clear" w:color="auto" w:fill="auto"/>
            <w:vAlign w:val="center"/>
          </w:tcPr>
          <w:p w14:paraId="1E4E590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包括各项目临时生产生活区         总计面积。</w:t>
            </w:r>
          </w:p>
        </w:tc>
      </w:tr>
      <w:tr w14:paraId="58399D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646" w:type="pct"/>
            <w:tcBorders>
              <w:tl2br w:val="nil"/>
              <w:tr2bl w:val="nil"/>
            </w:tcBorders>
            <w:shd w:val="clear" w:color="auto" w:fill="auto"/>
            <w:vAlign w:val="center"/>
          </w:tcPr>
          <w:p w14:paraId="1C5DF69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合计</w:t>
            </w:r>
          </w:p>
        </w:tc>
        <w:tc>
          <w:tcPr>
            <w:tcW w:w="576" w:type="pct"/>
            <w:tcBorders>
              <w:tl2br w:val="nil"/>
              <w:tr2bl w:val="nil"/>
            </w:tcBorders>
            <w:shd w:val="clear" w:color="auto" w:fill="auto"/>
            <w:vAlign w:val="center"/>
          </w:tcPr>
          <w:p w14:paraId="21499D0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437.48</w:t>
            </w:r>
          </w:p>
        </w:tc>
        <w:tc>
          <w:tcPr>
            <w:tcW w:w="583" w:type="pct"/>
            <w:tcBorders>
              <w:tl2br w:val="nil"/>
              <w:tr2bl w:val="nil"/>
            </w:tcBorders>
            <w:shd w:val="clear" w:color="auto" w:fill="auto"/>
            <w:vAlign w:val="center"/>
          </w:tcPr>
          <w:p w14:paraId="5DBDED7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238.33</w:t>
            </w:r>
          </w:p>
        </w:tc>
        <w:tc>
          <w:tcPr>
            <w:tcW w:w="606" w:type="pct"/>
            <w:tcBorders>
              <w:tl2br w:val="nil"/>
              <w:tr2bl w:val="nil"/>
            </w:tcBorders>
            <w:shd w:val="clear" w:color="auto" w:fill="auto"/>
            <w:vAlign w:val="center"/>
          </w:tcPr>
          <w:p w14:paraId="2E12BF5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lang w:val="en-US" w:eastAsia="zh-CN"/>
              </w:rPr>
              <w:t>675.81</w:t>
            </w:r>
          </w:p>
        </w:tc>
        <w:tc>
          <w:tcPr>
            <w:tcW w:w="736" w:type="pct"/>
            <w:tcBorders>
              <w:tl2br w:val="nil"/>
              <w:tr2bl w:val="nil"/>
            </w:tcBorders>
            <w:shd w:val="clear" w:color="auto" w:fill="auto"/>
            <w:vAlign w:val="center"/>
          </w:tcPr>
          <w:p w14:paraId="12D2099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c>
          <w:tcPr>
            <w:tcW w:w="1850" w:type="pct"/>
            <w:tcBorders>
              <w:tl2br w:val="nil"/>
              <w:tr2bl w:val="nil"/>
            </w:tcBorders>
            <w:shd w:val="clear" w:color="auto" w:fill="auto"/>
            <w:vAlign w:val="center"/>
          </w:tcPr>
          <w:p w14:paraId="1E6CDF4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bl>
    <w:p w14:paraId="556C42A5">
      <w:pPr>
        <w:spacing w:before="78" w:line="220" w:lineRule="auto"/>
        <w:outlineLvl w:val="3"/>
      </w:pPr>
    </w:p>
    <w:p w14:paraId="089C80D5">
      <w:pPr>
        <w:spacing w:before="78" w:line="220" w:lineRule="auto"/>
        <w:ind w:left="18"/>
        <w:outlineLvl w:val="3"/>
        <w:rPr>
          <w:rFonts w:ascii="宋体" w:hAnsi="宋体" w:eastAsia="宋体" w:cs="宋体"/>
          <w:sz w:val="24"/>
          <w:szCs w:val="24"/>
        </w:rPr>
      </w:pPr>
      <w:r>
        <w:rPr>
          <w:b/>
          <w:bCs/>
        </w:rPr>
        <w:fldChar w:fldCharType="begin"/>
      </w:r>
      <w:r>
        <w:rPr>
          <w:b/>
          <w:bCs/>
        </w:rPr>
        <w:instrText xml:space="preserve"> HYPERLINK "3.2.1.8"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3.2.1.8</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主要工程量及土石方平衡</w:t>
      </w:r>
    </w:p>
    <w:p w14:paraId="7EA2C9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工程建设土石方工程量主要来自于管沟、渠道开挖与回填及土地平整等施工活动。土石方开挖总量为 248.33万m，土石方回填总量为216.98万m，外借土石方总量91.99万m，弃方量为60.64万m，弃方均拉运至取料(弃渣)场。根据“开挖+调入+外借=回填+调出+废弃”进行校核计算，本工程建设期土石方平衡。</w:t>
      </w:r>
    </w:p>
    <w:p w14:paraId="521284E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4"/>
          <w:szCs w:val="24"/>
        </w:rPr>
      </w:pPr>
      <w:r>
        <w:rPr>
          <w:b/>
          <w:bCs/>
        </w:rPr>
        <w:fldChar w:fldCharType="begin"/>
      </w:r>
      <w:r>
        <w:rPr>
          <w:b/>
          <w:bCs/>
        </w:rPr>
        <w:instrText xml:space="preserve"> HYPERLINK "3.2.1.9"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3.2.1.9</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施工总布置</w:t>
      </w:r>
    </w:p>
    <w:p w14:paraId="1E55AD47">
      <w:pPr>
        <w:spacing w:before="181" w:line="221" w:lineRule="auto"/>
        <w:ind w:left="237"/>
        <w:outlineLvl w:val="4"/>
        <w:rPr>
          <w:rFonts w:ascii="宋体" w:hAnsi="宋体" w:eastAsia="宋体" w:cs="宋体"/>
          <w:sz w:val="24"/>
          <w:szCs w:val="24"/>
        </w:rPr>
      </w:pPr>
      <w:r>
        <w:rPr>
          <w:rFonts w:ascii="宋体" w:hAnsi="宋体" w:eastAsia="宋体" w:cs="宋体"/>
          <w:spacing w:val="-2"/>
          <w:sz w:val="24"/>
          <w:szCs w:val="24"/>
        </w:rPr>
        <w:t>3.2.1.9.1.</w:t>
      </w:r>
      <w:r>
        <w:rPr>
          <w:rFonts w:ascii="宋体" w:hAnsi="宋体" w:eastAsia="宋体" w:cs="宋体"/>
          <w:spacing w:val="-44"/>
          <w:sz w:val="24"/>
          <w:szCs w:val="24"/>
        </w:rPr>
        <w:t xml:space="preserve"> </w:t>
      </w:r>
      <w:r>
        <w:rPr>
          <w:rFonts w:ascii="宋体" w:hAnsi="宋体" w:eastAsia="宋体" w:cs="宋体"/>
          <w:spacing w:val="-2"/>
          <w:sz w:val="24"/>
          <w:szCs w:val="24"/>
        </w:rPr>
        <w:t>施工组织设计</w:t>
      </w:r>
    </w:p>
    <w:p w14:paraId="35B85A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ascii="宋体" w:hAnsi="宋体" w:eastAsia="宋体" w:cs="宋体"/>
          <w:sz w:val="24"/>
          <w:szCs w:val="24"/>
        </w:rPr>
      </w:pPr>
      <w:r>
        <w:rPr>
          <w:rFonts w:ascii="宋体" w:hAnsi="宋体" w:eastAsia="宋体" w:cs="宋体"/>
          <w:spacing w:val="-5"/>
          <w:sz w:val="24"/>
          <w:szCs w:val="24"/>
        </w:rPr>
        <w:t>1、场地条件</w:t>
      </w:r>
    </w:p>
    <w:p w14:paraId="1FF8AD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本工程属于更新改造项目，施工点较多，根据各分项工程</w:t>
      </w:r>
      <w:r>
        <w:rPr>
          <w:rFonts w:ascii="宋体" w:hAnsi="宋体" w:eastAsia="宋体" w:cs="宋体"/>
          <w:spacing w:val="2"/>
          <w:sz w:val="24"/>
          <w:szCs w:val="24"/>
        </w:rPr>
        <w:t>具体情况采用总体</w:t>
      </w:r>
      <w:r>
        <w:rPr>
          <w:rFonts w:ascii="宋体" w:hAnsi="宋体" w:eastAsia="宋体" w:cs="宋体"/>
          <w:spacing w:val="-2"/>
          <w:sz w:val="24"/>
          <w:szCs w:val="24"/>
        </w:rPr>
        <w:t>上分散，结合局部集中布置。工程区场地开阔</w:t>
      </w:r>
      <w:r>
        <w:rPr>
          <w:rFonts w:ascii="宋体" w:hAnsi="宋体" w:eastAsia="宋体" w:cs="宋体"/>
          <w:spacing w:val="-3"/>
          <w:sz w:val="24"/>
          <w:szCs w:val="24"/>
        </w:rPr>
        <w:t>，施工场地均能满足施工布置要求，</w:t>
      </w:r>
      <w:r>
        <w:rPr>
          <w:rFonts w:ascii="宋体" w:hAnsi="宋体" w:eastAsia="宋体" w:cs="宋体"/>
          <w:spacing w:val="-1"/>
          <w:sz w:val="24"/>
          <w:szCs w:val="24"/>
        </w:rPr>
        <w:t>施工布置条件较好。</w:t>
      </w:r>
    </w:p>
    <w:p w14:paraId="743EA0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2、对外交通条件</w:t>
      </w:r>
    </w:p>
    <w:p w14:paraId="6F4AF8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1"/>
          <w:sz w:val="24"/>
          <w:szCs w:val="24"/>
          <w:lang w:val="en-US" w:eastAsia="zh-CN"/>
        </w:rPr>
      </w:pPr>
      <w:r>
        <w:rPr>
          <w:rFonts w:ascii="宋体" w:hAnsi="宋体" w:eastAsia="宋体" w:cs="宋体"/>
          <w:spacing w:val="3"/>
          <w:sz w:val="24"/>
          <w:szCs w:val="24"/>
        </w:rPr>
        <w:t>本工程所在区域内，</w:t>
      </w:r>
      <w:r>
        <w:rPr>
          <w:rFonts w:hint="eastAsia" w:ascii="宋体" w:hAnsi="宋体" w:eastAsia="宋体" w:cs="宋体"/>
          <w:spacing w:val="3"/>
          <w:sz w:val="24"/>
          <w:szCs w:val="24"/>
          <w:lang w:eastAsia="zh-CN"/>
        </w:rPr>
        <w:t>吐鲁番市</w:t>
      </w:r>
      <w:r>
        <w:rPr>
          <w:rFonts w:hint="eastAsia" w:ascii="宋体" w:hAnsi="宋体" w:eastAsia="宋体" w:cs="宋体"/>
          <w:spacing w:val="3"/>
          <w:sz w:val="24"/>
          <w:szCs w:val="24"/>
          <w:lang w:val="en-US" w:eastAsia="zh-CN"/>
        </w:rPr>
        <w:t>周边</w:t>
      </w:r>
      <w:r>
        <w:rPr>
          <w:rFonts w:ascii="宋体" w:hAnsi="宋体" w:eastAsia="宋体" w:cs="宋体"/>
          <w:spacing w:val="3"/>
          <w:sz w:val="24"/>
          <w:szCs w:val="24"/>
        </w:rPr>
        <w:t>干线公路和县乡村镇间油路及村与村间油路、</w:t>
      </w:r>
      <w:r>
        <w:rPr>
          <w:rFonts w:ascii="宋体" w:hAnsi="宋体" w:eastAsia="宋体" w:cs="宋体"/>
          <w:spacing w:val="2"/>
          <w:sz w:val="24"/>
          <w:szCs w:val="24"/>
        </w:rPr>
        <w:t>机耕路四通八达，交通较便</w:t>
      </w:r>
      <w:r>
        <w:rPr>
          <w:rFonts w:ascii="宋体" w:hAnsi="宋体" w:eastAsia="宋体" w:cs="宋体"/>
          <w:spacing w:val="3"/>
          <w:sz w:val="24"/>
          <w:szCs w:val="24"/>
        </w:rPr>
        <w:t>利。工程项目主要建设内容为渠道工程及</w:t>
      </w:r>
      <w:r>
        <w:rPr>
          <w:rFonts w:ascii="宋体" w:hAnsi="宋体" w:eastAsia="宋体" w:cs="宋体"/>
          <w:spacing w:val="2"/>
          <w:sz w:val="24"/>
          <w:szCs w:val="24"/>
        </w:rPr>
        <w:t>渠系建筑物工程，乡</w:t>
      </w:r>
      <w:r>
        <w:rPr>
          <w:rFonts w:ascii="宋体" w:hAnsi="宋体" w:eastAsia="宋体" w:cs="宋体"/>
          <w:spacing w:val="-1"/>
          <w:sz w:val="24"/>
          <w:szCs w:val="24"/>
        </w:rPr>
        <w:t>村及村与村之间油路四通八达，完全可以满足施工对外交通需要</w:t>
      </w:r>
      <w:r>
        <w:rPr>
          <w:rFonts w:hint="eastAsia" w:ascii="宋体" w:hAnsi="宋体" w:eastAsia="宋体" w:cs="宋体"/>
          <w:spacing w:val="-1"/>
          <w:sz w:val="24"/>
          <w:szCs w:val="24"/>
          <w:lang w:eastAsia="zh-CN"/>
        </w:rPr>
        <w:t>。</w:t>
      </w:r>
    </w:p>
    <w:p w14:paraId="67B643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3、对内交通</w:t>
      </w:r>
    </w:p>
    <w:p w14:paraId="249175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场内施工道路：对内交通可利用现有的主干道、小石子路，渠</w:t>
      </w:r>
      <w:r>
        <w:rPr>
          <w:rFonts w:ascii="宋体" w:hAnsi="宋体" w:eastAsia="宋体" w:cs="宋体"/>
          <w:spacing w:val="2"/>
          <w:sz w:val="24"/>
          <w:szCs w:val="24"/>
        </w:rPr>
        <w:t>道沿线乡村道</w:t>
      </w:r>
      <w:r>
        <w:rPr>
          <w:rFonts w:ascii="宋体" w:hAnsi="宋体" w:eastAsia="宋体" w:cs="宋体"/>
          <w:spacing w:val="3"/>
          <w:sz w:val="24"/>
          <w:szCs w:val="24"/>
        </w:rPr>
        <w:t>路、便道。建新渠沿线渠边有小石子路伴行，局部段</w:t>
      </w:r>
      <w:r>
        <w:rPr>
          <w:rFonts w:ascii="宋体" w:hAnsi="宋体" w:eastAsia="宋体" w:cs="宋体"/>
          <w:spacing w:val="2"/>
          <w:sz w:val="24"/>
          <w:szCs w:val="24"/>
        </w:rPr>
        <w:t>无路，需修建临时道路；在</w:t>
      </w:r>
      <w:r>
        <w:rPr>
          <w:rFonts w:ascii="宋体" w:hAnsi="宋体" w:eastAsia="宋体" w:cs="宋体"/>
          <w:spacing w:val="-2"/>
          <w:sz w:val="24"/>
          <w:szCs w:val="24"/>
        </w:rPr>
        <w:t>沿渠道一侧的耕地内临时征用</w:t>
      </w:r>
      <w:r>
        <w:rPr>
          <w:rFonts w:ascii="宋体" w:hAnsi="宋体" w:eastAsia="宋体" w:cs="宋体"/>
          <w:spacing w:val="-37"/>
          <w:sz w:val="24"/>
          <w:szCs w:val="24"/>
        </w:rPr>
        <w:t xml:space="preserve"> </w:t>
      </w:r>
      <w:r>
        <w:rPr>
          <w:rFonts w:ascii="宋体" w:hAnsi="宋体" w:eastAsia="宋体" w:cs="宋体"/>
          <w:spacing w:val="-2"/>
          <w:sz w:val="24"/>
          <w:szCs w:val="24"/>
        </w:rPr>
        <w:t>4m</w:t>
      </w:r>
      <w:r>
        <w:rPr>
          <w:rFonts w:ascii="宋体" w:hAnsi="宋体" w:eastAsia="宋体" w:cs="宋体"/>
          <w:spacing w:val="-38"/>
          <w:sz w:val="24"/>
          <w:szCs w:val="24"/>
        </w:rPr>
        <w:t xml:space="preserve"> </w:t>
      </w:r>
      <w:r>
        <w:rPr>
          <w:rFonts w:ascii="宋体" w:hAnsi="宋体" w:eastAsia="宋体" w:cs="宋体"/>
          <w:spacing w:val="-2"/>
          <w:sz w:val="24"/>
          <w:szCs w:val="24"/>
        </w:rPr>
        <w:t>宽的范围作为临时道路，不需垫土，原地平整，</w:t>
      </w:r>
      <w:r>
        <w:rPr>
          <w:rFonts w:ascii="宋体" w:hAnsi="宋体" w:eastAsia="宋体" w:cs="宋体"/>
          <w:sz w:val="24"/>
          <w:szCs w:val="24"/>
        </w:rPr>
        <w:t>施工结束后，将施工临时道路复垦成耕地。本工程共需修建临时道路长</w:t>
      </w:r>
      <w:r>
        <w:rPr>
          <w:rFonts w:ascii="宋体" w:hAnsi="宋体" w:eastAsia="宋体" w:cs="宋体"/>
          <w:spacing w:val="-29"/>
          <w:sz w:val="24"/>
          <w:szCs w:val="24"/>
        </w:rPr>
        <w:t xml:space="preserve"> </w:t>
      </w:r>
      <w:r>
        <w:rPr>
          <w:rFonts w:ascii="宋体" w:hAnsi="宋体" w:eastAsia="宋体" w:cs="宋体"/>
          <w:sz w:val="24"/>
          <w:szCs w:val="24"/>
        </w:rPr>
        <w:t>1.98km，</w:t>
      </w:r>
      <w:r>
        <w:rPr>
          <w:rFonts w:ascii="宋体" w:hAnsi="宋体" w:eastAsia="宋体" w:cs="宋体"/>
          <w:spacing w:val="-2"/>
          <w:sz w:val="24"/>
          <w:szCs w:val="24"/>
        </w:rPr>
        <w:t>临时占地面积为</w:t>
      </w:r>
      <w:r>
        <w:rPr>
          <w:rFonts w:ascii="宋体" w:hAnsi="宋体" w:eastAsia="宋体" w:cs="宋体"/>
          <w:spacing w:val="-46"/>
          <w:sz w:val="24"/>
          <w:szCs w:val="24"/>
        </w:rPr>
        <w:t xml:space="preserve"> </w:t>
      </w:r>
      <w:r>
        <w:rPr>
          <w:rFonts w:ascii="宋体" w:hAnsi="宋体" w:eastAsia="宋体" w:cs="宋体"/>
          <w:spacing w:val="-2"/>
          <w:sz w:val="24"/>
          <w:szCs w:val="24"/>
        </w:rPr>
        <w:t>0.79</w:t>
      </w:r>
      <w:r>
        <w:rPr>
          <w:rFonts w:ascii="宋体" w:hAnsi="宋体" w:eastAsia="宋体" w:cs="宋体"/>
          <w:spacing w:val="-50"/>
          <w:sz w:val="24"/>
          <w:szCs w:val="24"/>
        </w:rPr>
        <w:t xml:space="preserve"> </w:t>
      </w:r>
      <w:r>
        <w:rPr>
          <w:rFonts w:ascii="宋体" w:hAnsi="宋体" w:eastAsia="宋体" w:cs="宋体"/>
          <w:spacing w:val="-2"/>
          <w:sz w:val="24"/>
          <w:szCs w:val="24"/>
        </w:rPr>
        <w:t>亩。施工临时道路一览表见表</w:t>
      </w:r>
      <w:r>
        <w:rPr>
          <w:rFonts w:ascii="宋体" w:hAnsi="宋体" w:eastAsia="宋体" w:cs="宋体"/>
          <w:spacing w:val="-46"/>
          <w:sz w:val="24"/>
          <w:szCs w:val="24"/>
        </w:rPr>
        <w:t xml:space="preserve"> </w:t>
      </w:r>
      <w:r>
        <w:rPr>
          <w:rFonts w:ascii="宋体" w:hAnsi="宋体" w:eastAsia="宋体" w:cs="宋体"/>
          <w:spacing w:val="-2"/>
          <w:sz w:val="24"/>
          <w:szCs w:val="24"/>
        </w:rPr>
        <w:t>3-2-12。</w:t>
      </w:r>
    </w:p>
    <w:p w14:paraId="689A44E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z w:val="24"/>
          <w:szCs w:val="24"/>
        </w:rPr>
      </w:pPr>
      <w:r>
        <w:rPr>
          <w:rFonts w:ascii="宋体" w:hAnsi="宋体" w:eastAsia="宋体" w:cs="宋体"/>
          <w:spacing w:val="-1"/>
          <w:sz w:val="24"/>
          <w:szCs w:val="24"/>
        </w:rPr>
        <w:t>4、建筑材料、水电供应及机械修配条件</w:t>
      </w:r>
    </w:p>
    <w:p w14:paraId="2D99587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textAlignment w:val="baseline"/>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1</w:t>
      </w:r>
      <w:r>
        <w:rPr>
          <w:rFonts w:hint="eastAsia" w:ascii="宋体" w:hAnsi="宋体" w:eastAsia="宋体" w:cs="宋体"/>
          <w:spacing w:val="-8"/>
          <w:sz w:val="24"/>
          <w:szCs w:val="24"/>
          <w:lang w:eastAsia="zh-CN"/>
        </w:rPr>
        <w:t>）</w:t>
      </w:r>
      <w:r>
        <w:rPr>
          <w:rFonts w:ascii="宋体" w:hAnsi="宋体" w:eastAsia="宋体" w:cs="宋体"/>
          <w:spacing w:val="-8"/>
          <w:sz w:val="24"/>
          <w:szCs w:val="24"/>
        </w:rPr>
        <w:t>建材供应</w:t>
      </w:r>
    </w:p>
    <w:p w14:paraId="3128A7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pacing w:val="-1"/>
          <w:sz w:val="24"/>
          <w:szCs w:val="24"/>
        </w:rPr>
      </w:pPr>
      <w:r>
        <w:rPr>
          <w:rFonts w:ascii="宋体" w:hAnsi="宋体" w:eastAsia="宋体" w:cs="宋体"/>
          <w:spacing w:val="3"/>
          <w:sz w:val="24"/>
          <w:szCs w:val="24"/>
        </w:rPr>
        <w:t>本工程所需天然建筑材料主要为砂石料和块石料，砂石及</w:t>
      </w:r>
      <w:r>
        <w:rPr>
          <w:rFonts w:ascii="宋体" w:hAnsi="宋体" w:eastAsia="宋体" w:cs="宋体"/>
          <w:spacing w:val="2"/>
          <w:sz w:val="24"/>
          <w:szCs w:val="24"/>
        </w:rPr>
        <w:t>块石料考虑在工程</w:t>
      </w:r>
      <w:r>
        <w:rPr>
          <w:rFonts w:ascii="宋体" w:hAnsi="宋体" w:eastAsia="宋体" w:cs="宋体"/>
          <w:spacing w:val="3"/>
          <w:sz w:val="24"/>
          <w:szCs w:val="24"/>
        </w:rPr>
        <w:t>周边商品料场就近采购。钢材、木材、水泥、汽</w:t>
      </w:r>
      <w:r>
        <w:rPr>
          <w:rFonts w:ascii="宋体" w:hAnsi="宋体" w:eastAsia="宋体" w:cs="宋体"/>
          <w:spacing w:val="2"/>
          <w:sz w:val="24"/>
          <w:szCs w:val="24"/>
        </w:rPr>
        <w:t>油、柴油等主要材料，可就近从</w:t>
      </w:r>
      <w:r>
        <w:rPr>
          <w:rFonts w:hint="eastAsia" w:ascii="宋体" w:hAnsi="宋体" w:eastAsia="宋体" w:cs="宋体"/>
          <w:spacing w:val="-1"/>
          <w:sz w:val="24"/>
          <w:szCs w:val="24"/>
          <w:lang w:eastAsia="zh-CN"/>
        </w:rPr>
        <w:t>吐鲁番市</w:t>
      </w:r>
      <w:r>
        <w:rPr>
          <w:rFonts w:ascii="宋体" w:hAnsi="宋体" w:eastAsia="宋体" w:cs="宋体"/>
          <w:spacing w:val="-1"/>
          <w:sz w:val="24"/>
          <w:szCs w:val="24"/>
        </w:rPr>
        <w:t>采购。</w:t>
      </w:r>
    </w:p>
    <w:p w14:paraId="0BE8EB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z w:val="24"/>
          <w:szCs w:val="24"/>
        </w:rPr>
      </w:pPr>
      <w:r>
        <w:rPr>
          <w:rFonts w:hint="eastAsia" w:ascii="宋体" w:hAnsi="宋体" w:eastAsia="宋体" w:cs="宋体"/>
          <w:spacing w:val="-4"/>
          <w:sz w:val="24"/>
          <w:szCs w:val="24"/>
          <w:lang w:eastAsia="zh-CN"/>
        </w:rPr>
        <w:t>（</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lang w:eastAsia="zh-CN"/>
        </w:rPr>
        <w:t>）</w:t>
      </w:r>
      <w:r>
        <w:rPr>
          <w:rFonts w:ascii="宋体" w:hAnsi="宋体" w:eastAsia="宋体" w:cs="宋体"/>
          <w:spacing w:val="-4"/>
          <w:sz w:val="24"/>
          <w:szCs w:val="24"/>
        </w:rPr>
        <w:t>施工期水、电供应条件</w:t>
      </w:r>
    </w:p>
    <w:p w14:paraId="26D2CB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sz w:val="24"/>
          <w:szCs w:val="24"/>
        </w:rPr>
      </w:pPr>
      <w:r>
        <w:rPr>
          <w:sz w:val="24"/>
          <w:szCs w:val="24"/>
        </w:rPr>
        <w:t>生活用水：利用工程区已有水源或从附近村镇拉水，供各施工点的生活用水</w:t>
      </w:r>
    </w:p>
    <w:p w14:paraId="70E453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sz w:val="24"/>
          <w:szCs w:val="24"/>
        </w:rPr>
      </w:pPr>
      <w:r>
        <w:rPr>
          <w:sz w:val="24"/>
          <w:szCs w:val="24"/>
        </w:rPr>
        <w:t>施工用水：直接从渠道内拉取使用。</w:t>
      </w:r>
    </w:p>
    <w:p w14:paraId="10E261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sz w:val="24"/>
          <w:szCs w:val="24"/>
        </w:rPr>
      </w:pPr>
      <w:r>
        <w:rPr>
          <w:sz w:val="24"/>
          <w:szCs w:val="24"/>
        </w:rPr>
        <w:t>施工供电：可从</w:t>
      </w:r>
      <w:r>
        <w:rPr>
          <w:rFonts w:hint="eastAsia"/>
          <w:sz w:val="24"/>
          <w:szCs w:val="24"/>
          <w:lang w:eastAsia="zh-CN"/>
        </w:rPr>
        <w:t>泵房</w:t>
      </w:r>
      <w:r>
        <w:rPr>
          <w:sz w:val="24"/>
          <w:szCs w:val="24"/>
        </w:rPr>
        <w:t>等已有电源引接或附近 10kV 线路“T ”接至工区 ，并配备柴油发电机作为辅助或备用电源，即可满足施工要求。</w:t>
      </w:r>
    </w:p>
    <w:p w14:paraId="5B60BC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lang w:eastAsia="zh-CN"/>
        </w:rPr>
        <w:t>）</w:t>
      </w:r>
      <w:r>
        <w:rPr>
          <w:rFonts w:ascii="宋体" w:hAnsi="宋体" w:eastAsia="宋体" w:cs="宋体"/>
          <w:spacing w:val="-6"/>
          <w:sz w:val="24"/>
          <w:szCs w:val="24"/>
        </w:rPr>
        <w:t>机械修配条件</w:t>
      </w:r>
    </w:p>
    <w:p w14:paraId="59C423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sz w:val="24"/>
          <w:szCs w:val="24"/>
        </w:rPr>
      </w:pPr>
      <w:r>
        <w:rPr>
          <w:sz w:val="24"/>
          <w:szCs w:val="24"/>
        </w:rPr>
        <w:t>工程区距离</w:t>
      </w:r>
      <w:r>
        <w:rPr>
          <w:rFonts w:hint="eastAsia"/>
          <w:sz w:val="24"/>
          <w:szCs w:val="24"/>
          <w:lang w:eastAsia="zh-CN"/>
        </w:rPr>
        <w:t>吐鲁番市</w:t>
      </w:r>
      <w:r>
        <w:rPr>
          <w:sz w:val="24"/>
          <w:szCs w:val="24"/>
        </w:rPr>
        <w:t>、</w:t>
      </w:r>
      <w:r>
        <w:rPr>
          <w:rFonts w:hint="eastAsia"/>
          <w:sz w:val="24"/>
          <w:szCs w:val="24"/>
          <w:lang w:eastAsia="zh-CN"/>
        </w:rPr>
        <w:t>鄯善县、托克逊县</w:t>
      </w:r>
      <w:r>
        <w:rPr>
          <w:sz w:val="24"/>
          <w:szCs w:val="24"/>
        </w:rPr>
        <w:t>城及各乡镇距离较近，现有的社会修配企业能够满足本工程施工机械设备的大修要求，施工现场仅进行简单的设备维修即可。</w:t>
      </w:r>
    </w:p>
    <w:p w14:paraId="7932E3A4">
      <w:pPr>
        <w:spacing w:before="184" w:line="220" w:lineRule="auto"/>
        <w:ind w:left="137"/>
        <w:outlineLvl w:val="3"/>
        <w:rPr>
          <w:b/>
          <w:bCs/>
        </w:rPr>
      </w:pPr>
    </w:p>
    <w:p w14:paraId="65F13077">
      <w:pPr>
        <w:keepNext w:val="0"/>
        <w:keepLines w:val="0"/>
        <w:pageBreakBefore w:val="0"/>
        <w:widowControl/>
        <w:kinsoku w:val="0"/>
        <w:wordWrap/>
        <w:overflowPunct/>
        <w:topLinePunct w:val="0"/>
        <w:autoSpaceDE w:val="0"/>
        <w:autoSpaceDN w:val="0"/>
        <w:bidi w:val="0"/>
        <w:adjustRightInd w:val="0"/>
        <w:snapToGrid w:val="0"/>
        <w:spacing w:before="184" w:line="360" w:lineRule="auto"/>
        <w:ind w:left="136"/>
        <w:textAlignment w:val="baseline"/>
        <w:outlineLvl w:val="3"/>
        <w:rPr>
          <w:rFonts w:ascii="宋体" w:hAnsi="宋体" w:eastAsia="宋体" w:cs="宋体"/>
          <w:sz w:val="24"/>
          <w:szCs w:val="24"/>
        </w:rPr>
      </w:pPr>
      <w:r>
        <w:rPr>
          <w:b/>
          <w:bCs/>
        </w:rPr>
        <w:fldChar w:fldCharType="begin"/>
      </w:r>
      <w:r>
        <w:rPr>
          <w:b/>
          <w:bCs/>
        </w:rPr>
        <w:instrText xml:space="preserve"> HYPERLINK "3.2.1.10"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3.2.1.10</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施工总进度</w:t>
      </w:r>
    </w:p>
    <w:p w14:paraId="13EC20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hint="default" w:ascii="宋体" w:hAnsi="宋体" w:eastAsia="宋体" w:cs="宋体"/>
          <w:sz w:val="24"/>
          <w:szCs w:val="24"/>
          <w:lang w:val="en-US" w:eastAsia="zh-CN"/>
        </w:rPr>
      </w:pPr>
      <w:r>
        <w:rPr>
          <w:rFonts w:hint="eastAsia" w:ascii="宋体" w:hAnsi="宋体" w:eastAsia="宋体" w:cs="宋体"/>
          <w:spacing w:val="-6"/>
          <w:sz w:val="24"/>
          <w:szCs w:val="24"/>
        </w:rPr>
        <w:t>本工程施工总工期32个月，其中施工准备期6个月，主体工程施工期24个月，完工期1个月。</w:t>
      </w:r>
    </w:p>
    <w:p w14:paraId="2756E9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3"/>
          <w:sz w:val="24"/>
          <w:szCs w:val="24"/>
        </w:rPr>
      </w:pPr>
      <w:r>
        <w:rPr>
          <w:rFonts w:hint="eastAsia" w:ascii="宋体" w:hAnsi="宋体" w:eastAsia="宋体" w:cs="宋体"/>
          <w:spacing w:val="3"/>
          <w:sz w:val="24"/>
          <w:szCs w:val="24"/>
        </w:rPr>
        <w:t>筹建期</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为第一年的4-5月，第二年的1-2月，第三年的1-2月，共6个月完成招标、签约、征地补偿和移民安置等工作。</w:t>
      </w:r>
    </w:p>
    <w:p w14:paraId="1F3E9CD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3"/>
          <w:sz w:val="24"/>
          <w:szCs w:val="24"/>
        </w:rPr>
      </w:pPr>
      <w:r>
        <w:rPr>
          <w:rFonts w:hint="eastAsia" w:ascii="宋体" w:hAnsi="宋体" w:eastAsia="宋体" w:cs="宋体"/>
          <w:spacing w:val="3"/>
          <w:sz w:val="24"/>
          <w:szCs w:val="24"/>
        </w:rPr>
        <w:t>施工准备期</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为第一年的4-5月，第二年的1-2月，第三年的1-2月，完成施工单位的进场准备工作、主干道路等，完成水、电、通讯设施和临时房屋建设等进场工作。为加快施工进度,渠道和建筑物等土方工程争取在准备期开始进行。</w:t>
      </w:r>
    </w:p>
    <w:p w14:paraId="2DF6913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pacing w:val="3"/>
          <w:sz w:val="24"/>
          <w:szCs w:val="24"/>
        </w:rPr>
      </w:pPr>
      <w:r>
        <w:rPr>
          <w:rFonts w:hint="eastAsia" w:ascii="宋体" w:hAnsi="宋体" w:eastAsia="宋体" w:cs="宋体"/>
          <w:spacing w:val="3"/>
          <w:sz w:val="24"/>
          <w:szCs w:val="24"/>
        </w:rPr>
        <w:t>主体工程施工期</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为第一年的6月~第二年的10月,共24个月。完成渠(管)道土方工程、金属结构制造及安装、机电设备制造及安装、管道工程安装、混凝土浇筑和建筑物的施工。</w:t>
      </w:r>
    </w:p>
    <w:p w14:paraId="29B08E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本工程施工期以不影响农田灌溉为原则，按资金投入计划</w:t>
      </w:r>
      <w:r>
        <w:rPr>
          <w:rFonts w:ascii="宋体" w:hAnsi="宋体" w:eastAsia="宋体" w:cs="宋体"/>
          <w:spacing w:val="2"/>
          <w:sz w:val="24"/>
          <w:szCs w:val="24"/>
        </w:rPr>
        <w:t>进行安排。其中建</w:t>
      </w:r>
      <w:r>
        <w:rPr>
          <w:rFonts w:ascii="宋体" w:hAnsi="宋体" w:eastAsia="宋体" w:cs="宋体"/>
          <w:sz w:val="24"/>
          <w:szCs w:val="24"/>
        </w:rPr>
        <w:t xml:space="preserve"> </w:t>
      </w:r>
      <w:r>
        <w:rPr>
          <w:rFonts w:ascii="宋体" w:hAnsi="宋体" w:eastAsia="宋体" w:cs="宋体"/>
          <w:spacing w:val="3"/>
          <w:sz w:val="24"/>
          <w:szCs w:val="24"/>
        </w:rPr>
        <w:t>新支渠及渠系配套建筑物均安排在非灌溉期施工</w:t>
      </w:r>
      <w:r>
        <w:rPr>
          <w:rFonts w:ascii="宋体" w:hAnsi="宋体" w:eastAsia="宋体" w:cs="宋体"/>
          <w:spacing w:val="2"/>
          <w:sz w:val="24"/>
          <w:szCs w:val="24"/>
        </w:rPr>
        <w:t>，</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在</w:t>
      </w:r>
      <w:r>
        <w:rPr>
          <w:rFonts w:hint="eastAsia" w:ascii="宋体" w:hAnsi="宋体" w:eastAsia="宋体" w:cs="宋体"/>
          <w:spacing w:val="2"/>
          <w:sz w:val="24"/>
          <w:szCs w:val="24"/>
          <w:lang w:eastAsia="zh-CN"/>
        </w:rPr>
        <w:t>艾丁湖</w:t>
      </w:r>
      <w:r>
        <w:rPr>
          <w:rFonts w:ascii="宋体" w:hAnsi="宋体" w:eastAsia="宋体" w:cs="宋体"/>
          <w:spacing w:val="2"/>
          <w:sz w:val="24"/>
          <w:szCs w:val="24"/>
        </w:rPr>
        <w:t>枯水期结合非灌</w:t>
      </w:r>
      <w:r>
        <w:rPr>
          <w:rFonts w:ascii="宋体" w:hAnsi="宋体" w:eastAsia="宋体" w:cs="宋体"/>
          <w:spacing w:val="-1"/>
          <w:sz w:val="24"/>
          <w:szCs w:val="24"/>
        </w:rPr>
        <w:t>溉期施工。</w:t>
      </w:r>
    </w:p>
    <w:p w14:paraId="30EA13F9">
      <w:pPr>
        <w:keepNext w:val="0"/>
        <w:keepLines w:val="0"/>
        <w:pageBreakBefore w:val="0"/>
        <w:widowControl/>
        <w:kinsoku w:val="0"/>
        <w:wordWrap/>
        <w:overflowPunct/>
        <w:topLinePunct w:val="0"/>
        <w:autoSpaceDE w:val="0"/>
        <w:autoSpaceDN w:val="0"/>
        <w:bidi w:val="0"/>
        <w:adjustRightInd w:val="0"/>
        <w:snapToGrid w:val="0"/>
        <w:spacing w:before="301" w:line="360" w:lineRule="auto"/>
        <w:ind w:left="17"/>
        <w:textAlignment w:val="baseline"/>
        <w:outlineLvl w:val="3"/>
        <w:rPr>
          <w:rFonts w:ascii="宋体" w:hAnsi="宋体" w:eastAsia="宋体" w:cs="宋体"/>
          <w:b/>
          <w:bCs/>
          <w:sz w:val="24"/>
          <w:szCs w:val="24"/>
        </w:rPr>
      </w:pPr>
      <w:r>
        <w:rPr>
          <w:b/>
          <w:bCs/>
        </w:rPr>
        <w:fldChar w:fldCharType="begin"/>
      </w:r>
      <w:r>
        <w:rPr>
          <w:b/>
          <w:bCs/>
        </w:rPr>
        <w:instrText xml:space="preserve"> HYPERLINK "3.2.1.11"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3.2.1.11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公用工程</w:t>
      </w:r>
    </w:p>
    <w:p w14:paraId="5465C3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给排水</w:t>
      </w:r>
    </w:p>
    <w:p w14:paraId="21E7EB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施工用水从附近灌渠就近抽取；施工点生活用水利用工程区已有水源或从附 近村镇拉水。每个施工营地内设置一处防渗沉淀池，施工废水经沉淀后回用于场地洒水抑尘。</w:t>
      </w:r>
    </w:p>
    <w:p w14:paraId="426EC9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供电</w:t>
      </w:r>
    </w:p>
    <w:p w14:paraId="49D8AF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施工供电从</w:t>
      </w:r>
      <w:r>
        <w:rPr>
          <w:rFonts w:hint="eastAsia" w:ascii="宋体" w:hAnsi="宋体" w:eastAsia="宋体" w:cs="宋体"/>
          <w:sz w:val="24"/>
          <w:szCs w:val="24"/>
          <w:lang w:eastAsia="zh-CN"/>
        </w:rPr>
        <w:t>泵房</w:t>
      </w:r>
      <w:r>
        <w:rPr>
          <w:rFonts w:ascii="宋体" w:hAnsi="宋体" w:eastAsia="宋体" w:cs="宋体"/>
          <w:sz w:val="24"/>
          <w:szCs w:val="24"/>
        </w:rPr>
        <w:t>、变电站等已有电源引接，并配备柴油发电机作为辅助或备用电源，即可满足施工要求。80%利用网电，20%采用自发电。</w:t>
      </w:r>
    </w:p>
    <w:p w14:paraId="0DBA4C43">
      <w:pPr>
        <w:spacing w:line="240" w:lineRule="auto"/>
        <w:ind w:left="0" w:right="0" w:firstLine="0"/>
        <w:rPr>
          <w:rFonts w:ascii="宋体" w:hAnsi="宋体" w:eastAsia="宋体" w:cs="宋体"/>
          <w:sz w:val="24"/>
          <w:szCs w:val="24"/>
        </w:rPr>
      </w:pPr>
    </w:p>
    <w:p w14:paraId="7BC9E21A">
      <w:pPr>
        <w:spacing w:before="92" w:line="221" w:lineRule="auto"/>
        <w:ind w:left="20"/>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3.2.2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工程分析</w:t>
      </w:r>
    </w:p>
    <w:p w14:paraId="6E6CA1C6">
      <w:pPr>
        <w:spacing w:before="204" w:line="220" w:lineRule="auto"/>
        <w:ind w:left="18"/>
        <w:outlineLvl w:val="3"/>
        <w:rPr>
          <w:rFonts w:ascii="宋体" w:hAnsi="宋体" w:eastAsia="宋体" w:cs="宋体"/>
          <w:sz w:val="24"/>
          <w:szCs w:val="24"/>
        </w:rPr>
      </w:pPr>
      <w:r>
        <w:rPr>
          <w:b/>
          <w:bCs/>
        </w:rPr>
        <w:fldChar w:fldCharType="begin"/>
      </w:r>
      <w:r>
        <w:rPr>
          <w:b/>
          <w:bCs/>
        </w:rPr>
        <w:instrText xml:space="preserve"> HYPERLINK "3.2.2.1"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3.2.2.1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施工期工程分析</w:t>
      </w:r>
    </w:p>
    <w:p w14:paraId="3588C8B5">
      <w:pPr>
        <w:spacing w:before="180" w:line="222" w:lineRule="auto"/>
        <w:ind w:left="18"/>
        <w:outlineLvl w:val="4"/>
        <w:rPr>
          <w:rFonts w:ascii="宋体" w:hAnsi="宋体" w:eastAsia="宋体" w:cs="宋体"/>
          <w:sz w:val="24"/>
          <w:szCs w:val="24"/>
        </w:rPr>
      </w:pPr>
      <w:r>
        <w:rPr>
          <w:rFonts w:ascii="宋体" w:hAnsi="宋体" w:eastAsia="宋体" w:cs="宋体"/>
          <w:spacing w:val="-2"/>
          <w:sz w:val="24"/>
          <w:szCs w:val="24"/>
        </w:rPr>
        <w:t>3.2.2.1.1</w:t>
      </w: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rPr>
        <w:t>施工工艺</w:t>
      </w:r>
    </w:p>
    <w:p w14:paraId="3A6B1564">
      <w:pPr>
        <w:spacing w:before="276" w:line="219" w:lineRule="auto"/>
        <w:ind w:left="51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1、渠道防渗改建工程施工工艺流程</w:t>
      </w:r>
    </w:p>
    <w:p w14:paraId="3B80CB08">
      <w:pPr>
        <w:spacing w:before="278" w:line="500" w:lineRule="exact"/>
        <w:ind w:left="535"/>
        <w:rPr>
          <w:rFonts w:ascii="宋体" w:hAnsi="宋体" w:eastAsia="宋体" w:cs="宋体"/>
          <w:sz w:val="24"/>
          <w:szCs w:val="24"/>
        </w:rPr>
      </w:pPr>
      <w:r>
        <w:rPr>
          <w:rFonts w:hint="eastAsia" w:ascii="宋体" w:hAnsi="宋体" w:eastAsia="宋体" w:cs="宋体"/>
          <w:spacing w:val="-6"/>
          <w:position w:val="19"/>
          <w:sz w:val="24"/>
          <w:szCs w:val="24"/>
          <w:lang w:eastAsia="zh-CN"/>
        </w:rPr>
        <w:t>（</w:t>
      </w:r>
      <w:r>
        <w:rPr>
          <w:rFonts w:hint="eastAsia" w:ascii="宋体" w:hAnsi="宋体" w:eastAsia="宋体" w:cs="宋体"/>
          <w:spacing w:val="-6"/>
          <w:position w:val="19"/>
          <w:sz w:val="24"/>
          <w:szCs w:val="24"/>
          <w:lang w:val="en-US" w:eastAsia="zh-CN"/>
        </w:rPr>
        <w:t>1</w:t>
      </w:r>
      <w:r>
        <w:rPr>
          <w:rFonts w:hint="eastAsia" w:ascii="宋体" w:hAnsi="宋体" w:eastAsia="宋体" w:cs="宋体"/>
          <w:spacing w:val="-6"/>
          <w:position w:val="19"/>
          <w:sz w:val="24"/>
          <w:szCs w:val="24"/>
          <w:lang w:eastAsia="zh-CN"/>
        </w:rPr>
        <w:t>）</w:t>
      </w:r>
      <w:r>
        <w:rPr>
          <w:rFonts w:ascii="宋体" w:hAnsi="宋体" w:eastAsia="宋体" w:cs="宋体"/>
          <w:spacing w:val="-6"/>
          <w:position w:val="19"/>
          <w:sz w:val="24"/>
          <w:szCs w:val="24"/>
        </w:rPr>
        <w:t>施工工艺流程</w:t>
      </w:r>
    </w:p>
    <w:p w14:paraId="0562ECF8">
      <w:pPr>
        <w:spacing w:line="219" w:lineRule="auto"/>
        <w:ind w:left="495"/>
        <w:rPr>
          <w:rFonts w:ascii="宋体" w:hAnsi="宋体" w:eastAsia="宋体" w:cs="宋体"/>
          <w:spacing w:val="-2"/>
          <w:sz w:val="24"/>
          <w:szCs w:val="24"/>
        </w:rPr>
      </w:pPr>
      <w:r>
        <w:rPr>
          <w:rFonts w:ascii="宋体" w:hAnsi="宋体" w:eastAsia="宋体" w:cs="宋体"/>
          <w:spacing w:val="-2"/>
          <w:sz w:val="24"/>
          <w:szCs w:val="24"/>
        </w:rPr>
        <w:t>主要施工内容如下：</w:t>
      </w:r>
    </w:p>
    <w:p w14:paraId="52DA19B3">
      <w:pPr>
        <w:spacing w:line="219" w:lineRule="auto"/>
        <w:ind w:left="495"/>
        <w:rPr>
          <w:rFonts w:ascii="宋体" w:hAnsi="宋体" w:eastAsia="宋体" w:cs="宋体"/>
          <w:spacing w:val="-2"/>
          <w:sz w:val="24"/>
          <w:szCs w:val="24"/>
        </w:rPr>
      </w:pPr>
    </w:p>
    <w:p w14:paraId="41FCA2F6">
      <w:pPr>
        <w:spacing w:line="219" w:lineRule="auto"/>
        <w:ind w:left="495"/>
        <w:rPr>
          <w:rFonts w:ascii="宋体" w:hAnsi="宋体" w:eastAsia="宋体" w:cs="宋体"/>
          <w:spacing w:val="-2"/>
          <w:sz w:val="24"/>
          <w:szCs w:val="24"/>
        </w:rPr>
      </w:pPr>
    </w:p>
    <w:p w14:paraId="16AE1008">
      <w:pPr>
        <w:spacing w:line="219" w:lineRule="auto"/>
        <w:ind w:left="495"/>
        <w:rPr>
          <w:rFonts w:ascii="宋体" w:hAnsi="宋体" w:eastAsia="宋体" w:cs="宋体"/>
          <w:spacing w:val="-2"/>
          <w:sz w:val="24"/>
          <w:szCs w:val="24"/>
        </w:rPr>
      </w:pPr>
    </w:p>
    <w:p w14:paraId="6E06BAB6">
      <w:pPr>
        <w:spacing w:line="219" w:lineRule="auto"/>
        <w:ind w:left="495"/>
        <w:rPr>
          <w:rFonts w:ascii="宋体" w:hAnsi="宋体" w:eastAsia="宋体" w:cs="宋体"/>
          <w:spacing w:val="-2"/>
          <w:sz w:val="24"/>
          <w:szCs w:val="24"/>
        </w:rPr>
      </w:pPr>
      <w:r>
        <w:drawing>
          <wp:anchor distT="0" distB="0" distL="0" distR="0" simplePos="0" relativeHeight="251661312" behindDoc="1" locked="0" layoutInCell="1" allowOverlap="1">
            <wp:simplePos x="0" y="0"/>
            <wp:positionH relativeFrom="column">
              <wp:posOffset>116840</wp:posOffset>
            </wp:positionH>
            <wp:positionV relativeFrom="paragraph">
              <wp:posOffset>32385</wp:posOffset>
            </wp:positionV>
            <wp:extent cx="5398135" cy="188087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
                    <a:stretch>
                      <a:fillRect/>
                    </a:stretch>
                  </pic:blipFill>
                  <pic:spPr>
                    <a:xfrm>
                      <a:off x="0" y="0"/>
                      <a:ext cx="5398008" cy="1880616"/>
                    </a:xfrm>
                    <a:prstGeom prst="rect">
                      <a:avLst/>
                    </a:prstGeom>
                  </pic:spPr>
                </pic:pic>
              </a:graphicData>
            </a:graphic>
          </wp:anchor>
        </w:drawing>
      </w:r>
    </w:p>
    <w:p w14:paraId="7EE3CD13">
      <w:pPr>
        <w:pStyle w:val="3"/>
        <w:spacing w:line="246" w:lineRule="auto"/>
      </w:pPr>
    </w:p>
    <w:p w14:paraId="371762DF">
      <w:pPr>
        <w:pStyle w:val="3"/>
        <w:spacing w:line="246" w:lineRule="auto"/>
      </w:pPr>
    </w:p>
    <w:p w14:paraId="18BCC348">
      <w:pPr>
        <w:pStyle w:val="3"/>
        <w:spacing w:line="246" w:lineRule="auto"/>
      </w:pPr>
    </w:p>
    <w:p w14:paraId="06697C5B">
      <w:pPr>
        <w:pStyle w:val="3"/>
        <w:spacing w:line="246" w:lineRule="auto"/>
      </w:pPr>
    </w:p>
    <w:p w14:paraId="7A7C2369">
      <w:pPr>
        <w:pStyle w:val="3"/>
        <w:spacing w:line="246" w:lineRule="auto"/>
      </w:pPr>
    </w:p>
    <w:p w14:paraId="657AC8E2">
      <w:pPr>
        <w:pStyle w:val="3"/>
        <w:spacing w:line="247" w:lineRule="auto"/>
      </w:pPr>
    </w:p>
    <w:p w14:paraId="67A3605B">
      <w:pPr>
        <w:pStyle w:val="3"/>
        <w:spacing w:line="247" w:lineRule="auto"/>
      </w:pPr>
    </w:p>
    <w:p w14:paraId="414B4219">
      <w:pPr>
        <w:pStyle w:val="3"/>
        <w:spacing w:line="247" w:lineRule="auto"/>
      </w:pPr>
    </w:p>
    <w:p w14:paraId="5F55D2A5">
      <w:pPr>
        <w:pStyle w:val="3"/>
        <w:spacing w:line="247" w:lineRule="auto"/>
      </w:pPr>
    </w:p>
    <w:p w14:paraId="6BCC93E5">
      <w:pPr>
        <w:pStyle w:val="3"/>
        <w:spacing w:line="247" w:lineRule="auto"/>
      </w:pPr>
    </w:p>
    <w:p w14:paraId="3B5CEE90">
      <w:pPr>
        <w:pStyle w:val="3"/>
        <w:spacing w:line="247" w:lineRule="auto"/>
      </w:pPr>
    </w:p>
    <w:p w14:paraId="0BEE2902">
      <w:pPr>
        <w:pStyle w:val="3"/>
        <w:spacing w:line="247" w:lineRule="auto"/>
      </w:pPr>
    </w:p>
    <w:p w14:paraId="6344D593">
      <w:pPr>
        <w:keepNext w:val="0"/>
        <w:keepLines w:val="0"/>
        <w:pageBreakBefore w:val="0"/>
        <w:wordWrap/>
        <w:overflowPunct/>
        <w:topLinePunct w:val="0"/>
        <w:bidi w:val="0"/>
        <w:spacing w:line="360" w:lineRule="auto"/>
        <w:ind w:firstLine="460" w:firstLineChars="200"/>
        <w:jc w:val="both"/>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r>
        <w:rPr>
          <w:rFonts w:ascii="宋体" w:hAnsi="宋体" w:eastAsia="宋体" w:cs="宋体"/>
          <w:spacing w:val="-5"/>
          <w:sz w:val="24"/>
          <w:szCs w:val="24"/>
        </w:rPr>
        <w:t>渠道防渗施工方法</w:t>
      </w:r>
    </w:p>
    <w:p w14:paraId="467EDEE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firstLine="480" w:firstLineChars="2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1）渠道清基</w:t>
      </w:r>
    </w:p>
    <w:p w14:paraId="69E6F9BC">
      <w:pPr>
        <w:keepNext w:val="0"/>
        <w:keepLines w:val="0"/>
        <w:pageBreakBefore w:val="0"/>
        <w:kinsoku/>
        <w:wordWrap/>
        <w:overflowPunct/>
        <w:topLinePunct w:val="0"/>
        <w:autoSpaceDE/>
        <w:autoSpaceDN/>
        <w:bidi w:val="0"/>
        <w:spacing w:line="360" w:lineRule="auto"/>
        <w:ind w:leftChars="0" w:firstLine="480" w:firstLineChars="2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清废料不得做为渠道回填土料，建基面的草皮、树根和杂植土等必须清除，清基厚度30cm，横向清基宽度不得小于渠道两侧外坡脚50cm。采用推土机推土，挖掘机配合自卸汽车拉运至</w:t>
      </w:r>
      <w:r>
        <w:rPr>
          <w:rFonts w:hint="eastAsia" w:ascii="宋体" w:hAnsi="宋体" w:eastAsia="宋体" w:cs="宋体"/>
          <w:color w:val="auto"/>
          <w:sz w:val="24"/>
        </w:rPr>
        <w:t>政府部门指定位置进行集中处理</w:t>
      </w:r>
      <w:r>
        <w:rPr>
          <w:rFonts w:hint="eastAsia" w:ascii="宋体" w:hAnsi="宋体" w:eastAsia="宋体" w:cs="宋体"/>
          <w:b w:val="0"/>
          <w:color w:val="auto"/>
          <w:kern w:val="2"/>
          <w:sz w:val="24"/>
          <w:szCs w:val="24"/>
          <w:lang w:val="en-US" w:eastAsia="zh-CN" w:bidi="ar-SA"/>
        </w:rPr>
        <w:t>。</w:t>
      </w:r>
    </w:p>
    <w:p w14:paraId="6FA9EBBC">
      <w:pPr>
        <w:keepNext w:val="0"/>
        <w:keepLines w:val="0"/>
        <w:pageBreakBefore w:val="0"/>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color w:val="auto"/>
          <w:kern w:val="2"/>
          <w:sz w:val="24"/>
          <w:szCs w:val="24"/>
          <w:highlight w:val="none"/>
          <w:lang w:val="en-US" w:eastAsia="zh-CN" w:bidi="ar-SA"/>
        </w:rPr>
        <w:t>2）土方开挖</w:t>
      </w:r>
    </w:p>
    <w:p w14:paraId="0CA4DFE8">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渠道工程主要为渠道土方开挖、回填、碾压、修坡、人工整修成型；土方开挖时以机械开挖为主，人工辅助的形式，在开挖时需根据先深后浅的原则，施工方法采用边填筑边碾压的施工方法，自上而下的开挖，针对渠底平整、渠坡修整。 </w:t>
      </w:r>
    </w:p>
    <w:p w14:paraId="069CE380">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对填方段应先人工清基，为保证筑堤质量，必须将表层杂草清除，可配合少量人工挖胶轮车运输，最后人工清理至设计开挖断面，碾压机械采用人工碾和平板振动碾相结合，一次铺料厚度不大于 30cm，土方压实度不低于 0.93。 </w:t>
      </w:r>
    </w:p>
    <w:p w14:paraId="5B9EF692">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b w:val="0"/>
          <w:color w:val="auto"/>
          <w:kern w:val="2"/>
          <w:sz w:val="24"/>
          <w:szCs w:val="22"/>
          <w:lang w:val="en-US" w:eastAsia="zh-CN" w:bidi="ar-SA"/>
        </w:rPr>
      </w:pPr>
      <w:r>
        <w:rPr>
          <w:rFonts w:hint="eastAsia" w:ascii="宋体" w:hAnsi="宋体" w:eastAsia="宋体" w:cs="宋体"/>
          <w:color w:val="auto"/>
          <w:kern w:val="0"/>
          <w:sz w:val="24"/>
          <w:szCs w:val="24"/>
          <w:lang w:val="en-US" w:eastAsia="zh-CN" w:bidi="ar"/>
        </w:rPr>
        <w:t>在碾压过程中监理应到现场进行试验，选择在最优含水量下确定合适的碾压遍数以达到最大干密度，施工过程中层层抽样检查，一层检查检验合格后方可进行下道工序。填方尽量利用挖方弃土，开挖表层土方不能用于填方的，应作为弃方与可用于填方的挖方土料分别堆放于渠堤外侧。</w:t>
      </w:r>
      <w:r>
        <w:rPr>
          <w:rFonts w:hint="eastAsia" w:ascii="宋体" w:hAnsi="宋体" w:eastAsia="宋体" w:cs="宋体"/>
          <w:color w:val="000000"/>
          <w:kern w:val="0"/>
          <w:sz w:val="24"/>
          <w:szCs w:val="24"/>
          <w:lang w:val="en-US" w:eastAsia="zh-CN" w:bidi="ar"/>
        </w:rPr>
        <w:t xml:space="preserve"> </w:t>
      </w:r>
    </w:p>
    <w:p w14:paraId="365B120C">
      <w:pPr>
        <w:pStyle w:val="3"/>
        <w:keepNext w:val="0"/>
        <w:keepLines w:val="0"/>
        <w:pageBreakBefore w:val="0"/>
        <w:kinsoku/>
        <w:wordWrap/>
        <w:overflowPunct/>
        <w:topLinePunct w:val="0"/>
        <w:autoSpaceDE/>
        <w:autoSpaceDN/>
        <w:bidi w:val="0"/>
        <w:snapToGrid/>
        <w:spacing w:line="360" w:lineRule="auto"/>
        <w:ind w:leftChars="0" w:right="0" w:firstLine="480" w:firstLineChars="2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3）铺设垫层</w:t>
      </w:r>
    </w:p>
    <w:p w14:paraId="2A6A4E6C">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color w:val="000000"/>
          <w:kern w:val="0"/>
          <w:sz w:val="24"/>
          <w:szCs w:val="24"/>
          <w:lang w:val="en-US" w:eastAsia="zh-CN" w:bidi="ar"/>
        </w:rPr>
        <w:t>砾石垫层中粒径小于 0.075mm 的颗粒不得大于总重的 10%，含盐量不大于 3%，垫层必须分层碾压夯实，相对密度不小于 0.75。均采用 8t 自卸汽车运至渠道，人工摊平，采用蛙式打夯机压实。压实后的垫层妥善保护，不允许破坏。在垫面上施工下一工序前，应对垫层料进行检查，合格后方可进行</w:t>
      </w:r>
      <w:r>
        <w:rPr>
          <w:rFonts w:hint="eastAsia" w:ascii="宋体" w:hAnsi="宋体" w:eastAsia="宋体" w:cs="宋体"/>
          <w:b w:val="0"/>
          <w:color w:val="auto"/>
          <w:kern w:val="2"/>
          <w:sz w:val="24"/>
          <w:szCs w:val="24"/>
          <w:lang w:val="en-US" w:eastAsia="zh-CN" w:bidi="ar-SA"/>
        </w:rPr>
        <w:t>。</w:t>
      </w:r>
    </w:p>
    <w:p w14:paraId="721645A1">
      <w:pPr>
        <w:keepNext w:val="0"/>
        <w:keepLines w:val="0"/>
        <w:pageBreakBefore w:val="0"/>
        <w:kinsoku/>
        <w:wordWrap/>
        <w:overflowPunct/>
        <w:topLinePunct w:val="0"/>
        <w:autoSpaceDE/>
        <w:autoSpaceDN/>
        <w:bidi w:val="0"/>
        <w:spacing w:line="360" w:lineRule="auto"/>
        <w:ind w:leftChars="0" w:firstLine="480" w:firstLineChars="200"/>
        <w:textAlignment w:val="auto"/>
        <w:rPr>
          <w:rFonts w:hint="eastAsia" w:ascii="宋体" w:hAnsi="宋体" w:eastAsia="宋体" w:cs="宋体"/>
          <w:color w:val="auto"/>
          <w:sz w:val="24"/>
        </w:rPr>
      </w:pPr>
      <w:r>
        <w:rPr>
          <w:rFonts w:hint="eastAsia" w:ascii="宋体" w:hAnsi="宋体" w:eastAsia="宋体" w:cs="宋体"/>
          <w:b w:val="0"/>
          <w:color w:val="auto"/>
          <w:kern w:val="2"/>
          <w:sz w:val="24"/>
          <w:szCs w:val="24"/>
          <w:lang w:val="en-US" w:eastAsia="zh-CN" w:bidi="ar-SA"/>
        </w:rPr>
        <w:t>4）</w:t>
      </w:r>
      <w:r>
        <w:rPr>
          <w:rFonts w:hint="eastAsia" w:ascii="宋体" w:hAnsi="宋体" w:eastAsia="宋体" w:cs="宋体"/>
          <w:color w:val="auto"/>
          <w:sz w:val="24"/>
        </w:rPr>
        <w:t>预制矩形槽施工</w:t>
      </w:r>
    </w:p>
    <w:p w14:paraId="0EEBE8BC">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根据渠道横断面衬砌结构，渠道施工工序分为：</w:t>
      </w:r>
    </w:p>
    <w:p w14:paraId="53AF26B7">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 xml:space="preserve">渠床开挖、填筑→验槽→预制矩形槽拉运至现场→粘接高压闭孔板→渠底高程复核→铺筑砾石垫层→吊装矩形槽→伸缩缝灌缝→回填构件两侧土方、夯实、整形→清除施工垃圾→完工。 </w:t>
      </w:r>
    </w:p>
    <w:p w14:paraId="1F0A8619">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 xml:space="preserve">为保证施工质量，预制构件均采用工厂生产的成品构件。成品构件的断面尺寸仍采用厂家提供的尺寸，在构件的运送及吊装过程中，应注意轻拿轻放，严禁抛掷、滚落。 </w:t>
      </w:r>
    </w:p>
    <w:p w14:paraId="6413CD19">
      <w:pPr>
        <w:keepNext w:val="0"/>
        <w:keepLines w:val="0"/>
        <w:pageBreakBefore w:val="0"/>
        <w:widowControl/>
        <w:suppressLineNumbers w:val="0"/>
        <w:kinsoku/>
        <w:wordWrap/>
        <w:overflowPunct/>
        <w:topLinePunct w:val="0"/>
        <w:autoSpaceDE/>
        <w:autoSpaceDN/>
        <w:bidi w:val="0"/>
        <w:spacing w:line="360" w:lineRule="auto"/>
        <w:ind w:leftChars="0" w:firstLine="480" w:firstLineChars="200"/>
        <w:jc w:val="left"/>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color w:val="000000"/>
          <w:kern w:val="0"/>
          <w:sz w:val="24"/>
          <w:szCs w:val="24"/>
          <w:lang w:val="en-US" w:eastAsia="zh-CN" w:bidi="ar"/>
        </w:rPr>
        <w:t>构件拉运至现场后，在进行吊装前，应对渠基砼支撑高程进行复核。高程复核无误后，在预制构件的单侧安装高压闭孔板，相邻两节预制构件应按设计缝宽要求与高压闭孔板面严密贴合。进行构件吊装过程中，可采用挖掘机作为吊装机械，配合 4 个人工进行机械操作、定线及定位摆放拼接，构件连接处用木方支撑，防止构件连接处错位。</w:t>
      </w:r>
    </w:p>
    <w:p w14:paraId="31B645C7">
      <w:pPr>
        <w:pStyle w:val="3"/>
        <w:keepNext w:val="0"/>
        <w:keepLines w:val="0"/>
        <w:pageBreakBefore w:val="0"/>
        <w:kinsoku/>
        <w:wordWrap/>
        <w:overflowPunct/>
        <w:topLinePunct w:val="0"/>
        <w:autoSpaceDE/>
        <w:autoSpaceDN/>
        <w:bidi w:val="0"/>
        <w:snapToGrid/>
        <w:spacing w:line="360" w:lineRule="auto"/>
        <w:ind w:leftChars="0" w:right="0" w:firstLine="480" w:firstLineChars="2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5）伸缩缝施工</w:t>
      </w:r>
    </w:p>
    <w:p w14:paraId="5C6BF73A">
      <w:pPr>
        <w:pStyle w:val="3"/>
        <w:keepNext w:val="0"/>
        <w:keepLines w:val="0"/>
        <w:pageBreakBefore w:val="0"/>
        <w:wordWrap/>
        <w:overflowPunct/>
        <w:topLinePunct w:val="0"/>
        <w:bidi w:val="0"/>
        <w:spacing w:line="360" w:lineRule="auto"/>
        <w:ind w:leftChars="0" w:firstLine="480" w:firstLineChars="200"/>
        <w:rPr>
          <w:rFonts w:hint="default"/>
          <w:lang w:val="en-US"/>
        </w:rPr>
      </w:pPr>
      <w:r>
        <w:rPr>
          <w:rFonts w:hint="eastAsia" w:ascii="宋体" w:hAnsi="宋体" w:eastAsia="宋体" w:cs="宋体"/>
          <w:b w:val="0"/>
          <w:color w:val="auto"/>
          <w:kern w:val="2"/>
          <w:sz w:val="24"/>
          <w:szCs w:val="24"/>
          <w:lang w:val="en-US" w:eastAsia="zh-CN" w:bidi="ar-SA"/>
        </w:rPr>
        <w:t>本工程伸缩缝采用高压闭孔板+聚氨脂密封胶填缝。采用跳仓打板法将现浇砼板浇筑与高压闭孔板填筑伸缩缝同时进行。待现浇砼板工程全部完成以后再进行聚氨脂密封胶灌缝。首先清除缝内的泥土、杂物，使缝壁清洁、干燥，将聚氨酯灌入缝内，迅速用小铁铲或木棒向缝内壁抹压，使油膏与缝壁充分黏结。填塞渠坡伸缩缝时，为防止流淌，可用充水的橡胶管（管径稍大于缝宽）堵住缝口，从顶部灌注，填满压实。最后用木板沿缝口刮压，使表面光滑平整与缝壁粘牢。</w:t>
      </w:r>
    </w:p>
    <w:p w14:paraId="76393863">
      <w:pPr>
        <w:spacing w:before="78" w:line="219" w:lineRule="auto"/>
        <w:ind w:left="49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2、渠系建筑物施工工艺流程</w:t>
      </w:r>
    </w:p>
    <w:p w14:paraId="3887DD5F">
      <w:pPr>
        <w:spacing w:before="183" w:line="360" w:lineRule="auto"/>
        <w:ind w:left="535"/>
        <w:rPr>
          <w:rFonts w:ascii="宋体" w:hAnsi="宋体" w:eastAsia="宋体" w:cs="宋体"/>
          <w:sz w:val="24"/>
          <w:szCs w:val="24"/>
        </w:rPr>
      </w:pPr>
      <w:r>
        <w:rPr>
          <w:rFonts w:ascii="宋体" w:hAnsi="宋体" w:eastAsia="宋体" w:cs="宋体"/>
          <w:b/>
          <w:bCs/>
          <w:spacing w:val="-6"/>
          <w:sz w:val="24"/>
          <w:szCs w:val="24"/>
        </w:rPr>
        <w:t>施工工艺流程</w:t>
      </w:r>
    </w:p>
    <w:p w14:paraId="308C76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施工内容包括：土方开挖、回填、混凝土浇筑，浆砌石砌筑等。工序为：拆除旧建筑物--定位放线--基础开挖--立模板--浇筑砼— 回填。</w:t>
      </w:r>
    </w:p>
    <w:p w14:paraId="5CDC7DA6">
      <w:pPr>
        <w:spacing w:line="219" w:lineRule="auto"/>
        <w:ind w:left="495"/>
        <w:rPr>
          <w:rFonts w:ascii="宋体" w:hAnsi="宋体" w:eastAsia="宋体" w:cs="宋体"/>
          <w:sz w:val="24"/>
          <w:szCs w:val="24"/>
        </w:rPr>
      </w:pPr>
    </w:p>
    <w:p w14:paraId="431B17F9">
      <w:pPr>
        <w:pStyle w:val="3"/>
        <w:spacing w:line="261" w:lineRule="auto"/>
        <w:jc w:val="center"/>
      </w:pPr>
      <w:r>
        <w:rPr>
          <w:color w:val="auto"/>
        </w:rPr>
        <w:drawing>
          <wp:inline distT="0" distB="0" distL="114300" distR="114300">
            <wp:extent cx="3878580" cy="2893695"/>
            <wp:effectExtent l="12700" t="12700" r="13970" b="273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0"/>
                    <a:stretch>
                      <a:fillRect/>
                    </a:stretch>
                  </pic:blipFill>
                  <pic:spPr>
                    <a:xfrm>
                      <a:off x="0" y="0"/>
                      <a:ext cx="3878580" cy="2893695"/>
                    </a:xfrm>
                    <a:prstGeom prst="rect">
                      <a:avLst/>
                    </a:prstGeom>
                    <a:noFill/>
                    <a:ln w="12700" cap="flat" cmpd="sng">
                      <a:solidFill>
                        <a:srgbClr val="000000"/>
                      </a:solidFill>
                      <a:prstDash val="solid"/>
                      <a:round/>
                      <a:headEnd type="none" w="med" len="med"/>
                      <a:tailEnd type="none" w="med" len="med"/>
                    </a:ln>
                  </pic:spPr>
                </pic:pic>
              </a:graphicData>
            </a:graphic>
          </wp:inline>
        </w:drawing>
      </w:r>
    </w:p>
    <w:p w14:paraId="0D4639B1">
      <w:pPr>
        <w:pStyle w:val="3"/>
        <w:spacing w:line="261" w:lineRule="auto"/>
      </w:pPr>
    </w:p>
    <w:p w14:paraId="3465A334">
      <w:pPr>
        <w:spacing w:before="55" w:line="219" w:lineRule="auto"/>
        <w:ind w:left="535"/>
        <w:rPr>
          <w:rFonts w:ascii="宋体" w:hAnsi="宋体" w:eastAsia="宋体" w:cs="宋体"/>
          <w:spacing w:val="-4"/>
          <w:sz w:val="24"/>
          <w:szCs w:val="24"/>
        </w:rPr>
      </w:pPr>
    </w:p>
    <w:p w14:paraId="1AA61E0B">
      <w:pPr>
        <w:spacing w:before="55" w:line="219" w:lineRule="auto"/>
        <w:ind w:left="535"/>
        <w:rPr>
          <w:rFonts w:ascii="宋体" w:hAnsi="宋体" w:eastAsia="宋体" w:cs="宋体"/>
          <w:b/>
          <w:bCs/>
          <w:sz w:val="24"/>
          <w:szCs w:val="24"/>
        </w:rPr>
      </w:pPr>
      <w:r>
        <w:rPr>
          <w:rFonts w:ascii="宋体" w:hAnsi="宋体" w:eastAsia="宋体" w:cs="宋体"/>
          <w:b/>
          <w:bCs/>
          <w:spacing w:val="-4"/>
          <w:sz w:val="24"/>
          <w:szCs w:val="24"/>
        </w:rPr>
        <w:t>渠系建筑物施工方法</w:t>
      </w:r>
    </w:p>
    <w:p w14:paraId="633F8542">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（1）土方开挖和基础处理 </w:t>
      </w:r>
    </w:p>
    <w:p w14:paraId="3C8FBF58">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基槽土方采用挖掘机开挖，开挖前应精确放线，按基坑开挖图进行。</w:t>
      </w:r>
    </w:p>
    <w:p w14:paraId="485CB45B">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（2）混凝土浇筑 </w:t>
      </w:r>
    </w:p>
    <w:p w14:paraId="5244A740">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建筑物施工以机械为主，人工为辅。混凝土施工应自下而上进行，模板应以钢模板为主。施工时采用混凝土搅拌机拌和，自卸汽车运至浇筑部位，人工平仓。 </w:t>
      </w:r>
    </w:p>
    <w:p w14:paraId="2A9A5A83">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1）钢筋工程 </w:t>
      </w:r>
    </w:p>
    <w:p w14:paraId="7884025C">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钢筋的制作在钢筋加工厂内集中下料、放样制作成型，编号堆放备用。钢筋的焊接基本上在钢筋加工厂内完成，部分钢筋现场焊接，其焊接采用电弧焊以搭接焊和帮条焊两种方法（除设计另有要求外）焊条应符合规范要求，制作的钢筋，其种类、型号、直径等均应符合设计要求，钢筋的表面要清洁，使用前应将表面油渍、漆号、鳞锈等清除干净，钢筋的制作和焊接应符合规范要求。 </w:t>
      </w:r>
    </w:p>
    <w:p w14:paraId="12101D86">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钢筋的绑扎安装，钢筋骨架利用架上钢筋定位，现场进行绑扎安装，其钢筋骨架的安装主要以绑扎，焊接两种方法完成，钢筋保护层用同于砼标号和保护层尺寸的砂浆垫块或废钢筋头支垫，钢筋绑扎安装的允许偏差应符合规范要求。 </w:t>
      </w:r>
    </w:p>
    <w:p w14:paraId="2EAC6308">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2）模板工程 </w:t>
      </w:r>
    </w:p>
    <w:p w14:paraId="00054D93">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依据各类建筑物结构形成和尺寸的大小，主要采用组合式普通钢模板进行模板安装施工，对于不能满足于组合钢模板模数的结构再辅以相应的木模板调整其模数进行模板安装施工。为了增加模板的整体刚度和稳定性，保证砼结构的成型尺寸，在模板的背面除绑Ф48 的钢架杆外，对拉Ф6-8 的钢筋（两头套丝）辅以蝶形扣件和其它紧固件进行加固，同时还可利用外架用短钢管与绑带钢架杆用扣件竖向和横向连接进行加固支撑，即模板的加固和支撑采取“内拉外顶”相结合的方法进行加固施工，以满足模板的整体，刚度和稳定性。脱模剂的涂刷则根据施工条件在模板组装前或组装后进行涂刷，同时正确选用和使用安全的脱模剂。 </w:t>
      </w:r>
    </w:p>
    <w:p w14:paraId="4504F415">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3）砼工程 </w:t>
      </w:r>
    </w:p>
    <w:p w14:paraId="5638C071">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砼的施工程序：水泥、砂石骨料的选用→砼配合比的选用→砼的搅拌和运输→砼的入仓和浇筑→砼的拆模和养护。 </w:t>
      </w:r>
    </w:p>
    <w:p w14:paraId="2597D542">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水泥、砂石骨料的选用：砼的砂、石骨料均在专业料场拉运，使用前必须对砂石骨料进行抽样检查，对所用的砂石骨料必须符合水工砼的施工要求。 </w:t>
      </w:r>
    </w:p>
    <w:p w14:paraId="1D0F2BDF">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所用水泥必须符合水利工程规范要求，使用前同样按要求进行抽样检验。砼配合比的选用：取所选用的水泥，砂石骨料和外加剂在试验室按设计要求的水灰比，砼强度等级和其他技术指标进行试配，通过试验确定满足设计和规范要求的施工配合比。 </w:t>
      </w:r>
    </w:p>
    <w:p w14:paraId="06F53A72">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砼的搅拌和运输：砼的搅拌采用 0.4m³的砼搅拌拌和，为保证砼拌和物充分拌和，拌和时间不少于 3 分钟，砼的制备采用拌和站集中场拌。为控制砼拌和物的水灰比及坍落度，要保持骨料含水率的稳定，砂的含水控制在 6%以内</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其砼各组分称量的偏差应符合规范要求。 </w:t>
      </w:r>
    </w:p>
    <w:p w14:paraId="7B86D111">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砼的水平运输采用 5t 自卸汽车运输，每 2km 设一砼拌合站，平均运距 1km。运送砼的车厢要严密防止漏浆，其砂浆损失应控制在 1%的范围内。砼的入仓和浇筑：砼的入仓，在砼运至浇筑现场后，较低处可通过溜槽或串桶直接入仓摊铺或是装人力车过脚手架，直接入仓摊铺；高处可利用人工直接入仓或是通过简易提升入仓摊铺。当砼入仓自由下落高度大于 2.0m 时，砼均须经串桶进行入仓摊铺，以避免砼发生离析和骨料集中的现象发生。砼浇筑施工中严禁将生水倒入仓内和在砼拌和物内加入生水。砼的浇筑应视浇筑仓面的大小和砼浇筑量的大小，合理地安排浇筑顺序和铺筑方法，严格按砼施工工艺进行浇筑施工，砼应分层浇筑，分层厚度宜按每层 30-50cm 进行控制，第二层砼应在第一层砼初凝前及时铺筑，以免出现冷缝，当砼出现冷缝时应按施工缝处理。 </w:t>
      </w:r>
    </w:p>
    <w:p w14:paraId="4D46C8DF">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砼的振捣：应根据施工要求，用插入式振捣器或是平板振捣器进行振捣施工，浇筑层允许最大厚度不大于振捣器头长度的 1.25 倍，振捣时快插慢拔，使砼振捣密实，且注意振动棒不可振到模板和预埋件。 </w:t>
      </w:r>
    </w:p>
    <w:p w14:paraId="77F2D050">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4）砼的拆模和养护： </w:t>
      </w:r>
    </w:p>
    <w:p w14:paraId="460BAF1A">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砼拆模：对于一般结构的砼为避免不碰掉棱角，在其强度达到临界强度时即可进行拆模，对于梁板结构，砼承重模板的拆模必须达到设计强度值或是砼达到规范允许的拆模强度后方可进行拆模，禁止提前拆模。 </w:t>
      </w:r>
    </w:p>
    <w:p w14:paraId="63F71EFD">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砼的养护：砼表面一般在浇筑完毕后 12-18h 内即可养护，或是视气候条件、温度较高应提前进行养护，给砼硬化过程创造一个适宜的外部环境，使砼表面水份不再蒸发，利用砼制备所加的水分最大限度的完成水泥的水化，提高砼强度和耐久性，养护的方法采用湿养护，即进行人工洒水或利用水泵配水车抽水养护，且养护时间不得少于14d，以28d天为宜。 </w:t>
      </w:r>
    </w:p>
    <w:p w14:paraId="502378BF">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（3）金属结构安装 </w:t>
      </w:r>
    </w:p>
    <w:p w14:paraId="2AD1764F">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1）闸门埋件安装方法 </w:t>
      </w:r>
    </w:p>
    <w:p w14:paraId="2CEA1E14">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①为确保埋件的安装精度，采用预留二期砼的施工方法。 </w:t>
      </w:r>
    </w:p>
    <w:p w14:paraId="376C92A8">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②埋件安装前采用测量放线，拉线安装的方法，利用水平仪、经纬仪放出孔口中心线和门槽中心线作为基准进行安装，且保留到验收合格时止。安装前用钢丝线拉出与轨道平行平面，（距离控制在 50mm 为宜）。 </w:t>
      </w:r>
    </w:p>
    <w:p w14:paraId="5703B2C8">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③轨道分段安装，在接头处按施工图纸规定要求进行加固，并制订安装焊缝变形控制措施。不锈钢的焊接或不锈钢与 A3 钢的焊缝采用不锈钢焊条，并将接头位置焊缝打磨光洁。 </w:t>
      </w:r>
    </w:p>
    <w:p w14:paraId="2C63A932">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④闸门主轨反轨间距用工具卡进行验收。 </w:t>
      </w:r>
    </w:p>
    <w:p w14:paraId="2883C124">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⑤加固门槽埋件用的加固筋与预埋筋的直径相同，搭接长度≥10 倍预埋筋直径，保证加固牢靠。 </w:t>
      </w:r>
    </w:p>
    <w:p w14:paraId="0DBCA1FF">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⑥埋件安装完成验收合格后砼浇灌时应仔细施工，以免引起埋件变形，拆模后进行复测并作好记录，同时检查埋件的接头处，必要时进行修磨。 </w:t>
      </w:r>
    </w:p>
    <w:p w14:paraId="26EA7AEB">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2）闸门的安装方法 </w:t>
      </w:r>
    </w:p>
    <w:p w14:paraId="2D9DCB8D">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①闸门用 5t 汽车吊机整体吊装，用汽车吊机在 U 型槽砼底板上吊装。 </w:t>
      </w:r>
    </w:p>
    <w:p w14:paraId="4831A1DA">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②止水橡皮等配件的安装在整个门叶结构完毕并经验收合格后进行。 </w:t>
      </w:r>
    </w:p>
    <w:p w14:paraId="74DE1A82">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③闸门的启闭试验：闸门的启闭试验待启闭机安装后进行，先进行无水压时开启和关闭试验。 </w:t>
      </w:r>
    </w:p>
    <w:p w14:paraId="4D66340A">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④封水性能检查在闸门处于关闭状态时，应在晚间用行灯进行封水性能检查，不得有透光现象，否则应对水封橡皮进行调整，直到不透光为止，确保闸门止水严密性。 </w:t>
      </w:r>
    </w:p>
    <w:p w14:paraId="3D1EC70B">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3）启闭机安装 </w:t>
      </w:r>
    </w:p>
    <w:p w14:paraId="4DE2AECB">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①启闭机安装在相应提吊架、梁板完工，砼达到设计强度后，用吊车吊装到安装位置。产品到达现场后，按照有关规定进行全面检查，经检查合格后，方可进行安装。 </w:t>
      </w:r>
    </w:p>
    <w:p w14:paraId="6D82A54B">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②检查基础螺栓埋设位置，螺栓埋入深度及露出部分的长度是否准确。   </w:t>
      </w:r>
    </w:p>
    <w:p w14:paraId="7650E0A3">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③检查启闭机平台高程，其偏差不应超过±5mm，水平偏差不应大于0.5/1000。 </w:t>
      </w:r>
    </w:p>
    <w:p w14:paraId="04D97440">
      <w:pPr>
        <w:pStyle w:val="3"/>
        <w:spacing w:line="360" w:lineRule="auto"/>
        <w:ind w:firstLine="480" w:firstLineChars="200"/>
      </w:pPr>
      <w:r>
        <w:rPr>
          <w:rFonts w:hint="default" w:ascii="Times New Roman" w:hAnsi="Times New Roman" w:eastAsia="宋体" w:cs="Times New Roman"/>
          <w:color w:val="auto"/>
          <w:kern w:val="0"/>
          <w:sz w:val="24"/>
          <w:szCs w:val="24"/>
          <w:lang w:val="en-US" w:eastAsia="zh-CN" w:bidi="ar"/>
        </w:rPr>
        <w:t>④启闭机的安装应根据起吊中心线找正，其纵、横向中心线偏差不应超过3mm</w:t>
      </w:r>
      <w:r>
        <w:rPr>
          <w:rFonts w:hint="eastAsia" w:ascii="Times New Roman" w:hAnsi="Times New Roman" w:eastAsia="宋体" w:cs="Times New Roman"/>
          <w:color w:val="auto"/>
          <w:kern w:val="0"/>
          <w:sz w:val="24"/>
          <w:szCs w:val="24"/>
          <w:lang w:val="en-US" w:eastAsia="zh-CN" w:bidi="ar"/>
        </w:rPr>
        <w:t>。</w:t>
      </w:r>
    </w:p>
    <w:p w14:paraId="03EAD54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4)泵房施工</w:t>
      </w:r>
    </w:p>
    <w:p w14:paraId="70996CD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泵房为框架结构，包括地基处理与基础施工、墙体施工、屋面现浇砼板施工、 屋面防水、装饰、地面等内容。按常规的建筑施工规范进行施工即可，没有特别的施工技术要求，施工工艺也较简单。</w:t>
      </w:r>
    </w:p>
    <w:p w14:paraId="1371DE6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5)机电设备及金属结构安装</w:t>
      </w:r>
    </w:p>
    <w:p w14:paraId="0C0DD1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将水泵用小吨位平板车运至安装件，再利用泵房吊车吊装就位，调整机座水平、高程及滑动轨道垂直度偏差，达到设计要求后紧固螺栓，进行管线安装。</w:t>
      </w:r>
    </w:p>
    <w:p w14:paraId="49557F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3.2.2.1.2</w:t>
      </w: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rPr>
        <w:t>施工期污染源分析</w:t>
      </w:r>
    </w:p>
    <w:p w14:paraId="371AC7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1、大气污染物</w:t>
      </w:r>
    </w:p>
    <w:p w14:paraId="47AC50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施工期间影响环境空气质量的主要污染物是渠道和渠系构筑物清基、拆旧、 土石方开挖回填以及敷设垫层、安装预制件过程中产生的施工扬尘，柴油发电机 工作时产生的燃烧废气以及运送施工材料和设施的车辆、施工机械运行时产生的燃油废气。</w:t>
      </w:r>
    </w:p>
    <w:p w14:paraId="61CA1D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（1）施工扬尘</w:t>
      </w:r>
    </w:p>
    <w:p w14:paraId="4C47BC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A、裸露地面扬尘</w:t>
      </w:r>
    </w:p>
    <w:p w14:paraId="461397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项目施工阶段地基平整、开挖、回填土方会形成大面积裸露地面，使各种沉 降在地表上的气溶胶粒子等成为扬尘的天然来源，在进行施工建设时极易形成扬尘并进入大气环境中。</w:t>
      </w:r>
    </w:p>
    <w:p w14:paraId="18EFE4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B、施工造成的建筑扬尘</w:t>
      </w:r>
    </w:p>
    <w:p w14:paraId="6F73C8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施工场地建筑、堆料及运输抛洒等建筑扬尘在施工高峰期会不断增多，是造 成扬尘污染主要原因之一。施工过程如果环境管理、监理措施不够完善，进行粗 放式施工，现场建筑垃圾不及时清理、覆盖、洒水灭尘，出入场地运输车辆不及 时冲洗、篷布遮盖等，均易产生建筑扬尘。由于施工需要，一些建材需露天堆放，一些施工点表层土壤需要人工开挖、堆放，在气候干燥又有风的情况下会产生扬尘，通常其扬尘量可按堆场起尘的经验公式计算：</w:t>
      </w:r>
    </w:p>
    <w:p w14:paraId="04487E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Q=2.1(V50-V0)3e-1.023w</w:t>
      </w:r>
    </w:p>
    <w:p w14:paraId="2FB7384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式中：Q—起尘量，kg/t·a；V50—距地面 50m 处风速，m/s；</w:t>
      </w:r>
    </w:p>
    <w:p w14:paraId="11EA93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V0—起尘风速，m/s； W—尘粒含水率，%。</w:t>
      </w:r>
    </w:p>
    <w:p w14:paraId="546BC3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由此可见，这类扬尘的主要特点是与风速和尘粒含水率有关，因此，减少建材的露天堆放和保证一定的含水率是抑制这类扬尘的有效手段。</w:t>
      </w:r>
    </w:p>
    <w:p w14:paraId="66DFA8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尘粒在空气中的传播扩散情况与风速等气象条件有关，也与尘粒本身的沉降 速度有关。以沙尘土为例，其沉降速度随粒径的增大而迅速增大。当粒径为 250 μm 时，沉降速度为 1.005m/s，因此当尘粒大于 250μm 时，主要影响范围在扬尘点下风向近距离范围内，而真正对外环境产生影响的是一些微小尘粒。</w:t>
      </w:r>
    </w:p>
    <w:p w14:paraId="5A040B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1"/>
          <w:sz w:val="24"/>
          <w:szCs w:val="24"/>
        </w:rPr>
      </w:pPr>
      <w:r>
        <w:rPr>
          <w:rFonts w:ascii="宋体" w:hAnsi="宋体" w:eastAsia="宋体" w:cs="宋体"/>
          <w:spacing w:val="-2"/>
          <w:sz w:val="24"/>
          <w:szCs w:val="24"/>
        </w:rPr>
        <w:t>施工扬尘粒径较大、沉降快，一般影响范围较小。对无组织排放施工扬尘本次环境影响评价采用类比法。某施工场地实测资料见表 3-2-14。</w:t>
      </w:r>
    </w:p>
    <w:p w14:paraId="15039B5E">
      <w:pPr>
        <w:spacing w:before="185" w:line="212" w:lineRule="auto"/>
        <w:ind w:left="165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32"/>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3-2-14</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施工期环境空气中</w:t>
      </w:r>
      <w:r>
        <w:rPr>
          <w:rFonts w:ascii="宋体" w:hAnsi="宋体" w:eastAsia="宋体" w:cs="宋体"/>
          <w:spacing w:val="-5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TSP</w:t>
      </w:r>
      <w:r>
        <w:rPr>
          <w:rFonts w:ascii="宋体" w:hAnsi="宋体" w:eastAsia="宋体" w:cs="宋体"/>
          <w:spacing w:val="-50"/>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监测结果</w:t>
      </w:r>
    </w:p>
    <w:tbl>
      <w:tblPr>
        <w:tblStyle w:val="14"/>
        <w:tblW w:w="4998"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80"/>
        <w:gridCol w:w="1395"/>
        <w:gridCol w:w="1396"/>
        <w:gridCol w:w="1396"/>
        <w:gridCol w:w="1396"/>
        <w:gridCol w:w="1418"/>
      </w:tblGrid>
      <w:tr w14:paraId="2007E6E8">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PrEx>
        <w:trPr>
          <w:trHeight w:val="334" w:hRule="atLeast"/>
        </w:trPr>
        <w:tc>
          <w:tcPr>
            <w:tcW w:w="921" w:type="pct"/>
            <w:vMerge w:val="restart"/>
            <w:tcBorders>
              <w:tl2br w:val="nil"/>
              <w:tr2bl w:val="nil"/>
            </w:tcBorders>
            <w:vAlign w:val="top"/>
          </w:tcPr>
          <w:p w14:paraId="31C4D2D2">
            <w:pPr>
              <w:pStyle w:val="15"/>
              <w:spacing w:before="231" w:line="229" w:lineRule="auto"/>
              <w:ind w:left="358"/>
            </w:pPr>
            <w:r>
              <w:rPr>
                <w:spacing w:val="7"/>
              </w:rPr>
              <w:t>监测点位</w:t>
            </w:r>
          </w:p>
        </w:tc>
        <w:tc>
          <w:tcPr>
            <w:tcW w:w="813" w:type="pct"/>
            <w:tcBorders>
              <w:tl2br w:val="nil"/>
              <w:tr2bl w:val="nil"/>
            </w:tcBorders>
            <w:vAlign w:val="top"/>
          </w:tcPr>
          <w:p w14:paraId="5B3C8A13">
            <w:pPr>
              <w:pStyle w:val="15"/>
              <w:spacing w:before="64" w:line="228" w:lineRule="auto"/>
              <w:ind w:left="381"/>
            </w:pPr>
            <w:r>
              <w:rPr>
                <w:spacing w:val="6"/>
              </w:rPr>
              <w:t>上风向</w:t>
            </w:r>
          </w:p>
        </w:tc>
        <w:tc>
          <w:tcPr>
            <w:tcW w:w="3264" w:type="pct"/>
            <w:gridSpan w:val="4"/>
            <w:tcBorders>
              <w:tl2br w:val="nil"/>
              <w:tr2bl w:val="nil"/>
            </w:tcBorders>
            <w:vAlign w:val="top"/>
          </w:tcPr>
          <w:p w14:paraId="077A1E68">
            <w:pPr>
              <w:pStyle w:val="15"/>
              <w:spacing w:before="64" w:line="228" w:lineRule="auto"/>
              <w:ind w:left="2480"/>
            </w:pPr>
            <w:r>
              <w:rPr>
                <w:spacing w:val="4"/>
              </w:rPr>
              <w:t>下风向</w:t>
            </w:r>
          </w:p>
        </w:tc>
      </w:tr>
      <w:tr w14:paraId="3A0CFD46">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21" w:type="pct"/>
            <w:vMerge w:val="continue"/>
            <w:tcBorders>
              <w:tl2br w:val="nil"/>
              <w:tr2bl w:val="nil"/>
            </w:tcBorders>
            <w:vAlign w:val="top"/>
          </w:tcPr>
          <w:p w14:paraId="625057C6">
            <w:pPr>
              <w:rPr>
                <w:rFonts w:ascii="Arial"/>
                <w:sz w:val="21"/>
              </w:rPr>
            </w:pPr>
          </w:p>
        </w:tc>
        <w:tc>
          <w:tcPr>
            <w:tcW w:w="813" w:type="pct"/>
            <w:tcBorders>
              <w:tl2br w:val="nil"/>
              <w:tr2bl w:val="nil"/>
            </w:tcBorders>
            <w:vAlign w:val="top"/>
          </w:tcPr>
          <w:p w14:paraId="1BF8CBEA">
            <w:pPr>
              <w:pStyle w:val="15"/>
              <w:spacing w:before="63" w:line="229" w:lineRule="auto"/>
              <w:ind w:left="422"/>
            </w:pPr>
            <w:r>
              <w:rPr>
                <w:spacing w:val="-5"/>
              </w:rPr>
              <w:t>1</w:t>
            </w:r>
            <w:r>
              <w:rPr>
                <w:spacing w:val="-36"/>
              </w:rPr>
              <w:t xml:space="preserve"> </w:t>
            </w:r>
            <w:r>
              <w:rPr>
                <w:spacing w:val="-5"/>
              </w:rPr>
              <w:t>号点</w:t>
            </w:r>
          </w:p>
        </w:tc>
        <w:tc>
          <w:tcPr>
            <w:tcW w:w="813" w:type="pct"/>
            <w:tcBorders>
              <w:tl2br w:val="nil"/>
              <w:tr2bl w:val="nil"/>
            </w:tcBorders>
            <w:vAlign w:val="top"/>
          </w:tcPr>
          <w:p w14:paraId="30CAC6C9">
            <w:pPr>
              <w:pStyle w:val="15"/>
              <w:spacing w:before="63" w:line="229" w:lineRule="auto"/>
              <w:ind w:left="412"/>
            </w:pPr>
            <w:r>
              <w:rPr>
                <w:spacing w:val="-1"/>
              </w:rPr>
              <w:t>2</w:t>
            </w:r>
            <w:r>
              <w:rPr>
                <w:spacing w:val="-33"/>
              </w:rPr>
              <w:t xml:space="preserve"> </w:t>
            </w:r>
            <w:r>
              <w:rPr>
                <w:spacing w:val="-1"/>
              </w:rPr>
              <w:t>号点</w:t>
            </w:r>
          </w:p>
        </w:tc>
        <w:tc>
          <w:tcPr>
            <w:tcW w:w="813" w:type="pct"/>
            <w:tcBorders>
              <w:tl2br w:val="nil"/>
              <w:tr2bl w:val="nil"/>
            </w:tcBorders>
            <w:vAlign w:val="top"/>
          </w:tcPr>
          <w:p w14:paraId="691E914C">
            <w:pPr>
              <w:pStyle w:val="15"/>
              <w:spacing w:before="63" w:line="229" w:lineRule="auto"/>
              <w:ind w:left="419"/>
            </w:pPr>
            <w:r>
              <w:rPr>
                <w:spacing w:val="-2"/>
              </w:rPr>
              <w:t>3</w:t>
            </w:r>
            <w:r>
              <w:rPr>
                <w:spacing w:val="-34"/>
              </w:rPr>
              <w:t xml:space="preserve"> </w:t>
            </w:r>
            <w:r>
              <w:rPr>
                <w:spacing w:val="-2"/>
              </w:rPr>
              <w:t>号点</w:t>
            </w:r>
          </w:p>
        </w:tc>
        <w:tc>
          <w:tcPr>
            <w:tcW w:w="813" w:type="pct"/>
            <w:tcBorders>
              <w:tl2br w:val="nil"/>
              <w:tr2bl w:val="nil"/>
            </w:tcBorders>
            <w:vAlign w:val="top"/>
          </w:tcPr>
          <w:p w14:paraId="06220DB4">
            <w:pPr>
              <w:pStyle w:val="15"/>
              <w:spacing w:before="63" w:line="229" w:lineRule="auto"/>
              <w:ind w:left="417"/>
            </w:pPr>
            <w:r>
              <w:t>4</w:t>
            </w:r>
            <w:r>
              <w:rPr>
                <w:spacing w:val="-33"/>
              </w:rPr>
              <w:t xml:space="preserve"> </w:t>
            </w:r>
            <w:r>
              <w:t>号点</w:t>
            </w:r>
          </w:p>
        </w:tc>
        <w:tc>
          <w:tcPr>
            <w:tcW w:w="823" w:type="pct"/>
            <w:tcBorders>
              <w:tl2br w:val="nil"/>
              <w:tr2bl w:val="nil"/>
            </w:tcBorders>
            <w:vAlign w:val="top"/>
          </w:tcPr>
          <w:p w14:paraId="18CAA530">
            <w:pPr>
              <w:pStyle w:val="15"/>
              <w:spacing w:before="63" w:line="229" w:lineRule="auto"/>
              <w:ind w:left="427"/>
            </w:pPr>
            <w:r>
              <w:rPr>
                <w:spacing w:val="-2"/>
              </w:rPr>
              <w:t>5</w:t>
            </w:r>
            <w:r>
              <w:rPr>
                <w:spacing w:val="-34"/>
              </w:rPr>
              <w:t xml:space="preserve"> </w:t>
            </w:r>
            <w:r>
              <w:rPr>
                <w:spacing w:val="-2"/>
              </w:rPr>
              <w:t>号点</w:t>
            </w:r>
          </w:p>
        </w:tc>
      </w:tr>
      <w:tr w14:paraId="33F42F6E">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21" w:type="pct"/>
            <w:tcBorders>
              <w:tl2br w:val="nil"/>
              <w:tr2bl w:val="nil"/>
            </w:tcBorders>
            <w:vAlign w:val="top"/>
          </w:tcPr>
          <w:p w14:paraId="142560DC">
            <w:pPr>
              <w:pStyle w:val="15"/>
              <w:spacing w:before="68" w:line="228" w:lineRule="auto"/>
              <w:ind w:left="174"/>
            </w:pPr>
            <w:r>
              <w:rPr>
                <w:spacing w:val="7"/>
              </w:rPr>
              <w:t>距尘源距离</w:t>
            </w:r>
            <w:r>
              <w:rPr>
                <w:spacing w:val="-45"/>
              </w:rPr>
              <w:t xml:space="preserve"> </w:t>
            </w:r>
            <w:r>
              <w:rPr>
                <w:spacing w:val="7"/>
              </w:rPr>
              <w:t>m</w:t>
            </w:r>
          </w:p>
        </w:tc>
        <w:tc>
          <w:tcPr>
            <w:tcW w:w="813" w:type="pct"/>
            <w:tcBorders>
              <w:tl2br w:val="nil"/>
              <w:tr2bl w:val="nil"/>
            </w:tcBorders>
            <w:vAlign w:val="top"/>
          </w:tcPr>
          <w:p w14:paraId="35C0B023">
            <w:pPr>
              <w:pStyle w:val="15"/>
              <w:spacing w:before="100" w:line="189" w:lineRule="auto"/>
              <w:ind w:left="591"/>
            </w:pPr>
            <w:r>
              <w:rPr>
                <w:spacing w:val="-1"/>
              </w:rPr>
              <w:t>20</w:t>
            </w:r>
          </w:p>
        </w:tc>
        <w:tc>
          <w:tcPr>
            <w:tcW w:w="813" w:type="pct"/>
            <w:tcBorders>
              <w:tl2br w:val="nil"/>
              <w:tr2bl w:val="nil"/>
            </w:tcBorders>
            <w:vAlign w:val="top"/>
          </w:tcPr>
          <w:p w14:paraId="31C1F9A9">
            <w:pPr>
              <w:pStyle w:val="15"/>
              <w:spacing w:before="67" w:line="233" w:lineRule="auto"/>
              <w:ind w:left="557"/>
            </w:pPr>
            <w:r>
              <w:rPr>
                <w:spacing w:val="-3"/>
              </w:rPr>
              <w:t>10m</w:t>
            </w:r>
          </w:p>
        </w:tc>
        <w:tc>
          <w:tcPr>
            <w:tcW w:w="813" w:type="pct"/>
            <w:tcBorders>
              <w:tl2br w:val="nil"/>
              <w:tr2bl w:val="nil"/>
            </w:tcBorders>
            <w:vAlign w:val="top"/>
          </w:tcPr>
          <w:p w14:paraId="00F79F5F">
            <w:pPr>
              <w:pStyle w:val="15"/>
              <w:spacing w:before="67" w:line="233" w:lineRule="auto"/>
              <w:ind w:left="548"/>
            </w:pPr>
            <w:r>
              <w:rPr>
                <w:spacing w:val="1"/>
              </w:rPr>
              <w:t>50m</w:t>
            </w:r>
          </w:p>
        </w:tc>
        <w:tc>
          <w:tcPr>
            <w:tcW w:w="813" w:type="pct"/>
            <w:tcBorders>
              <w:tl2br w:val="nil"/>
              <w:tr2bl w:val="nil"/>
            </w:tcBorders>
            <w:vAlign w:val="top"/>
          </w:tcPr>
          <w:p w14:paraId="1A40AE96">
            <w:pPr>
              <w:pStyle w:val="15"/>
              <w:spacing w:before="67" w:line="233" w:lineRule="auto"/>
              <w:ind w:left="512"/>
            </w:pPr>
            <w:r>
              <w:rPr>
                <w:spacing w:val="-2"/>
              </w:rPr>
              <w:t>100m</w:t>
            </w:r>
          </w:p>
        </w:tc>
        <w:tc>
          <w:tcPr>
            <w:tcW w:w="823" w:type="pct"/>
            <w:tcBorders>
              <w:tl2br w:val="nil"/>
              <w:tr2bl w:val="nil"/>
            </w:tcBorders>
            <w:vAlign w:val="top"/>
          </w:tcPr>
          <w:p w14:paraId="4CDAA021">
            <w:pPr>
              <w:pStyle w:val="15"/>
              <w:spacing w:before="67" w:line="233" w:lineRule="auto"/>
              <w:ind w:left="502"/>
            </w:pPr>
            <w:r>
              <w:rPr>
                <w:spacing w:val="2"/>
              </w:rPr>
              <w:t>200m</w:t>
            </w:r>
          </w:p>
        </w:tc>
      </w:tr>
      <w:tr w14:paraId="51187DA0">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21" w:type="pct"/>
            <w:tcBorders>
              <w:tl2br w:val="nil"/>
              <w:tr2bl w:val="nil"/>
            </w:tcBorders>
            <w:vAlign w:val="top"/>
          </w:tcPr>
          <w:p w14:paraId="5C8B4566">
            <w:pPr>
              <w:pStyle w:val="15"/>
              <w:spacing w:before="178" w:line="222" w:lineRule="auto"/>
              <w:ind w:left="202"/>
              <w:rPr>
                <w:sz w:val="10"/>
                <w:szCs w:val="10"/>
              </w:rPr>
            </w:pPr>
            <w:r>
              <w:rPr>
                <w:spacing w:val="6"/>
              </w:rPr>
              <w:t>浓度值</w:t>
            </w:r>
            <w:r>
              <w:rPr>
                <w:spacing w:val="-41"/>
              </w:rPr>
              <w:t xml:space="preserve"> </w:t>
            </w:r>
            <w:r>
              <w:t>mg</w:t>
            </w:r>
            <w:r>
              <w:rPr>
                <w:spacing w:val="6"/>
              </w:rPr>
              <w:t>/m</w:t>
            </w:r>
            <w:r>
              <w:rPr>
                <w:spacing w:val="6"/>
                <w:position w:val="10"/>
                <w:sz w:val="10"/>
                <w:szCs w:val="10"/>
              </w:rPr>
              <w:t>3</w:t>
            </w:r>
          </w:p>
        </w:tc>
        <w:tc>
          <w:tcPr>
            <w:tcW w:w="813" w:type="pct"/>
            <w:tcBorders>
              <w:tl2br w:val="nil"/>
              <w:tr2bl w:val="nil"/>
            </w:tcBorders>
            <w:vAlign w:val="top"/>
          </w:tcPr>
          <w:p w14:paraId="40504973">
            <w:pPr>
              <w:pStyle w:val="15"/>
              <w:spacing w:before="44" w:line="304" w:lineRule="exact"/>
              <w:ind w:left="329"/>
            </w:pPr>
            <w:r>
              <w:rPr>
                <w:spacing w:val="17"/>
                <w:position w:val="5"/>
              </w:rPr>
              <w:t>0.244~</w:t>
            </w:r>
          </w:p>
          <w:p w14:paraId="0C034B25">
            <w:pPr>
              <w:pStyle w:val="15"/>
              <w:spacing w:line="169" w:lineRule="auto"/>
              <w:ind w:left="434"/>
            </w:pPr>
            <w:r>
              <w:rPr>
                <w:spacing w:val="2"/>
              </w:rPr>
              <w:t>0.269</w:t>
            </w:r>
          </w:p>
        </w:tc>
        <w:tc>
          <w:tcPr>
            <w:tcW w:w="813" w:type="pct"/>
            <w:tcBorders>
              <w:tl2br w:val="nil"/>
              <w:tr2bl w:val="nil"/>
            </w:tcBorders>
            <w:vAlign w:val="top"/>
          </w:tcPr>
          <w:p w14:paraId="64C248AD">
            <w:pPr>
              <w:pStyle w:val="15"/>
              <w:spacing w:before="44" w:line="304" w:lineRule="exact"/>
              <w:ind w:left="332"/>
            </w:pPr>
            <w:r>
              <w:rPr>
                <w:spacing w:val="17"/>
                <w:position w:val="5"/>
              </w:rPr>
              <w:t>2.176~</w:t>
            </w:r>
          </w:p>
          <w:p w14:paraId="39FA1439">
            <w:pPr>
              <w:pStyle w:val="15"/>
              <w:spacing w:line="169" w:lineRule="auto"/>
              <w:ind w:left="440"/>
            </w:pPr>
            <w:r>
              <w:rPr>
                <w:spacing w:val="2"/>
              </w:rPr>
              <w:t>3.435</w:t>
            </w:r>
          </w:p>
        </w:tc>
        <w:tc>
          <w:tcPr>
            <w:tcW w:w="813" w:type="pct"/>
            <w:tcBorders>
              <w:tl2br w:val="nil"/>
              <w:tr2bl w:val="nil"/>
            </w:tcBorders>
            <w:vAlign w:val="top"/>
          </w:tcPr>
          <w:p w14:paraId="5DC71FDF">
            <w:pPr>
              <w:pStyle w:val="15"/>
              <w:spacing w:before="44" w:line="304" w:lineRule="exact"/>
              <w:ind w:left="337"/>
            </w:pPr>
            <w:r>
              <w:rPr>
                <w:spacing w:val="17"/>
                <w:position w:val="5"/>
              </w:rPr>
              <w:t>0.416~</w:t>
            </w:r>
          </w:p>
          <w:p w14:paraId="54FD8978">
            <w:pPr>
              <w:pStyle w:val="15"/>
              <w:spacing w:line="169" w:lineRule="auto"/>
              <w:ind w:left="443"/>
            </w:pPr>
            <w:r>
              <w:rPr>
                <w:spacing w:val="2"/>
              </w:rPr>
              <w:t>0.513</w:t>
            </w:r>
          </w:p>
        </w:tc>
        <w:tc>
          <w:tcPr>
            <w:tcW w:w="813" w:type="pct"/>
            <w:tcBorders>
              <w:tl2br w:val="nil"/>
              <w:tr2bl w:val="nil"/>
            </w:tcBorders>
            <w:vAlign w:val="top"/>
          </w:tcPr>
          <w:p w14:paraId="4498ECD5">
            <w:pPr>
              <w:pStyle w:val="15"/>
              <w:spacing w:before="44" w:line="304" w:lineRule="exact"/>
              <w:ind w:left="340"/>
            </w:pPr>
            <w:r>
              <w:rPr>
                <w:spacing w:val="17"/>
                <w:position w:val="5"/>
              </w:rPr>
              <w:t>0.856~</w:t>
            </w:r>
          </w:p>
          <w:p w14:paraId="50F45425">
            <w:pPr>
              <w:pStyle w:val="15"/>
              <w:spacing w:line="169" w:lineRule="auto"/>
              <w:ind w:left="459"/>
            </w:pPr>
            <w:r>
              <w:t>1.491</w:t>
            </w:r>
          </w:p>
        </w:tc>
        <w:tc>
          <w:tcPr>
            <w:tcW w:w="823" w:type="pct"/>
            <w:tcBorders>
              <w:tl2br w:val="nil"/>
              <w:tr2bl w:val="nil"/>
            </w:tcBorders>
            <w:vAlign w:val="top"/>
          </w:tcPr>
          <w:p w14:paraId="78767D3E">
            <w:pPr>
              <w:pStyle w:val="15"/>
              <w:spacing w:before="44" w:line="304" w:lineRule="exact"/>
              <w:ind w:left="345"/>
            </w:pPr>
            <w:r>
              <w:rPr>
                <w:spacing w:val="17"/>
                <w:position w:val="5"/>
              </w:rPr>
              <w:t>0.250~</w:t>
            </w:r>
          </w:p>
          <w:p w14:paraId="45938E64">
            <w:pPr>
              <w:pStyle w:val="15"/>
              <w:spacing w:line="169" w:lineRule="auto"/>
              <w:ind w:left="449"/>
            </w:pPr>
            <w:r>
              <w:rPr>
                <w:spacing w:val="2"/>
              </w:rPr>
              <w:t>0.258</w:t>
            </w:r>
          </w:p>
        </w:tc>
      </w:tr>
      <w:tr w14:paraId="4B8BE62C">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1" w:type="pct"/>
            <w:tcBorders>
              <w:tl2br w:val="nil"/>
              <w:tr2bl w:val="nil"/>
            </w:tcBorders>
            <w:vAlign w:val="top"/>
          </w:tcPr>
          <w:p w14:paraId="69D2C686">
            <w:pPr>
              <w:pStyle w:val="15"/>
              <w:spacing w:before="80" w:line="222" w:lineRule="auto"/>
              <w:ind w:left="202"/>
              <w:rPr>
                <w:sz w:val="10"/>
                <w:szCs w:val="10"/>
              </w:rPr>
            </w:pPr>
            <w:r>
              <w:rPr>
                <w:spacing w:val="6"/>
              </w:rPr>
              <w:t>标准值</w:t>
            </w:r>
            <w:r>
              <w:rPr>
                <w:spacing w:val="-42"/>
              </w:rPr>
              <w:t xml:space="preserve"> </w:t>
            </w:r>
            <w:r>
              <w:t>mg</w:t>
            </w:r>
            <w:r>
              <w:rPr>
                <w:spacing w:val="6"/>
              </w:rPr>
              <w:t>/m</w:t>
            </w:r>
            <w:r>
              <w:rPr>
                <w:spacing w:val="6"/>
                <w:position w:val="10"/>
                <w:sz w:val="10"/>
                <w:szCs w:val="10"/>
              </w:rPr>
              <w:t>3</w:t>
            </w:r>
          </w:p>
        </w:tc>
        <w:tc>
          <w:tcPr>
            <w:tcW w:w="4078" w:type="pct"/>
            <w:gridSpan w:val="5"/>
            <w:tcBorders>
              <w:tl2br w:val="nil"/>
              <w:tr2bl w:val="nil"/>
            </w:tcBorders>
            <w:vAlign w:val="top"/>
          </w:tcPr>
          <w:p w14:paraId="3018635A">
            <w:pPr>
              <w:pStyle w:val="15"/>
              <w:spacing w:before="112" w:line="190" w:lineRule="auto"/>
              <w:ind w:left="3338"/>
            </w:pPr>
            <w:r>
              <w:rPr>
                <w:spacing w:val="-3"/>
              </w:rPr>
              <w:t>1.0</w:t>
            </w:r>
          </w:p>
        </w:tc>
      </w:tr>
    </w:tbl>
    <w:p w14:paraId="450C5832">
      <w:pPr>
        <w:spacing w:before="30" w:line="219" w:lineRule="auto"/>
        <w:ind w:left="490"/>
        <w:rPr>
          <w:rFonts w:ascii="宋体" w:hAnsi="宋体" w:eastAsia="宋体" w:cs="宋体"/>
          <w:sz w:val="18"/>
          <w:szCs w:val="18"/>
        </w:rPr>
      </w:pPr>
      <w:r>
        <w:rPr>
          <w:rFonts w:ascii="宋体" w:hAnsi="宋体" w:eastAsia="宋体" w:cs="宋体"/>
          <w:spacing w:val="-1"/>
          <w:sz w:val="18"/>
          <w:szCs w:val="18"/>
        </w:rPr>
        <w:t>注：参考无组织排放监控浓度值</w:t>
      </w:r>
    </w:p>
    <w:p w14:paraId="2600E5D6">
      <w:pPr>
        <w:spacing w:line="218" w:lineRule="auto"/>
        <w:ind w:left="39"/>
        <w:rPr>
          <w:rFonts w:ascii="宋体" w:hAnsi="宋体" w:eastAsia="宋体" w:cs="宋体"/>
          <w:spacing w:val="-1"/>
          <w:sz w:val="24"/>
          <w:szCs w:val="24"/>
        </w:rPr>
      </w:pPr>
    </w:p>
    <w:p w14:paraId="74F53B31">
      <w:pPr>
        <w:spacing w:line="360" w:lineRule="auto"/>
        <w:ind w:left="39" w:firstLine="476" w:firstLineChars="200"/>
        <w:rPr>
          <w:rFonts w:ascii="宋体" w:hAnsi="宋体" w:eastAsia="宋体" w:cs="宋体"/>
          <w:spacing w:val="-1"/>
          <w:sz w:val="24"/>
          <w:szCs w:val="24"/>
        </w:rPr>
      </w:pPr>
      <w:r>
        <w:rPr>
          <w:rFonts w:ascii="宋体" w:hAnsi="宋体" w:eastAsia="宋体" w:cs="宋体"/>
          <w:spacing w:val="-1"/>
          <w:sz w:val="24"/>
          <w:szCs w:val="24"/>
        </w:rPr>
        <w:t>施工场地及其下风向距离 50m 范围内，环境空气中 TSP 超标 0～2.17 倍(为下风向监测值减去上风向监测值与标准值相比结果)，其它地段不超标。</w:t>
      </w:r>
    </w:p>
    <w:p w14:paraId="15A8F9F7">
      <w:pPr>
        <w:spacing w:line="360" w:lineRule="auto"/>
        <w:ind w:left="39" w:firstLine="476" w:firstLineChars="200"/>
        <w:rPr>
          <w:rFonts w:ascii="宋体" w:hAnsi="宋体" w:eastAsia="宋体" w:cs="宋体"/>
          <w:spacing w:val="-1"/>
          <w:sz w:val="24"/>
          <w:szCs w:val="24"/>
        </w:rPr>
      </w:pPr>
      <w:r>
        <w:rPr>
          <w:rFonts w:ascii="宋体" w:hAnsi="宋体" w:eastAsia="宋体" w:cs="宋体"/>
          <w:spacing w:val="-1"/>
          <w:sz w:val="24"/>
          <w:szCs w:val="24"/>
        </w:rPr>
        <w:t>施工场地至下风向距离 100m 内，环境空气中 TSP 含量是其上风向监测结果的1.7～12.8 倍；至下风距离 200m 处环境空气中 TSP 含量趋近于其上风向背景值。</w:t>
      </w:r>
    </w:p>
    <w:p w14:paraId="0CC09F58">
      <w:pPr>
        <w:spacing w:line="360" w:lineRule="auto"/>
        <w:ind w:left="39" w:firstLine="476" w:firstLineChars="200"/>
        <w:rPr>
          <w:rFonts w:ascii="宋体" w:hAnsi="宋体" w:eastAsia="宋体" w:cs="宋体"/>
          <w:spacing w:val="-1"/>
          <w:sz w:val="24"/>
          <w:szCs w:val="24"/>
        </w:rPr>
      </w:pPr>
      <w:r>
        <w:rPr>
          <w:rFonts w:ascii="宋体" w:hAnsi="宋体" w:eastAsia="宋体" w:cs="宋体"/>
          <w:spacing w:val="-1"/>
          <w:sz w:val="24"/>
          <w:szCs w:val="24"/>
        </w:rPr>
        <w:t>C、道路扬尘</w:t>
      </w:r>
    </w:p>
    <w:p w14:paraId="4ACCC63E">
      <w:pPr>
        <w:spacing w:line="360" w:lineRule="auto"/>
        <w:ind w:left="39" w:firstLine="476" w:firstLineChars="200"/>
        <w:rPr>
          <w:rFonts w:ascii="宋体" w:hAnsi="宋体" w:eastAsia="宋体" w:cs="宋体"/>
          <w:spacing w:val="-1"/>
          <w:sz w:val="24"/>
          <w:szCs w:val="24"/>
        </w:rPr>
      </w:pPr>
      <w:r>
        <w:rPr>
          <w:rFonts w:ascii="宋体" w:hAnsi="宋体" w:eastAsia="宋体" w:cs="宋体"/>
          <w:spacing w:val="-1"/>
          <w:sz w:val="24"/>
          <w:szCs w:val="24"/>
        </w:rPr>
        <w:t>施工期环境空气污染源主要是施工开挖、回填以及土、建材等运输等施工阶段中产生的扬尘。施工扬尘的排放数量与施工场地面积、施工文明水平、施工强度和土壤类型、气候条件等多种因素有关。目前尚无用于计算施工粉尘产生和排放的成熟的经验公式。故本评价不作粉尘污染源强的定量分析，只作半定量估算。施工扬尘按起尘的原因可分为风力起尘和动力起尘，一般来说，风力起尘量与施工场地的面积的大小、施工活动频率以及当地土壤中泥沙颗粒成一定比例同时，还与当地气象条件如风速、湿度、 日照等有关。参考其他同类型工程现场的扬尘实地监测结果，TSP 产生系数在 0.10～0.05mg/m2 ·s 之间。</w:t>
      </w:r>
    </w:p>
    <w:p w14:paraId="38D6E547">
      <w:pPr>
        <w:spacing w:line="360" w:lineRule="auto"/>
        <w:ind w:left="39" w:firstLine="476" w:firstLineChars="200"/>
        <w:rPr>
          <w:rFonts w:ascii="宋体" w:hAnsi="宋体" w:eastAsia="宋体" w:cs="宋体"/>
          <w:spacing w:val="-1"/>
          <w:sz w:val="24"/>
          <w:szCs w:val="24"/>
        </w:rPr>
      </w:pPr>
      <w:r>
        <w:rPr>
          <w:rFonts w:ascii="宋体" w:hAnsi="宋体" w:eastAsia="宋体" w:cs="宋体"/>
          <w:spacing w:val="-1"/>
          <w:sz w:val="24"/>
          <w:szCs w:val="24"/>
        </w:rPr>
        <w:t>据相关文献报导，在施工过程中，车辆行驶产生的扬尘占总扬尘的 60%以上。车辆行驶产生的扬尘在完全干燥的情况，可按以下经验公式计算：</w:t>
      </w:r>
    </w:p>
    <w:p w14:paraId="11B507AA">
      <w:pPr>
        <w:spacing w:before="215" w:line="228" w:lineRule="auto"/>
        <w:ind w:left="548"/>
        <w:rPr>
          <w:rFonts w:ascii="Times New Roman" w:hAnsi="Times New Roman" w:eastAsia="Times New Roman" w:cs="Times New Roman"/>
          <w:sz w:val="13"/>
          <w:szCs w:val="13"/>
        </w:rPr>
      </w:pPr>
      <w:r>
        <w:rPr>
          <w:rFonts w:ascii="Times New Roman" w:hAnsi="Times New Roman" w:eastAsia="Times New Roman" w:cs="Times New Roman"/>
          <w:i/>
          <w:iCs/>
          <w:spacing w:val="2"/>
          <w:position w:val="2"/>
          <w:sz w:val="23"/>
          <w:szCs w:val="23"/>
        </w:rPr>
        <w:t>Q</w:t>
      </w:r>
      <w:r>
        <w:rPr>
          <w:rFonts w:ascii="Times New Roman" w:hAnsi="Times New Roman" w:eastAsia="Times New Roman" w:cs="Times New Roman"/>
          <w:i/>
          <w:iCs/>
          <w:spacing w:val="15"/>
          <w:w w:val="101"/>
          <w:position w:val="2"/>
          <w:sz w:val="23"/>
          <w:szCs w:val="23"/>
        </w:rPr>
        <w:t xml:space="preserve"> </w:t>
      </w:r>
      <w:r>
        <w:rPr>
          <w:rFonts w:ascii="微软雅黑" w:hAnsi="微软雅黑" w:eastAsia="微软雅黑" w:cs="微软雅黑"/>
          <w:spacing w:val="2"/>
          <w:position w:val="2"/>
          <w:sz w:val="23"/>
          <w:szCs w:val="23"/>
        </w:rPr>
        <w:t xml:space="preserve">= </w:t>
      </w:r>
      <w:r>
        <w:rPr>
          <w:rFonts w:ascii="Times New Roman" w:hAnsi="Times New Roman" w:eastAsia="Times New Roman" w:cs="Times New Roman"/>
          <w:spacing w:val="2"/>
          <w:position w:val="2"/>
          <w:sz w:val="23"/>
          <w:szCs w:val="23"/>
        </w:rPr>
        <w:t>0.123</w:t>
      </w:r>
      <w:r>
        <w:rPr>
          <w:position w:val="-24"/>
          <w:sz w:val="23"/>
          <w:szCs w:val="23"/>
        </w:rPr>
        <w:drawing>
          <wp:inline distT="0" distB="0" distL="0" distR="0">
            <wp:extent cx="235585" cy="4064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235772" cy="406990"/>
                    </a:xfrm>
                    <a:prstGeom prst="rect">
                      <a:avLst/>
                    </a:prstGeom>
                  </pic:spPr>
                </pic:pic>
              </a:graphicData>
            </a:graphic>
          </wp:inline>
        </w:drawing>
      </w:r>
      <w:r>
        <w:rPr>
          <w:position w:val="-24"/>
          <w:sz w:val="23"/>
          <w:szCs w:val="23"/>
        </w:rPr>
        <w:drawing>
          <wp:inline distT="0" distB="0" distL="0" distR="0">
            <wp:extent cx="353060" cy="4064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2"/>
                    <a:stretch>
                      <a:fillRect/>
                    </a:stretch>
                  </pic:blipFill>
                  <pic:spPr>
                    <a:xfrm>
                      <a:off x="0" y="0"/>
                      <a:ext cx="353184" cy="406990"/>
                    </a:xfrm>
                    <a:prstGeom prst="rect">
                      <a:avLst/>
                    </a:prstGeom>
                  </pic:spPr>
                </pic:pic>
              </a:graphicData>
            </a:graphic>
          </wp:inline>
        </w:drawing>
      </w:r>
      <w:r>
        <w:rPr>
          <w:rFonts w:ascii="Times New Roman" w:hAnsi="Times New Roman" w:eastAsia="Times New Roman" w:cs="Times New Roman"/>
          <w:spacing w:val="2"/>
          <w:position w:val="32"/>
          <w:sz w:val="13"/>
          <w:szCs w:val="13"/>
        </w:rPr>
        <w:t xml:space="preserve">0.85 </w:t>
      </w:r>
      <w:r>
        <w:rPr>
          <w:position w:val="-24"/>
          <w:sz w:val="13"/>
          <w:szCs w:val="13"/>
        </w:rPr>
        <w:drawing>
          <wp:inline distT="0" distB="0" distL="0" distR="0">
            <wp:extent cx="353060" cy="406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
                    <a:stretch>
                      <a:fillRect/>
                    </a:stretch>
                  </pic:blipFill>
                  <pic:spPr>
                    <a:xfrm>
                      <a:off x="0" y="0"/>
                      <a:ext cx="353184" cy="406990"/>
                    </a:xfrm>
                    <a:prstGeom prst="rect">
                      <a:avLst/>
                    </a:prstGeom>
                  </pic:spPr>
                </pic:pic>
              </a:graphicData>
            </a:graphic>
          </wp:inline>
        </w:drawing>
      </w:r>
      <w:r>
        <w:rPr>
          <w:rFonts w:ascii="Times New Roman" w:hAnsi="Times New Roman" w:eastAsia="Times New Roman" w:cs="Times New Roman"/>
          <w:spacing w:val="2"/>
          <w:position w:val="32"/>
          <w:sz w:val="13"/>
          <w:szCs w:val="13"/>
        </w:rPr>
        <w:t>0.75</w:t>
      </w:r>
    </w:p>
    <w:p w14:paraId="14709D15">
      <w:pPr>
        <w:spacing w:before="204" w:line="214" w:lineRule="auto"/>
        <w:ind w:left="522"/>
        <w:rPr>
          <w:rFonts w:ascii="宋体" w:hAnsi="宋体" w:eastAsia="宋体" w:cs="宋体"/>
          <w:sz w:val="24"/>
          <w:szCs w:val="24"/>
        </w:rPr>
      </w:pPr>
      <w:r>
        <w:rPr>
          <w:rFonts w:ascii="宋体" w:hAnsi="宋体" w:eastAsia="宋体" w:cs="宋体"/>
          <w:spacing w:val="-1"/>
          <w:sz w:val="24"/>
          <w:szCs w:val="24"/>
        </w:rPr>
        <w:t>式中：Q—— 汽车行驶的扬尘量，kg/km·辆；</w:t>
      </w:r>
    </w:p>
    <w:p w14:paraId="3E85E1A1">
      <w:pPr>
        <w:spacing w:before="191" w:line="465" w:lineRule="exact"/>
        <w:ind w:left="1231"/>
        <w:rPr>
          <w:rFonts w:ascii="宋体" w:hAnsi="宋体" w:eastAsia="宋体" w:cs="宋体"/>
          <w:sz w:val="24"/>
          <w:szCs w:val="24"/>
        </w:rPr>
      </w:pPr>
      <w:r>
        <w:rPr>
          <w:rFonts w:ascii="宋体" w:hAnsi="宋体" w:eastAsia="宋体" w:cs="宋体"/>
          <w:spacing w:val="-1"/>
          <w:position w:val="17"/>
          <w:sz w:val="24"/>
          <w:szCs w:val="24"/>
        </w:rPr>
        <w:t>V—— 汽车速度，km/h；</w:t>
      </w:r>
    </w:p>
    <w:p w14:paraId="01A222D7">
      <w:pPr>
        <w:spacing w:before="1" w:line="219" w:lineRule="auto"/>
        <w:ind w:left="1229"/>
        <w:rPr>
          <w:rFonts w:ascii="宋体" w:hAnsi="宋体" w:eastAsia="宋体" w:cs="宋体"/>
          <w:sz w:val="24"/>
          <w:szCs w:val="24"/>
        </w:rPr>
      </w:pPr>
      <w:r>
        <w:rPr>
          <w:rFonts w:ascii="宋体" w:hAnsi="宋体" w:eastAsia="宋体" w:cs="宋体"/>
          <w:spacing w:val="-1"/>
          <w:sz w:val="24"/>
          <w:szCs w:val="24"/>
        </w:rPr>
        <w:t>W—— 汽车载重量，T；</w:t>
      </w:r>
    </w:p>
    <w:p w14:paraId="16303258">
      <w:pPr>
        <w:spacing w:before="180" w:line="214" w:lineRule="auto"/>
        <w:ind w:left="1233"/>
        <w:rPr>
          <w:rFonts w:ascii="宋体" w:hAnsi="宋体" w:eastAsia="宋体" w:cs="宋体"/>
          <w:sz w:val="24"/>
          <w:szCs w:val="24"/>
        </w:rPr>
      </w:pPr>
      <w:r>
        <w:rPr>
          <w:rFonts w:ascii="宋体" w:hAnsi="宋体" w:eastAsia="宋体" w:cs="宋体"/>
          <w:spacing w:val="-2"/>
          <w:sz w:val="24"/>
          <w:szCs w:val="24"/>
        </w:rPr>
        <w:t>P—— 道路表面粉尘量，kg/㎡。</w:t>
      </w:r>
    </w:p>
    <w:p w14:paraId="03A0C4AC">
      <w:pPr>
        <w:spacing w:before="190" w:line="468" w:lineRule="exact"/>
        <w:jc w:val="right"/>
        <w:rPr>
          <w:rFonts w:ascii="宋体" w:hAnsi="宋体" w:eastAsia="宋体" w:cs="宋体"/>
          <w:sz w:val="24"/>
          <w:szCs w:val="24"/>
        </w:rPr>
      </w:pPr>
      <w:r>
        <w:rPr>
          <w:rFonts w:ascii="宋体" w:hAnsi="宋体" w:eastAsia="宋体" w:cs="宋体"/>
          <w:spacing w:val="-8"/>
          <w:position w:val="17"/>
          <w:sz w:val="24"/>
          <w:szCs w:val="24"/>
        </w:rPr>
        <w:t>表</w:t>
      </w:r>
      <w:r>
        <w:rPr>
          <w:rFonts w:ascii="宋体" w:hAnsi="宋体" w:eastAsia="宋体" w:cs="宋体"/>
          <w:spacing w:val="-49"/>
          <w:position w:val="17"/>
          <w:sz w:val="24"/>
          <w:szCs w:val="24"/>
        </w:rPr>
        <w:t xml:space="preserve"> </w:t>
      </w:r>
      <w:r>
        <w:rPr>
          <w:rFonts w:ascii="宋体" w:hAnsi="宋体" w:eastAsia="宋体" w:cs="宋体"/>
          <w:spacing w:val="-8"/>
          <w:position w:val="17"/>
          <w:sz w:val="24"/>
          <w:szCs w:val="24"/>
        </w:rPr>
        <w:t>3-2-15</w:t>
      </w:r>
      <w:r>
        <w:rPr>
          <w:rFonts w:ascii="宋体" w:hAnsi="宋体" w:eastAsia="宋体" w:cs="宋体"/>
          <w:spacing w:val="-50"/>
          <w:position w:val="17"/>
          <w:sz w:val="24"/>
          <w:szCs w:val="24"/>
        </w:rPr>
        <w:t xml:space="preserve"> </w:t>
      </w:r>
      <w:r>
        <w:rPr>
          <w:rFonts w:ascii="宋体" w:hAnsi="宋体" w:eastAsia="宋体" w:cs="宋体"/>
          <w:spacing w:val="-8"/>
          <w:position w:val="17"/>
          <w:sz w:val="24"/>
          <w:szCs w:val="24"/>
        </w:rPr>
        <w:t>为一辆</w:t>
      </w:r>
      <w:r>
        <w:rPr>
          <w:rFonts w:ascii="宋体" w:hAnsi="宋体" w:eastAsia="宋体" w:cs="宋体"/>
          <w:spacing w:val="-35"/>
          <w:position w:val="17"/>
          <w:sz w:val="24"/>
          <w:szCs w:val="24"/>
        </w:rPr>
        <w:t xml:space="preserve"> </w:t>
      </w:r>
      <w:r>
        <w:rPr>
          <w:rFonts w:ascii="宋体" w:hAnsi="宋体" w:eastAsia="宋体" w:cs="宋体"/>
          <w:spacing w:val="-8"/>
          <w:position w:val="17"/>
          <w:sz w:val="24"/>
          <w:szCs w:val="24"/>
        </w:rPr>
        <w:t>10t</w:t>
      </w:r>
      <w:r>
        <w:rPr>
          <w:rFonts w:ascii="宋体" w:hAnsi="宋体" w:eastAsia="宋体" w:cs="宋体"/>
          <w:spacing w:val="-51"/>
          <w:position w:val="17"/>
          <w:sz w:val="24"/>
          <w:szCs w:val="24"/>
        </w:rPr>
        <w:t xml:space="preserve"> </w:t>
      </w:r>
      <w:r>
        <w:rPr>
          <w:rFonts w:ascii="宋体" w:hAnsi="宋体" w:eastAsia="宋体" w:cs="宋体"/>
          <w:spacing w:val="-8"/>
          <w:position w:val="17"/>
          <w:sz w:val="24"/>
          <w:szCs w:val="24"/>
        </w:rPr>
        <w:t>卡车通过一段长为</w:t>
      </w:r>
      <w:r>
        <w:rPr>
          <w:rFonts w:ascii="宋体" w:hAnsi="宋体" w:eastAsia="宋体" w:cs="宋体"/>
          <w:spacing w:val="-35"/>
          <w:position w:val="17"/>
          <w:sz w:val="24"/>
          <w:szCs w:val="24"/>
        </w:rPr>
        <w:t xml:space="preserve"> </w:t>
      </w:r>
      <w:r>
        <w:rPr>
          <w:rFonts w:ascii="宋体" w:hAnsi="宋体" w:eastAsia="宋体" w:cs="宋体"/>
          <w:spacing w:val="-8"/>
          <w:position w:val="17"/>
          <w:sz w:val="24"/>
          <w:szCs w:val="24"/>
        </w:rPr>
        <w:t>1km</w:t>
      </w:r>
      <w:r>
        <w:rPr>
          <w:rFonts w:ascii="宋体" w:hAnsi="宋体" w:eastAsia="宋体" w:cs="宋体"/>
          <w:spacing w:val="-33"/>
          <w:position w:val="17"/>
          <w:sz w:val="24"/>
          <w:szCs w:val="24"/>
        </w:rPr>
        <w:t xml:space="preserve"> </w:t>
      </w:r>
      <w:r>
        <w:rPr>
          <w:rFonts w:ascii="宋体" w:hAnsi="宋体" w:eastAsia="宋体" w:cs="宋体"/>
          <w:spacing w:val="-8"/>
          <w:position w:val="17"/>
          <w:sz w:val="24"/>
          <w:szCs w:val="24"/>
        </w:rPr>
        <w:t>的路面时，在不同路面清洁程度，</w:t>
      </w:r>
    </w:p>
    <w:p w14:paraId="25EEC329">
      <w:pPr>
        <w:spacing w:line="219" w:lineRule="auto"/>
        <w:ind w:left="41"/>
        <w:rPr>
          <w:rFonts w:ascii="宋体" w:hAnsi="宋体" w:eastAsia="宋体" w:cs="宋体"/>
          <w:sz w:val="24"/>
          <w:szCs w:val="24"/>
        </w:rPr>
      </w:pPr>
      <w:r>
        <w:rPr>
          <w:rFonts w:ascii="宋体" w:hAnsi="宋体" w:eastAsia="宋体" w:cs="宋体"/>
          <w:spacing w:val="-1"/>
          <w:sz w:val="24"/>
          <w:szCs w:val="24"/>
        </w:rPr>
        <w:t>不同行驶速度情况下的扬尘量。</w:t>
      </w:r>
    </w:p>
    <w:p w14:paraId="254AD52C">
      <w:pPr>
        <w:spacing w:before="181" w:line="213" w:lineRule="auto"/>
        <w:ind w:left="23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3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3-2-15</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在不同车速和地面清洁程度的汽车扬尘量(单位：kg/km·辆)</w:t>
      </w:r>
    </w:p>
    <w:tbl>
      <w:tblPr>
        <w:tblStyle w:val="14"/>
        <w:tblW w:w="4997" w:type="pct"/>
        <w:tblInd w:w="0" w:type="dxa"/>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108"/>
        <w:gridCol w:w="1074"/>
        <w:gridCol w:w="1077"/>
        <w:gridCol w:w="1077"/>
        <w:gridCol w:w="1075"/>
        <w:gridCol w:w="1077"/>
        <w:gridCol w:w="1091"/>
      </w:tblGrid>
      <w:tr w14:paraId="71AE552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228" w:type="pct"/>
            <w:tcBorders>
              <w:tl2br w:val="nil"/>
              <w:tr2bl w:val="nil"/>
            </w:tcBorders>
            <w:vAlign w:val="top"/>
          </w:tcPr>
          <w:p w14:paraId="431113F2">
            <w:pPr>
              <w:pStyle w:val="15"/>
              <w:spacing w:before="34" w:line="274" w:lineRule="exact"/>
              <w:ind w:left="643"/>
            </w:pPr>
            <w:r>
              <w:rPr>
                <w:spacing w:val="5"/>
                <w:position w:val="4"/>
              </w:rPr>
              <w:t>P(</w:t>
            </w:r>
            <w:r>
              <w:rPr>
                <w:position w:val="4"/>
              </w:rPr>
              <w:t>kg</w:t>
            </w:r>
            <w:r>
              <w:rPr>
                <w:spacing w:val="5"/>
                <w:position w:val="4"/>
              </w:rPr>
              <w:t>/m</w:t>
            </w:r>
            <w:r>
              <w:rPr>
                <w:spacing w:val="5"/>
                <w:position w:val="14"/>
                <w:sz w:val="10"/>
                <w:szCs w:val="10"/>
              </w:rPr>
              <w:t>2</w:t>
            </w:r>
            <w:r>
              <w:rPr>
                <w:spacing w:val="5"/>
                <w:position w:val="4"/>
              </w:rPr>
              <w:t>)</w:t>
            </w:r>
          </w:p>
          <w:p w14:paraId="1AB18442">
            <w:pPr>
              <w:pStyle w:val="15"/>
              <w:spacing w:line="210" w:lineRule="auto"/>
              <w:ind w:left="519"/>
            </w:pPr>
            <w:r>
              <w:rPr>
                <w:spacing w:val="6"/>
              </w:rPr>
              <w:t>车速(</w:t>
            </w:r>
            <w:r>
              <w:t>km</w:t>
            </w:r>
            <w:r>
              <w:rPr>
                <w:spacing w:val="6"/>
              </w:rPr>
              <w:t>/h)</w:t>
            </w:r>
          </w:p>
        </w:tc>
        <w:tc>
          <w:tcPr>
            <w:tcW w:w="625" w:type="pct"/>
            <w:tcBorders>
              <w:tl2br w:val="nil"/>
              <w:tr2bl w:val="nil"/>
            </w:tcBorders>
            <w:vAlign w:val="top"/>
          </w:tcPr>
          <w:p w14:paraId="1C4B6243">
            <w:pPr>
              <w:pStyle w:val="15"/>
              <w:spacing w:before="203" w:line="190" w:lineRule="auto"/>
              <w:ind w:left="379"/>
            </w:pPr>
            <w:r>
              <w:rPr>
                <w:spacing w:val="1"/>
              </w:rPr>
              <w:t>0.1</w:t>
            </w:r>
          </w:p>
        </w:tc>
        <w:tc>
          <w:tcPr>
            <w:tcW w:w="627" w:type="pct"/>
            <w:tcBorders>
              <w:tl2br w:val="nil"/>
              <w:tr2bl w:val="nil"/>
            </w:tcBorders>
            <w:vAlign w:val="top"/>
          </w:tcPr>
          <w:p w14:paraId="5EB3FCD3">
            <w:pPr>
              <w:pStyle w:val="15"/>
              <w:spacing w:before="204" w:line="189" w:lineRule="auto"/>
              <w:ind w:left="384"/>
            </w:pPr>
            <w:r>
              <w:rPr>
                <w:spacing w:val="1"/>
              </w:rPr>
              <w:t>0.2</w:t>
            </w:r>
          </w:p>
        </w:tc>
        <w:tc>
          <w:tcPr>
            <w:tcW w:w="627" w:type="pct"/>
            <w:tcBorders>
              <w:tl2br w:val="nil"/>
              <w:tr2bl w:val="nil"/>
            </w:tcBorders>
            <w:vAlign w:val="top"/>
          </w:tcPr>
          <w:p w14:paraId="7846D848">
            <w:pPr>
              <w:pStyle w:val="15"/>
              <w:spacing w:before="204" w:line="189" w:lineRule="auto"/>
              <w:ind w:left="386"/>
            </w:pPr>
            <w:r>
              <w:rPr>
                <w:spacing w:val="1"/>
              </w:rPr>
              <w:t>0.3</w:t>
            </w:r>
          </w:p>
        </w:tc>
        <w:tc>
          <w:tcPr>
            <w:tcW w:w="626" w:type="pct"/>
            <w:tcBorders>
              <w:tl2br w:val="nil"/>
              <w:tr2bl w:val="nil"/>
            </w:tcBorders>
            <w:vAlign w:val="top"/>
          </w:tcPr>
          <w:p w14:paraId="0AA0CC3A">
            <w:pPr>
              <w:pStyle w:val="15"/>
              <w:spacing w:before="204" w:line="189" w:lineRule="auto"/>
              <w:ind w:left="390"/>
            </w:pPr>
            <w:r>
              <w:rPr>
                <w:spacing w:val="1"/>
              </w:rPr>
              <w:t>0.4</w:t>
            </w:r>
          </w:p>
        </w:tc>
        <w:tc>
          <w:tcPr>
            <w:tcW w:w="627" w:type="pct"/>
            <w:tcBorders>
              <w:tl2br w:val="nil"/>
              <w:tr2bl w:val="nil"/>
            </w:tcBorders>
            <w:vAlign w:val="top"/>
          </w:tcPr>
          <w:p w14:paraId="0C3246A6">
            <w:pPr>
              <w:pStyle w:val="15"/>
              <w:spacing w:before="204" w:line="189" w:lineRule="auto"/>
              <w:ind w:left="393"/>
            </w:pPr>
            <w:r>
              <w:rPr>
                <w:spacing w:val="1"/>
              </w:rPr>
              <w:t>0.5</w:t>
            </w:r>
          </w:p>
        </w:tc>
        <w:tc>
          <w:tcPr>
            <w:tcW w:w="635" w:type="pct"/>
            <w:tcBorders>
              <w:tl2br w:val="nil"/>
              <w:tr2bl w:val="nil"/>
            </w:tcBorders>
            <w:vAlign w:val="top"/>
          </w:tcPr>
          <w:p w14:paraId="30118BD5">
            <w:pPr>
              <w:pStyle w:val="15"/>
              <w:spacing w:before="203" w:line="190" w:lineRule="auto"/>
              <w:ind w:left="408"/>
            </w:pPr>
            <w:r>
              <w:rPr>
                <w:spacing w:val="-3"/>
              </w:rPr>
              <w:t>1.0</w:t>
            </w:r>
          </w:p>
        </w:tc>
      </w:tr>
      <w:tr w14:paraId="7938409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28" w:type="pct"/>
            <w:tcBorders>
              <w:tl2br w:val="nil"/>
              <w:tr2bl w:val="nil"/>
            </w:tcBorders>
            <w:vAlign w:val="top"/>
          </w:tcPr>
          <w:p w14:paraId="50365AB5">
            <w:pPr>
              <w:pStyle w:val="15"/>
              <w:spacing w:before="106" w:line="187" w:lineRule="auto"/>
              <w:ind w:left="992"/>
            </w:pPr>
            <w:r>
              <w:t>5</w:t>
            </w:r>
          </w:p>
        </w:tc>
        <w:tc>
          <w:tcPr>
            <w:tcW w:w="625" w:type="pct"/>
            <w:tcBorders>
              <w:tl2br w:val="nil"/>
              <w:tr2bl w:val="nil"/>
            </w:tcBorders>
            <w:vAlign w:val="top"/>
          </w:tcPr>
          <w:p w14:paraId="3CCF623B">
            <w:pPr>
              <w:pStyle w:val="15"/>
              <w:spacing w:before="103" w:line="190" w:lineRule="auto"/>
              <w:ind w:left="274"/>
            </w:pPr>
            <w:r>
              <w:rPr>
                <w:spacing w:val="2"/>
              </w:rPr>
              <w:t>0.051</w:t>
            </w:r>
          </w:p>
        </w:tc>
        <w:tc>
          <w:tcPr>
            <w:tcW w:w="627" w:type="pct"/>
            <w:tcBorders>
              <w:tl2br w:val="nil"/>
              <w:tr2bl w:val="nil"/>
            </w:tcBorders>
            <w:vAlign w:val="top"/>
          </w:tcPr>
          <w:p w14:paraId="1D223248">
            <w:pPr>
              <w:pStyle w:val="15"/>
              <w:spacing w:before="104" w:line="189" w:lineRule="auto"/>
              <w:ind w:left="278"/>
            </w:pPr>
            <w:r>
              <w:rPr>
                <w:spacing w:val="2"/>
              </w:rPr>
              <w:t>0.086</w:t>
            </w:r>
          </w:p>
        </w:tc>
        <w:tc>
          <w:tcPr>
            <w:tcW w:w="627" w:type="pct"/>
            <w:tcBorders>
              <w:tl2br w:val="nil"/>
              <w:tr2bl w:val="nil"/>
            </w:tcBorders>
            <w:vAlign w:val="top"/>
          </w:tcPr>
          <w:p w14:paraId="18F65B23">
            <w:pPr>
              <w:pStyle w:val="15"/>
              <w:spacing w:before="103" w:line="190" w:lineRule="auto"/>
              <w:ind w:left="283"/>
            </w:pPr>
            <w:r>
              <w:rPr>
                <w:spacing w:val="2"/>
              </w:rPr>
              <w:t>0.116</w:t>
            </w:r>
          </w:p>
        </w:tc>
        <w:tc>
          <w:tcPr>
            <w:tcW w:w="626" w:type="pct"/>
            <w:tcBorders>
              <w:tl2br w:val="nil"/>
              <w:tr2bl w:val="nil"/>
            </w:tcBorders>
            <w:vAlign w:val="top"/>
          </w:tcPr>
          <w:p w14:paraId="1C06F922">
            <w:pPr>
              <w:pStyle w:val="15"/>
              <w:spacing w:before="103" w:line="190" w:lineRule="auto"/>
              <w:ind w:left="284"/>
            </w:pPr>
            <w:r>
              <w:rPr>
                <w:spacing w:val="2"/>
              </w:rPr>
              <w:t>0.144</w:t>
            </w:r>
          </w:p>
        </w:tc>
        <w:tc>
          <w:tcPr>
            <w:tcW w:w="627" w:type="pct"/>
            <w:tcBorders>
              <w:tl2br w:val="nil"/>
              <w:tr2bl w:val="nil"/>
            </w:tcBorders>
            <w:vAlign w:val="top"/>
          </w:tcPr>
          <w:p w14:paraId="5E8EE41E">
            <w:pPr>
              <w:pStyle w:val="15"/>
              <w:spacing w:before="103" w:line="190" w:lineRule="auto"/>
              <w:ind w:left="287"/>
            </w:pPr>
            <w:r>
              <w:rPr>
                <w:spacing w:val="2"/>
              </w:rPr>
              <w:t>0.171</w:t>
            </w:r>
          </w:p>
        </w:tc>
        <w:tc>
          <w:tcPr>
            <w:tcW w:w="635" w:type="pct"/>
            <w:tcBorders>
              <w:tl2br w:val="nil"/>
              <w:tr2bl w:val="nil"/>
            </w:tcBorders>
            <w:vAlign w:val="top"/>
          </w:tcPr>
          <w:p w14:paraId="6AD18980">
            <w:pPr>
              <w:pStyle w:val="15"/>
              <w:spacing w:before="104" w:line="189" w:lineRule="auto"/>
              <w:ind w:left="291"/>
            </w:pPr>
            <w:r>
              <w:rPr>
                <w:spacing w:val="2"/>
              </w:rPr>
              <w:t>0.287</w:t>
            </w:r>
          </w:p>
        </w:tc>
      </w:tr>
      <w:tr w14:paraId="5D011E93">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228" w:type="pct"/>
            <w:tcBorders>
              <w:tl2br w:val="nil"/>
              <w:tr2bl w:val="nil"/>
            </w:tcBorders>
            <w:vAlign w:val="top"/>
          </w:tcPr>
          <w:p w14:paraId="2F0AC585">
            <w:pPr>
              <w:pStyle w:val="15"/>
              <w:spacing w:before="108" w:line="190" w:lineRule="auto"/>
              <w:ind w:left="953"/>
            </w:pPr>
            <w:r>
              <w:rPr>
                <w:spacing w:val="-7"/>
              </w:rPr>
              <w:t>10</w:t>
            </w:r>
          </w:p>
        </w:tc>
        <w:tc>
          <w:tcPr>
            <w:tcW w:w="625" w:type="pct"/>
            <w:tcBorders>
              <w:tl2br w:val="nil"/>
              <w:tr2bl w:val="nil"/>
            </w:tcBorders>
            <w:vAlign w:val="top"/>
          </w:tcPr>
          <w:p w14:paraId="3FF61899">
            <w:pPr>
              <w:pStyle w:val="15"/>
              <w:spacing w:before="108" w:line="190" w:lineRule="auto"/>
              <w:ind w:left="274"/>
            </w:pPr>
            <w:r>
              <w:rPr>
                <w:spacing w:val="2"/>
              </w:rPr>
              <w:t>0.102</w:t>
            </w:r>
          </w:p>
        </w:tc>
        <w:tc>
          <w:tcPr>
            <w:tcW w:w="627" w:type="pct"/>
            <w:tcBorders>
              <w:tl2br w:val="nil"/>
              <w:tr2bl w:val="nil"/>
            </w:tcBorders>
            <w:vAlign w:val="top"/>
          </w:tcPr>
          <w:p w14:paraId="3A7BE9AE">
            <w:pPr>
              <w:pStyle w:val="15"/>
              <w:spacing w:before="108" w:line="190" w:lineRule="auto"/>
              <w:ind w:left="278"/>
            </w:pPr>
            <w:r>
              <w:rPr>
                <w:spacing w:val="2"/>
              </w:rPr>
              <w:t>0.171</w:t>
            </w:r>
          </w:p>
        </w:tc>
        <w:tc>
          <w:tcPr>
            <w:tcW w:w="627" w:type="pct"/>
            <w:tcBorders>
              <w:tl2br w:val="nil"/>
              <w:tr2bl w:val="nil"/>
            </w:tcBorders>
            <w:vAlign w:val="top"/>
          </w:tcPr>
          <w:p w14:paraId="3AB5FC13">
            <w:pPr>
              <w:pStyle w:val="15"/>
              <w:spacing w:before="109" w:line="189" w:lineRule="auto"/>
              <w:ind w:left="283"/>
            </w:pPr>
            <w:r>
              <w:rPr>
                <w:spacing w:val="2"/>
              </w:rPr>
              <w:t>0.232</w:t>
            </w:r>
          </w:p>
        </w:tc>
        <w:tc>
          <w:tcPr>
            <w:tcW w:w="626" w:type="pct"/>
            <w:tcBorders>
              <w:tl2br w:val="nil"/>
              <w:tr2bl w:val="nil"/>
            </w:tcBorders>
            <w:vAlign w:val="top"/>
          </w:tcPr>
          <w:p w14:paraId="3CB3CBA2">
            <w:pPr>
              <w:pStyle w:val="15"/>
              <w:spacing w:before="109" w:line="189" w:lineRule="auto"/>
              <w:ind w:left="284"/>
            </w:pPr>
            <w:r>
              <w:rPr>
                <w:spacing w:val="2"/>
              </w:rPr>
              <w:t>0.289</w:t>
            </w:r>
          </w:p>
        </w:tc>
        <w:tc>
          <w:tcPr>
            <w:tcW w:w="627" w:type="pct"/>
            <w:tcBorders>
              <w:tl2br w:val="nil"/>
              <w:tr2bl w:val="nil"/>
            </w:tcBorders>
            <w:vAlign w:val="top"/>
          </w:tcPr>
          <w:p w14:paraId="6D79D1D8">
            <w:pPr>
              <w:pStyle w:val="15"/>
              <w:spacing w:before="108" w:line="190" w:lineRule="auto"/>
              <w:ind w:left="287"/>
            </w:pPr>
            <w:r>
              <w:rPr>
                <w:spacing w:val="2"/>
              </w:rPr>
              <w:t>0.341</w:t>
            </w:r>
          </w:p>
        </w:tc>
        <w:tc>
          <w:tcPr>
            <w:tcW w:w="635" w:type="pct"/>
            <w:tcBorders>
              <w:tl2br w:val="nil"/>
              <w:tr2bl w:val="nil"/>
            </w:tcBorders>
            <w:vAlign w:val="top"/>
          </w:tcPr>
          <w:p w14:paraId="1F940E79">
            <w:pPr>
              <w:pStyle w:val="15"/>
              <w:spacing w:before="109" w:line="189" w:lineRule="auto"/>
              <w:ind w:left="291"/>
            </w:pPr>
            <w:r>
              <w:rPr>
                <w:spacing w:val="2"/>
              </w:rPr>
              <w:t>0.574</w:t>
            </w:r>
          </w:p>
        </w:tc>
      </w:tr>
      <w:tr w14:paraId="4295B86C">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228" w:type="pct"/>
            <w:tcBorders>
              <w:tl2br w:val="nil"/>
              <w:tr2bl w:val="nil"/>
            </w:tcBorders>
            <w:vAlign w:val="top"/>
          </w:tcPr>
          <w:p w14:paraId="4FF481FC">
            <w:pPr>
              <w:pStyle w:val="15"/>
              <w:spacing w:before="113" w:line="190" w:lineRule="auto"/>
              <w:ind w:left="953"/>
            </w:pPr>
            <w:r>
              <w:rPr>
                <w:spacing w:val="-7"/>
              </w:rPr>
              <w:t>15</w:t>
            </w:r>
          </w:p>
        </w:tc>
        <w:tc>
          <w:tcPr>
            <w:tcW w:w="625" w:type="pct"/>
            <w:tcBorders>
              <w:tl2br w:val="nil"/>
              <w:tr2bl w:val="nil"/>
            </w:tcBorders>
            <w:vAlign w:val="top"/>
          </w:tcPr>
          <w:p w14:paraId="06A53A93">
            <w:pPr>
              <w:pStyle w:val="15"/>
              <w:spacing w:before="113" w:line="190" w:lineRule="auto"/>
              <w:ind w:left="274"/>
            </w:pPr>
            <w:r>
              <w:rPr>
                <w:spacing w:val="2"/>
              </w:rPr>
              <w:t>0.153</w:t>
            </w:r>
          </w:p>
        </w:tc>
        <w:tc>
          <w:tcPr>
            <w:tcW w:w="627" w:type="pct"/>
            <w:tcBorders>
              <w:tl2br w:val="nil"/>
              <w:tr2bl w:val="nil"/>
            </w:tcBorders>
            <w:vAlign w:val="top"/>
          </w:tcPr>
          <w:p w14:paraId="1363478F">
            <w:pPr>
              <w:pStyle w:val="15"/>
              <w:spacing w:before="114" w:line="189" w:lineRule="auto"/>
              <w:ind w:left="278"/>
            </w:pPr>
            <w:r>
              <w:rPr>
                <w:spacing w:val="2"/>
              </w:rPr>
              <w:t>0.257</w:t>
            </w:r>
          </w:p>
        </w:tc>
        <w:tc>
          <w:tcPr>
            <w:tcW w:w="627" w:type="pct"/>
            <w:tcBorders>
              <w:tl2br w:val="nil"/>
              <w:tr2bl w:val="nil"/>
            </w:tcBorders>
            <w:vAlign w:val="top"/>
          </w:tcPr>
          <w:p w14:paraId="787821B6">
            <w:pPr>
              <w:pStyle w:val="15"/>
              <w:spacing w:before="114" w:line="189" w:lineRule="auto"/>
              <w:ind w:left="283"/>
            </w:pPr>
            <w:r>
              <w:rPr>
                <w:spacing w:val="2"/>
              </w:rPr>
              <w:t>0.349</w:t>
            </w:r>
          </w:p>
        </w:tc>
        <w:tc>
          <w:tcPr>
            <w:tcW w:w="626" w:type="pct"/>
            <w:tcBorders>
              <w:tl2br w:val="nil"/>
              <w:tr2bl w:val="nil"/>
            </w:tcBorders>
            <w:vAlign w:val="top"/>
          </w:tcPr>
          <w:p w14:paraId="65BF3EE8">
            <w:pPr>
              <w:pStyle w:val="15"/>
              <w:spacing w:before="114" w:line="189" w:lineRule="auto"/>
              <w:ind w:left="284"/>
            </w:pPr>
            <w:r>
              <w:rPr>
                <w:spacing w:val="2"/>
              </w:rPr>
              <w:t>0.433</w:t>
            </w:r>
          </w:p>
        </w:tc>
        <w:tc>
          <w:tcPr>
            <w:tcW w:w="627" w:type="pct"/>
            <w:tcBorders>
              <w:tl2br w:val="nil"/>
              <w:tr2bl w:val="nil"/>
            </w:tcBorders>
            <w:vAlign w:val="top"/>
          </w:tcPr>
          <w:p w14:paraId="700C906B">
            <w:pPr>
              <w:pStyle w:val="15"/>
              <w:spacing w:before="113" w:line="190" w:lineRule="auto"/>
              <w:ind w:left="287"/>
            </w:pPr>
            <w:r>
              <w:rPr>
                <w:spacing w:val="2"/>
              </w:rPr>
              <w:t>0.512</w:t>
            </w:r>
          </w:p>
        </w:tc>
        <w:tc>
          <w:tcPr>
            <w:tcW w:w="635" w:type="pct"/>
            <w:tcBorders>
              <w:tl2br w:val="nil"/>
              <w:tr2bl w:val="nil"/>
            </w:tcBorders>
            <w:vAlign w:val="top"/>
          </w:tcPr>
          <w:p w14:paraId="2962B42E">
            <w:pPr>
              <w:pStyle w:val="15"/>
              <w:spacing w:before="113" w:line="190" w:lineRule="auto"/>
              <w:ind w:left="291"/>
            </w:pPr>
            <w:r>
              <w:rPr>
                <w:spacing w:val="2"/>
              </w:rPr>
              <w:t>0.861</w:t>
            </w:r>
          </w:p>
        </w:tc>
      </w:tr>
      <w:tr w14:paraId="1C7C7FE1">
        <w:tblPrEx>
          <w:tblBorders>
            <w:top w:val="single" w:color="000000" w:sz="10" w:space="0"/>
            <w:left w:val="none" w:color="auto" w:sz="0" w:space="0"/>
            <w:bottom w:val="single" w:color="000000" w:sz="10"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28" w:type="pct"/>
            <w:tcBorders>
              <w:tl2br w:val="nil"/>
              <w:tr2bl w:val="nil"/>
            </w:tcBorders>
            <w:vAlign w:val="top"/>
          </w:tcPr>
          <w:p w14:paraId="15D997ED">
            <w:pPr>
              <w:pStyle w:val="15"/>
              <w:spacing w:before="118" w:line="189" w:lineRule="auto"/>
              <w:ind w:left="940"/>
            </w:pPr>
            <w:r>
              <w:rPr>
                <w:spacing w:val="-1"/>
              </w:rPr>
              <w:t>20</w:t>
            </w:r>
          </w:p>
        </w:tc>
        <w:tc>
          <w:tcPr>
            <w:tcW w:w="625" w:type="pct"/>
            <w:tcBorders>
              <w:tl2br w:val="nil"/>
              <w:tr2bl w:val="nil"/>
            </w:tcBorders>
            <w:vAlign w:val="top"/>
          </w:tcPr>
          <w:p w14:paraId="1F6C7B58">
            <w:pPr>
              <w:pStyle w:val="15"/>
              <w:spacing w:before="118" w:line="189" w:lineRule="auto"/>
              <w:ind w:left="274"/>
            </w:pPr>
            <w:r>
              <w:rPr>
                <w:spacing w:val="2"/>
              </w:rPr>
              <w:t>0.255</w:t>
            </w:r>
          </w:p>
        </w:tc>
        <w:tc>
          <w:tcPr>
            <w:tcW w:w="627" w:type="pct"/>
            <w:tcBorders>
              <w:tl2br w:val="nil"/>
              <w:tr2bl w:val="nil"/>
            </w:tcBorders>
            <w:vAlign w:val="top"/>
          </w:tcPr>
          <w:p w14:paraId="59DD624B">
            <w:pPr>
              <w:pStyle w:val="15"/>
              <w:spacing w:before="118" w:line="189" w:lineRule="auto"/>
              <w:ind w:left="278"/>
            </w:pPr>
            <w:r>
              <w:rPr>
                <w:spacing w:val="2"/>
              </w:rPr>
              <w:t>0.429</w:t>
            </w:r>
          </w:p>
        </w:tc>
        <w:tc>
          <w:tcPr>
            <w:tcW w:w="627" w:type="pct"/>
            <w:tcBorders>
              <w:tl2br w:val="nil"/>
              <w:tr2bl w:val="nil"/>
            </w:tcBorders>
            <w:vAlign w:val="top"/>
          </w:tcPr>
          <w:p w14:paraId="01821B7D">
            <w:pPr>
              <w:pStyle w:val="15"/>
              <w:spacing w:before="118" w:line="189" w:lineRule="auto"/>
              <w:ind w:left="283"/>
            </w:pPr>
            <w:r>
              <w:rPr>
                <w:spacing w:val="2"/>
              </w:rPr>
              <w:t>0.582</w:t>
            </w:r>
          </w:p>
        </w:tc>
        <w:tc>
          <w:tcPr>
            <w:tcW w:w="626" w:type="pct"/>
            <w:tcBorders>
              <w:tl2br w:val="nil"/>
              <w:tr2bl w:val="nil"/>
            </w:tcBorders>
            <w:vAlign w:val="top"/>
          </w:tcPr>
          <w:p w14:paraId="217DBBDA">
            <w:pPr>
              <w:pStyle w:val="15"/>
              <w:spacing w:before="118" w:line="189" w:lineRule="auto"/>
              <w:ind w:left="284"/>
            </w:pPr>
            <w:r>
              <w:rPr>
                <w:spacing w:val="2"/>
              </w:rPr>
              <w:t>0.722</w:t>
            </w:r>
          </w:p>
        </w:tc>
        <w:tc>
          <w:tcPr>
            <w:tcW w:w="627" w:type="pct"/>
            <w:tcBorders>
              <w:tl2br w:val="nil"/>
              <w:tr2bl w:val="nil"/>
            </w:tcBorders>
            <w:vAlign w:val="top"/>
          </w:tcPr>
          <w:p w14:paraId="2ACF3B90">
            <w:pPr>
              <w:pStyle w:val="15"/>
              <w:spacing w:before="118" w:line="189" w:lineRule="auto"/>
              <w:ind w:left="287"/>
            </w:pPr>
            <w:r>
              <w:rPr>
                <w:spacing w:val="2"/>
              </w:rPr>
              <w:t>0.853</w:t>
            </w:r>
          </w:p>
        </w:tc>
        <w:tc>
          <w:tcPr>
            <w:tcW w:w="635" w:type="pct"/>
            <w:tcBorders>
              <w:tl2br w:val="nil"/>
              <w:tr2bl w:val="nil"/>
            </w:tcBorders>
            <w:vAlign w:val="top"/>
          </w:tcPr>
          <w:p w14:paraId="700A9FD0">
            <w:pPr>
              <w:pStyle w:val="15"/>
              <w:spacing w:before="117" w:line="190" w:lineRule="auto"/>
              <w:ind w:left="305"/>
            </w:pPr>
            <w:r>
              <w:t>1.435</w:t>
            </w:r>
          </w:p>
        </w:tc>
      </w:tr>
    </w:tbl>
    <w:p w14:paraId="47EE2B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从表 3-2-15 可见，在同样的路面条件下，车速越快，扬尘量越大，在同样的车速情况下，路面粉尘越大，扬尘量越大。</w:t>
      </w:r>
    </w:p>
    <w:p w14:paraId="08A5FB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（2）加工粉尘</w:t>
      </w:r>
    </w:p>
    <w:p w14:paraId="7D71B4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根据施工组织设计，施工期间设置临时生产区</w:t>
      </w:r>
      <w:r>
        <w:rPr>
          <w:rFonts w:ascii="宋体" w:hAnsi="宋体" w:eastAsia="宋体" w:cs="宋体"/>
          <w:spacing w:val="-33"/>
          <w:sz w:val="24"/>
          <w:szCs w:val="24"/>
        </w:rPr>
        <w:t xml:space="preserve"> </w:t>
      </w:r>
      <w:r>
        <w:rPr>
          <w:rFonts w:ascii="宋体" w:hAnsi="宋体" w:eastAsia="宋体" w:cs="宋体"/>
          <w:spacing w:val="-2"/>
          <w:sz w:val="24"/>
          <w:szCs w:val="24"/>
        </w:rPr>
        <w:t>14</w:t>
      </w:r>
      <w:r>
        <w:rPr>
          <w:rFonts w:ascii="宋体" w:hAnsi="宋体" w:eastAsia="宋体" w:cs="宋体"/>
          <w:spacing w:val="-46"/>
          <w:sz w:val="24"/>
          <w:szCs w:val="24"/>
        </w:rPr>
        <w:t xml:space="preserve"> </w:t>
      </w:r>
      <w:r>
        <w:rPr>
          <w:rFonts w:ascii="宋体" w:hAnsi="宋体" w:eastAsia="宋体" w:cs="宋体"/>
          <w:spacing w:val="-2"/>
          <w:sz w:val="24"/>
          <w:szCs w:val="24"/>
        </w:rPr>
        <w:t>处，各临时生产区占地面积</w:t>
      </w:r>
      <w:r>
        <w:rPr>
          <w:rFonts w:ascii="宋体" w:hAnsi="宋体" w:eastAsia="宋体" w:cs="宋体"/>
          <w:sz w:val="24"/>
          <w:szCs w:val="24"/>
        </w:rPr>
        <w:t xml:space="preserve"> </w:t>
      </w:r>
      <w:r>
        <w:rPr>
          <w:rFonts w:ascii="宋体" w:hAnsi="宋体" w:eastAsia="宋体" w:cs="宋体"/>
          <w:spacing w:val="-2"/>
          <w:sz w:val="24"/>
          <w:szCs w:val="24"/>
        </w:rPr>
        <w:t>均为</w:t>
      </w:r>
      <w:r>
        <w:rPr>
          <w:rFonts w:ascii="宋体" w:hAnsi="宋体" w:eastAsia="宋体" w:cs="宋体"/>
          <w:spacing w:val="-40"/>
          <w:sz w:val="24"/>
          <w:szCs w:val="24"/>
        </w:rPr>
        <w:t xml:space="preserve"> </w:t>
      </w:r>
      <w:r>
        <w:rPr>
          <w:rFonts w:ascii="宋体" w:hAnsi="宋体" w:eastAsia="宋体" w:cs="宋体"/>
          <w:spacing w:val="-2"/>
          <w:sz w:val="24"/>
          <w:szCs w:val="24"/>
        </w:rPr>
        <w:t>750m</w:t>
      </w:r>
      <w:r>
        <w:rPr>
          <w:rFonts w:ascii="宋体" w:hAnsi="宋体" w:eastAsia="宋体" w:cs="宋体"/>
          <w:spacing w:val="-2"/>
          <w:position w:val="12"/>
          <w:sz w:val="12"/>
          <w:szCs w:val="12"/>
        </w:rPr>
        <w:t>2</w:t>
      </w:r>
      <w:r>
        <w:rPr>
          <w:rFonts w:ascii="宋体" w:hAnsi="宋体" w:eastAsia="宋体" w:cs="宋体"/>
          <w:spacing w:val="-31"/>
          <w:position w:val="12"/>
          <w:sz w:val="12"/>
          <w:szCs w:val="12"/>
        </w:rPr>
        <w:t xml:space="preserve"> </w:t>
      </w:r>
      <w:r>
        <w:rPr>
          <w:rFonts w:ascii="宋体" w:hAnsi="宋体" w:eastAsia="宋体" w:cs="宋体"/>
          <w:spacing w:val="-2"/>
          <w:sz w:val="24"/>
          <w:szCs w:val="24"/>
        </w:rPr>
        <w:t>，区内设有混凝土生产系统及综合施工区。其中混凝土生产系统根据混</w:t>
      </w:r>
      <w:r>
        <w:rPr>
          <w:rFonts w:ascii="宋体" w:hAnsi="宋体" w:eastAsia="宋体" w:cs="宋体"/>
          <w:sz w:val="24"/>
          <w:szCs w:val="24"/>
        </w:rPr>
        <w:t xml:space="preserve"> 凝土强度选择</w:t>
      </w:r>
      <w:r>
        <w:rPr>
          <w:rFonts w:ascii="宋体" w:hAnsi="宋体" w:eastAsia="宋体" w:cs="宋体"/>
          <w:spacing w:val="-48"/>
          <w:sz w:val="24"/>
          <w:szCs w:val="24"/>
        </w:rPr>
        <w:t xml:space="preserve"> </w:t>
      </w:r>
      <w:r>
        <w:rPr>
          <w:rFonts w:ascii="宋体" w:hAnsi="宋体" w:eastAsia="宋体" w:cs="宋体"/>
          <w:sz w:val="24"/>
          <w:szCs w:val="24"/>
        </w:rPr>
        <w:t>0.4m</w:t>
      </w:r>
      <w:r>
        <w:rPr>
          <w:rFonts w:ascii="宋体" w:hAnsi="宋体" w:eastAsia="宋体" w:cs="宋体"/>
          <w:position w:val="11"/>
          <w:sz w:val="12"/>
          <w:szCs w:val="12"/>
        </w:rPr>
        <w:t>3</w:t>
      </w:r>
      <w:r>
        <w:rPr>
          <w:rFonts w:ascii="宋体" w:hAnsi="宋体" w:eastAsia="宋体" w:cs="宋体"/>
          <w:spacing w:val="-17"/>
          <w:position w:val="11"/>
          <w:sz w:val="12"/>
          <w:szCs w:val="12"/>
        </w:rPr>
        <w:t xml:space="preserve"> </w:t>
      </w:r>
      <w:r>
        <w:rPr>
          <w:rFonts w:ascii="宋体" w:hAnsi="宋体" w:eastAsia="宋体" w:cs="宋体"/>
          <w:sz w:val="24"/>
          <w:szCs w:val="24"/>
        </w:rPr>
        <w:t>或</w:t>
      </w:r>
      <w:r>
        <w:rPr>
          <w:rFonts w:ascii="宋体" w:hAnsi="宋体" w:eastAsia="宋体" w:cs="宋体"/>
          <w:spacing w:val="-46"/>
          <w:sz w:val="24"/>
          <w:szCs w:val="24"/>
        </w:rPr>
        <w:t xml:space="preserve"> </w:t>
      </w:r>
      <w:r>
        <w:rPr>
          <w:rFonts w:ascii="宋体" w:hAnsi="宋体" w:eastAsia="宋体" w:cs="宋体"/>
          <w:sz w:val="24"/>
          <w:szCs w:val="24"/>
        </w:rPr>
        <w:t>0.8m</w:t>
      </w:r>
      <w:r>
        <w:rPr>
          <w:rFonts w:ascii="宋体" w:hAnsi="宋体" w:eastAsia="宋体" w:cs="宋体"/>
          <w:position w:val="11"/>
          <w:sz w:val="12"/>
          <w:szCs w:val="12"/>
        </w:rPr>
        <w:t>3</w:t>
      </w:r>
      <w:r>
        <w:rPr>
          <w:rFonts w:ascii="宋体" w:hAnsi="宋体" w:eastAsia="宋体" w:cs="宋体"/>
          <w:spacing w:val="-19"/>
          <w:position w:val="11"/>
          <w:sz w:val="12"/>
          <w:szCs w:val="12"/>
        </w:rPr>
        <w:t xml:space="preserve"> </w:t>
      </w:r>
      <w:r>
        <w:rPr>
          <w:rFonts w:ascii="宋体" w:hAnsi="宋体" w:eastAsia="宋体" w:cs="宋体"/>
          <w:sz w:val="24"/>
          <w:szCs w:val="24"/>
        </w:rPr>
        <w:t>移动式搅拌机</w:t>
      </w:r>
      <w:r>
        <w:rPr>
          <w:rFonts w:ascii="宋体" w:hAnsi="宋体" w:eastAsia="宋体" w:cs="宋体"/>
          <w:spacing w:val="-1"/>
          <w:sz w:val="24"/>
          <w:szCs w:val="24"/>
        </w:rPr>
        <w:t>拌制混凝土，不设置骨料储存装置；综</w:t>
      </w:r>
      <w:r>
        <w:rPr>
          <w:rFonts w:ascii="宋体" w:hAnsi="宋体" w:eastAsia="宋体" w:cs="宋体"/>
          <w:sz w:val="24"/>
          <w:szCs w:val="24"/>
        </w:rPr>
        <w:t xml:space="preserve"> </w:t>
      </w:r>
      <w:r>
        <w:rPr>
          <w:rFonts w:ascii="宋体" w:hAnsi="宋体" w:eastAsia="宋体" w:cs="宋体"/>
          <w:spacing w:val="3"/>
          <w:sz w:val="24"/>
          <w:szCs w:val="24"/>
        </w:rPr>
        <w:t>合施工区内布设有钢木加工区、仓库及机械停放</w:t>
      </w:r>
      <w:r>
        <w:rPr>
          <w:rFonts w:ascii="宋体" w:hAnsi="宋体" w:eastAsia="宋体" w:cs="宋体"/>
          <w:spacing w:val="2"/>
          <w:sz w:val="24"/>
          <w:szCs w:val="24"/>
        </w:rPr>
        <w:t>区。因此，在其生产加工过程中</w:t>
      </w:r>
      <w:r>
        <w:rPr>
          <w:rFonts w:ascii="宋体" w:hAnsi="宋体" w:eastAsia="宋体" w:cs="宋体"/>
          <w:spacing w:val="-1"/>
          <w:sz w:val="24"/>
          <w:szCs w:val="24"/>
        </w:rPr>
        <w:t>临时生产区将产生混凝土搅拌粉尘和钢木加工粉尘。</w:t>
      </w:r>
    </w:p>
    <w:p w14:paraId="7876B3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z w:val="24"/>
          <w:szCs w:val="24"/>
        </w:rPr>
      </w:pPr>
      <w:r>
        <w:rPr>
          <w:rFonts w:ascii="宋体" w:hAnsi="宋体" w:eastAsia="宋体" w:cs="宋体"/>
          <w:spacing w:val="-4"/>
          <w:sz w:val="24"/>
          <w:szCs w:val="24"/>
        </w:rPr>
        <w:t>1)混凝土拌合粉尘</w:t>
      </w:r>
    </w:p>
    <w:p w14:paraId="59EEF6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参考《排放源统计调查产排污核算方法和系数手册》（生态环境部公告 2021 年第 24 号）中“3021 水泥制品制造（含3022</w:t>
      </w:r>
      <w:r>
        <w:rPr>
          <w:rFonts w:hint="eastAsia" w:ascii="宋体" w:hAnsi="宋体" w:eastAsia="宋体" w:cs="宋体"/>
          <w:sz w:val="24"/>
          <w:szCs w:val="24"/>
          <w:lang w:val="en-US" w:eastAsia="zh-CN"/>
        </w:rPr>
        <w:t xml:space="preserve"> </w:t>
      </w:r>
      <w:r>
        <w:rPr>
          <w:rFonts w:ascii="宋体" w:hAnsi="宋体" w:eastAsia="宋体" w:cs="宋体"/>
          <w:sz w:val="24"/>
          <w:szCs w:val="24"/>
        </w:rPr>
        <w:t>砼结构构件制造、3029 其他水泥类似制品制造） ”行业系数表，搅拌粉尘产污系数按 0.13kg/t 产品，项目混凝土用量约 2725.54t，则项目施工期混凝土搅拌粉尘产生总量约为 0.35t/a。</w:t>
      </w:r>
    </w:p>
    <w:p w14:paraId="7F604F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2)钢材加工粉尘</w:t>
      </w:r>
    </w:p>
    <w:p w14:paraId="2D9643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z w:val="24"/>
          <w:szCs w:val="24"/>
        </w:rPr>
      </w:pPr>
      <w:r>
        <w:rPr>
          <w:rFonts w:ascii="宋体" w:hAnsi="宋体" w:eastAsia="宋体" w:cs="宋体"/>
          <w:spacing w:val="-1"/>
          <w:sz w:val="24"/>
          <w:szCs w:val="24"/>
        </w:rPr>
        <w:t>参考《排放源统计调查产排污核算方法和系数手册》（生态环境部公告 2021</w:t>
      </w:r>
      <w:r>
        <w:rPr>
          <w:rFonts w:ascii="宋体" w:hAnsi="宋体" w:eastAsia="宋体" w:cs="宋体"/>
          <w:spacing w:val="6"/>
          <w:sz w:val="24"/>
          <w:szCs w:val="24"/>
        </w:rPr>
        <w:t xml:space="preserve"> </w:t>
      </w:r>
      <w:r>
        <w:rPr>
          <w:rFonts w:ascii="宋体" w:hAnsi="宋体" w:eastAsia="宋体" w:cs="宋体"/>
          <w:spacing w:val="-3"/>
          <w:sz w:val="24"/>
          <w:szCs w:val="24"/>
        </w:rPr>
        <w:t>年第</w:t>
      </w:r>
      <w:r>
        <w:rPr>
          <w:rFonts w:ascii="宋体" w:hAnsi="宋体" w:eastAsia="宋体" w:cs="宋体"/>
          <w:spacing w:val="-30"/>
          <w:sz w:val="24"/>
          <w:szCs w:val="24"/>
        </w:rPr>
        <w:t xml:space="preserve"> </w:t>
      </w:r>
      <w:r>
        <w:rPr>
          <w:rFonts w:ascii="宋体" w:hAnsi="宋体" w:eastAsia="宋体" w:cs="宋体"/>
          <w:spacing w:val="-3"/>
          <w:sz w:val="24"/>
          <w:szCs w:val="24"/>
        </w:rPr>
        <w:t>24</w:t>
      </w:r>
      <w:r>
        <w:rPr>
          <w:rFonts w:ascii="宋体" w:hAnsi="宋体" w:eastAsia="宋体" w:cs="宋体"/>
          <w:spacing w:val="-45"/>
          <w:sz w:val="24"/>
          <w:szCs w:val="24"/>
        </w:rPr>
        <w:t xml:space="preserve"> </w:t>
      </w:r>
      <w:r>
        <w:rPr>
          <w:rFonts w:ascii="宋体" w:hAnsi="宋体" w:eastAsia="宋体" w:cs="宋体"/>
          <w:spacing w:val="-3"/>
          <w:sz w:val="24"/>
          <w:szCs w:val="24"/>
        </w:rPr>
        <w:t>号）中“木材加工行业系数手册</w:t>
      </w:r>
      <w:r>
        <w:rPr>
          <w:rFonts w:ascii="宋体" w:hAnsi="宋体" w:eastAsia="宋体" w:cs="宋体"/>
          <w:spacing w:val="-86"/>
          <w:sz w:val="24"/>
          <w:szCs w:val="24"/>
        </w:rPr>
        <w:t xml:space="preserve"> </w:t>
      </w:r>
      <w:r>
        <w:rPr>
          <w:rFonts w:ascii="宋体" w:hAnsi="宋体" w:eastAsia="宋体" w:cs="宋体"/>
          <w:spacing w:val="-3"/>
          <w:sz w:val="24"/>
          <w:szCs w:val="24"/>
        </w:rPr>
        <w:t>”，木料生产加工过程中粉尘产污系数按</w:t>
      </w:r>
      <w:r>
        <w:rPr>
          <w:rFonts w:ascii="宋体" w:hAnsi="宋体" w:eastAsia="宋体" w:cs="宋体"/>
          <w:sz w:val="24"/>
          <w:szCs w:val="24"/>
        </w:rPr>
        <w:t xml:space="preserve"> </w:t>
      </w:r>
      <w:r>
        <w:rPr>
          <w:rFonts w:ascii="宋体" w:hAnsi="宋体" w:eastAsia="宋体" w:cs="宋体"/>
          <w:spacing w:val="-4"/>
          <w:sz w:val="24"/>
          <w:szCs w:val="24"/>
        </w:rPr>
        <w:t>0.243kg/m</w:t>
      </w:r>
      <w:r>
        <w:rPr>
          <w:rFonts w:ascii="宋体" w:hAnsi="宋体" w:eastAsia="宋体" w:cs="宋体"/>
          <w:spacing w:val="-4"/>
          <w:position w:val="12"/>
          <w:sz w:val="12"/>
          <w:szCs w:val="12"/>
        </w:rPr>
        <w:t xml:space="preserve">3 </w:t>
      </w:r>
      <w:r>
        <w:rPr>
          <w:rFonts w:ascii="宋体" w:hAnsi="宋体" w:eastAsia="宋体" w:cs="宋体"/>
          <w:spacing w:val="-4"/>
          <w:sz w:val="24"/>
          <w:szCs w:val="24"/>
        </w:rPr>
        <w:t>产品计算，项目施工期木材用量约</w:t>
      </w:r>
      <w:r>
        <w:rPr>
          <w:rFonts w:ascii="宋体" w:hAnsi="宋体" w:eastAsia="宋体" w:cs="宋体"/>
          <w:spacing w:val="-33"/>
          <w:sz w:val="24"/>
          <w:szCs w:val="24"/>
        </w:rPr>
        <w:t xml:space="preserve"> </w:t>
      </w:r>
      <w:r>
        <w:rPr>
          <w:rFonts w:ascii="宋体" w:hAnsi="宋体" w:eastAsia="宋体" w:cs="宋体"/>
          <w:spacing w:val="-4"/>
          <w:sz w:val="24"/>
          <w:szCs w:val="24"/>
        </w:rPr>
        <w:t>10m</w:t>
      </w:r>
      <w:r>
        <w:rPr>
          <w:rFonts w:ascii="宋体" w:hAnsi="宋体" w:eastAsia="宋体" w:cs="宋体"/>
          <w:spacing w:val="-4"/>
          <w:position w:val="12"/>
          <w:sz w:val="12"/>
          <w:szCs w:val="12"/>
        </w:rPr>
        <w:t>3</w:t>
      </w:r>
      <w:r>
        <w:rPr>
          <w:rFonts w:ascii="宋体" w:hAnsi="宋体" w:eastAsia="宋体" w:cs="宋体"/>
          <w:spacing w:val="-4"/>
          <w:sz w:val="24"/>
          <w:szCs w:val="24"/>
        </w:rPr>
        <w:t>，则项目施工期木材加工粉尘产</w:t>
      </w:r>
      <w:r>
        <w:rPr>
          <w:rFonts w:ascii="宋体" w:hAnsi="宋体" w:eastAsia="宋体" w:cs="宋体"/>
          <w:spacing w:val="-2"/>
          <w:sz w:val="24"/>
          <w:szCs w:val="24"/>
        </w:rPr>
        <w:t>生总量约为</w:t>
      </w:r>
      <w:r>
        <w:rPr>
          <w:rFonts w:ascii="宋体" w:hAnsi="宋体" w:eastAsia="宋体" w:cs="宋体"/>
          <w:spacing w:val="-49"/>
          <w:sz w:val="24"/>
          <w:szCs w:val="24"/>
        </w:rPr>
        <w:t xml:space="preserve"> </w:t>
      </w:r>
      <w:r>
        <w:rPr>
          <w:rFonts w:ascii="宋体" w:hAnsi="宋体" w:eastAsia="宋体" w:cs="宋体"/>
          <w:spacing w:val="-2"/>
          <w:sz w:val="24"/>
          <w:szCs w:val="24"/>
        </w:rPr>
        <w:t>0.002t。</w:t>
      </w:r>
    </w:p>
    <w:p w14:paraId="76A31E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本次环评要求每个移动式混凝土搅拌机所在区域定期洒水</w:t>
      </w:r>
      <w:r>
        <w:rPr>
          <w:rFonts w:ascii="宋体" w:hAnsi="宋体" w:eastAsia="宋体" w:cs="宋体"/>
          <w:spacing w:val="2"/>
          <w:sz w:val="24"/>
          <w:szCs w:val="24"/>
        </w:rPr>
        <w:t>降尘（洒水降尘效</w:t>
      </w:r>
      <w:r>
        <w:rPr>
          <w:rFonts w:ascii="宋体" w:hAnsi="宋体" w:eastAsia="宋体" w:cs="宋体"/>
          <w:sz w:val="24"/>
          <w:szCs w:val="24"/>
        </w:rPr>
        <w:t xml:space="preserve"> </w:t>
      </w:r>
      <w:r>
        <w:rPr>
          <w:rFonts w:ascii="宋体" w:hAnsi="宋体" w:eastAsia="宋体" w:cs="宋体"/>
          <w:spacing w:val="-1"/>
          <w:sz w:val="24"/>
          <w:szCs w:val="24"/>
        </w:rPr>
        <w:t>率</w:t>
      </w:r>
      <w:r>
        <w:rPr>
          <w:rFonts w:ascii="宋体" w:hAnsi="宋体" w:eastAsia="宋体" w:cs="宋体"/>
          <w:spacing w:val="-48"/>
          <w:sz w:val="24"/>
          <w:szCs w:val="24"/>
        </w:rPr>
        <w:t xml:space="preserve"> </w:t>
      </w:r>
      <w:r>
        <w:rPr>
          <w:rFonts w:ascii="宋体" w:hAnsi="宋体" w:eastAsia="宋体" w:cs="宋体"/>
          <w:spacing w:val="-1"/>
          <w:sz w:val="24"/>
          <w:szCs w:val="24"/>
        </w:rPr>
        <w:t>60%</w:t>
      </w:r>
      <w:r>
        <w:rPr>
          <w:rFonts w:ascii="宋体" w:hAnsi="宋体" w:eastAsia="宋体" w:cs="宋体"/>
          <w:spacing w:val="-2"/>
          <w:sz w:val="24"/>
          <w:szCs w:val="24"/>
        </w:rPr>
        <w:t>），</w:t>
      </w:r>
      <w:r>
        <w:rPr>
          <w:rFonts w:ascii="宋体" w:hAnsi="宋体" w:eastAsia="宋体" w:cs="宋体"/>
          <w:spacing w:val="-1"/>
          <w:sz w:val="24"/>
          <w:szCs w:val="24"/>
        </w:rPr>
        <w:t>采取上述措施后混凝土搅拌站无组织粉尘总排放量约</w:t>
      </w:r>
      <w:r>
        <w:rPr>
          <w:rFonts w:ascii="宋体" w:hAnsi="宋体" w:eastAsia="宋体" w:cs="宋体"/>
          <w:spacing w:val="-49"/>
          <w:sz w:val="24"/>
          <w:szCs w:val="24"/>
        </w:rPr>
        <w:t xml:space="preserve"> </w:t>
      </w:r>
      <w:r>
        <w:rPr>
          <w:rFonts w:ascii="宋体" w:hAnsi="宋体" w:eastAsia="宋体" w:cs="宋体"/>
          <w:spacing w:val="-2"/>
          <w:sz w:val="24"/>
          <w:szCs w:val="24"/>
        </w:rPr>
        <w:t>0.14t。本次钢木</w:t>
      </w:r>
      <w:r>
        <w:rPr>
          <w:rFonts w:ascii="宋体" w:hAnsi="宋体" w:eastAsia="宋体" w:cs="宋体"/>
          <w:sz w:val="24"/>
          <w:szCs w:val="24"/>
        </w:rPr>
        <w:t xml:space="preserve"> </w:t>
      </w:r>
      <w:r>
        <w:rPr>
          <w:rFonts w:ascii="宋体" w:hAnsi="宋体" w:eastAsia="宋体" w:cs="宋体"/>
          <w:spacing w:val="3"/>
          <w:sz w:val="24"/>
          <w:szCs w:val="24"/>
        </w:rPr>
        <w:t>加工只涉及小型切割，成品木材从附近县城采</w:t>
      </w:r>
      <w:r>
        <w:rPr>
          <w:rFonts w:ascii="宋体" w:hAnsi="宋体" w:eastAsia="宋体" w:cs="宋体"/>
          <w:spacing w:val="2"/>
          <w:sz w:val="24"/>
          <w:szCs w:val="24"/>
        </w:rPr>
        <w:t>购，本次评价要求产尘段区域定期</w:t>
      </w:r>
      <w:r>
        <w:rPr>
          <w:rFonts w:ascii="宋体" w:hAnsi="宋体" w:eastAsia="宋体" w:cs="宋体"/>
          <w:sz w:val="24"/>
          <w:szCs w:val="24"/>
        </w:rPr>
        <w:t xml:space="preserve"> </w:t>
      </w:r>
      <w:r>
        <w:rPr>
          <w:rFonts w:ascii="宋体" w:hAnsi="宋体" w:eastAsia="宋体" w:cs="宋体"/>
          <w:spacing w:val="10"/>
          <w:sz w:val="24"/>
          <w:szCs w:val="24"/>
        </w:rPr>
        <w:t>洒水降尘（尘效率</w:t>
      </w:r>
      <w:r>
        <w:rPr>
          <w:rFonts w:ascii="宋体" w:hAnsi="宋体" w:eastAsia="宋体" w:cs="宋体"/>
          <w:spacing w:val="-38"/>
          <w:sz w:val="24"/>
          <w:szCs w:val="24"/>
        </w:rPr>
        <w:t xml:space="preserve"> </w:t>
      </w:r>
      <w:r>
        <w:rPr>
          <w:rFonts w:ascii="宋体" w:hAnsi="宋体" w:eastAsia="宋体" w:cs="宋体"/>
          <w:spacing w:val="10"/>
          <w:sz w:val="24"/>
          <w:szCs w:val="24"/>
        </w:rPr>
        <w:t>60%</w:t>
      </w:r>
      <w:r>
        <w:rPr>
          <w:rFonts w:ascii="宋体" w:hAnsi="宋体" w:eastAsia="宋体" w:cs="宋体"/>
          <w:spacing w:val="-5"/>
          <w:sz w:val="24"/>
          <w:szCs w:val="24"/>
        </w:rPr>
        <w:t>）</w:t>
      </w:r>
      <w:r>
        <w:rPr>
          <w:rFonts w:ascii="宋体" w:hAnsi="宋体" w:eastAsia="宋体" w:cs="宋体"/>
          <w:spacing w:val="-65"/>
          <w:sz w:val="24"/>
          <w:szCs w:val="24"/>
        </w:rPr>
        <w:t xml:space="preserve"> </w:t>
      </w:r>
      <w:r>
        <w:rPr>
          <w:rFonts w:ascii="宋体" w:hAnsi="宋体" w:eastAsia="宋体" w:cs="宋体"/>
          <w:spacing w:val="-5"/>
          <w:sz w:val="24"/>
          <w:szCs w:val="24"/>
        </w:rPr>
        <w:t>，</w:t>
      </w:r>
      <w:r>
        <w:rPr>
          <w:rFonts w:ascii="宋体" w:hAnsi="宋体" w:eastAsia="宋体" w:cs="宋体"/>
          <w:spacing w:val="10"/>
          <w:sz w:val="24"/>
          <w:szCs w:val="24"/>
        </w:rPr>
        <w:t>采取上述措施后钢木加工厂无组织粉尘</w:t>
      </w:r>
      <w:r>
        <w:rPr>
          <w:rFonts w:ascii="宋体" w:hAnsi="宋体" w:eastAsia="宋体" w:cs="宋体"/>
          <w:spacing w:val="9"/>
          <w:sz w:val="24"/>
          <w:szCs w:val="24"/>
        </w:rPr>
        <w:t>排放总量约</w:t>
      </w:r>
      <w:r>
        <w:rPr>
          <w:rFonts w:ascii="宋体" w:hAnsi="宋体" w:eastAsia="宋体" w:cs="宋体"/>
          <w:spacing w:val="-2"/>
          <w:sz w:val="24"/>
          <w:szCs w:val="24"/>
        </w:rPr>
        <w:t>0.0008t。</w:t>
      </w:r>
    </w:p>
    <w:p w14:paraId="34C5789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（3）燃油机械及机动车废气</w:t>
      </w:r>
    </w:p>
    <w:p w14:paraId="1493F7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施工燃油机械及机动车废气主要是施工现场施工机械和运输车</w:t>
      </w:r>
      <w:r>
        <w:rPr>
          <w:rFonts w:ascii="宋体" w:hAnsi="宋体" w:eastAsia="宋体" w:cs="宋体"/>
          <w:spacing w:val="2"/>
          <w:sz w:val="24"/>
          <w:szCs w:val="24"/>
        </w:rPr>
        <w:t>辆因内燃机燃</w:t>
      </w:r>
      <w:r>
        <w:rPr>
          <w:rFonts w:ascii="宋体" w:hAnsi="宋体" w:eastAsia="宋体" w:cs="宋体"/>
          <w:sz w:val="24"/>
          <w:szCs w:val="24"/>
        </w:rPr>
        <w:t xml:space="preserve"> </w:t>
      </w:r>
      <w:r>
        <w:rPr>
          <w:rFonts w:ascii="宋体" w:hAnsi="宋体" w:eastAsia="宋体" w:cs="宋体"/>
          <w:spacing w:val="3"/>
          <w:sz w:val="24"/>
          <w:szCs w:val="24"/>
        </w:rPr>
        <w:t>烧排放的尾气，集中在清基、拆旧土石方开挖、回填</w:t>
      </w:r>
      <w:r>
        <w:rPr>
          <w:rFonts w:ascii="宋体" w:hAnsi="宋体" w:eastAsia="宋体" w:cs="宋体"/>
          <w:spacing w:val="2"/>
          <w:sz w:val="24"/>
          <w:szCs w:val="24"/>
        </w:rPr>
        <w:t>以及敷设垫层阶段，主要污</w:t>
      </w:r>
      <w:r>
        <w:rPr>
          <w:rFonts w:ascii="宋体" w:hAnsi="宋体" w:eastAsia="宋体" w:cs="宋体"/>
          <w:sz w:val="24"/>
          <w:szCs w:val="24"/>
        </w:rPr>
        <w:t xml:space="preserve"> </w:t>
      </w:r>
      <w:r>
        <w:rPr>
          <w:rFonts w:ascii="宋体" w:hAnsi="宋体" w:eastAsia="宋体" w:cs="宋体"/>
          <w:spacing w:val="-1"/>
          <w:sz w:val="24"/>
          <w:szCs w:val="24"/>
        </w:rPr>
        <w:t>染物是</w:t>
      </w:r>
      <w:r>
        <w:rPr>
          <w:rFonts w:ascii="宋体" w:hAnsi="宋体" w:eastAsia="宋体" w:cs="宋体"/>
          <w:spacing w:val="-58"/>
          <w:sz w:val="24"/>
          <w:szCs w:val="24"/>
        </w:rPr>
        <w:t xml:space="preserve"> </w:t>
      </w:r>
      <w:r>
        <w:rPr>
          <w:rFonts w:ascii="宋体" w:hAnsi="宋体" w:eastAsia="宋体" w:cs="宋体"/>
          <w:spacing w:val="-1"/>
          <w:sz w:val="24"/>
          <w:szCs w:val="24"/>
        </w:rPr>
        <w:t>NO</w:t>
      </w:r>
      <w:r>
        <w:rPr>
          <w:rFonts w:ascii="宋体" w:hAnsi="宋体" w:eastAsia="宋体" w:cs="宋体"/>
          <w:spacing w:val="-1"/>
          <w:position w:val="-3"/>
          <w:sz w:val="12"/>
          <w:szCs w:val="12"/>
        </w:rPr>
        <w:t>x</w:t>
      </w:r>
      <w:r>
        <w:rPr>
          <w:rFonts w:ascii="宋体" w:hAnsi="宋体" w:eastAsia="宋体" w:cs="宋体"/>
          <w:spacing w:val="-34"/>
          <w:position w:val="-3"/>
          <w:sz w:val="12"/>
          <w:szCs w:val="12"/>
        </w:rPr>
        <w:t xml:space="preserve"> </w:t>
      </w:r>
      <w:r>
        <w:rPr>
          <w:rFonts w:ascii="宋体" w:hAnsi="宋体" w:eastAsia="宋体" w:cs="宋体"/>
          <w:spacing w:val="-1"/>
          <w:sz w:val="24"/>
          <w:szCs w:val="24"/>
        </w:rPr>
        <w:t>、CO、HC。虽然尾气污染源在整个</w:t>
      </w:r>
      <w:r>
        <w:rPr>
          <w:rFonts w:ascii="宋体" w:hAnsi="宋体" w:eastAsia="宋体" w:cs="宋体"/>
          <w:spacing w:val="-2"/>
          <w:sz w:val="24"/>
          <w:szCs w:val="24"/>
        </w:rPr>
        <w:t>施工期一直存在，其源强大小取决于</w:t>
      </w:r>
      <w:r>
        <w:rPr>
          <w:rFonts w:ascii="宋体" w:hAnsi="宋体" w:eastAsia="宋体" w:cs="宋体"/>
          <w:sz w:val="24"/>
          <w:szCs w:val="24"/>
        </w:rPr>
        <w:t xml:space="preserve"> </w:t>
      </w:r>
      <w:r>
        <w:rPr>
          <w:rFonts w:ascii="宋体" w:hAnsi="宋体" w:eastAsia="宋体" w:cs="宋体"/>
          <w:spacing w:val="3"/>
          <w:sz w:val="24"/>
          <w:szCs w:val="24"/>
        </w:rPr>
        <w:t>施工机械维护保养和作业机械的数量及密度。但一般</w:t>
      </w:r>
      <w:r>
        <w:rPr>
          <w:rFonts w:ascii="宋体" w:hAnsi="宋体" w:eastAsia="宋体" w:cs="宋体"/>
          <w:spacing w:val="2"/>
          <w:sz w:val="24"/>
          <w:szCs w:val="24"/>
        </w:rPr>
        <w:t>情况下，由于施工机械作业</w:t>
      </w:r>
      <w:r>
        <w:rPr>
          <w:rFonts w:ascii="宋体" w:hAnsi="宋体" w:eastAsia="宋体" w:cs="宋体"/>
          <w:sz w:val="24"/>
          <w:szCs w:val="24"/>
        </w:rPr>
        <w:t xml:space="preserve"> </w:t>
      </w:r>
      <w:r>
        <w:rPr>
          <w:rFonts w:ascii="宋体" w:hAnsi="宋体" w:eastAsia="宋体" w:cs="宋体"/>
          <w:spacing w:val="3"/>
          <w:sz w:val="24"/>
          <w:szCs w:val="24"/>
        </w:rPr>
        <w:t>的流动性、阶段性和间断性的特点，施工场地平均单</w:t>
      </w:r>
      <w:r>
        <w:rPr>
          <w:rFonts w:ascii="宋体" w:hAnsi="宋体" w:eastAsia="宋体" w:cs="宋体"/>
          <w:spacing w:val="2"/>
          <w:sz w:val="24"/>
          <w:szCs w:val="24"/>
        </w:rPr>
        <w:t>位时间排放的尾气污染物总</w:t>
      </w:r>
      <w:r>
        <w:rPr>
          <w:rFonts w:ascii="宋体" w:hAnsi="宋体" w:eastAsia="宋体" w:cs="宋体"/>
          <w:spacing w:val="-2"/>
          <w:sz w:val="24"/>
          <w:szCs w:val="24"/>
        </w:rPr>
        <w:t>量并不大。</w:t>
      </w:r>
    </w:p>
    <w:p w14:paraId="34ABF83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z w:val="24"/>
          <w:szCs w:val="24"/>
        </w:rPr>
      </w:pPr>
      <w:r>
        <w:rPr>
          <w:rFonts w:ascii="宋体" w:hAnsi="宋体" w:eastAsia="宋体" w:cs="宋体"/>
          <w:spacing w:val="-4"/>
          <w:sz w:val="24"/>
          <w:szCs w:val="24"/>
        </w:rPr>
        <w:t>2、废水</w:t>
      </w:r>
    </w:p>
    <w:p w14:paraId="04EFE3C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项目施工期对水环境产生影响的主要是基坑废水、混凝土拌和系统冲洗</w:t>
      </w:r>
      <w:r>
        <w:rPr>
          <w:rFonts w:ascii="宋体" w:hAnsi="宋体" w:eastAsia="宋体" w:cs="宋体"/>
          <w:spacing w:val="-3"/>
          <w:sz w:val="24"/>
          <w:szCs w:val="24"/>
        </w:rPr>
        <w:t>废水、</w:t>
      </w:r>
      <w:r>
        <w:rPr>
          <w:rFonts w:ascii="宋体" w:hAnsi="宋体" w:eastAsia="宋体" w:cs="宋体"/>
          <w:sz w:val="24"/>
          <w:szCs w:val="24"/>
        </w:rPr>
        <w:t xml:space="preserve"> </w:t>
      </w:r>
      <w:r>
        <w:rPr>
          <w:rFonts w:ascii="宋体" w:hAnsi="宋体" w:eastAsia="宋体" w:cs="宋体"/>
          <w:spacing w:val="3"/>
          <w:sz w:val="24"/>
          <w:szCs w:val="24"/>
        </w:rPr>
        <w:t>施工人员产生的生活污水等。污染物以悬浮物和有机</w:t>
      </w:r>
      <w:r>
        <w:rPr>
          <w:rFonts w:ascii="宋体" w:hAnsi="宋体" w:eastAsia="宋体" w:cs="宋体"/>
          <w:spacing w:val="2"/>
          <w:sz w:val="24"/>
          <w:szCs w:val="24"/>
        </w:rPr>
        <w:t>物质为主，废水主要为间歇</w:t>
      </w:r>
      <w:r>
        <w:rPr>
          <w:rFonts w:ascii="宋体" w:hAnsi="宋体" w:eastAsia="宋体" w:cs="宋体"/>
          <w:spacing w:val="-1"/>
          <w:sz w:val="24"/>
          <w:szCs w:val="24"/>
        </w:rPr>
        <w:t>式排放，间或有连续排放。施工机械、车辆冲洗工作不在施工区内进行。</w:t>
      </w:r>
    </w:p>
    <w:p w14:paraId="24C1F27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（1）基坑废水</w:t>
      </w:r>
    </w:p>
    <w:p w14:paraId="6E65EC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本工程基坑排水主要来源于</w:t>
      </w:r>
      <w:r>
        <w:rPr>
          <w:rFonts w:hint="eastAsia" w:ascii="宋体" w:hAnsi="宋体" w:eastAsia="宋体" w:cs="宋体"/>
          <w:sz w:val="24"/>
          <w:szCs w:val="24"/>
          <w:lang w:eastAsia="zh-CN"/>
        </w:rPr>
        <w:t>泵房</w:t>
      </w:r>
      <w:r>
        <w:rPr>
          <w:rFonts w:ascii="宋体" w:hAnsi="宋体" w:eastAsia="宋体" w:cs="宋体"/>
          <w:sz w:val="24"/>
          <w:szCs w:val="24"/>
        </w:rPr>
        <w:t>和渠道工程</w:t>
      </w:r>
      <w:r>
        <w:rPr>
          <w:rFonts w:hint="eastAsia" w:ascii="宋体" w:hAnsi="宋体" w:eastAsia="宋体" w:cs="宋体"/>
          <w:sz w:val="24"/>
          <w:szCs w:val="24"/>
          <w:lang w:val="en-US" w:eastAsia="zh-CN"/>
        </w:rPr>
        <w:t>基础开挖</w:t>
      </w:r>
      <w:r>
        <w:rPr>
          <w:rFonts w:ascii="宋体" w:hAnsi="宋体" w:eastAsia="宋体" w:cs="宋体"/>
          <w:sz w:val="24"/>
          <w:szCs w:val="24"/>
        </w:rPr>
        <w:t>。基坑初期排水主要为</w:t>
      </w:r>
      <w:r>
        <w:rPr>
          <w:rFonts w:hint="eastAsia" w:ascii="宋体" w:hAnsi="宋体" w:eastAsia="宋体" w:cs="宋体"/>
          <w:sz w:val="24"/>
          <w:szCs w:val="24"/>
          <w:lang w:val="en-US" w:eastAsia="zh-CN"/>
        </w:rPr>
        <w:t>基坑渗水</w:t>
      </w:r>
      <w:r>
        <w:rPr>
          <w:rFonts w:ascii="宋体" w:hAnsi="宋体" w:eastAsia="宋体" w:cs="宋体"/>
          <w:sz w:val="24"/>
          <w:szCs w:val="24"/>
        </w:rPr>
        <w:t>、降雨汇水等组成，后期水量逐渐减少。排水中主要污染物为悬浮物，一般浓度在 2000mg/L，经沉淀后用于洒水降尘，不外排，不会对地表水环境产生不利影响。</w:t>
      </w:r>
    </w:p>
    <w:p w14:paraId="21C60D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（2）混凝土拌和系统冲洗废水</w:t>
      </w:r>
    </w:p>
    <w:p w14:paraId="038565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根据施工进度安排，在施工区内配置</w:t>
      </w:r>
      <w:r>
        <w:rPr>
          <w:rFonts w:ascii="宋体" w:hAnsi="宋体" w:eastAsia="宋体" w:cs="宋体"/>
          <w:spacing w:val="-40"/>
          <w:sz w:val="24"/>
          <w:szCs w:val="24"/>
        </w:rPr>
        <w:t xml:space="preserve"> </w:t>
      </w:r>
      <w:r>
        <w:rPr>
          <w:rFonts w:ascii="宋体" w:hAnsi="宋体" w:eastAsia="宋体" w:cs="宋体"/>
          <w:spacing w:val="-3"/>
          <w:sz w:val="24"/>
          <w:szCs w:val="24"/>
        </w:rPr>
        <w:t>0.8m³移动式拌和机拌制混凝土。移动式</w:t>
      </w:r>
      <w:r>
        <w:rPr>
          <w:rFonts w:ascii="宋体" w:hAnsi="宋体" w:eastAsia="宋体" w:cs="宋体"/>
          <w:sz w:val="24"/>
          <w:szCs w:val="24"/>
        </w:rPr>
        <w:t xml:space="preserve"> </w:t>
      </w:r>
      <w:r>
        <w:rPr>
          <w:rFonts w:ascii="宋体" w:hAnsi="宋体" w:eastAsia="宋体" w:cs="宋体"/>
          <w:spacing w:val="-1"/>
          <w:sz w:val="24"/>
          <w:szCs w:val="24"/>
        </w:rPr>
        <w:t>混凝土搅拌机冲洗用水以</w:t>
      </w:r>
      <w:r>
        <w:rPr>
          <w:rFonts w:ascii="宋体" w:hAnsi="宋体" w:eastAsia="宋体" w:cs="宋体"/>
          <w:spacing w:val="-49"/>
          <w:sz w:val="24"/>
          <w:szCs w:val="24"/>
        </w:rPr>
        <w:t xml:space="preserve"> </w:t>
      </w:r>
      <w:r>
        <w:rPr>
          <w:rFonts w:ascii="宋体" w:hAnsi="宋体" w:eastAsia="宋体" w:cs="宋体"/>
          <w:spacing w:val="-1"/>
          <w:sz w:val="24"/>
          <w:szCs w:val="24"/>
        </w:rPr>
        <w:t>0.5m³/次，废水产生系数</w:t>
      </w:r>
      <w:r>
        <w:rPr>
          <w:rFonts w:ascii="宋体" w:hAnsi="宋体" w:eastAsia="宋体" w:cs="宋体"/>
          <w:spacing w:val="-49"/>
          <w:sz w:val="24"/>
          <w:szCs w:val="24"/>
        </w:rPr>
        <w:t xml:space="preserve"> </w:t>
      </w:r>
      <w:r>
        <w:rPr>
          <w:rFonts w:ascii="宋体" w:hAnsi="宋体" w:eastAsia="宋体" w:cs="宋体"/>
          <w:spacing w:val="-2"/>
          <w:sz w:val="24"/>
          <w:szCs w:val="24"/>
        </w:rPr>
        <w:t>0.8，高峰期每天</w:t>
      </w:r>
      <w:r>
        <w:rPr>
          <w:rFonts w:ascii="宋体" w:hAnsi="宋体" w:eastAsia="宋体" w:cs="宋体"/>
          <w:spacing w:val="-47"/>
          <w:sz w:val="24"/>
          <w:szCs w:val="24"/>
        </w:rPr>
        <w:t xml:space="preserve"> </w:t>
      </w:r>
      <w:r>
        <w:rPr>
          <w:rFonts w:ascii="宋体" w:hAnsi="宋体" w:eastAsia="宋体" w:cs="宋体"/>
          <w:spacing w:val="-2"/>
          <w:sz w:val="24"/>
          <w:szCs w:val="24"/>
        </w:rPr>
        <w:t>2</w:t>
      </w:r>
      <w:r>
        <w:rPr>
          <w:rFonts w:ascii="宋体" w:hAnsi="宋体" w:eastAsia="宋体" w:cs="宋体"/>
          <w:spacing w:val="-52"/>
          <w:sz w:val="24"/>
          <w:szCs w:val="24"/>
        </w:rPr>
        <w:t xml:space="preserve"> </w:t>
      </w:r>
      <w:r>
        <w:rPr>
          <w:rFonts w:ascii="宋体" w:hAnsi="宋体" w:eastAsia="宋体" w:cs="宋体"/>
          <w:spacing w:val="-2"/>
          <w:sz w:val="24"/>
          <w:szCs w:val="24"/>
        </w:rPr>
        <w:t>班，每班</w:t>
      </w:r>
      <w:r>
        <w:rPr>
          <w:rFonts w:ascii="宋体" w:hAnsi="宋体" w:eastAsia="宋体" w:cs="宋体"/>
          <w:spacing w:val="-3"/>
          <w:sz w:val="24"/>
          <w:szCs w:val="24"/>
        </w:rPr>
        <w:t>洗一次，则混凝土拌和废水最高排放总量</w:t>
      </w:r>
      <w:r>
        <w:rPr>
          <w:rFonts w:ascii="宋体" w:hAnsi="宋体" w:eastAsia="宋体" w:cs="宋体"/>
          <w:spacing w:val="-32"/>
          <w:sz w:val="24"/>
          <w:szCs w:val="24"/>
        </w:rPr>
        <w:t xml:space="preserve"> </w:t>
      </w:r>
      <w:r>
        <w:rPr>
          <w:rFonts w:ascii="宋体" w:hAnsi="宋体" w:eastAsia="宋体" w:cs="宋体"/>
          <w:spacing w:val="-3"/>
          <w:sz w:val="24"/>
          <w:szCs w:val="24"/>
        </w:rPr>
        <w:t>0.8m³/d。因水量较小，混凝土拌和系统</w:t>
      </w:r>
      <w:r>
        <w:rPr>
          <w:rFonts w:ascii="宋体" w:hAnsi="宋体" w:eastAsia="宋体" w:cs="宋体"/>
          <w:spacing w:val="-1"/>
          <w:sz w:val="24"/>
          <w:szCs w:val="24"/>
        </w:rPr>
        <w:t>废水经处理后回用于生产过程。</w:t>
      </w:r>
    </w:p>
    <w:p w14:paraId="138402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ascii="宋体" w:hAnsi="宋体" w:eastAsia="宋体" w:cs="宋体"/>
          <w:spacing w:val="-6"/>
          <w:sz w:val="24"/>
          <w:szCs w:val="24"/>
        </w:rPr>
        <w:t>冲洗废水具有pH</w:t>
      </w:r>
      <w:r>
        <w:rPr>
          <w:rFonts w:ascii="宋体" w:hAnsi="宋体" w:eastAsia="宋体" w:cs="宋体"/>
          <w:spacing w:val="-42"/>
          <w:sz w:val="24"/>
          <w:szCs w:val="24"/>
        </w:rPr>
        <w:t xml:space="preserve"> </w:t>
      </w:r>
      <w:r>
        <w:rPr>
          <w:rFonts w:ascii="宋体" w:hAnsi="宋体" w:eastAsia="宋体" w:cs="宋体"/>
          <w:spacing w:val="-6"/>
          <w:sz w:val="24"/>
          <w:szCs w:val="24"/>
        </w:rPr>
        <w:t>值高、SS</w:t>
      </w:r>
      <w:r>
        <w:rPr>
          <w:rFonts w:ascii="宋体" w:hAnsi="宋体" w:eastAsia="宋体" w:cs="宋体"/>
          <w:spacing w:val="-50"/>
          <w:sz w:val="24"/>
          <w:szCs w:val="24"/>
        </w:rPr>
        <w:t xml:space="preserve"> </w:t>
      </w:r>
      <w:r>
        <w:rPr>
          <w:rFonts w:ascii="宋体" w:hAnsi="宋体" w:eastAsia="宋体" w:cs="宋体"/>
          <w:spacing w:val="-6"/>
          <w:sz w:val="24"/>
          <w:szCs w:val="24"/>
        </w:rPr>
        <w:t>浓度高的特点，直接排入水体后会增加水体的浊度，</w:t>
      </w:r>
      <w:r>
        <w:rPr>
          <w:rFonts w:ascii="宋体" w:hAnsi="宋体" w:eastAsia="宋体" w:cs="宋体"/>
          <w:sz w:val="24"/>
          <w:szCs w:val="24"/>
        </w:rPr>
        <w:t xml:space="preserve"> </w:t>
      </w:r>
      <w:r>
        <w:rPr>
          <w:rFonts w:ascii="宋体" w:hAnsi="宋体" w:eastAsia="宋体" w:cs="宋体"/>
          <w:spacing w:val="-2"/>
          <w:sz w:val="24"/>
          <w:szCs w:val="24"/>
        </w:rPr>
        <w:t>使</w:t>
      </w:r>
      <w:r>
        <w:rPr>
          <w:rFonts w:ascii="宋体" w:hAnsi="宋体" w:eastAsia="宋体" w:cs="宋体"/>
          <w:spacing w:val="-42"/>
          <w:sz w:val="24"/>
          <w:szCs w:val="24"/>
        </w:rPr>
        <w:t xml:space="preserve"> </w:t>
      </w:r>
      <w:r>
        <w:rPr>
          <w:rFonts w:ascii="宋体" w:hAnsi="宋体" w:eastAsia="宋体" w:cs="宋体"/>
          <w:spacing w:val="-2"/>
          <w:sz w:val="24"/>
          <w:szCs w:val="24"/>
        </w:rPr>
        <w:t>pH</w:t>
      </w:r>
      <w:r>
        <w:rPr>
          <w:rFonts w:ascii="宋体" w:hAnsi="宋体" w:eastAsia="宋体" w:cs="宋体"/>
          <w:spacing w:val="-50"/>
          <w:sz w:val="24"/>
          <w:szCs w:val="24"/>
        </w:rPr>
        <w:t xml:space="preserve"> </w:t>
      </w:r>
      <w:r>
        <w:rPr>
          <w:rFonts w:ascii="宋体" w:hAnsi="宋体" w:eastAsia="宋体" w:cs="宋体"/>
          <w:spacing w:val="-2"/>
          <w:sz w:val="24"/>
          <w:szCs w:val="24"/>
        </w:rPr>
        <w:t>值升高，影响水体的感官性状以及水生生物的生存栖息。类比同类工程此类 废水处理经验，在施工生产区设置沉淀池，混凝土拌和系统冲洗废水经酸碱中和、絮凝沉淀法处理后回用，不外排。</w:t>
      </w:r>
    </w:p>
    <w:p w14:paraId="4FDFAAF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（3）生活污水</w:t>
      </w:r>
    </w:p>
    <w:p w14:paraId="0744CD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施工生活污水主要来源于施工管理人员和施工人员的生活排水</w:t>
      </w:r>
      <w:r>
        <w:rPr>
          <w:rFonts w:ascii="宋体" w:hAnsi="宋体" w:eastAsia="宋体" w:cs="宋体"/>
          <w:spacing w:val="2"/>
          <w:sz w:val="24"/>
          <w:szCs w:val="24"/>
        </w:rPr>
        <w:t>，生活污水主</w:t>
      </w:r>
      <w:r>
        <w:rPr>
          <w:rFonts w:ascii="宋体" w:hAnsi="宋体" w:eastAsia="宋体" w:cs="宋体"/>
          <w:sz w:val="24"/>
          <w:szCs w:val="24"/>
        </w:rPr>
        <w:t xml:space="preserve"> </w:t>
      </w:r>
      <w:r>
        <w:rPr>
          <w:rFonts w:ascii="宋体" w:hAnsi="宋体" w:eastAsia="宋体" w:cs="宋体"/>
          <w:spacing w:val="6"/>
          <w:sz w:val="24"/>
          <w:szCs w:val="24"/>
        </w:rPr>
        <w:t>要来自施工人员餐饮污水、粪便污水以及洗浴废水等，主要污染物是</w:t>
      </w:r>
      <w:r>
        <w:rPr>
          <w:rFonts w:ascii="宋体" w:hAnsi="宋体" w:eastAsia="宋体" w:cs="宋体"/>
          <w:spacing w:val="-41"/>
          <w:sz w:val="24"/>
          <w:szCs w:val="24"/>
        </w:rPr>
        <w:t xml:space="preserve"> </w:t>
      </w:r>
      <w:r>
        <w:rPr>
          <w:rFonts w:ascii="宋体" w:hAnsi="宋体" w:eastAsia="宋体" w:cs="宋体"/>
          <w:sz w:val="24"/>
          <w:szCs w:val="24"/>
        </w:rPr>
        <w:t>COD</w:t>
      </w:r>
      <w:r>
        <w:rPr>
          <w:rFonts w:ascii="宋体" w:hAnsi="宋体" w:eastAsia="宋体" w:cs="宋体"/>
          <w:spacing w:val="6"/>
          <w:sz w:val="24"/>
          <w:szCs w:val="24"/>
        </w:rPr>
        <w:t>、</w:t>
      </w:r>
      <w:r>
        <w:rPr>
          <w:rFonts w:ascii="宋体" w:hAnsi="宋体" w:eastAsia="宋体" w:cs="宋体"/>
          <w:sz w:val="24"/>
          <w:szCs w:val="24"/>
        </w:rPr>
        <w:t>BOD</w:t>
      </w:r>
      <w:r>
        <w:rPr>
          <w:rFonts w:ascii="宋体" w:hAnsi="宋体" w:eastAsia="宋体" w:cs="宋体"/>
          <w:spacing w:val="6"/>
          <w:position w:val="-3"/>
          <w:sz w:val="12"/>
          <w:szCs w:val="12"/>
        </w:rPr>
        <w:t>5</w:t>
      </w:r>
      <w:r>
        <w:rPr>
          <w:rFonts w:ascii="宋体" w:hAnsi="宋体" w:eastAsia="宋体" w:cs="宋体"/>
          <w:spacing w:val="-3"/>
          <w:sz w:val="24"/>
          <w:szCs w:val="24"/>
        </w:rPr>
        <w:t>和氨氮等。</w:t>
      </w:r>
    </w:p>
    <w:p w14:paraId="636D29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textAlignment w:val="baseline"/>
        <w:rPr>
          <w:rFonts w:ascii="宋体" w:hAnsi="宋体" w:eastAsia="宋体" w:cs="宋体"/>
          <w:sz w:val="24"/>
          <w:szCs w:val="24"/>
        </w:rPr>
      </w:pPr>
      <w:r>
        <w:rPr>
          <w:rFonts w:ascii="宋体" w:hAnsi="宋体" w:eastAsia="宋体" w:cs="宋体"/>
          <w:spacing w:val="-8"/>
          <w:sz w:val="24"/>
          <w:szCs w:val="24"/>
        </w:rPr>
        <w:t>高峰时段人数为</w:t>
      </w:r>
      <w:r>
        <w:rPr>
          <w:rFonts w:ascii="宋体" w:hAnsi="宋体" w:eastAsia="宋体" w:cs="宋体"/>
          <w:spacing w:val="-62"/>
          <w:sz w:val="24"/>
          <w:szCs w:val="24"/>
        </w:rPr>
        <w:t xml:space="preserve"> </w:t>
      </w:r>
      <w:r>
        <w:rPr>
          <w:rFonts w:ascii="宋体" w:hAnsi="宋体" w:eastAsia="宋体" w:cs="宋体"/>
          <w:spacing w:val="-8"/>
          <w:sz w:val="24"/>
          <w:szCs w:val="24"/>
        </w:rPr>
        <w:t>350</w:t>
      </w:r>
      <w:r>
        <w:rPr>
          <w:rFonts w:ascii="宋体" w:hAnsi="宋体" w:eastAsia="宋体" w:cs="宋体"/>
          <w:spacing w:val="-64"/>
          <w:sz w:val="24"/>
          <w:szCs w:val="24"/>
        </w:rPr>
        <w:t xml:space="preserve"> </w:t>
      </w:r>
      <w:r>
        <w:rPr>
          <w:rFonts w:ascii="宋体" w:hAnsi="宋体" w:eastAsia="宋体" w:cs="宋体"/>
          <w:spacing w:val="-8"/>
          <w:sz w:val="24"/>
          <w:szCs w:val="24"/>
        </w:rPr>
        <w:t>人，生活用水按人均日用水</w:t>
      </w:r>
      <w:r>
        <w:rPr>
          <w:rFonts w:ascii="宋体" w:hAnsi="宋体" w:eastAsia="宋体" w:cs="宋体"/>
          <w:spacing w:val="-49"/>
          <w:sz w:val="24"/>
          <w:szCs w:val="24"/>
        </w:rPr>
        <w:t xml:space="preserve"> </w:t>
      </w:r>
      <w:r>
        <w:rPr>
          <w:rFonts w:ascii="宋体" w:hAnsi="宋体" w:eastAsia="宋体" w:cs="宋体"/>
          <w:spacing w:val="-8"/>
          <w:sz w:val="24"/>
          <w:szCs w:val="24"/>
        </w:rPr>
        <w:t>100</w:t>
      </w:r>
      <w:r>
        <w:rPr>
          <w:rFonts w:ascii="宋体" w:hAnsi="宋体" w:eastAsia="宋体" w:cs="宋体"/>
          <w:spacing w:val="-9"/>
          <w:sz w:val="24"/>
          <w:szCs w:val="24"/>
        </w:rPr>
        <w:t>L</w:t>
      </w:r>
      <w:r>
        <w:rPr>
          <w:rFonts w:ascii="宋体" w:hAnsi="宋体" w:eastAsia="宋体" w:cs="宋体"/>
          <w:spacing w:val="-65"/>
          <w:sz w:val="24"/>
          <w:szCs w:val="24"/>
        </w:rPr>
        <w:t xml:space="preserve"> </w:t>
      </w:r>
      <w:r>
        <w:rPr>
          <w:rFonts w:ascii="宋体" w:hAnsi="宋体" w:eastAsia="宋体" w:cs="宋体"/>
          <w:spacing w:val="-9"/>
          <w:sz w:val="24"/>
          <w:szCs w:val="24"/>
        </w:rPr>
        <w:t>计算，排污系数取</w:t>
      </w:r>
      <w:r>
        <w:rPr>
          <w:rFonts w:ascii="宋体" w:hAnsi="宋体" w:eastAsia="宋体" w:cs="宋体"/>
          <w:spacing w:val="-66"/>
          <w:sz w:val="24"/>
          <w:szCs w:val="24"/>
        </w:rPr>
        <w:t xml:space="preserve"> </w:t>
      </w:r>
      <w:r>
        <w:rPr>
          <w:rFonts w:ascii="宋体" w:hAnsi="宋体" w:eastAsia="宋体" w:cs="宋体"/>
          <w:spacing w:val="-9"/>
          <w:sz w:val="24"/>
          <w:szCs w:val="24"/>
        </w:rPr>
        <w:t>0.8 系</w:t>
      </w:r>
      <w:r>
        <w:rPr>
          <w:rFonts w:ascii="宋体" w:hAnsi="宋体" w:eastAsia="宋体" w:cs="宋体"/>
          <w:sz w:val="24"/>
          <w:szCs w:val="24"/>
        </w:rPr>
        <w:t xml:space="preserve"> 数折算，高峰期日生活污水总产生量为</w:t>
      </w:r>
      <w:r>
        <w:rPr>
          <w:rFonts w:ascii="宋体" w:hAnsi="宋体" w:eastAsia="宋体" w:cs="宋体"/>
          <w:spacing w:val="-30"/>
          <w:sz w:val="24"/>
          <w:szCs w:val="24"/>
        </w:rPr>
        <w:t xml:space="preserve"> </w:t>
      </w:r>
      <w:r>
        <w:rPr>
          <w:rFonts w:ascii="宋体" w:hAnsi="宋体" w:eastAsia="宋体" w:cs="宋体"/>
          <w:sz w:val="24"/>
          <w:szCs w:val="24"/>
        </w:rPr>
        <w:t xml:space="preserve">28m³/d。施工人员主要租住附近民房，生 </w:t>
      </w:r>
      <w:r>
        <w:rPr>
          <w:rFonts w:ascii="宋体" w:hAnsi="宋体" w:eastAsia="宋体" w:cs="宋体"/>
          <w:spacing w:val="3"/>
          <w:sz w:val="24"/>
          <w:szCs w:val="24"/>
        </w:rPr>
        <w:t>活依托现有设施，生活污水纳入现有排水系统</w:t>
      </w:r>
      <w:r>
        <w:rPr>
          <w:rFonts w:ascii="宋体" w:hAnsi="宋体" w:eastAsia="宋体" w:cs="宋体"/>
          <w:spacing w:val="2"/>
          <w:sz w:val="24"/>
          <w:szCs w:val="24"/>
        </w:rPr>
        <w:t>，不外排；需搭建简易彩板房时建</w:t>
      </w:r>
      <w:r>
        <w:rPr>
          <w:rFonts w:ascii="宋体" w:hAnsi="宋体" w:eastAsia="宋体" w:cs="宋体"/>
          <w:sz w:val="24"/>
          <w:szCs w:val="24"/>
        </w:rPr>
        <w:t>议设置移动环保公厕，定期交由环卫部门采取吸</w:t>
      </w:r>
      <w:r>
        <w:rPr>
          <w:rFonts w:ascii="宋体" w:hAnsi="宋体" w:eastAsia="宋体" w:cs="宋体"/>
          <w:spacing w:val="-1"/>
          <w:sz w:val="24"/>
          <w:szCs w:val="24"/>
        </w:rPr>
        <w:t>污车拉运，施工结束后拆除。</w:t>
      </w:r>
    </w:p>
    <w:p w14:paraId="4E9A70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z w:val="24"/>
          <w:szCs w:val="24"/>
        </w:rPr>
      </w:pPr>
      <w:r>
        <w:rPr>
          <w:rFonts w:ascii="宋体" w:hAnsi="宋体" w:eastAsia="宋体" w:cs="宋体"/>
          <w:spacing w:val="-4"/>
          <w:sz w:val="24"/>
          <w:szCs w:val="24"/>
        </w:rPr>
        <w:t>3、噪声</w:t>
      </w:r>
    </w:p>
    <w:p w14:paraId="5AFC98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本工程施工期噪声主要来源于渠道和渠系构筑物施工</w:t>
      </w:r>
      <w:r>
        <w:rPr>
          <w:rFonts w:ascii="宋体" w:hAnsi="宋体" w:eastAsia="宋体" w:cs="宋体"/>
          <w:spacing w:val="2"/>
          <w:sz w:val="24"/>
          <w:szCs w:val="24"/>
        </w:rPr>
        <w:t>中各类施工机械和运输</w:t>
      </w:r>
      <w:r>
        <w:rPr>
          <w:rFonts w:ascii="宋体" w:hAnsi="宋体" w:eastAsia="宋体" w:cs="宋体"/>
          <w:sz w:val="24"/>
          <w:szCs w:val="24"/>
        </w:rPr>
        <w:t xml:space="preserve"> </w:t>
      </w:r>
      <w:r>
        <w:rPr>
          <w:rFonts w:ascii="宋体" w:hAnsi="宋体" w:eastAsia="宋体" w:cs="宋体"/>
          <w:spacing w:val="-6"/>
          <w:sz w:val="24"/>
          <w:szCs w:val="24"/>
        </w:rPr>
        <w:t>车辆和钢木、混凝土生产设备，施工机械和运输车辆的单体声功率级一般均在</w:t>
      </w:r>
      <w:r>
        <w:rPr>
          <w:rFonts w:ascii="宋体" w:hAnsi="宋体" w:eastAsia="宋体" w:cs="宋体"/>
          <w:spacing w:val="-42"/>
          <w:sz w:val="24"/>
          <w:szCs w:val="24"/>
        </w:rPr>
        <w:t xml:space="preserve"> </w:t>
      </w:r>
      <w:r>
        <w:rPr>
          <w:rFonts w:ascii="宋体" w:hAnsi="宋体" w:eastAsia="宋体" w:cs="宋体"/>
          <w:spacing w:val="-6"/>
          <w:sz w:val="24"/>
          <w:szCs w:val="24"/>
        </w:rPr>
        <w:t>80dB</w:t>
      </w:r>
    </w:p>
    <w:p w14:paraId="4C15FC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（A）以上，项目主要产噪机械声级见表</w:t>
      </w:r>
      <w:r>
        <w:rPr>
          <w:rFonts w:ascii="宋体" w:hAnsi="宋体" w:eastAsia="宋体" w:cs="宋体"/>
          <w:spacing w:val="-32"/>
          <w:sz w:val="24"/>
          <w:szCs w:val="24"/>
        </w:rPr>
        <w:t xml:space="preserve"> </w:t>
      </w:r>
      <w:r>
        <w:rPr>
          <w:rFonts w:ascii="宋体" w:hAnsi="宋体" w:eastAsia="宋体" w:cs="宋体"/>
          <w:spacing w:val="-2"/>
          <w:sz w:val="24"/>
          <w:szCs w:val="24"/>
        </w:rPr>
        <w:t>3-2-14。</w:t>
      </w:r>
    </w:p>
    <w:p w14:paraId="67808119">
      <w:pPr>
        <w:spacing w:before="184" w:line="212" w:lineRule="auto"/>
        <w:ind w:left="1228"/>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3-2-14</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主要产噪设备声级一览表</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单位：dB（A）</w:t>
      </w: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85"/>
        <w:gridCol w:w="3136"/>
        <w:gridCol w:w="3960"/>
      </w:tblGrid>
      <w:tr w14:paraId="0B3195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18" w:hRule="atLeast"/>
        </w:trPr>
        <w:tc>
          <w:tcPr>
            <w:tcW w:w="865" w:type="pct"/>
            <w:tcBorders>
              <w:tl2br w:val="nil"/>
              <w:tr2bl w:val="nil"/>
            </w:tcBorders>
            <w:vAlign w:val="top"/>
          </w:tcPr>
          <w:p w14:paraId="6575B8C9">
            <w:pPr>
              <w:pStyle w:val="15"/>
              <w:spacing w:before="36" w:line="229" w:lineRule="auto"/>
              <w:ind w:left="479"/>
            </w:pPr>
            <w:r>
              <w:rPr>
                <w:spacing w:val="6"/>
                <w14:textOutline w14:w="3795" w14:cap="sq" w14:cmpd="sng">
                  <w14:solidFill>
                    <w14:srgbClr w14:val="000000"/>
                  </w14:solidFill>
                  <w14:prstDash w14:val="solid"/>
                  <w14:bevel/>
                </w14:textOutline>
              </w:rPr>
              <w:t>序号</w:t>
            </w:r>
          </w:p>
        </w:tc>
        <w:tc>
          <w:tcPr>
            <w:tcW w:w="1827" w:type="pct"/>
            <w:tcBorders>
              <w:tl2br w:val="nil"/>
              <w:tr2bl w:val="nil"/>
            </w:tcBorders>
            <w:vAlign w:val="top"/>
          </w:tcPr>
          <w:p w14:paraId="715B8F13">
            <w:pPr>
              <w:pStyle w:val="15"/>
              <w:spacing w:before="35" w:line="227" w:lineRule="auto"/>
              <w:ind w:left="1057"/>
            </w:pPr>
            <w:r>
              <w:rPr>
                <w:spacing w:val="8"/>
                <w14:textOutline w14:w="3795" w14:cap="sq" w14:cmpd="sng">
                  <w14:solidFill>
                    <w14:srgbClr w14:val="000000"/>
                  </w14:solidFill>
                  <w14:prstDash w14:val="solid"/>
                  <w14:bevel/>
                </w14:textOutline>
              </w:rPr>
              <w:t>机械名称</w:t>
            </w:r>
          </w:p>
        </w:tc>
        <w:tc>
          <w:tcPr>
            <w:tcW w:w="2307" w:type="pct"/>
            <w:tcBorders>
              <w:tl2br w:val="nil"/>
              <w:tr2bl w:val="nil"/>
            </w:tcBorders>
            <w:vAlign w:val="top"/>
          </w:tcPr>
          <w:p w14:paraId="51BAC30C">
            <w:pPr>
              <w:pStyle w:val="15"/>
              <w:spacing w:before="35" w:line="228" w:lineRule="auto"/>
              <w:ind w:left="793"/>
            </w:pPr>
            <w:r>
              <w:rPr>
                <w:spacing w:val="6"/>
                <w14:textOutline w14:w="3795" w14:cap="sq" w14:cmpd="sng">
                  <w14:solidFill>
                    <w14:srgbClr w14:val="000000"/>
                  </w14:solidFill>
                  <w14:prstDash w14:val="solid"/>
                  <w14:bevel/>
                </w14:textOutline>
              </w:rPr>
              <w:t>最大声级（距声源</w:t>
            </w:r>
            <w:r>
              <w:rPr>
                <w:spacing w:val="-28"/>
              </w:rPr>
              <w:t xml:space="preserve"> </w:t>
            </w:r>
            <w:r>
              <w:rPr>
                <w:spacing w:val="6"/>
                <w14:textOutline w14:w="3795" w14:cap="sq" w14:cmpd="sng">
                  <w14:solidFill>
                    <w14:srgbClr w14:val="000000"/>
                  </w14:solidFill>
                  <w14:prstDash w14:val="solid"/>
                  <w14:bevel/>
                </w14:textOutline>
              </w:rPr>
              <w:t>5m）</w:t>
            </w:r>
          </w:p>
        </w:tc>
      </w:tr>
      <w:tr w14:paraId="5F8D88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5" w:type="pct"/>
            <w:tcBorders>
              <w:tl2br w:val="nil"/>
              <w:tr2bl w:val="nil"/>
            </w:tcBorders>
            <w:vAlign w:val="top"/>
          </w:tcPr>
          <w:p w14:paraId="59C8C375">
            <w:pPr>
              <w:pStyle w:val="15"/>
              <w:spacing w:before="63" w:line="189" w:lineRule="auto"/>
              <w:ind w:left="654"/>
            </w:pPr>
            <w:r>
              <w:t>1</w:t>
            </w:r>
          </w:p>
        </w:tc>
        <w:tc>
          <w:tcPr>
            <w:tcW w:w="1827" w:type="pct"/>
            <w:tcBorders>
              <w:tl2br w:val="nil"/>
              <w:tr2bl w:val="nil"/>
            </w:tcBorders>
            <w:vAlign w:val="top"/>
          </w:tcPr>
          <w:p w14:paraId="1371CC71">
            <w:pPr>
              <w:pStyle w:val="15"/>
              <w:spacing w:before="30" w:line="227" w:lineRule="auto"/>
              <w:ind w:left="1161"/>
            </w:pPr>
            <w:r>
              <w:rPr>
                <w:spacing w:val="6"/>
              </w:rPr>
              <w:t>推土机</w:t>
            </w:r>
          </w:p>
        </w:tc>
        <w:tc>
          <w:tcPr>
            <w:tcW w:w="2307" w:type="pct"/>
            <w:tcBorders>
              <w:tl2br w:val="nil"/>
              <w:tr2bl w:val="nil"/>
            </w:tcBorders>
            <w:vAlign w:val="top"/>
          </w:tcPr>
          <w:p w14:paraId="1857D3BA">
            <w:pPr>
              <w:pStyle w:val="15"/>
              <w:spacing w:before="63" w:line="189" w:lineRule="auto"/>
              <w:ind w:left="1764"/>
            </w:pPr>
            <w:r>
              <w:t>90</w:t>
            </w:r>
          </w:p>
        </w:tc>
      </w:tr>
      <w:tr w14:paraId="21860D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65" w:type="pct"/>
            <w:tcBorders>
              <w:tl2br w:val="nil"/>
              <w:tr2bl w:val="nil"/>
            </w:tcBorders>
            <w:vAlign w:val="top"/>
          </w:tcPr>
          <w:p w14:paraId="461C5BF7">
            <w:pPr>
              <w:pStyle w:val="15"/>
              <w:spacing w:before="66" w:line="189" w:lineRule="auto"/>
              <w:ind w:left="641"/>
            </w:pPr>
            <w:r>
              <w:t>2</w:t>
            </w:r>
          </w:p>
        </w:tc>
        <w:tc>
          <w:tcPr>
            <w:tcW w:w="1827" w:type="pct"/>
            <w:tcBorders>
              <w:tl2br w:val="nil"/>
              <w:tr2bl w:val="nil"/>
            </w:tcBorders>
            <w:vAlign w:val="top"/>
          </w:tcPr>
          <w:p w14:paraId="74C11D94">
            <w:pPr>
              <w:pStyle w:val="15"/>
              <w:spacing w:before="33" w:line="227" w:lineRule="auto"/>
              <w:ind w:left="1160"/>
            </w:pPr>
            <w:r>
              <w:rPr>
                <w:spacing w:val="7"/>
              </w:rPr>
              <w:t>挖掘机</w:t>
            </w:r>
          </w:p>
        </w:tc>
        <w:tc>
          <w:tcPr>
            <w:tcW w:w="2307" w:type="pct"/>
            <w:tcBorders>
              <w:tl2br w:val="nil"/>
              <w:tr2bl w:val="nil"/>
            </w:tcBorders>
            <w:vAlign w:val="top"/>
          </w:tcPr>
          <w:p w14:paraId="053F3E52">
            <w:pPr>
              <w:pStyle w:val="15"/>
              <w:spacing w:before="66" w:line="189" w:lineRule="auto"/>
              <w:ind w:left="1764"/>
            </w:pPr>
            <w:r>
              <w:t>85</w:t>
            </w:r>
          </w:p>
        </w:tc>
      </w:tr>
      <w:tr w14:paraId="62E415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5" w:type="pct"/>
            <w:tcBorders>
              <w:tl2br w:val="nil"/>
              <w:tr2bl w:val="nil"/>
            </w:tcBorders>
            <w:vAlign w:val="top"/>
          </w:tcPr>
          <w:p w14:paraId="6CD84C6A">
            <w:pPr>
              <w:pStyle w:val="15"/>
              <w:spacing w:before="66" w:line="189" w:lineRule="auto"/>
              <w:ind w:left="643"/>
            </w:pPr>
            <w:r>
              <w:t>3</w:t>
            </w:r>
          </w:p>
        </w:tc>
        <w:tc>
          <w:tcPr>
            <w:tcW w:w="1827" w:type="pct"/>
            <w:tcBorders>
              <w:tl2br w:val="nil"/>
              <w:tr2bl w:val="nil"/>
            </w:tcBorders>
            <w:vAlign w:val="top"/>
          </w:tcPr>
          <w:p w14:paraId="71F1450B">
            <w:pPr>
              <w:pStyle w:val="15"/>
              <w:spacing w:before="32" w:line="228" w:lineRule="auto"/>
              <w:ind w:left="1092"/>
            </w:pPr>
            <w:r>
              <w:rPr>
                <w:spacing w:val="-2"/>
              </w:rPr>
              <w:t>自卸卡车</w:t>
            </w:r>
          </w:p>
        </w:tc>
        <w:tc>
          <w:tcPr>
            <w:tcW w:w="2307" w:type="pct"/>
            <w:tcBorders>
              <w:tl2br w:val="nil"/>
              <w:tr2bl w:val="nil"/>
            </w:tcBorders>
            <w:vAlign w:val="top"/>
          </w:tcPr>
          <w:p w14:paraId="211765CE">
            <w:pPr>
              <w:pStyle w:val="15"/>
              <w:spacing w:before="66" w:line="189" w:lineRule="auto"/>
              <w:ind w:left="1764"/>
            </w:pPr>
            <w:r>
              <w:t>85</w:t>
            </w:r>
          </w:p>
        </w:tc>
      </w:tr>
      <w:tr w14:paraId="0CA5C6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65" w:type="pct"/>
            <w:tcBorders>
              <w:tl2br w:val="nil"/>
              <w:tr2bl w:val="nil"/>
            </w:tcBorders>
            <w:vAlign w:val="top"/>
          </w:tcPr>
          <w:p w14:paraId="7EF76425">
            <w:pPr>
              <w:pStyle w:val="15"/>
              <w:spacing w:before="68" w:line="189" w:lineRule="auto"/>
              <w:ind w:left="638"/>
            </w:pPr>
            <w:r>
              <w:t>4</w:t>
            </w:r>
          </w:p>
        </w:tc>
        <w:tc>
          <w:tcPr>
            <w:tcW w:w="1827" w:type="pct"/>
            <w:tcBorders>
              <w:tl2br w:val="nil"/>
              <w:tr2bl w:val="nil"/>
            </w:tcBorders>
            <w:vAlign w:val="top"/>
          </w:tcPr>
          <w:p w14:paraId="08F4FA20">
            <w:pPr>
              <w:pStyle w:val="15"/>
              <w:spacing w:before="35" w:line="228" w:lineRule="auto"/>
              <w:ind w:left="1160"/>
            </w:pPr>
            <w:r>
              <w:rPr>
                <w:spacing w:val="7"/>
              </w:rPr>
              <w:t>振捣器</w:t>
            </w:r>
          </w:p>
        </w:tc>
        <w:tc>
          <w:tcPr>
            <w:tcW w:w="2307" w:type="pct"/>
            <w:tcBorders>
              <w:tl2br w:val="nil"/>
              <w:tr2bl w:val="nil"/>
            </w:tcBorders>
            <w:vAlign w:val="top"/>
          </w:tcPr>
          <w:p w14:paraId="28625CDA">
            <w:pPr>
              <w:pStyle w:val="15"/>
              <w:spacing w:before="69" w:line="189" w:lineRule="auto"/>
              <w:ind w:left="1764"/>
            </w:pPr>
            <w:r>
              <w:t>95</w:t>
            </w:r>
          </w:p>
        </w:tc>
      </w:tr>
      <w:tr w14:paraId="162033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65" w:type="pct"/>
            <w:tcBorders>
              <w:tl2br w:val="nil"/>
              <w:tr2bl w:val="nil"/>
            </w:tcBorders>
            <w:vAlign w:val="top"/>
          </w:tcPr>
          <w:p w14:paraId="7BC45A17">
            <w:pPr>
              <w:pStyle w:val="15"/>
              <w:spacing w:before="70" w:line="187" w:lineRule="auto"/>
              <w:ind w:left="643"/>
            </w:pPr>
            <w:r>
              <w:t>5</w:t>
            </w:r>
          </w:p>
        </w:tc>
        <w:tc>
          <w:tcPr>
            <w:tcW w:w="1827" w:type="pct"/>
            <w:tcBorders>
              <w:tl2br w:val="nil"/>
              <w:tr2bl w:val="nil"/>
            </w:tcBorders>
            <w:vAlign w:val="top"/>
          </w:tcPr>
          <w:p w14:paraId="0A09FF16">
            <w:pPr>
              <w:pStyle w:val="15"/>
              <w:spacing w:before="124" w:line="227" w:lineRule="auto"/>
              <w:ind w:left="951"/>
              <w:outlineLvl w:val="2"/>
            </w:pPr>
            <w:r>
              <w:rPr>
                <w:spacing w:val="8"/>
              </w:rPr>
              <w:t>机动翻斗车</w:t>
            </w:r>
          </w:p>
        </w:tc>
        <w:tc>
          <w:tcPr>
            <w:tcW w:w="2307" w:type="pct"/>
            <w:tcBorders>
              <w:tl2br w:val="nil"/>
              <w:tr2bl w:val="nil"/>
            </w:tcBorders>
            <w:vAlign w:val="top"/>
          </w:tcPr>
          <w:p w14:paraId="375EC3AA">
            <w:pPr>
              <w:pStyle w:val="15"/>
              <w:spacing w:before="68" w:line="189" w:lineRule="auto"/>
              <w:ind w:left="1764"/>
            </w:pPr>
            <w:r>
              <w:t>85</w:t>
            </w:r>
          </w:p>
        </w:tc>
      </w:tr>
      <w:tr w14:paraId="7DBA9F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65" w:type="pct"/>
            <w:tcBorders>
              <w:tl2br w:val="nil"/>
              <w:tr2bl w:val="nil"/>
            </w:tcBorders>
            <w:vAlign w:val="top"/>
          </w:tcPr>
          <w:p w14:paraId="4CF62667">
            <w:pPr>
              <w:pStyle w:val="15"/>
              <w:spacing w:before="69" w:line="189" w:lineRule="auto"/>
              <w:ind w:left="640"/>
            </w:pPr>
            <w:r>
              <w:t>6</w:t>
            </w:r>
          </w:p>
        </w:tc>
        <w:tc>
          <w:tcPr>
            <w:tcW w:w="1827" w:type="pct"/>
            <w:tcBorders>
              <w:tl2br w:val="nil"/>
              <w:tr2bl w:val="nil"/>
            </w:tcBorders>
            <w:vAlign w:val="top"/>
          </w:tcPr>
          <w:p w14:paraId="69A15261">
            <w:pPr>
              <w:pStyle w:val="15"/>
              <w:spacing w:before="124" w:line="227" w:lineRule="auto"/>
              <w:ind w:left="952"/>
              <w:outlineLvl w:val="2"/>
            </w:pPr>
            <w:r>
              <w:rPr>
                <w:spacing w:val="8"/>
              </w:rPr>
              <w:t>汽车起重机</w:t>
            </w:r>
          </w:p>
        </w:tc>
        <w:tc>
          <w:tcPr>
            <w:tcW w:w="2307" w:type="pct"/>
            <w:tcBorders>
              <w:tl2br w:val="nil"/>
              <w:tr2bl w:val="nil"/>
            </w:tcBorders>
            <w:vAlign w:val="top"/>
          </w:tcPr>
          <w:p w14:paraId="0FF3C914">
            <w:pPr>
              <w:pStyle w:val="15"/>
              <w:spacing w:before="69" w:line="189" w:lineRule="auto"/>
              <w:ind w:left="1764"/>
            </w:pPr>
            <w:r>
              <w:t>90</w:t>
            </w:r>
          </w:p>
        </w:tc>
      </w:tr>
      <w:tr w14:paraId="65FC9D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65" w:type="pct"/>
            <w:tcBorders>
              <w:tl2br w:val="nil"/>
              <w:tr2bl w:val="nil"/>
            </w:tcBorders>
            <w:vAlign w:val="top"/>
          </w:tcPr>
          <w:p w14:paraId="42FEE63C">
            <w:pPr>
              <w:pStyle w:val="15"/>
              <w:spacing w:before="69" w:line="187" w:lineRule="auto"/>
              <w:ind w:left="643"/>
            </w:pPr>
            <w:r>
              <w:t>7</w:t>
            </w:r>
          </w:p>
        </w:tc>
        <w:tc>
          <w:tcPr>
            <w:tcW w:w="1827" w:type="pct"/>
            <w:tcBorders>
              <w:tl2br w:val="nil"/>
              <w:tr2bl w:val="nil"/>
            </w:tcBorders>
            <w:vAlign w:val="top"/>
          </w:tcPr>
          <w:p w14:paraId="1466A5EF">
            <w:pPr>
              <w:pStyle w:val="15"/>
              <w:spacing w:before="123" w:line="227" w:lineRule="auto"/>
              <w:ind w:left="849"/>
              <w:outlineLvl w:val="2"/>
            </w:pPr>
            <w:r>
              <w:rPr>
                <w:spacing w:val="7"/>
              </w:rPr>
              <w:t>混凝土搅拌机</w:t>
            </w:r>
          </w:p>
        </w:tc>
        <w:tc>
          <w:tcPr>
            <w:tcW w:w="2307" w:type="pct"/>
            <w:tcBorders>
              <w:tl2br w:val="nil"/>
              <w:tr2bl w:val="nil"/>
            </w:tcBorders>
            <w:vAlign w:val="top"/>
          </w:tcPr>
          <w:p w14:paraId="41060FD4">
            <w:pPr>
              <w:pStyle w:val="15"/>
              <w:spacing w:before="67" w:line="189" w:lineRule="auto"/>
              <w:ind w:left="1764"/>
            </w:pPr>
            <w:r>
              <w:t>85</w:t>
            </w:r>
          </w:p>
        </w:tc>
      </w:tr>
      <w:tr w14:paraId="6A99AD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65" w:type="pct"/>
            <w:tcBorders>
              <w:tl2br w:val="nil"/>
              <w:tr2bl w:val="nil"/>
            </w:tcBorders>
            <w:vAlign w:val="top"/>
          </w:tcPr>
          <w:p w14:paraId="46150241">
            <w:pPr>
              <w:pStyle w:val="15"/>
              <w:spacing w:before="74" w:line="189" w:lineRule="auto"/>
              <w:ind w:left="639"/>
            </w:pPr>
            <w:r>
              <w:t>8</w:t>
            </w:r>
          </w:p>
        </w:tc>
        <w:tc>
          <w:tcPr>
            <w:tcW w:w="1827" w:type="pct"/>
            <w:tcBorders>
              <w:tl2br w:val="nil"/>
              <w:tr2bl w:val="nil"/>
            </w:tcBorders>
            <w:vAlign w:val="top"/>
          </w:tcPr>
          <w:p w14:paraId="44CAF867">
            <w:pPr>
              <w:pStyle w:val="15"/>
              <w:spacing w:before="131" w:line="228" w:lineRule="auto"/>
              <w:ind w:left="1267"/>
              <w:outlineLvl w:val="2"/>
            </w:pPr>
            <w:r>
              <w:rPr>
                <w:spacing w:val="4"/>
              </w:rPr>
              <w:t>蛙夯</w:t>
            </w:r>
          </w:p>
        </w:tc>
        <w:tc>
          <w:tcPr>
            <w:tcW w:w="2307" w:type="pct"/>
            <w:tcBorders>
              <w:tl2br w:val="nil"/>
              <w:tr2bl w:val="nil"/>
            </w:tcBorders>
            <w:vAlign w:val="top"/>
          </w:tcPr>
          <w:p w14:paraId="795E53A5">
            <w:pPr>
              <w:pStyle w:val="15"/>
              <w:spacing w:before="74" w:line="189" w:lineRule="auto"/>
              <w:ind w:left="1764"/>
            </w:pPr>
            <w:r>
              <w:t>85</w:t>
            </w:r>
          </w:p>
        </w:tc>
      </w:tr>
      <w:tr w14:paraId="20BB41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65" w:type="pct"/>
            <w:tcBorders>
              <w:tl2br w:val="nil"/>
              <w:tr2bl w:val="nil"/>
            </w:tcBorders>
            <w:vAlign w:val="top"/>
          </w:tcPr>
          <w:p w14:paraId="17992FFE">
            <w:pPr>
              <w:pStyle w:val="15"/>
              <w:spacing w:before="78" w:line="189" w:lineRule="auto"/>
              <w:ind w:left="639"/>
            </w:pPr>
            <w:r>
              <w:t>9</w:t>
            </w:r>
          </w:p>
        </w:tc>
        <w:tc>
          <w:tcPr>
            <w:tcW w:w="1827" w:type="pct"/>
            <w:tcBorders>
              <w:tl2br w:val="nil"/>
              <w:tr2bl w:val="nil"/>
            </w:tcBorders>
            <w:vAlign w:val="top"/>
          </w:tcPr>
          <w:p w14:paraId="70DBDF40">
            <w:pPr>
              <w:pStyle w:val="15"/>
              <w:spacing w:before="45" w:line="227" w:lineRule="auto"/>
              <w:ind w:left="952"/>
            </w:pPr>
            <w:r>
              <w:rPr>
                <w:spacing w:val="8"/>
              </w:rPr>
              <w:t>柴油发电机</w:t>
            </w:r>
          </w:p>
        </w:tc>
        <w:tc>
          <w:tcPr>
            <w:tcW w:w="2307" w:type="pct"/>
            <w:tcBorders>
              <w:tl2br w:val="nil"/>
              <w:tr2bl w:val="nil"/>
            </w:tcBorders>
            <w:vAlign w:val="top"/>
          </w:tcPr>
          <w:p w14:paraId="4F77FA6A">
            <w:pPr>
              <w:pStyle w:val="15"/>
              <w:spacing w:before="77" w:line="190" w:lineRule="auto"/>
              <w:ind w:left="1726"/>
            </w:pPr>
            <w:r>
              <w:rPr>
                <w:spacing w:val="-3"/>
              </w:rPr>
              <w:t>100</w:t>
            </w:r>
          </w:p>
        </w:tc>
      </w:tr>
      <w:tr w14:paraId="1F066A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865" w:type="pct"/>
            <w:tcBorders>
              <w:tl2br w:val="nil"/>
              <w:tr2bl w:val="nil"/>
            </w:tcBorders>
            <w:vAlign w:val="top"/>
          </w:tcPr>
          <w:p w14:paraId="34F4FA16">
            <w:pPr>
              <w:pStyle w:val="15"/>
              <w:spacing w:before="84" w:line="190" w:lineRule="auto"/>
              <w:ind w:left="601"/>
            </w:pPr>
            <w:r>
              <w:rPr>
                <w:spacing w:val="-7"/>
              </w:rPr>
              <w:t>10</w:t>
            </w:r>
          </w:p>
        </w:tc>
        <w:tc>
          <w:tcPr>
            <w:tcW w:w="1827" w:type="pct"/>
            <w:tcBorders>
              <w:tl2br w:val="nil"/>
              <w:tr2bl w:val="nil"/>
            </w:tcBorders>
            <w:vAlign w:val="top"/>
          </w:tcPr>
          <w:p w14:paraId="27D54C4E">
            <w:pPr>
              <w:pStyle w:val="15"/>
              <w:spacing w:before="52" w:line="228" w:lineRule="auto"/>
              <w:ind w:left="845"/>
            </w:pPr>
            <w:r>
              <w:rPr>
                <w:spacing w:val="8"/>
              </w:rPr>
              <w:t>钢木加工设备</w:t>
            </w:r>
          </w:p>
        </w:tc>
        <w:tc>
          <w:tcPr>
            <w:tcW w:w="2307" w:type="pct"/>
            <w:tcBorders>
              <w:tl2br w:val="nil"/>
              <w:tr2bl w:val="nil"/>
            </w:tcBorders>
            <w:vAlign w:val="top"/>
          </w:tcPr>
          <w:p w14:paraId="7F0752F9">
            <w:pPr>
              <w:pStyle w:val="15"/>
              <w:spacing w:before="84" w:line="190" w:lineRule="auto"/>
              <w:ind w:left="1726"/>
            </w:pPr>
            <w:r>
              <w:rPr>
                <w:spacing w:val="-3"/>
              </w:rPr>
              <w:t>100</w:t>
            </w:r>
          </w:p>
        </w:tc>
      </w:tr>
    </w:tbl>
    <w:p w14:paraId="05E2E2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4、固体废物</w:t>
      </w:r>
    </w:p>
    <w:p w14:paraId="273BDAE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本工程施工期产生的固体废物主要源于施工人员生活垃圾和施工区产生的剩余弃渣弃土等。本工程施工期弃渣主要为</w:t>
      </w:r>
      <w:r>
        <w:rPr>
          <w:rFonts w:hint="eastAsia" w:ascii="宋体" w:hAnsi="宋体" w:eastAsia="宋体" w:cs="宋体"/>
          <w:sz w:val="24"/>
          <w:szCs w:val="24"/>
          <w:lang w:eastAsia="zh-CN"/>
        </w:rPr>
        <w:t>泵房</w:t>
      </w:r>
      <w:r>
        <w:rPr>
          <w:rFonts w:ascii="宋体" w:hAnsi="宋体" w:eastAsia="宋体" w:cs="宋体"/>
          <w:sz w:val="24"/>
          <w:szCs w:val="24"/>
        </w:rPr>
        <w:t>、渠道及建筑物拆除的砼板，弃渣运至指定的专用建筑料弃渣场。</w:t>
      </w:r>
    </w:p>
    <w:p w14:paraId="1F497A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（3）生活垃圾</w:t>
      </w:r>
    </w:p>
    <w:p w14:paraId="2AAC9B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z w:val="24"/>
          <w:szCs w:val="24"/>
        </w:rPr>
      </w:pPr>
      <w:r>
        <w:rPr>
          <w:rFonts w:ascii="宋体" w:hAnsi="宋体" w:eastAsia="宋体" w:cs="宋体"/>
          <w:spacing w:val="-1"/>
          <w:sz w:val="24"/>
          <w:szCs w:val="24"/>
        </w:rPr>
        <w:t>施工工地作业人员较多，根据施工组织设计垃圾产生量按 1.0kg/d•人，施工</w:t>
      </w:r>
      <w:r>
        <w:rPr>
          <w:rFonts w:ascii="宋体" w:hAnsi="宋体" w:eastAsia="宋体" w:cs="宋体"/>
          <w:spacing w:val="11"/>
          <w:sz w:val="24"/>
          <w:szCs w:val="24"/>
        </w:rPr>
        <w:t xml:space="preserve"> </w:t>
      </w:r>
      <w:r>
        <w:rPr>
          <w:rFonts w:ascii="宋体" w:hAnsi="宋体" w:eastAsia="宋体" w:cs="宋体"/>
          <w:spacing w:val="-1"/>
          <w:sz w:val="24"/>
          <w:szCs w:val="24"/>
        </w:rPr>
        <w:t>高峰期人数总计</w:t>
      </w:r>
      <w:r>
        <w:rPr>
          <w:rFonts w:ascii="宋体" w:hAnsi="宋体" w:eastAsia="宋体" w:cs="宋体"/>
          <w:spacing w:val="-46"/>
          <w:sz w:val="24"/>
          <w:szCs w:val="24"/>
        </w:rPr>
        <w:t xml:space="preserve"> </w:t>
      </w:r>
      <w:r>
        <w:rPr>
          <w:rFonts w:ascii="宋体" w:hAnsi="宋体" w:eastAsia="宋体" w:cs="宋体"/>
          <w:spacing w:val="-1"/>
          <w:sz w:val="24"/>
          <w:szCs w:val="24"/>
        </w:rPr>
        <w:t>350</w:t>
      </w:r>
      <w:r>
        <w:rPr>
          <w:rFonts w:ascii="宋体" w:hAnsi="宋体" w:eastAsia="宋体" w:cs="宋体"/>
          <w:spacing w:val="-48"/>
          <w:sz w:val="24"/>
          <w:szCs w:val="24"/>
        </w:rPr>
        <w:t xml:space="preserve"> </w:t>
      </w:r>
      <w:r>
        <w:rPr>
          <w:rFonts w:ascii="宋体" w:hAnsi="宋体" w:eastAsia="宋体" w:cs="宋体"/>
          <w:spacing w:val="-1"/>
          <w:sz w:val="24"/>
          <w:szCs w:val="24"/>
        </w:rPr>
        <w:t>人，生活垃圾产生量为</w:t>
      </w:r>
      <w:r>
        <w:rPr>
          <w:rFonts w:ascii="宋体" w:hAnsi="宋体" w:eastAsia="宋体" w:cs="宋体"/>
          <w:spacing w:val="-47"/>
          <w:sz w:val="24"/>
          <w:szCs w:val="24"/>
        </w:rPr>
        <w:t xml:space="preserve"> </w:t>
      </w:r>
      <w:r>
        <w:rPr>
          <w:rFonts w:ascii="宋体" w:hAnsi="宋体" w:eastAsia="宋体" w:cs="宋体"/>
          <w:spacing w:val="-1"/>
          <w:sz w:val="24"/>
          <w:szCs w:val="24"/>
        </w:rPr>
        <w:t>0.35t/d，工程施工工期</w:t>
      </w:r>
      <w:r>
        <w:rPr>
          <w:rFonts w:ascii="宋体" w:hAnsi="宋体" w:eastAsia="宋体" w:cs="宋体"/>
          <w:spacing w:val="-32"/>
          <w:sz w:val="24"/>
          <w:szCs w:val="24"/>
        </w:rPr>
        <w:t xml:space="preserve"> </w:t>
      </w:r>
      <w:r>
        <w:rPr>
          <w:rFonts w:hint="eastAsia" w:ascii="宋体" w:hAnsi="宋体" w:eastAsia="宋体" w:cs="宋体"/>
          <w:spacing w:val="-2"/>
          <w:sz w:val="24"/>
          <w:szCs w:val="24"/>
          <w:lang w:val="en-US" w:eastAsia="zh-CN"/>
        </w:rPr>
        <w:t>24</w:t>
      </w:r>
      <w:r>
        <w:rPr>
          <w:rFonts w:ascii="宋体" w:hAnsi="宋体" w:eastAsia="宋体" w:cs="宋体"/>
          <w:spacing w:val="-49"/>
          <w:sz w:val="24"/>
          <w:szCs w:val="24"/>
        </w:rPr>
        <w:t xml:space="preserve"> </w:t>
      </w:r>
      <w:r>
        <w:rPr>
          <w:rFonts w:ascii="宋体" w:hAnsi="宋体" w:eastAsia="宋体" w:cs="宋体"/>
          <w:spacing w:val="-2"/>
          <w:sz w:val="24"/>
          <w:szCs w:val="24"/>
        </w:rPr>
        <w:t>个月，整</w:t>
      </w:r>
      <w:r>
        <w:rPr>
          <w:rFonts w:ascii="宋体" w:hAnsi="宋体" w:eastAsia="宋体" w:cs="宋体"/>
          <w:sz w:val="24"/>
          <w:szCs w:val="24"/>
        </w:rPr>
        <w:t xml:space="preserve"> 个施工期生活垃圾产生量为</w:t>
      </w:r>
      <w:r>
        <w:rPr>
          <w:rFonts w:ascii="宋体" w:hAnsi="宋体" w:eastAsia="宋体" w:cs="宋体"/>
          <w:spacing w:val="-30"/>
          <w:sz w:val="24"/>
          <w:szCs w:val="24"/>
        </w:rPr>
        <w:t xml:space="preserve"> </w:t>
      </w:r>
      <w:r>
        <w:rPr>
          <w:rFonts w:ascii="宋体" w:hAnsi="宋体" w:eastAsia="宋体" w:cs="宋体"/>
          <w:sz w:val="24"/>
          <w:szCs w:val="24"/>
        </w:rPr>
        <w:t xml:space="preserve">105t。本工程生活区搭建简易彩板房或租民房，设置 </w:t>
      </w:r>
      <w:r>
        <w:rPr>
          <w:rFonts w:ascii="宋体" w:hAnsi="宋体" w:eastAsia="宋体" w:cs="宋体"/>
          <w:spacing w:val="3"/>
          <w:sz w:val="24"/>
          <w:szCs w:val="24"/>
        </w:rPr>
        <w:t>暂存垃圾桶收集生活垃圾，定期清运至生活垃圾填</w:t>
      </w:r>
      <w:r>
        <w:rPr>
          <w:rFonts w:ascii="宋体" w:hAnsi="宋体" w:eastAsia="宋体" w:cs="宋体"/>
          <w:spacing w:val="2"/>
          <w:sz w:val="24"/>
          <w:szCs w:val="24"/>
        </w:rPr>
        <w:t>埋场，同时在各生产区配备一</w:t>
      </w:r>
      <w:r>
        <w:rPr>
          <w:rFonts w:ascii="宋体" w:hAnsi="宋体" w:eastAsia="宋体" w:cs="宋体"/>
          <w:spacing w:val="-1"/>
          <w:sz w:val="24"/>
          <w:szCs w:val="24"/>
        </w:rPr>
        <w:t>个垃圾箱，用于收集施工人员现场产生的日常垃圾。</w:t>
      </w:r>
    </w:p>
    <w:p w14:paraId="35D966CA">
      <w:pPr>
        <w:spacing w:before="180" w:line="220" w:lineRule="auto"/>
        <w:ind w:left="14"/>
        <w:outlineLvl w:val="3"/>
        <w:rPr>
          <w:rFonts w:ascii="宋体" w:hAnsi="宋体" w:eastAsia="宋体" w:cs="宋体"/>
          <w:sz w:val="24"/>
          <w:szCs w:val="24"/>
        </w:rPr>
      </w:pPr>
      <w:r>
        <w:rPr>
          <w:b/>
          <w:bCs/>
        </w:rPr>
        <w:fldChar w:fldCharType="begin"/>
      </w:r>
      <w:r>
        <w:rPr>
          <w:b/>
          <w:bCs/>
        </w:rPr>
        <w:instrText xml:space="preserve"> HYPERLINK "3.2.2.2"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3.2.2.2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运营期工程分析</w:t>
      </w:r>
    </w:p>
    <w:p w14:paraId="462923A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本工程无新增维护管理人员，项目运营渠道</w:t>
      </w:r>
      <w:r>
        <w:rPr>
          <w:rFonts w:ascii="宋体" w:hAnsi="宋体" w:eastAsia="宋体" w:cs="宋体"/>
          <w:spacing w:val="1"/>
          <w:sz w:val="24"/>
          <w:szCs w:val="24"/>
        </w:rPr>
        <w:t>输水过程中无“三废</w:t>
      </w:r>
      <w:r>
        <w:rPr>
          <w:rFonts w:ascii="宋体" w:hAnsi="宋体" w:eastAsia="宋体" w:cs="宋体"/>
          <w:spacing w:val="-85"/>
          <w:sz w:val="24"/>
          <w:szCs w:val="24"/>
        </w:rPr>
        <w:t xml:space="preserve"> </w:t>
      </w:r>
      <w:r>
        <w:rPr>
          <w:rFonts w:ascii="宋体" w:hAnsi="宋体" w:eastAsia="宋体" w:cs="宋体"/>
          <w:spacing w:val="1"/>
          <w:sz w:val="24"/>
          <w:szCs w:val="24"/>
        </w:rPr>
        <w:t>”排放，输</w:t>
      </w:r>
      <w:r>
        <w:rPr>
          <w:rFonts w:ascii="宋体" w:hAnsi="宋体" w:eastAsia="宋体" w:cs="宋体"/>
          <w:spacing w:val="3"/>
          <w:sz w:val="24"/>
          <w:szCs w:val="24"/>
        </w:rPr>
        <w:t>水过程中分水闸开启关闭产生的声响属于偶</w:t>
      </w:r>
      <w:r>
        <w:rPr>
          <w:rFonts w:ascii="宋体" w:hAnsi="宋体" w:eastAsia="宋体" w:cs="宋体"/>
          <w:spacing w:val="2"/>
          <w:sz w:val="24"/>
          <w:szCs w:val="24"/>
        </w:rPr>
        <w:t>发性噪声，产生频率很少，持续时间</w:t>
      </w:r>
      <w:r>
        <w:rPr>
          <w:rFonts w:ascii="宋体" w:hAnsi="宋体" w:eastAsia="宋体" w:cs="宋体"/>
          <w:spacing w:val="-1"/>
          <w:sz w:val="24"/>
          <w:szCs w:val="24"/>
        </w:rPr>
        <w:t>也很短；</w:t>
      </w:r>
      <w:r>
        <w:rPr>
          <w:rFonts w:hint="eastAsia" w:ascii="宋体" w:hAnsi="宋体" w:eastAsia="宋体" w:cs="宋体"/>
          <w:spacing w:val="-1"/>
          <w:sz w:val="24"/>
          <w:szCs w:val="24"/>
          <w:lang w:eastAsia="zh-CN"/>
        </w:rPr>
        <w:t>泵房</w:t>
      </w:r>
      <w:r>
        <w:rPr>
          <w:rFonts w:ascii="宋体" w:hAnsi="宋体" w:eastAsia="宋体" w:cs="宋体"/>
          <w:spacing w:val="-1"/>
          <w:sz w:val="24"/>
          <w:szCs w:val="24"/>
        </w:rPr>
        <w:t>内水泵等设备噪声，会对周围声环境带来一定影响。</w:t>
      </w:r>
    </w:p>
    <w:p w14:paraId="673DB7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val="en-US" w:eastAsia="zh-CN"/>
        </w:rPr>
        <w:t>泵房内</w:t>
      </w:r>
      <w:r>
        <w:rPr>
          <w:rFonts w:ascii="宋体" w:hAnsi="宋体" w:eastAsia="宋体" w:cs="宋体"/>
          <w:sz w:val="24"/>
          <w:szCs w:val="24"/>
        </w:rPr>
        <w:t>设备运行噪声一般在</w:t>
      </w:r>
      <w:r>
        <w:rPr>
          <w:rFonts w:ascii="宋体" w:hAnsi="宋体" w:eastAsia="宋体" w:cs="宋体"/>
          <w:spacing w:val="-27"/>
          <w:sz w:val="24"/>
          <w:szCs w:val="24"/>
        </w:rPr>
        <w:t xml:space="preserve"> </w:t>
      </w:r>
      <w:r>
        <w:rPr>
          <w:rFonts w:ascii="宋体" w:hAnsi="宋体" w:eastAsia="宋体" w:cs="宋体"/>
          <w:sz w:val="24"/>
          <w:szCs w:val="24"/>
        </w:rPr>
        <w:t xml:space="preserve">75～85dB(A)之间，会对周围声环境带来 </w:t>
      </w:r>
      <w:r>
        <w:rPr>
          <w:rFonts w:ascii="宋体" w:hAnsi="宋体" w:eastAsia="宋体" w:cs="宋体"/>
          <w:spacing w:val="3"/>
          <w:sz w:val="24"/>
          <w:szCs w:val="24"/>
        </w:rPr>
        <w:t>一定影响。主要的防治措施根据不同的噪声源的</w:t>
      </w:r>
      <w:r>
        <w:rPr>
          <w:rFonts w:ascii="宋体" w:hAnsi="宋体" w:eastAsia="宋体" w:cs="宋体"/>
          <w:spacing w:val="2"/>
          <w:sz w:val="24"/>
          <w:szCs w:val="24"/>
        </w:rPr>
        <w:t>声级及现场使用情况，对噪</w:t>
      </w:r>
      <w:r>
        <w:rPr>
          <w:rFonts w:ascii="宋体" w:hAnsi="宋体" w:eastAsia="宋体" w:cs="宋体"/>
          <w:spacing w:val="3"/>
          <w:sz w:val="24"/>
          <w:szCs w:val="24"/>
        </w:rPr>
        <w:t>声设备分别进行基础减振，建筑隔音</w:t>
      </w:r>
      <w:r>
        <w:rPr>
          <w:rFonts w:ascii="宋体" w:hAnsi="宋体" w:eastAsia="宋体" w:cs="宋体"/>
          <w:spacing w:val="2"/>
          <w:sz w:val="24"/>
          <w:szCs w:val="24"/>
        </w:rPr>
        <w:t>等措施以及高效的维</w:t>
      </w:r>
      <w:r>
        <w:rPr>
          <w:rFonts w:ascii="宋体" w:hAnsi="宋体" w:eastAsia="宋体" w:cs="宋体"/>
          <w:spacing w:val="3"/>
          <w:sz w:val="24"/>
          <w:szCs w:val="24"/>
        </w:rPr>
        <w:t>护和管理，来减少噪声对周围环境的危害，同时</w:t>
      </w:r>
      <w:r>
        <w:rPr>
          <w:rFonts w:ascii="宋体" w:hAnsi="宋体" w:eastAsia="宋体" w:cs="宋体"/>
          <w:spacing w:val="2"/>
          <w:sz w:val="24"/>
          <w:szCs w:val="24"/>
        </w:rPr>
        <w:t>采取合理的平面布局，使高噪声</w:t>
      </w:r>
      <w:r>
        <w:rPr>
          <w:rFonts w:ascii="宋体" w:hAnsi="宋体" w:eastAsia="宋体" w:cs="宋体"/>
          <w:spacing w:val="-1"/>
          <w:sz w:val="24"/>
          <w:szCs w:val="24"/>
        </w:rPr>
        <w:t>设备远离环境保护目标。</w:t>
      </w:r>
    </w:p>
    <w:p w14:paraId="0E7B1F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本工程</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主要噪声设备详见表</w:t>
      </w:r>
      <w:r>
        <w:rPr>
          <w:rFonts w:ascii="宋体" w:hAnsi="宋体" w:eastAsia="宋体" w:cs="宋体"/>
          <w:spacing w:val="-28"/>
          <w:sz w:val="24"/>
          <w:szCs w:val="24"/>
        </w:rPr>
        <w:t xml:space="preserve"> </w:t>
      </w:r>
      <w:r>
        <w:rPr>
          <w:rFonts w:ascii="宋体" w:hAnsi="宋体" w:eastAsia="宋体" w:cs="宋体"/>
          <w:spacing w:val="-2"/>
          <w:sz w:val="24"/>
          <w:szCs w:val="24"/>
        </w:rPr>
        <w:t>3-2-15。</w:t>
      </w:r>
    </w:p>
    <w:p w14:paraId="23696DD1">
      <w:pPr>
        <w:spacing w:before="182" w:line="213"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3-2-15</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本工程生产主要噪声设备一</w:t>
      </w:r>
      <w:r>
        <w:rPr>
          <w:rFonts w:ascii="宋体" w:hAnsi="宋体" w:eastAsia="宋体" w:cs="宋体"/>
          <w:spacing w:val="-1"/>
          <w:sz w:val="24"/>
          <w:szCs w:val="24"/>
          <w14:textOutline w14:w="4358" w14:cap="sq" w14:cmpd="sng">
            <w14:solidFill>
              <w14:srgbClr w14:val="000000"/>
            </w14:solidFill>
            <w14:prstDash w14:val="solid"/>
            <w14:bevel/>
          </w14:textOutline>
        </w:rPr>
        <w:t>览表</w:t>
      </w: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33"/>
        <w:gridCol w:w="1434"/>
        <w:gridCol w:w="1436"/>
        <w:gridCol w:w="1185"/>
        <w:gridCol w:w="1434"/>
        <w:gridCol w:w="1221"/>
        <w:gridCol w:w="1238"/>
      </w:tblGrid>
      <w:tr w14:paraId="490CF9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369" w:type="pct"/>
            <w:tcBorders>
              <w:tl2br w:val="nil"/>
              <w:tr2bl w:val="nil"/>
            </w:tcBorders>
            <w:textDirection w:val="tbRlV"/>
            <w:vAlign w:val="top"/>
          </w:tcPr>
          <w:p w14:paraId="5FCC4544">
            <w:pPr>
              <w:pStyle w:val="15"/>
              <w:spacing w:before="205" w:line="218" w:lineRule="auto"/>
              <w:ind w:left="271"/>
            </w:pPr>
            <w:r>
              <w:rPr>
                <w:spacing w:val="8"/>
              </w:rPr>
              <w:t>序</w:t>
            </w:r>
            <w:r>
              <w:rPr>
                <w:spacing w:val="13"/>
              </w:rPr>
              <w:t xml:space="preserve"> </w:t>
            </w:r>
            <w:r>
              <w:rPr>
                <w:spacing w:val="8"/>
              </w:rPr>
              <w:t>号</w:t>
            </w:r>
          </w:p>
        </w:tc>
        <w:tc>
          <w:tcPr>
            <w:tcW w:w="835" w:type="pct"/>
            <w:tcBorders>
              <w:tl2br w:val="nil"/>
              <w:tr2bl w:val="nil"/>
            </w:tcBorders>
            <w:vAlign w:val="top"/>
          </w:tcPr>
          <w:p w14:paraId="1E7D5D69">
            <w:pPr>
              <w:spacing w:line="365" w:lineRule="auto"/>
              <w:rPr>
                <w:rFonts w:ascii="Arial"/>
                <w:sz w:val="21"/>
              </w:rPr>
            </w:pPr>
          </w:p>
          <w:p w14:paraId="144BB0E7">
            <w:pPr>
              <w:pStyle w:val="15"/>
              <w:spacing w:before="65" w:line="228" w:lineRule="auto"/>
              <w:ind w:left="385"/>
            </w:pPr>
            <w:r>
              <w:rPr>
                <w:spacing w:val="3"/>
              </w:rPr>
              <w:t>噪声源</w:t>
            </w:r>
          </w:p>
        </w:tc>
        <w:tc>
          <w:tcPr>
            <w:tcW w:w="836" w:type="pct"/>
            <w:tcBorders>
              <w:tl2br w:val="nil"/>
              <w:tr2bl w:val="nil"/>
            </w:tcBorders>
            <w:vAlign w:val="top"/>
          </w:tcPr>
          <w:p w14:paraId="501912A3">
            <w:pPr>
              <w:pStyle w:val="15"/>
              <w:spacing w:before="113" w:line="228" w:lineRule="auto"/>
              <w:ind w:left="174"/>
            </w:pPr>
            <w:r>
              <w:rPr>
                <w:spacing w:val="7"/>
              </w:rPr>
              <w:t>治理前声压</w:t>
            </w:r>
          </w:p>
          <w:p w14:paraId="41D6D9FE">
            <w:pPr>
              <w:pStyle w:val="15"/>
              <w:spacing w:before="71" w:line="230" w:lineRule="auto"/>
              <w:ind w:left="592"/>
            </w:pPr>
            <w:r>
              <w:t>级</w:t>
            </w:r>
          </w:p>
          <w:p w14:paraId="53BF1DE5">
            <w:pPr>
              <w:pStyle w:val="15"/>
              <w:spacing w:before="69" w:line="231" w:lineRule="auto"/>
              <w:ind w:left="437"/>
            </w:pPr>
            <w:r>
              <w:t>dB</w:t>
            </w:r>
            <w:r>
              <w:rPr>
                <w:spacing w:val="4"/>
              </w:rPr>
              <w:t>(A)</w:t>
            </w:r>
          </w:p>
        </w:tc>
        <w:tc>
          <w:tcPr>
            <w:tcW w:w="690" w:type="pct"/>
            <w:tcBorders>
              <w:tl2br w:val="nil"/>
              <w:tr2bl w:val="nil"/>
            </w:tcBorders>
            <w:vAlign w:val="top"/>
          </w:tcPr>
          <w:p w14:paraId="4EECA2B8">
            <w:pPr>
              <w:spacing w:line="364" w:lineRule="auto"/>
              <w:rPr>
                <w:rFonts w:ascii="Arial"/>
                <w:sz w:val="21"/>
              </w:rPr>
            </w:pPr>
          </w:p>
          <w:p w14:paraId="6DF9B719">
            <w:pPr>
              <w:pStyle w:val="15"/>
              <w:spacing w:before="65" w:line="228" w:lineRule="auto"/>
              <w:ind w:left="211"/>
            </w:pPr>
            <w:r>
              <w:rPr>
                <w:spacing w:val="6"/>
              </w:rPr>
              <w:t>数量/台</w:t>
            </w:r>
          </w:p>
        </w:tc>
        <w:tc>
          <w:tcPr>
            <w:tcW w:w="835" w:type="pct"/>
            <w:tcBorders>
              <w:tl2br w:val="nil"/>
              <w:tr2bl w:val="nil"/>
            </w:tcBorders>
            <w:vAlign w:val="top"/>
          </w:tcPr>
          <w:p w14:paraId="71DB017D">
            <w:pPr>
              <w:pStyle w:val="15"/>
              <w:spacing w:before="271" w:line="322" w:lineRule="exact"/>
              <w:ind w:left="491"/>
            </w:pPr>
            <w:r>
              <w:rPr>
                <w:spacing w:val="4"/>
                <w:position w:val="8"/>
              </w:rPr>
              <w:t>排放</w:t>
            </w:r>
          </w:p>
          <w:p w14:paraId="375B995C">
            <w:pPr>
              <w:pStyle w:val="15"/>
              <w:spacing w:line="227" w:lineRule="auto"/>
              <w:ind w:left="492"/>
            </w:pPr>
            <w:r>
              <w:rPr>
                <w:spacing w:val="4"/>
              </w:rPr>
              <w:t>规律</w:t>
            </w:r>
          </w:p>
        </w:tc>
        <w:tc>
          <w:tcPr>
            <w:tcW w:w="711" w:type="pct"/>
            <w:tcBorders>
              <w:tl2br w:val="nil"/>
              <w:tr2bl w:val="nil"/>
            </w:tcBorders>
            <w:vAlign w:val="top"/>
          </w:tcPr>
          <w:p w14:paraId="09F6FE13">
            <w:pPr>
              <w:spacing w:line="365" w:lineRule="auto"/>
              <w:rPr>
                <w:rFonts w:ascii="Arial"/>
                <w:sz w:val="21"/>
              </w:rPr>
            </w:pPr>
          </w:p>
          <w:p w14:paraId="55D6E322">
            <w:pPr>
              <w:pStyle w:val="15"/>
              <w:spacing w:before="65" w:line="229" w:lineRule="auto"/>
              <w:ind w:left="188"/>
            </w:pPr>
            <w:r>
              <w:rPr>
                <w:spacing w:val="6"/>
              </w:rPr>
              <w:t>处理方式</w:t>
            </w:r>
          </w:p>
        </w:tc>
        <w:tc>
          <w:tcPr>
            <w:tcW w:w="721" w:type="pct"/>
            <w:tcBorders>
              <w:tl2br w:val="nil"/>
              <w:tr2bl w:val="nil"/>
            </w:tcBorders>
            <w:vAlign w:val="top"/>
          </w:tcPr>
          <w:p w14:paraId="70303863">
            <w:pPr>
              <w:pStyle w:val="15"/>
              <w:spacing w:before="113" w:line="262" w:lineRule="auto"/>
              <w:ind w:left="398" w:right="163" w:hanging="205"/>
            </w:pPr>
            <w:r>
              <w:rPr>
                <w:spacing w:val="6"/>
              </w:rPr>
              <w:t>消声后声</w:t>
            </w:r>
            <w:r>
              <w:t xml:space="preserve"> </w:t>
            </w:r>
            <w:r>
              <w:rPr>
                <w:spacing w:val="4"/>
              </w:rPr>
              <w:t>压级</w:t>
            </w:r>
          </w:p>
          <w:p w14:paraId="260B0759">
            <w:pPr>
              <w:pStyle w:val="15"/>
              <w:spacing w:before="69" w:line="231" w:lineRule="auto"/>
              <w:ind w:left="349"/>
            </w:pPr>
            <w:r>
              <w:t>dB</w:t>
            </w:r>
            <w:r>
              <w:rPr>
                <w:spacing w:val="4"/>
              </w:rPr>
              <w:t>(A)</w:t>
            </w:r>
          </w:p>
        </w:tc>
      </w:tr>
      <w:tr w14:paraId="696BBB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32" w:hRule="atLeast"/>
        </w:trPr>
        <w:tc>
          <w:tcPr>
            <w:tcW w:w="369" w:type="pct"/>
            <w:tcBorders>
              <w:tl2br w:val="nil"/>
              <w:tr2bl w:val="nil"/>
            </w:tcBorders>
            <w:vAlign w:val="top"/>
          </w:tcPr>
          <w:p w14:paraId="6080B750">
            <w:pPr>
              <w:spacing w:line="281" w:lineRule="auto"/>
              <w:rPr>
                <w:rFonts w:ascii="Arial"/>
                <w:sz w:val="21"/>
              </w:rPr>
            </w:pPr>
          </w:p>
          <w:p w14:paraId="7DC71805">
            <w:pPr>
              <w:spacing w:line="282" w:lineRule="auto"/>
              <w:rPr>
                <w:rFonts w:ascii="Arial"/>
                <w:sz w:val="21"/>
              </w:rPr>
            </w:pPr>
          </w:p>
          <w:p w14:paraId="66F7C422">
            <w:pPr>
              <w:spacing w:line="282" w:lineRule="auto"/>
              <w:rPr>
                <w:rFonts w:ascii="Arial"/>
                <w:sz w:val="21"/>
              </w:rPr>
            </w:pPr>
          </w:p>
          <w:p w14:paraId="2347FE85">
            <w:pPr>
              <w:pStyle w:val="15"/>
              <w:spacing w:before="65" w:line="189" w:lineRule="auto"/>
              <w:ind w:left="260"/>
            </w:pPr>
            <w:r>
              <w:t>1</w:t>
            </w:r>
          </w:p>
        </w:tc>
        <w:tc>
          <w:tcPr>
            <w:tcW w:w="835" w:type="pct"/>
            <w:tcBorders>
              <w:tl2br w:val="nil"/>
              <w:tr2bl w:val="nil"/>
            </w:tcBorders>
            <w:vAlign w:val="top"/>
          </w:tcPr>
          <w:p w14:paraId="2F910C43">
            <w:pPr>
              <w:spacing w:line="270" w:lineRule="auto"/>
              <w:rPr>
                <w:rFonts w:ascii="Arial"/>
                <w:sz w:val="21"/>
              </w:rPr>
            </w:pPr>
          </w:p>
          <w:p w14:paraId="755D0FB1">
            <w:pPr>
              <w:spacing w:line="271" w:lineRule="auto"/>
              <w:rPr>
                <w:rFonts w:ascii="Arial"/>
                <w:sz w:val="21"/>
              </w:rPr>
            </w:pPr>
          </w:p>
          <w:p w14:paraId="6232F475">
            <w:pPr>
              <w:spacing w:line="271" w:lineRule="auto"/>
              <w:rPr>
                <w:rFonts w:ascii="Arial"/>
                <w:sz w:val="21"/>
              </w:rPr>
            </w:pPr>
          </w:p>
          <w:p w14:paraId="538CE2BB">
            <w:pPr>
              <w:pStyle w:val="15"/>
              <w:spacing w:before="65" w:line="228" w:lineRule="auto"/>
              <w:ind w:left="378"/>
            </w:pPr>
            <w:r>
              <w:rPr>
                <w:rFonts w:hint="eastAsia"/>
                <w:spacing w:val="6"/>
                <w:lang w:val="en-US" w:eastAsia="zh-CN"/>
              </w:rPr>
              <w:t>水</w:t>
            </w:r>
            <w:r>
              <w:rPr>
                <w:spacing w:val="6"/>
              </w:rPr>
              <w:t>泵</w:t>
            </w:r>
          </w:p>
        </w:tc>
        <w:tc>
          <w:tcPr>
            <w:tcW w:w="836" w:type="pct"/>
            <w:tcBorders>
              <w:tl2br w:val="nil"/>
              <w:tr2bl w:val="nil"/>
            </w:tcBorders>
            <w:vAlign w:val="top"/>
          </w:tcPr>
          <w:p w14:paraId="787C9997">
            <w:pPr>
              <w:spacing w:line="281" w:lineRule="auto"/>
              <w:rPr>
                <w:rFonts w:ascii="Arial"/>
                <w:sz w:val="21"/>
              </w:rPr>
            </w:pPr>
          </w:p>
          <w:p w14:paraId="328CB024">
            <w:pPr>
              <w:spacing w:line="281" w:lineRule="auto"/>
              <w:rPr>
                <w:rFonts w:ascii="Arial"/>
                <w:sz w:val="21"/>
              </w:rPr>
            </w:pPr>
          </w:p>
          <w:p w14:paraId="6CD58508">
            <w:pPr>
              <w:spacing w:line="282" w:lineRule="auto"/>
              <w:rPr>
                <w:rFonts w:ascii="Arial"/>
                <w:sz w:val="21"/>
              </w:rPr>
            </w:pPr>
          </w:p>
          <w:p w14:paraId="7984923D">
            <w:pPr>
              <w:pStyle w:val="15"/>
              <w:spacing w:before="65" w:line="190" w:lineRule="auto"/>
              <w:ind w:left="381"/>
            </w:pPr>
            <w:r>
              <w:rPr>
                <w:spacing w:val="3"/>
              </w:rPr>
              <w:t>90-110</w:t>
            </w:r>
          </w:p>
        </w:tc>
        <w:tc>
          <w:tcPr>
            <w:tcW w:w="690" w:type="pct"/>
            <w:tcBorders>
              <w:tl2br w:val="nil"/>
              <w:tr2bl w:val="nil"/>
            </w:tcBorders>
            <w:vAlign w:val="top"/>
          </w:tcPr>
          <w:p w14:paraId="1288F1EE">
            <w:pPr>
              <w:spacing w:line="281" w:lineRule="auto"/>
              <w:rPr>
                <w:rFonts w:ascii="Arial"/>
                <w:sz w:val="21"/>
              </w:rPr>
            </w:pPr>
          </w:p>
          <w:p w14:paraId="3648462C">
            <w:pPr>
              <w:spacing w:line="282" w:lineRule="auto"/>
              <w:rPr>
                <w:rFonts w:ascii="Arial"/>
                <w:sz w:val="21"/>
              </w:rPr>
            </w:pPr>
          </w:p>
          <w:p w14:paraId="4948BF2B">
            <w:pPr>
              <w:spacing w:line="282" w:lineRule="auto"/>
              <w:rPr>
                <w:rFonts w:ascii="Arial"/>
                <w:sz w:val="21"/>
              </w:rPr>
            </w:pPr>
          </w:p>
          <w:p w14:paraId="6BC16615">
            <w:pPr>
              <w:pStyle w:val="15"/>
              <w:spacing w:before="65" w:line="189" w:lineRule="auto"/>
              <w:ind w:left="472"/>
            </w:pPr>
            <w:r>
              <w:rPr>
                <w:spacing w:val="1"/>
              </w:rPr>
              <w:t>45</w:t>
            </w:r>
          </w:p>
        </w:tc>
        <w:tc>
          <w:tcPr>
            <w:tcW w:w="835" w:type="pct"/>
            <w:tcBorders>
              <w:tl2br w:val="nil"/>
              <w:tr2bl w:val="nil"/>
            </w:tcBorders>
            <w:vAlign w:val="top"/>
          </w:tcPr>
          <w:p w14:paraId="171701BC">
            <w:pPr>
              <w:spacing w:line="271" w:lineRule="auto"/>
              <w:rPr>
                <w:rFonts w:ascii="Arial"/>
                <w:sz w:val="21"/>
              </w:rPr>
            </w:pPr>
          </w:p>
          <w:p w14:paraId="47B1797E">
            <w:pPr>
              <w:spacing w:line="271" w:lineRule="auto"/>
              <w:rPr>
                <w:rFonts w:ascii="Arial"/>
                <w:sz w:val="21"/>
              </w:rPr>
            </w:pPr>
          </w:p>
          <w:p w14:paraId="4D473ADC">
            <w:pPr>
              <w:spacing w:line="271" w:lineRule="auto"/>
              <w:rPr>
                <w:rFonts w:ascii="Arial"/>
                <w:sz w:val="21"/>
              </w:rPr>
            </w:pPr>
          </w:p>
          <w:p w14:paraId="6588A9CD">
            <w:pPr>
              <w:pStyle w:val="15"/>
              <w:spacing w:before="65" w:line="228" w:lineRule="auto"/>
              <w:ind w:left="492"/>
            </w:pPr>
            <w:r>
              <w:rPr>
                <w:spacing w:val="4"/>
              </w:rPr>
              <w:t>连续</w:t>
            </w:r>
          </w:p>
        </w:tc>
        <w:tc>
          <w:tcPr>
            <w:tcW w:w="711" w:type="pct"/>
            <w:tcBorders>
              <w:tl2br w:val="nil"/>
              <w:tr2bl w:val="nil"/>
            </w:tcBorders>
            <w:vAlign w:val="top"/>
          </w:tcPr>
          <w:p w14:paraId="4152E690">
            <w:pPr>
              <w:pStyle w:val="15"/>
              <w:spacing w:before="82" w:line="283" w:lineRule="auto"/>
              <w:ind w:left="119" w:right="50"/>
              <w:jc w:val="both"/>
            </w:pPr>
            <w:r>
              <w:rPr>
                <w:spacing w:val="1"/>
              </w:rPr>
              <w:t>基础减振、</w:t>
            </w:r>
            <w:r>
              <w:t xml:space="preserve"> </w:t>
            </w:r>
            <w:r>
              <w:rPr>
                <w:spacing w:val="23"/>
              </w:rPr>
              <w:t>安装隔音</w:t>
            </w:r>
            <w:r>
              <w:t xml:space="preserve">  </w:t>
            </w:r>
            <w:r>
              <w:rPr>
                <w:spacing w:val="-9"/>
              </w:rPr>
              <w:t>罩、室内做</w:t>
            </w:r>
            <w:r>
              <w:rPr>
                <w:spacing w:val="3"/>
              </w:rPr>
              <w:t xml:space="preserve"> </w:t>
            </w:r>
            <w:r>
              <w:rPr>
                <w:spacing w:val="1"/>
              </w:rPr>
              <w:t>吸声处理、</w:t>
            </w:r>
            <w:r>
              <w:t xml:space="preserve"> </w:t>
            </w:r>
            <w:r>
              <w:rPr>
                <w:spacing w:val="23"/>
              </w:rPr>
              <w:t>设置噪声</w:t>
            </w:r>
            <w:r>
              <w:t xml:space="preserve">  </w:t>
            </w:r>
            <w:r>
              <w:rPr>
                <w:spacing w:val="23"/>
              </w:rPr>
              <w:t>防护距离</w:t>
            </w:r>
          </w:p>
        </w:tc>
        <w:tc>
          <w:tcPr>
            <w:tcW w:w="721" w:type="pct"/>
            <w:tcBorders>
              <w:tl2br w:val="nil"/>
              <w:tr2bl w:val="nil"/>
            </w:tcBorders>
            <w:vAlign w:val="top"/>
          </w:tcPr>
          <w:p w14:paraId="74D1390C">
            <w:pPr>
              <w:spacing w:line="271" w:lineRule="auto"/>
              <w:rPr>
                <w:rFonts w:ascii="Arial"/>
                <w:sz w:val="21"/>
              </w:rPr>
            </w:pPr>
          </w:p>
          <w:p w14:paraId="05D0DF22">
            <w:pPr>
              <w:spacing w:line="271" w:lineRule="auto"/>
              <w:rPr>
                <w:rFonts w:ascii="Arial"/>
                <w:sz w:val="21"/>
              </w:rPr>
            </w:pPr>
          </w:p>
          <w:p w14:paraId="4C20082C">
            <w:pPr>
              <w:spacing w:line="271" w:lineRule="auto"/>
              <w:rPr>
                <w:rFonts w:ascii="Arial"/>
                <w:sz w:val="21"/>
              </w:rPr>
            </w:pPr>
          </w:p>
          <w:p w14:paraId="2482BE3F">
            <w:pPr>
              <w:pStyle w:val="15"/>
              <w:spacing w:before="65" w:line="268" w:lineRule="exact"/>
              <w:ind w:left="413"/>
            </w:pPr>
            <w:r>
              <w:rPr>
                <w:spacing w:val="-1"/>
                <w:position w:val="1"/>
              </w:rPr>
              <w:t>＜85</w:t>
            </w:r>
          </w:p>
        </w:tc>
      </w:tr>
    </w:tbl>
    <w:p w14:paraId="2CF158FD">
      <w:pPr>
        <w:pStyle w:val="3"/>
        <w:spacing w:line="413" w:lineRule="auto"/>
      </w:pPr>
    </w:p>
    <w:p w14:paraId="180CA461">
      <w:pPr>
        <w:spacing w:before="98" w:line="219" w:lineRule="auto"/>
        <w:ind w:left="140"/>
        <w:outlineLvl w:val="1"/>
        <w:rPr>
          <w:rFonts w:hint="eastAsia" w:ascii="黑体" w:hAnsi="黑体" w:eastAsia="黑体" w:cs="黑体"/>
          <w:sz w:val="30"/>
          <w:szCs w:val="30"/>
        </w:rPr>
      </w:pPr>
      <w:bookmarkStart w:id="18" w:name="bookmark18"/>
      <w:bookmarkEnd w:id="18"/>
      <w:r>
        <w:rPr>
          <w:rFonts w:hint="eastAsia" w:ascii="黑体" w:hAnsi="黑体" w:eastAsia="黑体" w:cs="黑体"/>
          <w:spacing w:val="1"/>
          <w:sz w:val="30"/>
          <w:szCs w:val="30"/>
          <w14:textOutline w14:w="5448" w14:cap="sq" w14:cmpd="sng">
            <w14:solidFill>
              <w14:srgbClr w14:val="000000"/>
            </w14:solidFill>
            <w14:prstDash w14:val="solid"/>
            <w14:bevel/>
          </w14:textOutline>
        </w:rPr>
        <w:t>3.3</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工程与产业政策、规划相符性</w:t>
      </w:r>
    </w:p>
    <w:p w14:paraId="451E7462">
      <w:pPr>
        <w:spacing w:before="223" w:line="220" w:lineRule="auto"/>
        <w:ind w:left="139"/>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3.3.1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工程与产业政策的相符性分析</w:t>
      </w:r>
    </w:p>
    <w:p w14:paraId="4568E13C">
      <w:pPr>
        <w:spacing w:before="206" w:line="360" w:lineRule="auto"/>
        <w:ind w:left="178" w:right="61" w:firstLine="437"/>
        <w:jc w:val="both"/>
        <w:rPr>
          <w:rFonts w:hint="eastAsia" w:ascii="宋体" w:hAnsi="宋体" w:eastAsia="宋体" w:cs="宋体"/>
          <w:sz w:val="24"/>
          <w:szCs w:val="24"/>
          <w:lang w:eastAsia="zh-CN"/>
        </w:rPr>
      </w:pPr>
      <w:r>
        <w:rPr>
          <w:rFonts w:ascii="宋体" w:hAnsi="宋体" w:eastAsia="宋体" w:cs="宋体"/>
          <w:spacing w:val="1"/>
          <w:sz w:val="24"/>
          <w:szCs w:val="24"/>
        </w:rPr>
        <w:t>建设项目属于</w:t>
      </w:r>
      <w:r>
        <w:rPr>
          <w:rFonts w:ascii="宋体" w:hAnsi="宋体" w:eastAsia="宋体" w:cs="宋体"/>
          <w:sz w:val="24"/>
          <w:szCs w:val="24"/>
        </w:rPr>
        <w:t>《产业结构调整指导</w:t>
      </w:r>
      <w:r>
        <w:rPr>
          <w:rFonts w:ascii="宋体" w:hAnsi="宋体" w:eastAsia="宋体" w:cs="宋体"/>
          <w:spacing w:val="-9"/>
          <w:sz w:val="24"/>
          <w:szCs w:val="24"/>
        </w:rPr>
        <w:t>目录(20</w:t>
      </w:r>
      <w:r>
        <w:rPr>
          <w:rFonts w:hint="eastAsia" w:ascii="宋体" w:hAnsi="宋体" w:eastAsia="宋体" w:cs="宋体"/>
          <w:spacing w:val="-9"/>
          <w:sz w:val="24"/>
          <w:szCs w:val="24"/>
          <w:lang w:val="en-US" w:eastAsia="zh-CN"/>
        </w:rPr>
        <w:t>24</w:t>
      </w:r>
      <w:r>
        <w:rPr>
          <w:rFonts w:ascii="宋体" w:hAnsi="宋体" w:eastAsia="宋体" w:cs="宋体"/>
          <w:spacing w:val="-9"/>
          <w:sz w:val="24"/>
          <w:szCs w:val="24"/>
        </w:rPr>
        <w:t>年本)》中的“鼓励类</w:t>
      </w:r>
      <w:r>
        <w:rPr>
          <w:rFonts w:ascii="宋体" w:hAnsi="宋体" w:eastAsia="宋体" w:cs="宋体"/>
          <w:spacing w:val="-88"/>
          <w:sz w:val="24"/>
          <w:szCs w:val="24"/>
        </w:rPr>
        <w:t xml:space="preserve"> </w:t>
      </w:r>
      <w:r>
        <w:rPr>
          <w:rFonts w:ascii="宋体" w:hAnsi="宋体" w:eastAsia="宋体" w:cs="宋体"/>
          <w:spacing w:val="-9"/>
          <w:sz w:val="24"/>
          <w:szCs w:val="24"/>
        </w:rPr>
        <w:t>”项目中第二大类：水利类中的“第</w:t>
      </w:r>
      <w:r>
        <w:rPr>
          <w:rFonts w:ascii="宋体" w:hAnsi="宋体" w:eastAsia="宋体" w:cs="宋体"/>
          <w:spacing w:val="-3"/>
          <w:sz w:val="24"/>
          <w:szCs w:val="24"/>
        </w:rPr>
        <w:t>14</w:t>
      </w:r>
      <w:r>
        <w:rPr>
          <w:rFonts w:ascii="宋体" w:hAnsi="宋体" w:eastAsia="宋体" w:cs="宋体"/>
          <w:spacing w:val="-43"/>
          <w:sz w:val="24"/>
          <w:szCs w:val="24"/>
        </w:rPr>
        <w:t xml:space="preserve"> </w:t>
      </w:r>
      <w:r>
        <w:rPr>
          <w:rFonts w:ascii="宋体" w:hAnsi="宋体" w:eastAsia="宋体" w:cs="宋体"/>
          <w:spacing w:val="-3"/>
          <w:sz w:val="24"/>
          <w:szCs w:val="24"/>
        </w:rPr>
        <w:t>条灌区及配套设施建设、改造</w:t>
      </w:r>
      <w:r>
        <w:rPr>
          <w:rFonts w:ascii="宋体" w:hAnsi="宋体" w:eastAsia="宋体" w:cs="宋体"/>
          <w:spacing w:val="-88"/>
          <w:sz w:val="24"/>
          <w:szCs w:val="24"/>
        </w:rPr>
        <w:t xml:space="preserve"> </w:t>
      </w:r>
      <w:r>
        <w:rPr>
          <w:rFonts w:ascii="宋体" w:hAnsi="宋体" w:eastAsia="宋体" w:cs="宋体"/>
          <w:spacing w:val="-3"/>
          <w:sz w:val="24"/>
          <w:szCs w:val="24"/>
        </w:rPr>
        <w:t>”，符合国家产业政策</w:t>
      </w:r>
      <w:r>
        <w:rPr>
          <w:rFonts w:hint="eastAsia" w:ascii="宋体" w:hAnsi="宋体" w:eastAsia="宋体" w:cs="宋体"/>
          <w:spacing w:val="-3"/>
          <w:sz w:val="24"/>
          <w:szCs w:val="24"/>
          <w:lang w:eastAsia="zh-CN"/>
        </w:rPr>
        <w:t>。</w:t>
      </w:r>
    </w:p>
    <w:p w14:paraId="77CCBC90">
      <w:pPr>
        <w:spacing w:before="91" w:line="220" w:lineRule="auto"/>
        <w:ind w:left="139"/>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3.3.2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工程与相关法律法规的相符性分析</w:t>
      </w:r>
    </w:p>
    <w:p w14:paraId="6F39DA81">
      <w:pPr>
        <w:spacing w:before="206" w:line="219" w:lineRule="auto"/>
        <w:ind w:left="137"/>
        <w:outlineLvl w:val="3"/>
        <w:rPr>
          <w:rFonts w:ascii="宋体" w:hAnsi="宋体" w:eastAsia="宋体" w:cs="宋体"/>
          <w:sz w:val="24"/>
          <w:szCs w:val="24"/>
        </w:rPr>
      </w:pPr>
      <w:r>
        <w:rPr>
          <w:b/>
          <w:bCs/>
        </w:rPr>
        <w:fldChar w:fldCharType="begin"/>
      </w:r>
      <w:r>
        <w:rPr>
          <w:b/>
          <w:bCs/>
        </w:rPr>
        <w:instrText xml:space="preserve"> HYPERLINK "3.3.2.1"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3.3.2.1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与《中华人民共和国水法》符合性分析</w:t>
      </w:r>
    </w:p>
    <w:p w14:paraId="57F4C4E5">
      <w:pPr>
        <w:keepNext w:val="0"/>
        <w:keepLines w:val="0"/>
        <w:pageBreakBefore w:val="0"/>
        <w:widowControl/>
        <w:kinsoku w:val="0"/>
        <w:wordWrap/>
        <w:overflowPunct/>
        <w:topLinePunct w:val="0"/>
        <w:autoSpaceDE w:val="0"/>
        <w:autoSpaceDN w:val="0"/>
        <w:bidi w:val="0"/>
        <w:adjustRightInd w:val="0"/>
        <w:snapToGrid w:val="0"/>
        <w:spacing w:line="360" w:lineRule="auto"/>
        <w:ind w:left="0" w:right="62" w:firstLine="468" w:firstLineChars="200"/>
        <w:jc w:val="both"/>
        <w:textAlignment w:val="baseline"/>
        <w:rPr>
          <w:rFonts w:ascii="宋体" w:hAnsi="宋体" w:eastAsia="宋体" w:cs="宋体"/>
          <w:spacing w:val="-3"/>
          <w:sz w:val="24"/>
          <w:szCs w:val="24"/>
        </w:rPr>
      </w:pPr>
      <w:r>
        <w:rPr>
          <w:rFonts w:ascii="宋体" w:hAnsi="宋体" w:eastAsia="宋体" w:cs="宋体"/>
          <w:spacing w:val="-3"/>
          <w:sz w:val="24"/>
          <w:szCs w:val="24"/>
        </w:rPr>
        <w:t>“水法 ”提出，在干旱和半干旱地区开发、利用水资源，应当充分考虑生态环境用水需要；地方各级人民政府应当加强对灌溉、排涝、水土保持工作的领导，促进农业生产发展；在容易发生盐碱化和渍害的地区，应当采取措施，控制和降低地下水的水位；禁止在饮用水水源保护区内设置排污口......禁止在江河、湖泊、水库、运河、渠道内弃置、堆放阻碍行洪的物体和种植阻碍行洪的林木及高秆作物；在水工程保护范围内，禁止从事影响水工程运行和危害水工程安全的爆破、打井、采石、取土等活动......各级人民政府应当推行节水灌溉方式和节水技术，对农业蓄水、输水工程采取必要的防渗漏措施，提高农业用水效率。</w:t>
      </w:r>
    </w:p>
    <w:p w14:paraId="1628E8C9">
      <w:pPr>
        <w:keepNext w:val="0"/>
        <w:keepLines w:val="0"/>
        <w:pageBreakBefore w:val="0"/>
        <w:widowControl/>
        <w:kinsoku w:val="0"/>
        <w:wordWrap/>
        <w:overflowPunct/>
        <w:topLinePunct w:val="0"/>
        <w:autoSpaceDE w:val="0"/>
        <w:autoSpaceDN w:val="0"/>
        <w:bidi w:val="0"/>
        <w:adjustRightInd w:val="0"/>
        <w:snapToGrid w:val="0"/>
        <w:spacing w:line="360" w:lineRule="auto"/>
        <w:ind w:left="0" w:right="62" w:firstLine="468" w:firstLineChars="200"/>
        <w:jc w:val="both"/>
        <w:textAlignment w:val="baseline"/>
        <w:rPr>
          <w:rFonts w:ascii="宋体" w:hAnsi="宋体" w:eastAsia="宋体" w:cs="宋体"/>
          <w:sz w:val="24"/>
          <w:szCs w:val="24"/>
        </w:rPr>
      </w:pPr>
      <w:r>
        <w:rPr>
          <w:rFonts w:ascii="宋体" w:hAnsi="宋体" w:eastAsia="宋体" w:cs="宋体"/>
          <w:spacing w:val="-3"/>
          <w:sz w:val="24"/>
          <w:szCs w:val="24"/>
        </w:rPr>
        <w:t>本工程主要对</w:t>
      </w:r>
      <w:r>
        <w:rPr>
          <w:rFonts w:hint="eastAsia" w:ascii="宋体" w:hAnsi="宋体" w:eastAsia="宋体" w:cs="宋体"/>
          <w:spacing w:val="-3"/>
          <w:sz w:val="24"/>
          <w:szCs w:val="24"/>
          <w:lang w:eastAsia="zh-CN"/>
        </w:rPr>
        <w:t>艾丁湖流域</w:t>
      </w:r>
      <w:r>
        <w:rPr>
          <w:rFonts w:ascii="宋体" w:hAnsi="宋体" w:eastAsia="宋体" w:cs="宋体"/>
          <w:spacing w:val="-3"/>
          <w:sz w:val="24"/>
          <w:szCs w:val="24"/>
        </w:rPr>
        <w:t>灌区配套的老渠道及渠系构筑物、</w:t>
      </w:r>
      <w:r>
        <w:rPr>
          <w:rFonts w:hint="eastAsia" w:ascii="宋体" w:hAnsi="宋体" w:eastAsia="宋体" w:cs="宋体"/>
          <w:spacing w:val="-3"/>
          <w:sz w:val="24"/>
          <w:szCs w:val="24"/>
          <w:lang w:eastAsia="zh-CN"/>
        </w:rPr>
        <w:t>泵房</w:t>
      </w:r>
      <w:r>
        <w:rPr>
          <w:rFonts w:ascii="宋体" w:hAnsi="宋体" w:eastAsia="宋体" w:cs="宋体"/>
          <w:spacing w:val="-3"/>
          <w:sz w:val="24"/>
          <w:szCs w:val="24"/>
        </w:rPr>
        <w:t>进行改造，减少渠道水在输水过程中的渗漏，使区域地表水资源利用率和农业用水效率得到提 高。本工程实施后，可提高灌区灌溉保证率及灌溉水的利用系数，降低灌区的毛 灌溉定额，增大渠道输水能力，改善灌溉条件，用地表水替换地下水，减少地下水开采量，保护生态环境，本工程改造不新增</w:t>
      </w:r>
      <w:r>
        <w:rPr>
          <w:rFonts w:hint="eastAsia" w:ascii="宋体" w:hAnsi="宋体" w:eastAsia="宋体" w:cs="宋体"/>
          <w:spacing w:val="-3"/>
          <w:sz w:val="24"/>
          <w:szCs w:val="24"/>
          <w:lang w:val="en-US" w:eastAsia="zh-CN"/>
        </w:rPr>
        <w:t>地表水引水量，不新增</w:t>
      </w:r>
      <w:r>
        <w:rPr>
          <w:rFonts w:ascii="宋体" w:hAnsi="宋体" w:eastAsia="宋体" w:cs="宋体"/>
          <w:spacing w:val="-3"/>
          <w:sz w:val="24"/>
          <w:szCs w:val="24"/>
        </w:rPr>
        <w:t>水体的排污口，项目本身属于对原输水工程的修缮。综上所述，项目符合《中华人民共和国水法》中相关要求。</w:t>
      </w:r>
    </w:p>
    <w:p w14:paraId="3BC7FA6A">
      <w:pPr>
        <w:spacing w:before="183" w:line="219" w:lineRule="auto"/>
        <w:ind w:left="14"/>
        <w:outlineLvl w:val="3"/>
        <w:rPr>
          <w:rFonts w:ascii="宋体" w:hAnsi="宋体" w:eastAsia="宋体" w:cs="宋体"/>
          <w:sz w:val="24"/>
          <w:szCs w:val="24"/>
        </w:rPr>
      </w:pPr>
      <w:r>
        <w:rPr>
          <w:b/>
          <w:bCs/>
        </w:rPr>
        <w:fldChar w:fldCharType="begin"/>
      </w:r>
      <w:r>
        <w:rPr>
          <w:b/>
          <w:bCs/>
        </w:rPr>
        <w:instrText xml:space="preserve"> HYPERLINK "3.3.2.3" </w:instrText>
      </w:r>
      <w:r>
        <w:rPr>
          <w:b/>
          <w:bCs/>
        </w:rPr>
        <w:fldChar w:fldCharType="separate"/>
      </w:r>
      <w:r>
        <w:rPr>
          <w:rFonts w:ascii="宋体" w:hAnsi="宋体" w:eastAsia="宋体" w:cs="宋体"/>
          <w:b/>
          <w:bCs/>
          <w:sz w:val="24"/>
          <w:szCs w:val="24"/>
          <w14:textOutline w14:w="4358" w14:cap="sq" w14:cmpd="sng">
            <w14:solidFill>
              <w14:srgbClr w14:val="000000"/>
            </w14:solidFill>
            <w14:prstDash w14:val="solid"/>
            <w14:bevel/>
          </w14:textOutline>
        </w:rPr>
        <w:t>3.3.2.</w:t>
      </w:r>
      <w:r>
        <w:rPr>
          <w:rFonts w:hint="eastAsia" w:ascii="宋体" w:hAnsi="宋体" w:eastAsia="宋体" w:cs="宋体"/>
          <w:b/>
          <w:bCs/>
          <w:sz w:val="24"/>
          <w:szCs w:val="24"/>
          <w:lang w:val="en-US" w:eastAsia="zh-CN"/>
          <w14:textOutline w14:w="4358" w14:cap="sq" w14:cmpd="sng">
            <w14:solidFill>
              <w14:srgbClr w14:val="000000"/>
            </w14:solidFill>
            <w14:prstDash w14:val="solid"/>
            <w14:bevel/>
          </w14:textOutline>
        </w:rPr>
        <w:t>2</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与《中华人民共和国湿地保护法》符合</w:t>
      </w:r>
      <w:r>
        <w:rPr>
          <w:rFonts w:ascii="宋体" w:hAnsi="宋体" w:eastAsia="宋体" w:cs="宋体"/>
          <w:b/>
          <w:bCs/>
          <w:spacing w:val="-1"/>
          <w:sz w:val="24"/>
          <w:szCs w:val="24"/>
          <w14:textOutline w14:w="4358" w14:cap="sq" w14:cmpd="sng">
            <w14:solidFill>
              <w14:srgbClr w14:val="000000"/>
            </w14:solidFill>
            <w14:prstDash w14:val="solid"/>
            <w14:bevel/>
          </w14:textOutline>
        </w:rPr>
        <w:t>性分析</w:t>
      </w:r>
    </w:p>
    <w:p w14:paraId="63E46D4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依据《中华人民共和国湿地保护法》中第十九条规定：“禁止占用国家重要湿地，国家重大项目、防灾减灾项目、重要水利及保护设施项目、湿地保护项目等除外。建设项目选址、选线应当避让湿地，无法避让的应当尽量减少占用，并 采取必要措施减轻对湿地生态功能的不利影响。建设项目规划选址、选线审批或 者核准时，涉及国家重要湿地的，应当征求国务院林业草原主管部门的意见；涉 及省级重要湿地或者一般湿地的，应当按照管理权限，征求县级以上地方人民政 府授权的部门的意见。 ”。第二十条规定：“建设项目确需临时占用湿地的，应 当依照《中华人民共和国土地管理法》、《中华人民共和国水法》、《中华人民 共和国森林法》、《中华人民共和国草原法》、《中华人民共和国海域使用管理 法》等有关法律法规的规定办理。临时占用湿地的期限一般不得超过二年，并不得在临时占用的湿地上修建永久性建筑物。”</w:t>
      </w:r>
    </w:p>
    <w:p w14:paraId="47F5C98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本工程为</w:t>
      </w:r>
      <w:r>
        <w:rPr>
          <w:rFonts w:hint="eastAsia" w:ascii="宋体" w:hAnsi="宋体" w:eastAsia="宋体" w:cs="宋体"/>
          <w:sz w:val="24"/>
          <w:szCs w:val="24"/>
          <w:lang w:eastAsia="zh-CN"/>
        </w:rPr>
        <w:t>灌区水利</w:t>
      </w:r>
      <w:r>
        <w:rPr>
          <w:rFonts w:ascii="宋体" w:hAnsi="宋体" w:eastAsia="宋体" w:cs="宋体"/>
          <w:sz w:val="24"/>
          <w:szCs w:val="24"/>
        </w:rPr>
        <w:t>项目，不属于《中华人民共和国湿地保护法》明令禁止的相关行为，符合《中华人民共和国湿地保护法》的要求。</w:t>
      </w:r>
    </w:p>
    <w:p w14:paraId="71DE89F3">
      <w:pPr>
        <w:spacing w:before="180" w:line="219" w:lineRule="auto"/>
        <w:ind w:left="14"/>
        <w:outlineLvl w:val="3"/>
        <w:rPr>
          <w:rFonts w:ascii="宋体" w:hAnsi="宋体" w:eastAsia="宋体" w:cs="宋体"/>
          <w:sz w:val="24"/>
          <w:szCs w:val="24"/>
        </w:rPr>
      </w:pPr>
      <w:r>
        <w:rPr>
          <w:b/>
          <w:bCs/>
        </w:rPr>
        <w:fldChar w:fldCharType="begin"/>
      </w:r>
      <w:r>
        <w:rPr>
          <w:b/>
          <w:bCs/>
        </w:rPr>
        <w:instrText xml:space="preserve"> HYPERLINK "3.3.2.4" </w:instrText>
      </w:r>
      <w:r>
        <w:rPr>
          <w:b/>
          <w:bCs/>
        </w:rPr>
        <w:fldChar w:fldCharType="separate"/>
      </w:r>
      <w:r>
        <w:rPr>
          <w:rFonts w:ascii="宋体" w:hAnsi="宋体" w:eastAsia="宋体" w:cs="宋体"/>
          <w:b/>
          <w:bCs/>
          <w:sz w:val="24"/>
          <w:szCs w:val="24"/>
          <w14:textOutline w14:w="4358" w14:cap="sq" w14:cmpd="sng">
            <w14:solidFill>
              <w14:srgbClr w14:val="000000"/>
            </w14:solidFill>
            <w14:prstDash w14:val="solid"/>
            <w14:bevel/>
          </w14:textOutline>
        </w:rPr>
        <w:t>3.3.2.4</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与《国家湿地公园管理办法</w:t>
      </w:r>
      <w:r>
        <w:rPr>
          <w:rFonts w:ascii="宋体" w:hAnsi="宋体" w:eastAsia="宋体" w:cs="宋体"/>
          <w:b/>
          <w:bCs/>
          <w:spacing w:val="-1"/>
          <w:sz w:val="24"/>
          <w:szCs w:val="24"/>
          <w14:textOutline w14:w="4358" w14:cap="sq" w14:cmpd="sng">
            <w14:solidFill>
              <w14:srgbClr w14:val="000000"/>
            </w14:solidFill>
            <w14:prstDash w14:val="solid"/>
            <w14:bevel/>
          </w14:textOutline>
        </w:rPr>
        <w:t>》符合性分析</w:t>
      </w:r>
    </w:p>
    <w:p w14:paraId="6C5C05A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依据《国家湿地公园管理办法》中第十九条规定：“</w:t>
      </w:r>
      <w:r>
        <w:rPr>
          <w:rFonts w:ascii="宋体" w:hAnsi="宋体" w:eastAsia="宋体" w:cs="宋体"/>
          <w:spacing w:val="-92"/>
          <w:sz w:val="24"/>
          <w:szCs w:val="24"/>
        </w:rPr>
        <w:t xml:space="preserve"> </w:t>
      </w:r>
      <w:r>
        <w:rPr>
          <w:rFonts w:ascii="宋体" w:hAnsi="宋体" w:eastAsia="宋体" w:cs="宋体"/>
          <w:spacing w:val="2"/>
          <w:sz w:val="24"/>
          <w:szCs w:val="24"/>
        </w:rPr>
        <w:t>除国家另有规</w:t>
      </w:r>
      <w:r>
        <w:rPr>
          <w:rFonts w:ascii="宋体" w:hAnsi="宋体" w:eastAsia="宋体" w:cs="宋体"/>
          <w:spacing w:val="1"/>
          <w:sz w:val="24"/>
          <w:szCs w:val="24"/>
        </w:rPr>
        <w:t>定外，国</w:t>
      </w:r>
      <w:r>
        <w:rPr>
          <w:rFonts w:ascii="宋体" w:hAnsi="宋体" w:eastAsia="宋体" w:cs="宋体"/>
          <w:sz w:val="24"/>
          <w:szCs w:val="24"/>
        </w:rPr>
        <w:t xml:space="preserve">  </w:t>
      </w:r>
      <w:r>
        <w:rPr>
          <w:rFonts w:ascii="宋体" w:hAnsi="宋体" w:eastAsia="宋体" w:cs="宋体"/>
          <w:spacing w:val="-1"/>
          <w:sz w:val="24"/>
          <w:szCs w:val="24"/>
        </w:rPr>
        <w:t>家湿地公园内禁止下列行为</w:t>
      </w:r>
      <w:r>
        <w:rPr>
          <w:rFonts w:ascii="宋体" w:hAnsi="宋体" w:eastAsia="宋体" w:cs="宋体"/>
          <w:spacing w:val="4"/>
          <w:sz w:val="24"/>
          <w:szCs w:val="24"/>
        </w:rPr>
        <w:t>：（</w:t>
      </w:r>
      <w:r>
        <w:rPr>
          <w:rFonts w:ascii="宋体" w:hAnsi="宋体" w:eastAsia="宋体" w:cs="宋体"/>
          <w:spacing w:val="-1"/>
          <w:sz w:val="24"/>
          <w:szCs w:val="24"/>
        </w:rPr>
        <w:t>一）开（围）垦</w:t>
      </w:r>
      <w:r>
        <w:rPr>
          <w:rFonts w:ascii="宋体" w:hAnsi="宋体" w:eastAsia="宋体" w:cs="宋体"/>
          <w:spacing w:val="-2"/>
          <w:sz w:val="24"/>
          <w:szCs w:val="24"/>
        </w:rPr>
        <w:t>湿地、填埋或者排干湿地。（二）</w:t>
      </w:r>
      <w:r>
        <w:rPr>
          <w:rFonts w:ascii="宋体" w:hAnsi="宋体" w:eastAsia="宋体" w:cs="宋体"/>
          <w:spacing w:val="1"/>
          <w:sz w:val="24"/>
          <w:szCs w:val="24"/>
        </w:rPr>
        <w:t xml:space="preserve"> </w:t>
      </w:r>
      <w:r>
        <w:rPr>
          <w:rFonts w:ascii="宋体" w:hAnsi="宋体" w:eastAsia="宋体" w:cs="宋体"/>
          <w:spacing w:val="4"/>
          <w:sz w:val="24"/>
          <w:szCs w:val="24"/>
        </w:rPr>
        <w:t>截断湿地水源。（三）挖沙、开矿。（四）倾倒</w:t>
      </w:r>
      <w:r>
        <w:rPr>
          <w:rFonts w:ascii="宋体" w:hAnsi="宋体" w:eastAsia="宋体" w:cs="宋体"/>
          <w:spacing w:val="3"/>
          <w:sz w:val="24"/>
          <w:szCs w:val="24"/>
        </w:rPr>
        <w:t>有毒有害物质、废弃物、垃圾。</w:t>
      </w:r>
      <w:r>
        <w:rPr>
          <w:rFonts w:ascii="宋体" w:hAnsi="宋体" w:eastAsia="宋体" w:cs="宋体"/>
          <w:sz w:val="24"/>
          <w:szCs w:val="24"/>
        </w:rPr>
        <w:t xml:space="preserve"> </w:t>
      </w:r>
      <w:r>
        <w:rPr>
          <w:rFonts w:ascii="宋体" w:hAnsi="宋体" w:eastAsia="宋体" w:cs="宋体"/>
          <w:spacing w:val="3"/>
          <w:sz w:val="24"/>
          <w:szCs w:val="24"/>
        </w:rPr>
        <w:t>（五）从事房地产、度假村、高尔夫球场、风力发电</w:t>
      </w:r>
      <w:r>
        <w:rPr>
          <w:rFonts w:ascii="宋体" w:hAnsi="宋体" w:eastAsia="宋体" w:cs="宋体"/>
          <w:spacing w:val="2"/>
          <w:sz w:val="24"/>
          <w:szCs w:val="24"/>
        </w:rPr>
        <w:t>、光伏发电等任何不符合主</w:t>
      </w:r>
      <w:r>
        <w:rPr>
          <w:rFonts w:ascii="宋体" w:hAnsi="宋体" w:eastAsia="宋体" w:cs="宋体"/>
          <w:spacing w:val="3"/>
          <w:sz w:val="24"/>
          <w:szCs w:val="24"/>
        </w:rPr>
        <w:t>体功能定位的建设项目和开发活动。（六）破坏野生</w:t>
      </w:r>
      <w:r>
        <w:rPr>
          <w:rFonts w:ascii="宋体" w:hAnsi="宋体" w:eastAsia="宋体" w:cs="宋体"/>
          <w:spacing w:val="2"/>
          <w:sz w:val="24"/>
          <w:szCs w:val="24"/>
        </w:rPr>
        <w:t>动物栖息地和迁徙通道、鱼类洄游通道，滥采滥捕野生动植物</w:t>
      </w:r>
      <w:r>
        <w:rPr>
          <w:rFonts w:ascii="宋体" w:hAnsi="宋体" w:eastAsia="宋体" w:cs="宋体"/>
          <w:spacing w:val="-88"/>
          <w:sz w:val="24"/>
          <w:szCs w:val="24"/>
        </w:rPr>
        <w:t xml:space="preserve"> </w:t>
      </w:r>
      <w:r>
        <w:rPr>
          <w:rFonts w:ascii="宋体" w:hAnsi="宋体" w:eastAsia="宋体" w:cs="宋体"/>
          <w:spacing w:val="2"/>
          <w:sz w:val="24"/>
          <w:szCs w:val="24"/>
        </w:rPr>
        <w:t>”，文件中明确了国家湿</w:t>
      </w:r>
      <w:r>
        <w:rPr>
          <w:rFonts w:ascii="宋体" w:hAnsi="宋体" w:eastAsia="宋体" w:cs="宋体"/>
          <w:spacing w:val="1"/>
          <w:sz w:val="24"/>
          <w:szCs w:val="24"/>
        </w:rPr>
        <w:t>地公园禁止的相关行</w:t>
      </w:r>
      <w:r>
        <w:rPr>
          <w:rFonts w:ascii="宋体" w:hAnsi="宋体" w:eastAsia="宋体" w:cs="宋体"/>
          <w:spacing w:val="-7"/>
          <w:sz w:val="24"/>
          <w:szCs w:val="24"/>
        </w:rPr>
        <w:t>为。</w:t>
      </w:r>
    </w:p>
    <w:p w14:paraId="15B136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本工程为</w:t>
      </w:r>
      <w:r>
        <w:rPr>
          <w:rFonts w:hint="eastAsia" w:ascii="宋体" w:hAnsi="宋体" w:eastAsia="宋体" w:cs="宋体"/>
          <w:sz w:val="24"/>
          <w:szCs w:val="24"/>
          <w:lang w:eastAsia="zh-CN"/>
        </w:rPr>
        <w:t>灌区水利</w:t>
      </w:r>
      <w:r>
        <w:rPr>
          <w:rFonts w:ascii="宋体" w:hAnsi="宋体" w:eastAsia="宋体" w:cs="宋体"/>
          <w:sz w:val="24"/>
          <w:szCs w:val="24"/>
        </w:rPr>
        <w:t>项目，不属于《国家湿地公园管理办法》明令禁止的相关行为，符合《国家湿地公园管理办法》的要求。</w:t>
      </w:r>
    </w:p>
    <w:p w14:paraId="613FC027">
      <w:pPr>
        <w:keepNext w:val="0"/>
        <w:keepLines w:val="0"/>
        <w:pageBreakBefore w:val="0"/>
        <w:widowControl/>
        <w:kinsoku w:val="0"/>
        <w:wordWrap/>
        <w:overflowPunct/>
        <w:topLinePunct w:val="0"/>
        <w:autoSpaceDE w:val="0"/>
        <w:autoSpaceDN w:val="0"/>
        <w:bidi w:val="0"/>
        <w:adjustRightInd w:val="0"/>
        <w:snapToGrid w:val="0"/>
        <w:spacing w:before="91" w:line="360" w:lineRule="auto"/>
        <w:ind w:left="17"/>
        <w:textAlignment w:val="baseline"/>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3.3.3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与全国主体功能区规划的相符性分析</w:t>
      </w:r>
    </w:p>
    <w:p w14:paraId="436EA5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《全国主体功能区规划》于 2010 年 12 月 21 日正式由国务院印发并实施，该规划是我国国土空间开发的战略性、基础性和约束性规划。</w:t>
      </w:r>
    </w:p>
    <w:p w14:paraId="6142BA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《全国主体功能区规划》将我国国土空间分为以下主体功能区：按开发方式，</w:t>
      </w:r>
      <w:r>
        <w:rPr>
          <w:rFonts w:ascii="宋体" w:hAnsi="宋体" w:eastAsia="宋体" w:cs="宋体"/>
          <w:spacing w:val="10"/>
          <w:sz w:val="24"/>
          <w:szCs w:val="24"/>
        </w:rPr>
        <w:t xml:space="preserve"> </w:t>
      </w:r>
      <w:r>
        <w:rPr>
          <w:rFonts w:ascii="宋体" w:hAnsi="宋体" w:eastAsia="宋体" w:cs="宋体"/>
          <w:spacing w:val="-2"/>
          <w:sz w:val="24"/>
          <w:szCs w:val="24"/>
        </w:rPr>
        <w:t>分为优化开发区域、重点开发区域、限制开</w:t>
      </w:r>
      <w:r>
        <w:rPr>
          <w:rFonts w:ascii="宋体" w:hAnsi="宋体" w:eastAsia="宋体" w:cs="宋体"/>
          <w:spacing w:val="-3"/>
          <w:sz w:val="24"/>
          <w:szCs w:val="24"/>
        </w:rPr>
        <w:t>发区域和禁止开发区域；按开发内容，</w:t>
      </w:r>
      <w:r>
        <w:rPr>
          <w:rFonts w:ascii="宋体" w:hAnsi="宋体" w:eastAsia="宋体" w:cs="宋体"/>
          <w:sz w:val="24"/>
          <w:szCs w:val="24"/>
        </w:rPr>
        <w:t xml:space="preserve"> </w:t>
      </w:r>
      <w:r>
        <w:rPr>
          <w:rFonts w:ascii="宋体" w:hAnsi="宋体" w:eastAsia="宋体" w:cs="宋体"/>
          <w:spacing w:val="3"/>
          <w:sz w:val="24"/>
          <w:szCs w:val="24"/>
        </w:rPr>
        <w:t>分为城市化地区、农产品主产区和重点生态</w:t>
      </w:r>
      <w:r>
        <w:rPr>
          <w:rFonts w:ascii="宋体" w:hAnsi="宋体" w:eastAsia="宋体" w:cs="宋体"/>
          <w:spacing w:val="2"/>
          <w:sz w:val="24"/>
          <w:szCs w:val="24"/>
        </w:rPr>
        <w:t>功能区；按层级，分为国家和省级两</w:t>
      </w:r>
      <w:r>
        <w:rPr>
          <w:rFonts w:ascii="宋体" w:hAnsi="宋体" w:eastAsia="宋体" w:cs="宋体"/>
          <w:spacing w:val="-3"/>
          <w:sz w:val="24"/>
          <w:szCs w:val="24"/>
        </w:rPr>
        <w:t>个层面。</w:t>
      </w:r>
      <w:r>
        <w:rPr>
          <w:rFonts w:ascii="宋体" w:hAnsi="宋体" w:eastAsia="宋体" w:cs="宋体"/>
          <w:sz w:val="24"/>
          <w:szCs w:val="24"/>
        </w:rPr>
        <w:t>规划中新疆的重点开发区域为天山北坡地区：该区域位于全国“两横三纵 ”城市化战略格局中陆桥通道横轴的西端，包括新疆天山以北、准噶尔盆地南缘的 带状区域以及伊犁河谷的部分地区(含新疆生产建设兵团部分师市和团场)。该区 域的功能定位是：我国面向中亚、西亚地区对外开放的陆路交通枢纽和重要门户， 全国重要的能源基地，我国进口资源的国际大通道，西北地区重要的国际商贸中 心、物流中心和对外合作加工基地，石油天然气化工、煤电、煤化工、机电工业 及纺织工业基地。构建以乌鲁木齐— 昌吉为中心，以石河子、奎屯—乌苏—独山 子三角地带和伊犁河谷为重点的空间开发格局。推进乌昌一体化建设，提升贸易 枢纽功能和制造业功能，建设西北地区重要的国际商贸中心、制造业中心、出口 商品加工基地。发展壮大石河子、克拉玛依、奎屯、博乐、伊宁、五家渠、阜康 等节点城市。强化向西对外开放大通道功能，扩大交通通道综合能力。发展旱作 节水农业和设施农业，培育特色农牧产业，发展集约化、标准化高效养殖，推进 农业发展方式转变。保护天山北坡山地水源涵养区，加强伊犁草原森林生态建设， 建设艾比湖流域防治沙尘与湿地保护功能区、克拉玛依—玛纳斯湖—艾里克湖沙 漠西部防护区、玛纳斯—木垒沙漠东南部防护区以及供水沿线等“三区一线 ”生态防护体系。</w:t>
      </w:r>
    </w:p>
    <w:p w14:paraId="46BC9C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限制开发区域（新疆境内）：农产品主产区，限制进行大规模高强度工业化 城镇化开发的农产品主产区，包括“七区二十三带 ”为主体的农产品主产区的甘 肃新疆主产区（优质专用小麦产业带，优质棉花产业带）；重点生态功能区，限 制进行大规模高强度工业化城镇化开发的重点生态功能区，包括阿尔泰山地森林 草原生态功能区、塔里木河荒漠化防治生态功能区、阿尔金草原荒漠化防治生态功能区。</w:t>
      </w:r>
    </w:p>
    <w:p w14:paraId="7B9B3CD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lang w:eastAsia="zh-CN"/>
        </w:rPr>
      </w:pPr>
      <w:r>
        <w:rPr>
          <w:rFonts w:ascii="宋体" w:hAnsi="宋体" w:eastAsia="宋体" w:cs="宋体"/>
          <w:sz w:val="24"/>
          <w:szCs w:val="24"/>
        </w:rPr>
        <w:t>国家禁止开发区域（新疆境内）：新疆艾比湖湿地国家级自然保护区，新疆塔里木胡杨国家级自然保护区，新疆阿尔金山国家级自然保护区，新疆罗布泊野骆驼国家 级自然保护区，新疆巴音布鲁克国家级自然保护区，新疆托木尔峰国家级自然保护区，新疆西天山国家级自然保护区，新疆甘家湖梭梭林国家级自然保护区，新疆哈纳斯国家级自然保护区，新疆照壁山国家森林公园，新疆天池国家森林公园，新疆那拉提国家森林公园，新疆巩乃斯国家森林公园，新疆贾登峪国家森林公园，新疆金湖杨国家森林公园，新疆巩留恰西国家森林公园，新疆哈密天山国家森林公园，新疆哈日图热格国家森林公园，新疆白哈巴国家森林公园，新疆奇台南山国家森林公园，新疆唐布拉国家森林公园，新疆科桑溶洞国家森林公园，新疆乌苏佛山国家森林公园，新疆哈巴河白桦国家森林公园，新疆阿尔泰山温泉国家森林公园，新疆夏塔古道国家森林公园，新疆布尔津喀纳斯湖国家地质公园，新疆奇台硅化木—恐龙国家地质公园，新疆富蕴可可托海国家地质公园</w:t>
      </w:r>
      <w:r>
        <w:rPr>
          <w:rFonts w:hint="eastAsia" w:ascii="宋体" w:hAnsi="宋体" w:eastAsia="宋体" w:cs="宋体"/>
          <w:sz w:val="24"/>
          <w:szCs w:val="24"/>
          <w:lang w:eastAsia="zh-CN"/>
        </w:rPr>
        <w:t>。</w:t>
      </w:r>
    </w:p>
    <w:p w14:paraId="12146D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根据全国主体功能区规划，本工程建设区域位于重点开发区和限制开发区</w:t>
      </w:r>
      <w:r>
        <w:rPr>
          <w:rFonts w:hint="eastAsia" w:ascii="宋体" w:hAnsi="宋体" w:eastAsia="宋体" w:cs="宋体"/>
          <w:sz w:val="24"/>
          <w:szCs w:val="24"/>
          <w:lang w:eastAsia="zh-CN"/>
        </w:rPr>
        <w:t>，</w:t>
      </w:r>
      <w:r>
        <w:rPr>
          <w:rFonts w:ascii="宋体" w:hAnsi="宋体" w:eastAsia="宋体" w:cs="宋体"/>
          <w:sz w:val="24"/>
          <w:szCs w:val="24"/>
        </w:rPr>
        <w:t>不属于国家禁止开发区域。</w:t>
      </w:r>
    </w:p>
    <w:p w14:paraId="68E32F6E">
      <w:pPr>
        <w:spacing w:before="91" w:line="220" w:lineRule="auto"/>
        <w:ind w:left="260"/>
        <w:outlineLvl w:val="2"/>
        <w:rPr>
          <w:rFonts w:ascii="宋体" w:hAnsi="宋体" w:eastAsia="宋体" w:cs="宋体"/>
          <w:sz w:val="28"/>
          <w:szCs w:val="28"/>
        </w:rPr>
      </w:pPr>
      <w:r>
        <w:rPr>
          <w:rFonts w:ascii="宋体" w:hAnsi="宋体" w:eastAsia="宋体" w:cs="宋体"/>
          <w:b/>
          <w:bCs/>
          <w:sz w:val="28"/>
          <w:szCs w:val="28"/>
          <w14:textOutline w14:w="5103" w14:cap="sq" w14:cmpd="sng">
            <w14:solidFill>
              <w14:srgbClr w14:val="000000"/>
            </w14:solidFill>
            <w14:prstDash w14:val="solid"/>
            <w14:bevel/>
          </w14:textOutline>
        </w:rPr>
        <w:t>3.3.4</w:t>
      </w:r>
      <w:r>
        <w:rPr>
          <w:rFonts w:hint="eastAsia" w:ascii="宋体" w:hAnsi="宋体" w:eastAsia="宋体" w:cs="宋体"/>
          <w:b/>
          <w:bCs/>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z w:val="28"/>
          <w:szCs w:val="28"/>
          <w14:textOutline w14:w="5103" w14:cap="sq" w14:cmpd="sng">
            <w14:solidFill>
              <w14:srgbClr w14:val="000000"/>
            </w14:solidFill>
            <w14:prstDash w14:val="solid"/>
            <w14:bevel/>
          </w14:textOutline>
        </w:rPr>
        <w:t>与新疆维吾尔自治区主体功能区规划的相符性分析</w:t>
      </w:r>
    </w:p>
    <w:p w14:paraId="421CB40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根据主体功能区开发的理念，结合新疆独特的自然地理状况和新时期发展的 需要，新疆国土空间划分为重点开发、限制开发和禁止开发区域；按开发内容，分为城市化地区、农产品主产区和重点生态功能区。新疆的主体功能区划中，重点开发区域和限制开发区域覆盖国土全域，而禁止开发区域镶嵌于重点开发区域或者限制开发区域内。</w:t>
      </w:r>
    </w:p>
    <w:p w14:paraId="0EF366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1</w:t>
      </w:r>
      <w:r>
        <w:rPr>
          <w:rFonts w:hint="eastAsia" w:ascii="宋体" w:hAnsi="宋体" w:eastAsia="宋体" w:cs="宋体"/>
          <w:spacing w:val="-6"/>
          <w:sz w:val="24"/>
          <w:szCs w:val="24"/>
          <w:lang w:eastAsia="zh-CN"/>
        </w:rPr>
        <w:t>）</w:t>
      </w:r>
      <w:r>
        <w:rPr>
          <w:rFonts w:ascii="宋体" w:hAnsi="宋体" w:eastAsia="宋体" w:cs="宋体"/>
          <w:spacing w:val="-6"/>
          <w:sz w:val="24"/>
          <w:szCs w:val="24"/>
        </w:rPr>
        <w:t>重点开发区域</w:t>
      </w:r>
    </w:p>
    <w:p w14:paraId="32DACB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新疆重点开发区域包括：国家层面重点开发区域主要指天山北坡城市或城区 以及县市城关镇和重要工业园区，涉及 23 个县市，总面积 65293.42km2 。自治区层面重点开发区域主要指内点状分布的承载绿洲经济发展的县市城关镇和重要工业园区，涉及36 个县市，总面积 3800.38km</w:t>
      </w:r>
      <w:r>
        <w:rPr>
          <w:rFonts w:ascii="宋体" w:hAnsi="宋体" w:eastAsia="宋体" w:cs="宋体"/>
          <w:sz w:val="24"/>
          <w:szCs w:val="24"/>
          <w:vertAlign w:val="superscript"/>
        </w:rPr>
        <w:t>2</w:t>
      </w:r>
      <w:r>
        <w:rPr>
          <w:rFonts w:ascii="宋体" w:hAnsi="宋体" w:eastAsia="宋体" w:cs="宋体"/>
          <w:sz w:val="24"/>
          <w:szCs w:val="24"/>
        </w:rPr>
        <w:t xml:space="preserve"> ， 占全区总面积的 0.23%。新疆重点开发区域范围，详见表 3-3-1。</w:t>
      </w:r>
    </w:p>
    <w:p w14:paraId="647C3258">
      <w:pPr>
        <w:spacing w:before="180" w:line="213" w:lineRule="auto"/>
        <w:ind w:left="732"/>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3-3-1</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新疆重点开</w:t>
      </w:r>
      <w:r>
        <w:rPr>
          <w:rFonts w:ascii="宋体" w:hAnsi="宋体" w:eastAsia="宋体" w:cs="宋体"/>
          <w:spacing w:val="-1"/>
          <w:sz w:val="24"/>
          <w:szCs w:val="24"/>
          <w14:textOutline w14:w="4358" w14:cap="sq" w14:cmpd="sng">
            <w14:solidFill>
              <w14:srgbClr w14:val="000000"/>
            </w14:solidFill>
            <w14:prstDash w14:val="solid"/>
            <w14:bevel/>
          </w14:textOutline>
        </w:rPr>
        <w:t>发区域范围</w:t>
      </w: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874"/>
        <w:gridCol w:w="654"/>
        <w:gridCol w:w="6013"/>
        <w:gridCol w:w="1040"/>
      </w:tblGrid>
      <w:tr w14:paraId="611C8A4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1" w:hRule="atLeast"/>
        </w:trPr>
        <w:tc>
          <w:tcPr>
            <w:tcW w:w="509" w:type="pct"/>
            <w:tcBorders>
              <w:tl2br w:val="nil"/>
              <w:tr2bl w:val="nil"/>
            </w:tcBorders>
            <w:vAlign w:val="top"/>
          </w:tcPr>
          <w:p w14:paraId="1DB98A60">
            <w:pPr>
              <w:pStyle w:val="15"/>
              <w:spacing w:before="171" w:line="228" w:lineRule="auto"/>
              <w:ind w:left="238"/>
            </w:pPr>
            <w:r>
              <w:rPr>
                <w:spacing w:val="3"/>
              </w:rPr>
              <w:t>等级</w:t>
            </w:r>
          </w:p>
        </w:tc>
        <w:tc>
          <w:tcPr>
            <w:tcW w:w="381" w:type="pct"/>
            <w:tcBorders>
              <w:tl2br w:val="nil"/>
              <w:tr2bl w:val="nil"/>
            </w:tcBorders>
            <w:vAlign w:val="top"/>
          </w:tcPr>
          <w:p w14:paraId="46912F63">
            <w:pPr>
              <w:pStyle w:val="15"/>
              <w:spacing w:before="171" w:line="228" w:lineRule="auto"/>
              <w:ind w:left="141"/>
            </w:pPr>
            <w:r>
              <w:rPr>
                <w:spacing w:val="-3"/>
              </w:rPr>
              <w:t>区域</w:t>
            </w:r>
          </w:p>
        </w:tc>
        <w:tc>
          <w:tcPr>
            <w:tcW w:w="3503" w:type="pct"/>
            <w:tcBorders>
              <w:tl2br w:val="nil"/>
              <w:tr2bl w:val="nil"/>
            </w:tcBorders>
            <w:vAlign w:val="top"/>
          </w:tcPr>
          <w:p w14:paraId="17287B86">
            <w:pPr>
              <w:pStyle w:val="15"/>
              <w:spacing w:before="171" w:line="228" w:lineRule="auto"/>
              <w:ind w:left="2724"/>
            </w:pPr>
            <w:r>
              <w:rPr>
                <w:spacing w:val="7"/>
              </w:rPr>
              <w:t>覆盖范围</w:t>
            </w:r>
          </w:p>
        </w:tc>
        <w:tc>
          <w:tcPr>
            <w:tcW w:w="606" w:type="pct"/>
            <w:tcBorders>
              <w:tl2br w:val="nil"/>
              <w:tr2bl w:val="nil"/>
            </w:tcBorders>
            <w:vAlign w:val="top"/>
          </w:tcPr>
          <w:p w14:paraId="4010C614">
            <w:pPr>
              <w:pStyle w:val="15"/>
              <w:spacing w:before="34" w:line="273" w:lineRule="exact"/>
              <w:ind w:left="342"/>
            </w:pPr>
            <w:r>
              <w:rPr>
                <w:spacing w:val="4"/>
                <w:position w:val="4"/>
              </w:rPr>
              <w:t>面积</w:t>
            </w:r>
          </w:p>
          <w:p w14:paraId="239E816A">
            <w:pPr>
              <w:pStyle w:val="15"/>
              <w:spacing w:line="224" w:lineRule="auto"/>
              <w:ind w:left="352"/>
            </w:pPr>
            <w:r>
              <w:rPr>
                <w:spacing w:val="-10"/>
              </w:rPr>
              <w:t>(km</w:t>
            </w:r>
            <w:r>
              <w:rPr>
                <w:spacing w:val="3"/>
                <w:position w:val="10"/>
                <w:sz w:val="10"/>
                <w:szCs w:val="10"/>
              </w:rPr>
              <w:t>2</w:t>
            </w:r>
            <w:r>
              <w:rPr>
                <w:spacing w:val="3"/>
              </w:rPr>
              <w:t>)</w:t>
            </w:r>
          </w:p>
        </w:tc>
      </w:tr>
      <w:tr w14:paraId="31FC086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624" w:hRule="atLeast"/>
        </w:trPr>
        <w:tc>
          <w:tcPr>
            <w:tcW w:w="509" w:type="pct"/>
            <w:tcBorders>
              <w:tl2br w:val="nil"/>
              <w:tr2bl w:val="nil"/>
            </w:tcBorders>
            <w:textDirection w:val="tbRlV"/>
            <w:vAlign w:val="top"/>
          </w:tcPr>
          <w:p w14:paraId="331A067B">
            <w:pPr>
              <w:spacing w:line="276" w:lineRule="auto"/>
              <w:rPr>
                <w:rFonts w:ascii="Arial"/>
                <w:sz w:val="21"/>
              </w:rPr>
            </w:pPr>
          </w:p>
          <w:p w14:paraId="5EE3C00B">
            <w:pPr>
              <w:pStyle w:val="15"/>
              <w:spacing w:before="67" w:line="215" w:lineRule="auto"/>
              <w:ind w:left="432"/>
            </w:pPr>
            <w:r>
              <w:rPr>
                <w:spacing w:val="8"/>
              </w:rPr>
              <w:t>国</w:t>
            </w:r>
            <w:r>
              <w:rPr>
                <w:spacing w:val="-37"/>
              </w:rPr>
              <w:t xml:space="preserve"> </w:t>
            </w:r>
            <w:r>
              <w:rPr>
                <w:spacing w:val="8"/>
              </w:rPr>
              <w:t>家</w:t>
            </w:r>
            <w:r>
              <w:rPr>
                <w:spacing w:val="-35"/>
              </w:rPr>
              <w:t xml:space="preserve"> </w:t>
            </w:r>
            <w:r>
              <w:rPr>
                <w:spacing w:val="8"/>
              </w:rPr>
              <w:t>级</w:t>
            </w:r>
          </w:p>
        </w:tc>
        <w:tc>
          <w:tcPr>
            <w:tcW w:w="381" w:type="pct"/>
            <w:tcBorders>
              <w:tl2br w:val="nil"/>
              <w:tr2bl w:val="nil"/>
            </w:tcBorders>
            <w:vAlign w:val="top"/>
          </w:tcPr>
          <w:p w14:paraId="258CD050">
            <w:pPr>
              <w:spacing w:line="365" w:lineRule="auto"/>
              <w:rPr>
                <w:rFonts w:ascii="Arial"/>
                <w:sz w:val="21"/>
              </w:rPr>
            </w:pPr>
          </w:p>
          <w:p w14:paraId="189C3EC3">
            <w:pPr>
              <w:pStyle w:val="15"/>
              <w:spacing w:before="65" w:line="271" w:lineRule="exact"/>
              <w:ind w:left="129"/>
            </w:pPr>
            <w:r>
              <w:rPr>
                <w:spacing w:val="2"/>
                <w:position w:val="4"/>
              </w:rPr>
              <w:t>天山</w:t>
            </w:r>
          </w:p>
          <w:p w14:paraId="3E872EB4">
            <w:pPr>
              <w:pStyle w:val="15"/>
              <w:spacing w:line="228" w:lineRule="auto"/>
              <w:ind w:left="128"/>
            </w:pPr>
            <w:r>
              <w:rPr>
                <w:spacing w:val="3"/>
              </w:rPr>
              <w:t>北坡</w:t>
            </w:r>
          </w:p>
          <w:p w14:paraId="3E31BB8F">
            <w:pPr>
              <w:pStyle w:val="15"/>
              <w:spacing w:before="25" w:line="233" w:lineRule="auto"/>
              <w:ind w:left="125"/>
            </w:pPr>
            <w:r>
              <w:rPr>
                <w:spacing w:val="4"/>
              </w:rPr>
              <w:t>地区</w:t>
            </w:r>
          </w:p>
        </w:tc>
        <w:tc>
          <w:tcPr>
            <w:tcW w:w="3503" w:type="pct"/>
            <w:tcBorders>
              <w:tl2br w:val="nil"/>
              <w:tr2bl w:val="nil"/>
            </w:tcBorders>
            <w:vAlign w:val="top"/>
          </w:tcPr>
          <w:p w14:paraId="7298439A">
            <w:pPr>
              <w:pStyle w:val="15"/>
              <w:spacing w:before="21" w:line="245" w:lineRule="auto"/>
              <w:ind w:left="22" w:firstLine="2"/>
              <w:jc w:val="both"/>
            </w:pPr>
            <w:r>
              <w:rPr>
                <w:spacing w:val="5"/>
              </w:rPr>
              <w:t xml:space="preserve">乌鲁木齐市、克拉玛依市、石河子市、奎屯市、昌吉市、乌苏市、阜 </w:t>
            </w:r>
            <w:r>
              <w:rPr>
                <w:spacing w:val="1"/>
              </w:rPr>
              <w:t>康市、五家渠市、博乐市、伊宁市、哈密市(城区)、吐鲁番市(城区)、</w:t>
            </w:r>
            <w:r>
              <w:rPr>
                <w:spacing w:val="12"/>
              </w:rPr>
              <w:t xml:space="preserve"> </w:t>
            </w:r>
            <w:r>
              <w:rPr>
                <w:spacing w:val="5"/>
              </w:rPr>
              <w:t>鄯善县(鄯善镇)、托克逊县(托克逊镇)、奇台县(奇台镇)、</w:t>
            </w:r>
            <w:r>
              <w:rPr>
                <w:spacing w:val="4"/>
              </w:rPr>
              <w:t xml:space="preserve">吉木萨尔 </w:t>
            </w:r>
            <w:r>
              <w:rPr>
                <w:spacing w:val="5"/>
              </w:rPr>
              <w:t>县(吉木萨尔镇)、呼图壁县(呼图壁镇)、玛纳斯县(玛纳斯镇</w:t>
            </w:r>
            <w:r>
              <w:rPr>
                <w:spacing w:val="4"/>
              </w:rPr>
              <w:t xml:space="preserve">)、沙湾 </w:t>
            </w:r>
            <w:r>
              <w:rPr>
                <w:spacing w:val="5"/>
              </w:rPr>
              <w:t>县(三道河子镇)、精河县(精河镇)、伊宁县(吉里于孜镇)、</w:t>
            </w:r>
            <w:r>
              <w:rPr>
                <w:spacing w:val="4"/>
              </w:rPr>
              <w:t xml:space="preserve">察布查尔 </w:t>
            </w:r>
            <w:r>
              <w:rPr>
                <w:spacing w:val="7"/>
              </w:rPr>
              <w:t>县(察布查尔镇)、霍城县(水定镇、清水河镇部分、霍尔果斯口岸)</w:t>
            </w:r>
          </w:p>
        </w:tc>
        <w:tc>
          <w:tcPr>
            <w:tcW w:w="606" w:type="pct"/>
            <w:tcBorders>
              <w:tl2br w:val="nil"/>
              <w:tr2bl w:val="nil"/>
            </w:tcBorders>
            <w:vAlign w:val="top"/>
          </w:tcPr>
          <w:p w14:paraId="23F8CD30">
            <w:pPr>
              <w:spacing w:line="333" w:lineRule="auto"/>
              <w:rPr>
                <w:rFonts w:ascii="Arial"/>
                <w:sz w:val="21"/>
              </w:rPr>
            </w:pPr>
          </w:p>
          <w:p w14:paraId="4BAFF185">
            <w:pPr>
              <w:spacing w:line="334" w:lineRule="auto"/>
              <w:rPr>
                <w:rFonts w:ascii="Arial"/>
                <w:sz w:val="21"/>
              </w:rPr>
            </w:pPr>
          </w:p>
          <w:p w14:paraId="2C818873">
            <w:pPr>
              <w:pStyle w:val="15"/>
              <w:spacing w:before="65" w:line="189" w:lineRule="auto"/>
              <w:ind w:left="132"/>
            </w:pPr>
            <w:r>
              <w:rPr>
                <w:spacing w:val="3"/>
              </w:rPr>
              <w:t>65293.42</w:t>
            </w:r>
          </w:p>
        </w:tc>
      </w:tr>
      <w:tr w14:paraId="45CDF2E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07" w:hRule="atLeast"/>
        </w:trPr>
        <w:tc>
          <w:tcPr>
            <w:tcW w:w="509" w:type="pct"/>
            <w:tcBorders>
              <w:tl2br w:val="nil"/>
              <w:tr2bl w:val="nil"/>
            </w:tcBorders>
            <w:textDirection w:val="tbRlV"/>
            <w:vAlign w:val="top"/>
          </w:tcPr>
          <w:p w14:paraId="46775512">
            <w:pPr>
              <w:spacing w:line="277" w:lineRule="auto"/>
              <w:rPr>
                <w:rFonts w:ascii="Arial"/>
                <w:sz w:val="21"/>
              </w:rPr>
            </w:pPr>
          </w:p>
          <w:p w14:paraId="22AB335C">
            <w:pPr>
              <w:pStyle w:val="15"/>
              <w:spacing w:before="67" w:line="213" w:lineRule="auto"/>
              <w:ind w:left="992"/>
            </w:pPr>
            <w:r>
              <w:rPr>
                <w:spacing w:val="8"/>
              </w:rPr>
              <w:t>自</w:t>
            </w:r>
            <w:r>
              <w:rPr>
                <w:spacing w:val="-36"/>
              </w:rPr>
              <w:t xml:space="preserve"> </w:t>
            </w:r>
            <w:r>
              <w:rPr>
                <w:spacing w:val="8"/>
              </w:rPr>
              <w:t>治</w:t>
            </w:r>
            <w:r>
              <w:rPr>
                <w:spacing w:val="-38"/>
              </w:rPr>
              <w:t xml:space="preserve"> </w:t>
            </w:r>
            <w:r>
              <w:rPr>
                <w:spacing w:val="8"/>
              </w:rPr>
              <w:t>区</w:t>
            </w:r>
            <w:r>
              <w:rPr>
                <w:spacing w:val="-35"/>
              </w:rPr>
              <w:t xml:space="preserve"> </w:t>
            </w:r>
            <w:r>
              <w:rPr>
                <w:spacing w:val="8"/>
              </w:rPr>
              <w:t>级</w:t>
            </w:r>
          </w:p>
        </w:tc>
        <w:tc>
          <w:tcPr>
            <w:tcW w:w="381" w:type="pct"/>
            <w:tcBorders>
              <w:tl2br w:val="nil"/>
              <w:tr2bl w:val="nil"/>
            </w:tcBorders>
            <w:vAlign w:val="top"/>
          </w:tcPr>
          <w:p w14:paraId="1B416A89">
            <w:pPr>
              <w:spacing w:line="263" w:lineRule="auto"/>
              <w:rPr>
                <w:rFonts w:ascii="Arial"/>
                <w:sz w:val="21"/>
              </w:rPr>
            </w:pPr>
          </w:p>
          <w:p w14:paraId="1177232C">
            <w:pPr>
              <w:spacing w:line="264" w:lineRule="auto"/>
              <w:rPr>
                <w:rFonts w:ascii="Arial"/>
                <w:sz w:val="21"/>
              </w:rPr>
            </w:pPr>
          </w:p>
          <w:p w14:paraId="4A98A063">
            <w:pPr>
              <w:spacing w:line="264" w:lineRule="auto"/>
              <w:rPr>
                <w:rFonts w:ascii="Arial"/>
                <w:sz w:val="21"/>
              </w:rPr>
            </w:pPr>
          </w:p>
          <w:p w14:paraId="41C59D37">
            <w:pPr>
              <w:spacing w:line="264" w:lineRule="auto"/>
              <w:rPr>
                <w:rFonts w:ascii="Arial"/>
                <w:sz w:val="21"/>
              </w:rPr>
            </w:pPr>
          </w:p>
          <w:p w14:paraId="0AB09D68">
            <w:pPr>
              <w:pStyle w:val="15"/>
              <w:spacing w:before="65" w:line="273" w:lineRule="exact"/>
              <w:ind w:left="136"/>
            </w:pPr>
            <w:r>
              <w:rPr>
                <w:spacing w:val="-1"/>
                <w:position w:val="4"/>
              </w:rPr>
              <w:t>点状</w:t>
            </w:r>
          </w:p>
          <w:p w14:paraId="42D0A847">
            <w:pPr>
              <w:pStyle w:val="15"/>
              <w:spacing w:line="228" w:lineRule="auto"/>
              <w:ind w:left="126"/>
            </w:pPr>
            <w:r>
              <w:rPr>
                <w:spacing w:val="4"/>
              </w:rPr>
              <w:t>开发</w:t>
            </w:r>
          </w:p>
          <w:p w14:paraId="6F50F437">
            <w:pPr>
              <w:pStyle w:val="15"/>
              <w:spacing w:before="23" w:line="228" w:lineRule="auto"/>
              <w:ind w:left="125"/>
            </w:pPr>
            <w:r>
              <w:rPr>
                <w:spacing w:val="4"/>
              </w:rPr>
              <w:t>城镇</w:t>
            </w:r>
          </w:p>
        </w:tc>
        <w:tc>
          <w:tcPr>
            <w:tcW w:w="3503" w:type="pct"/>
            <w:tcBorders>
              <w:tl2br w:val="nil"/>
              <w:tr2bl w:val="nil"/>
            </w:tcBorders>
            <w:vAlign w:val="top"/>
          </w:tcPr>
          <w:p w14:paraId="13B11C4A">
            <w:pPr>
              <w:pStyle w:val="15"/>
              <w:spacing w:before="41" w:line="248" w:lineRule="auto"/>
              <w:ind w:left="23" w:right="13"/>
            </w:pPr>
            <w:r>
              <w:rPr>
                <w:spacing w:val="10"/>
              </w:rPr>
              <w:t>库尔勒市(城区)、尉犁县(尉犁镇)、轮台县(轮台镇)、库车县</w:t>
            </w:r>
            <w:r>
              <w:rPr>
                <w:spacing w:val="9"/>
              </w:rPr>
              <w:t>(库车</w:t>
            </w:r>
            <w:r>
              <w:t xml:space="preserve"> </w:t>
            </w:r>
            <w:r>
              <w:rPr>
                <w:spacing w:val="10"/>
              </w:rPr>
              <w:t>镇)、拜城县(拜城镇)、新和县(新和镇)、沙雅县(沙雅镇)、阿</w:t>
            </w:r>
            <w:r>
              <w:rPr>
                <w:spacing w:val="9"/>
              </w:rPr>
              <w:t>克苏</w:t>
            </w:r>
            <w:r>
              <w:t xml:space="preserve"> </w:t>
            </w:r>
            <w:r>
              <w:rPr>
                <w:spacing w:val="4"/>
              </w:rPr>
              <w:t>市(城区)、温宿县(温宿镇)、阿拉尔市(城区)、喀什市、阿</w:t>
            </w:r>
            <w:r>
              <w:rPr>
                <w:spacing w:val="3"/>
              </w:rPr>
              <w:t>图什市(城</w:t>
            </w:r>
            <w:r>
              <w:t xml:space="preserve"> </w:t>
            </w:r>
            <w:r>
              <w:rPr>
                <w:spacing w:val="7"/>
              </w:rPr>
              <w:t>区)、疏附县(托克扎克镇)、疏勒县(疏勒镇)、和田市、和田县(巴格</w:t>
            </w:r>
            <w:r>
              <w:t xml:space="preserve"> </w:t>
            </w:r>
            <w:r>
              <w:rPr>
                <w:spacing w:val="10"/>
              </w:rPr>
              <w:t>其镇)、巩留县(巩留镇)、尼勒克县(尼勒克镇)、新源县(新源镇)、</w:t>
            </w:r>
            <w:r>
              <w:rPr>
                <w:spacing w:val="1"/>
              </w:rPr>
              <w:t xml:space="preserve"> </w:t>
            </w:r>
            <w:r>
              <w:rPr>
                <w:spacing w:val="4"/>
              </w:rPr>
              <w:t>昭苏县(昭苏镇)、特克斯县(特克斯镇)、乌什县(乌什镇)、</w:t>
            </w:r>
            <w:r>
              <w:rPr>
                <w:spacing w:val="3"/>
              </w:rPr>
              <w:t>柯坪县(柯</w:t>
            </w:r>
            <w:r>
              <w:t xml:space="preserve"> </w:t>
            </w:r>
            <w:r>
              <w:rPr>
                <w:spacing w:val="7"/>
              </w:rPr>
              <w:t>坪镇)、焉耆回族自治县(焉耆镇)、和静县(和静镇)、和硕县(特吾里</w:t>
            </w:r>
            <w:r>
              <w:t xml:space="preserve"> </w:t>
            </w:r>
            <w:r>
              <w:rPr>
                <w:spacing w:val="10"/>
              </w:rPr>
              <w:t>克镇)、博湖镇)、温泉县(博格达尔镇)、塔城市(城区)</w:t>
            </w:r>
            <w:r>
              <w:rPr>
                <w:spacing w:val="9"/>
              </w:rPr>
              <w:t>、额</w:t>
            </w:r>
            <w:r>
              <w:t xml:space="preserve"> </w:t>
            </w:r>
            <w:r>
              <w:rPr>
                <w:spacing w:val="7"/>
              </w:rPr>
              <w:t>敏县(额敏镇)、托里县(托里镇)、裕民县(哈拉布拉镇)、和布克赛尔</w:t>
            </w:r>
            <w:r>
              <w:t xml:space="preserve"> </w:t>
            </w:r>
            <w:r>
              <w:rPr>
                <w:spacing w:val="7"/>
              </w:rPr>
              <w:t xml:space="preserve">蒙古自治县(和布克赛尔镇)、巴里坤哈萨克自治县(巴里坤镇)、伊吾 </w:t>
            </w:r>
            <w:r>
              <w:rPr>
                <w:spacing w:val="8"/>
              </w:rPr>
              <w:t>县(伊吾镇)、木垒哈萨克自治县(木垒镇)</w:t>
            </w:r>
          </w:p>
        </w:tc>
        <w:tc>
          <w:tcPr>
            <w:tcW w:w="606" w:type="pct"/>
            <w:tcBorders>
              <w:tl2br w:val="nil"/>
              <w:tr2bl w:val="nil"/>
            </w:tcBorders>
            <w:vAlign w:val="top"/>
          </w:tcPr>
          <w:p w14:paraId="407A6318">
            <w:pPr>
              <w:spacing w:line="271" w:lineRule="auto"/>
              <w:rPr>
                <w:rFonts w:ascii="Arial"/>
                <w:sz w:val="21"/>
              </w:rPr>
            </w:pPr>
          </w:p>
          <w:p w14:paraId="743F07C2">
            <w:pPr>
              <w:spacing w:line="272" w:lineRule="auto"/>
              <w:rPr>
                <w:rFonts w:ascii="Arial"/>
                <w:sz w:val="21"/>
              </w:rPr>
            </w:pPr>
          </w:p>
          <w:p w14:paraId="479CF241">
            <w:pPr>
              <w:spacing w:line="272" w:lineRule="auto"/>
              <w:rPr>
                <w:rFonts w:ascii="Arial"/>
                <w:sz w:val="21"/>
              </w:rPr>
            </w:pPr>
          </w:p>
          <w:p w14:paraId="6BF28594">
            <w:pPr>
              <w:spacing w:line="272" w:lineRule="auto"/>
              <w:rPr>
                <w:rFonts w:ascii="Arial"/>
                <w:sz w:val="21"/>
              </w:rPr>
            </w:pPr>
          </w:p>
          <w:p w14:paraId="58BF291A">
            <w:pPr>
              <w:spacing w:line="272" w:lineRule="auto"/>
              <w:rPr>
                <w:rFonts w:ascii="Arial"/>
                <w:sz w:val="21"/>
              </w:rPr>
            </w:pPr>
          </w:p>
          <w:p w14:paraId="20511C7B">
            <w:pPr>
              <w:pStyle w:val="15"/>
              <w:spacing w:before="65" w:line="189" w:lineRule="auto"/>
              <w:ind w:left="187"/>
            </w:pPr>
            <w:r>
              <w:rPr>
                <w:spacing w:val="3"/>
              </w:rPr>
              <w:t>3800.38</w:t>
            </w:r>
          </w:p>
        </w:tc>
      </w:tr>
    </w:tbl>
    <w:p w14:paraId="2D9E60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lang w:eastAsia="zh-CN"/>
        </w:rPr>
        <w:t>）</w:t>
      </w:r>
      <w:r>
        <w:rPr>
          <w:rFonts w:ascii="宋体" w:hAnsi="宋体" w:eastAsia="宋体" w:cs="宋体"/>
          <w:spacing w:val="-6"/>
          <w:sz w:val="24"/>
          <w:szCs w:val="24"/>
        </w:rPr>
        <w:t>限制开发区域</w:t>
      </w:r>
    </w:p>
    <w:p w14:paraId="1DB094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z w:val="24"/>
          <w:szCs w:val="24"/>
        </w:rPr>
      </w:pPr>
      <w:r>
        <w:rPr>
          <w:rFonts w:ascii="宋体" w:hAnsi="宋体" w:eastAsia="宋体" w:cs="宋体"/>
          <w:spacing w:val="-1"/>
          <w:sz w:val="24"/>
          <w:szCs w:val="24"/>
        </w:rPr>
        <w:t>新疆限制开发区域主要分为：农产品主产区和重点生态功能区。</w:t>
      </w:r>
    </w:p>
    <w:p w14:paraId="3987DD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z w:val="24"/>
          <w:szCs w:val="24"/>
        </w:rPr>
      </w:pPr>
      <w:r>
        <w:rPr>
          <w:rFonts w:ascii="宋体" w:hAnsi="宋体" w:eastAsia="宋体" w:cs="宋体"/>
          <w:spacing w:val="-1"/>
          <w:sz w:val="24"/>
          <w:szCs w:val="24"/>
        </w:rPr>
        <w:t>新疆国家级农产品主产区包括天山北坡主产区和天山南坡主产区，共涉及</w:t>
      </w:r>
      <w:r>
        <w:rPr>
          <w:rFonts w:ascii="宋体" w:hAnsi="宋体" w:eastAsia="宋体" w:cs="宋体"/>
          <w:spacing w:val="-38"/>
          <w:sz w:val="24"/>
          <w:szCs w:val="24"/>
        </w:rPr>
        <w:t xml:space="preserve"> </w:t>
      </w:r>
      <w:r>
        <w:rPr>
          <w:rFonts w:ascii="宋体" w:hAnsi="宋体" w:eastAsia="宋体" w:cs="宋体"/>
          <w:spacing w:val="-1"/>
          <w:sz w:val="24"/>
          <w:szCs w:val="24"/>
        </w:rPr>
        <w:t>23</w:t>
      </w:r>
      <w:r>
        <w:rPr>
          <w:rFonts w:ascii="宋体" w:hAnsi="宋体" w:eastAsia="宋体" w:cs="宋体"/>
          <w:sz w:val="24"/>
          <w:szCs w:val="24"/>
        </w:rPr>
        <w:t xml:space="preserve"> </w:t>
      </w:r>
      <w:r>
        <w:rPr>
          <w:rFonts w:ascii="宋体" w:hAnsi="宋体" w:eastAsia="宋体" w:cs="宋体"/>
          <w:spacing w:val="-2"/>
          <w:sz w:val="24"/>
          <w:szCs w:val="24"/>
        </w:rPr>
        <w:t>个县市，总面积</w:t>
      </w:r>
      <w:r>
        <w:rPr>
          <w:rFonts w:ascii="宋体" w:hAnsi="宋体" w:eastAsia="宋体" w:cs="宋体"/>
          <w:spacing w:val="-52"/>
          <w:sz w:val="24"/>
          <w:szCs w:val="24"/>
        </w:rPr>
        <w:t xml:space="preserve"> </w:t>
      </w:r>
      <w:r>
        <w:rPr>
          <w:rFonts w:ascii="宋体" w:hAnsi="宋体" w:eastAsia="宋体" w:cs="宋体"/>
          <w:spacing w:val="-2"/>
          <w:sz w:val="24"/>
          <w:szCs w:val="24"/>
        </w:rPr>
        <w:t>414265.55km</w:t>
      </w:r>
      <w:r>
        <w:rPr>
          <w:rFonts w:ascii="宋体" w:hAnsi="宋体" w:eastAsia="宋体" w:cs="宋体"/>
          <w:spacing w:val="-2"/>
          <w:position w:val="12"/>
          <w:sz w:val="12"/>
          <w:szCs w:val="12"/>
        </w:rPr>
        <w:t>2</w:t>
      </w:r>
      <w:r>
        <w:rPr>
          <w:rFonts w:ascii="宋体" w:hAnsi="宋体" w:eastAsia="宋体" w:cs="宋体"/>
          <w:spacing w:val="-27"/>
          <w:position w:val="12"/>
          <w:sz w:val="12"/>
          <w:szCs w:val="12"/>
        </w:rPr>
        <w:t xml:space="preserve"> </w:t>
      </w:r>
      <w:r>
        <w:rPr>
          <w:rFonts w:ascii="宋体" w:hAnsi="宋体" w:eastAsia="宋体" w:cs="宋体"/>
          <w:spacing w:val="-2"/>
          <w:sz w:val="24"/>
          <w:szCs w:val="24"/>
        </w:rPr>
        <w:t>。其</w:t>
      </w:r>
      <w:r>
        <w:rPr>
          <w:rFonts w:ascii="宋体" w:hAnsi="宋体" w:eastAsia="宋体" w:cs="宋体"/>
          <w:spacing w:val="-3"/>
          <w:sz w:val="24"/>
          <w:szCs w:val="24"/>
        </w:rPr>
        <w:t>中天山北坡主产区涉及</w:t>
      </w:r>
      <w:r>
        <w:rPr>
          <w:rFonts w:ascii="宋体" w:hAnsi="宋体" w:eastAsia="宋体" w:cs="宋体"/>
          <w:spacing w:val="-33"/>
          <w:sz w:val="24"/>
          <w:szCs w:val="24"/>
        </w:rPr>
        <w:t xml:space="preserve"> </w:t>
      </w:r>
      <w:r>
        <w:rPr>
          <w:rFonts w:ascii="宋体" w:hAnsi="宋体" w:eastAsia="宋体" w:cs="宋体"/>
          <w:spacing w:val="-3"/>
          <w:sz w:val="24"/>
          <w:szCs w:val="24"/>
        </w:rPr>
        <w:t>13</w:t>
      </w:r>
      <w:r>
        <w:rPr>
          <w:rFonts w:ascii="宋体" w:hAnsi="宋体" w:eastAsia="宋体" w:cs="宋体"/>
          <w:spacing w:val="-51"/>
          <w:sz w:val="24"/>
          <w:szCs w:val="24"/>
        </w:rPr>
        <w:t xml:space="preserve"> </w:t>
      </w:r>
      <w:r>
        <w:rPr>
          <w:rFonts w:ascii="宋体" w:hAnsi="宋体" w:eastAsia="宋体" w:cs="宋体"/>
          <w:spacing w:val="-3"/>
          <w:sz w:val="24"/>
          <w:szCs w:val="24"/>
        </w:rPr>
        <w:t>个县市，这些农产品</w:t>
      </w:r>
      <w:r>
        <w:rPr>
          <w:rFonts w:ascii="宋体" w:hAnsi="宋体" w:eastAsia="宋体" w:cs="宋体"/>
          <w:sz w:val="24"/>
          <w:szCs w:val="24"/>
        </w:rPr>
        <w:t xml:space="preserve"> </w:t>
      </w:r>
      <w:r>
        <w:rPr>
          <w:rFonts w:ascii="宋体" w:hAnsi="宋体" w:eastAsia="宋体" w:cs="宋体"/>
          <w:spacing w:val="3"/>
          <w:sz w:val="24"/>
          <w:szCs w:val="24"/>
        </w:rPr>
        <w:t>主产区县市的城区或城关镇及其境内的重要工业园</w:t>
      </w:r>
      <w:r>
        <w:rPr>
          <w:rFonts w:ascii="宋体" w:hAnsi="宋体" w:eastAsia="宋体" w:cs="宋体"/>
          <w:spacing w:val="2"/>
          <w:sz w:val="24"/>
          <w:szCs w:val="24"/>
        </w:rPr>
        <w:t>区是国家级重点开发区域，但</w:t>
      </w:r>
      <w:r>
        <w:rPr>
          <w:rFonts w:ascii="宋体" w:hAnsi="宋体" w:eastAsia="宋体" w:cs="宋体"/>
          <w:spacing w:val="-2"/>
          <w:sz w:val="24"/>
          <w:szCs w:val="24"/>
        </w:rPr>
        <w:t>这些县市以享受国家农产品主产区的政策为主；天山南坡主产区涉及</w:t>
      </w:r>
      <w:r>
        <w:rPr>
          <w:rFonts w:ascii="宋体" w:hAnsi="宋体" w:eastAsia="宋体" w:cs="宋体"/>
          <w:spacing w:val="-25"/>
          <w:sz w:val="24"/>
          <w:szCs w:val="24"/>
        </w:rPr>
        <w:t xml:space="preserve"> </w:t>
      </w:r>
      <w:r>
        <w:rPr>
          <w:rFonts w:ascii="宋体" w:hAnsi="宋体" w:eastAsia="宋体" w:cs="宋体"/>
          <w:spacing w:val="-2"/>
          <w:sz w:val="24"/>
          <w:szCs w:val="24"/>
        </w:rPr>
        <w:t>10</w:t>
      </w:r>
      <w:r>
        <w:rPr>
          <w:rFonts w:ascii="宋体" w:hAnsi="宋体" w:eastAsia="宋体" w:cs="宋体"/>
          <w:spacing w:val="-51"/>
          <w:sz w:val="24"/>
          <w:szCs w:val="24"/>
        </w:rPr>
        <w:t xml:space="preserve"> </w:t>
      </w:r>
      <w:r>
        <w:rPr>
          <w:rFonts w:ascii="宋体" w:hAnsi="宋体" w:eastAsia="宋体" w:cs="宋体"/>
          <w:spacing w:val="-2"/>
          <w:sz w:val="24"/>
          <w:szCs w:val="24"/>
        </w:rPr>
        <w:t>个县市，</w:t>
      </w:r>
      <w:r>
        <w:rPr>
          <w:rFonts w:ascii="宋体" w:hAnsi="宋体" w:eastAsia="宋体" w:cs="宋体"/>
          <w:spacing w:val="3"/>
          <w:sz w:val="24"/>
          <w:szCs w:val="24"/>
        </w:rPr>
        <w:t>这些农产品主产区县市的城区或城关镇和重要工业</w:t>
      </w:r>
      <w:r>
        <w:rPr>
          <w:rFonts w:ascii="宋体" w:hAnsi="宋体" w:eastAsia="宋体" w:cs="宋体"/>
          <w:spacing w:val="2"/>
          <w:sz w:val="24"/>
          <w:szCs w:val="24"/>
        </w:rPr>
        <w:t>园区是自治区级的重点开发区</w:t>
      </w:r>
      <w:r>
        <w:rPr>
          <w:rFonts w:ascii="宋体" w:hAnsi="宋体" w:eastAsia="宋体" w:cs="宋体"/>
          <w:spacing w:val="-1"/>
          <w:sz w:val="24"/>
          <w:szCs w:val="24"/>
        </w:rPr>
        <w:t>域，但这些县市以享受国家农产品主产区的政策为主。</w:t>
      </w:r>
    </w:p>
    <w:p w14:paraId="6A7692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新疆重点生态功能区包括：国家级重点生态功能区，阿尔</w:t>
      </w:r>
      <w:r>
        <w:rPr>
          <w:rFonts w:ascii="宋体" w:hAnsi="宋体" w:eastAsia="宋体" w:cs="宋体"/>
          <w:spacing w:val="2"/>
          <w:sz w:val="24"/>
          <w:szCs w:val="24"/>
        </w:rPr>
        <w:t>泰山地森林草原生</w:t>
      </w:r>
      <w:r>
        <w:rPr>
          <w:rFonts w:ascii="宋体" w:hAnsi="宋体" w:eastAsia="宋体" w:cs="宋体"/>
          <w:spacing w:val="3"/>
          <w:sz w:val="24"/>
          <w:szCs w:val="24"/>
        </w:rPr>
        <w:t>态功能区、塔里木河荒漠化防治生态功能区、阿尔</w:t>
      </w:r>
      <w:r>
        <w:rPr>
          <w:rFonts w:ascii="宋体" w:hAnsi="宋体" w:eastAsia="宋体" w:cs="宋体"/>
          <w:spacing w:val="2"/>
          <w:sz w:val="24"/>
          <w:szCs w:val="24"/>
        </w:rPr>
        <w:t>金山草原荒漠化防治生态功能</w:t>
      </w:r>
      <w:r>
        <w:rPr>
          <w:rFonts w:ascii="宋体" w:hAnsi="宋体" w:eastAsia="宋体" w:cs="宋体"/>
          <w:spacing w:val="1"/>
          <w:sz w:val="24"/>
          <w:szCs w:val="24"/>
        </w:rPr>
        <w:t>区；自治区级重点生态功能区，天山西部森林草原生态功能区、天山南坡西段荒</w:t>
      </w:r>
      <w:r>
        <w:rPr>
          <w:rFonts w:ascii="宋体" w:hAnsi="宋体" w:eastAsia="宋体" w:cs="宋体"/>
          <w:spacing w:val="3"/>
          <w:sz w:val="24"/>
          <w:szCs w:val="24"/>
        </w:rPr>
        <w:t>漠草原生态功能区、天山南坡中段山地草原生态功</w:t>
      </w:r>
      <w:r>
        <w:rPr>
          <w:rFonts w:ascii="宋体" w:hAnsi="宋体" w:eastAsia="宋体" w:cs="宋体"/>
          <w:spacing w:val="2"/>
          <w:sz w:val="24"/>
          <w:szCs w:val="24"/>
        </w:rPr>
        <w:t>能区、夏尔西里山地森林生态</w:t>
      </w:r>
      <w:r>
        <w:rPr>
          <w:rFonts w:ascii="宋体" w:hAnsi="宋体" w:eastAsia="宋体" w:cs="宋体"/>
          <w:spacing w:val="3"/>
          <w:sz w:val="24"/>
          <w:szCs w:val="24"/>
        </w:rPr>
        <w:t>功能区、塔额盆地湿地草原生态功能区、准噶尔西</w:t>
      </w:r>
      <w:r>
        <w:rPr>
          <w:rFonts w:ascii="宋体" w:hAnsi="宋体" w:eastAsia="宋体" w:cs="宋体"/>
          <w:spacing w:val="2"/>
          <w:sz w:val="24"/>
          <w:szCs w:val="24"/>
        </w:rPr>
        <w:t>部荒漠草原生态功能区、准噶</w:t>
      </w:r>
      <w:r>
        <w:rPr>
          <w:rFonts w:ascii="宋体" w:hAnsi="宋体" w:eastAsia="宋体" w:cs="宋体"/>
          <w:spacing w:val="3"/>
          <w:sz w:val="24"/>
          <w:szCs w:val="24"/>
        </w:rPr>
        <w:t>尔东部荒漠草原生态功能区、塔里木盆地西北部荒</w:t>
      </w:r>
      <w:r>
        <w:rPr>
          <w:rFonts w:ascii="宋体" w:hAnsi="宋体" w:eastAsia="宋体" w:cs="宋体"/>
          <w:spacing w:val="2"/>
          <w:sz w:val="24"/>
          <w:szCs w:val="24"/>
        </w:rPr>
        <w:t>漠生态功能区、中昆仑山高寒</w:t>
      </w:r>
      <w:r>
        <w:rPr>
          <w:rFonts w:ascii="宋体" w:hAnsi="宋体" w:eastAsia="宋体" w:cs="宋体"/>
          <w:spacing w:val="-2"/>
          <w:sz w:val="24"/>
          <w:szCs w:val="24"/>
        </w:rPr>
        <w:t>荒漠草原生态功能区。</w:t>
      </w:r>
    </w:p>
    <w:p w14:paraId="7B386D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lang w:eastAsia="zh-CN"/>
        </w:rPr>
        <w:t>）</w:t>
      </w:r>
      <w:r>
        <w:rPr>
          <w:rFonts w:ascii="宋体" w:hAnsi="宋体" w:eastAsia="宋体" w:cs="宋体"/>
          <w:spacing w:val="-6"/>
          <w:sz w:val="24"/>
          <w:szCs w:val="24"/>
        </w:rPr>
        <w:t>禁止开发区域</w:t>
      </w:r>
    </w:p>
    <w:p w14:paraId="61A17F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新疆禁止开发区域包括：国家层面禁止开发区域，国家级</w:t>
      </w:r>
      <w:r>
        <w:rPr>
          <w:rFonts w:ascii="宋体" w:hAnsi="宋体" w:eastAsia="宋体" w:cs="宋体"/>
          <w:spacing w:val="2"/>
          <w:sz w:val="24"/>
          <w:szCs w:val="24"/>
        </w:rPr>
        <w:t>自然保护区、世界</w:t>
      </w:r>
      <w:r>
        <w:rPr>
          <w:rFonts w:ascii="宋体" w:hAnsi="宋体" w:eastAsia="宋体" w:cs="宋体"/>
          <w:spacing w:val="3"/>
          <w:sz w:val="24"/>
          <w:szCs w:val="24"/>
        </w:rPr>
        <w:t>文化自然遗产、国家级风景名胜区、国家森林公园</w:t>
      </w:r>
      <w:r>
        <w:rPr>
          <w:rFonts w:ascii="宋体" w:hAnsi="宋体" w:eastAsia="宋体" w:cs="宋体"/>
          <w:spacing w:val="2"/>
          <w:sz w:val="24"/>
          <w:szCs w:val="24"/>
        </w:rPr>
        <w:t>和国家地质公园。新疆国家层</w:t>
      </w:r>
      <w:r>
        <w:rPr>
          <w:rFonts w:ascii="宋体" w:hAnsi="宋体" w:eastAsia="宋体" w:cs="宋体"/>
          <w:spacing w:val="-4"/>
          <w:sz w:val="24"/>
          <w:szCs w:val="24"/>
        </w:rPr>
        <w:t>面禁止开发区域共</w:t>
      </w:r>
      <w:r>
        <w:rPr>
          <w:rFonts w:ascii="宋体" w:hAnsi="宋体" w:eastAsia="宋体" w:cs="宋体"/>
          <w:spacing w:val="-52"/>
          <w:sz w:val="24"/>
          <w:szCs w:val="24"/>
        </w:rPr>
        <w:t xml:space="preserve"> </w:t>
      </w:r>
      <w:r>
        <w:rPr>
          <w:rFonts w:ascii="宋体" w:hAnsi="宋体" w:eastAsia="宋体" w:cs="宋体"/>
          <w:spacing w:val="-4"/>
          <w:sz w:val="24"/>
          <w:szCs w:val="24"/>
        </w:rPr>
        <w:t>44</w:t>
      </w:r>
      <w:r>
        <w:rPr>
          <w:rFonts w:ascii="宋体" w:hAnsi="宋体" w:eastAsia="宋体" w:cs="宋体"/>
          <w:spacing w:val="-46"/>
          <w:sz w:val="24"/>
          <w:szCs w:val="24"/>
        </w:rPr>
        <w:t xml:space="preserve"> </w:t>
      </w:r>
      <w:r>
        <w:rPr>
          <w:rFonts w:ascii="宋体" w:hAnsi="宋体" w:eastAsia="宋体" w:cs="宋体"/>
          <w:spacing w:val="-4"/>
          <w:sz w:val="24"/>
          <w:szCs w:val="24"/>
        </w:rPr>
        <w:t>处，面积为</w:t>
      </w:r>
      <w:r>
        <w:rPr>
          <w:rFonts w:ascii="宋体" w:hAnsi="宋体" w:eastAsia="宋体" w:cs="宋体"/>
          <w:spacing w:val="-33"/>
          <w:sz w:val="24"/>
          <w:szCs w:val="24"/>
        </w:rPr>
        <w:t xml:space="preserve"> </w:t>
      </w:r>
      <w:r>
        <w:rPr>
          <w:rFonts w:ascii="宋体" w:hAnsi="宋体" w:eastAsia="宋体" w:cs="宋体"/>
          <w:spacing w:val="-4"/>
          <w:sz w:val="24"/>
          <w:szCs w:val="24"/>
        </w:rPr>
        <w:t>138902.9km</w:t>
      </w:r>
      <w:r>
        <w:rPr>
          <w:rFonts w:ascii="宋体" w:hAnsi="宋体" w:eastAsia="宋体" w:cs="宋体"/>
          <w:spacing w:val="-4"/>
          <w:position w:val="12"/>
          <w:sz w:val="12"/>
          <w:szCs w:val="12"/>
        </w:rPr>
        <w:t>2</w:t>
      </w:r>
      <w:r>
        <w:rPr>
          <w:rFonts w:ascii="宋体" w:hAnsi="宋体" w:eastAsia="宋体" w:cs="宋体"/>
          <w:spacing w:val="-31"/>
          <w:position w:val="12"/>
          <w:sz w:val="12"/>
          <w:szCs w:val="12"/>
        </w:rPr>
        <w:t xml:space="preserve"> </w:t>
      </w:r>
      <w:r>
        <w:rPr>
          <w:rFonts w:ascii="宋体" w:hAnsi="宋体" w:eastAsia="宋体" w:cs="宋体"/>
          <w:spacing w:val="-4"/>
          <w:sz w:val="24"/>
          <w:szCs w:val="24"/>
        </w:rPr>
        <w:t>，占全区面积的</w:t>
      </w:r>
      <w:r>
        <w:rPr>
          <w:rFonts w:ascii="宋体" w:hAnsi="宋体" w:eastAsia="宋体" w:cs="宋体"/>
          <w:spacing w:val="-50"/>
          <w:sz w:val="24"/>
          <w:szCs w:val="24"/>
        </w:rPr>
        <w:t xml:space="preserve"> </w:t>
      </w:r>
      <w:r>
        <w:rPr>
          <w:rFonts w:ascii="宋体" w:hAnsi="宋体" w:eastAsia="宋体" w:cs="宋体"/>
          <w:spacing w:val="-4"/>
          <w:sz w:val="24"/>
          <w:szCs w:val="24"/>
        </w:rPr>
        <w:t>8.34%。自治区层面</w:t>
      </w:r>
      <w:r>
        <w:rPr>
          <w:rFonts w:ascii="宋体" w:hAnsi="宋体" w:eastAsia="宋体" w:cs="宋体"/>
          <w:spacing w:val="1"/>
          <w:sz w:val="24"/>
          <w:szCs w:val="24"/>
        </w:rPr>
        <w:t>禁止开发区域，</w:t>
      </w:r>
      <w:r>
        <w:rPr>
          <w:rFonts w:ascii="宋体" w:hAnsi="宋体" w:eastAsia="宋体" w:cs="宋体"/>
          <w:spacing w:val="-63"/>
          <w:sz w:val="24"/>
          <w:szCs w:val="24"/>
        </w:rPr>
        <w:t xml:space="preserve"> </w:t>
      </w:r>
      <w:r>
        <w:rPr>
          <w:rFonts w:ascii="宋体" w:hAnsi="宋体" w:eastAsia="宋体" w:cs="宋体"/>
          <w:spacing w:val="1"/>
          <w:sz w:val="24"/>
          <w:szCs w:val="24"/>
        </w:rPr>
        <w:t>自治区级及以下各级各类自然文化资源保护区域、重要水源地、</w:t>
      </w:r>
      <w:r>
        <w:rPr>
          <w:rFonts w:ascii="宋体" w:hAnsi="宋体" w:eastAsia="宋体" w:cs="宋体"/>
          <w:spacing w:val="3"/>
          <w:sz w:val="24"/>
          <w:szCs w:val="24"/>
        </w:rPr>
        <w:t>重要湿地、湿地公园、水产种质资源保护区及其他</w:t>
      </w:r>
      <w:r>
        <w:rPr>
          <w:rFonts w:ascii="宋体" w:hAnsi="宋体" w:eastAsia="宋体" w:cs="宋体"/>
          <w:spacing w:val="2"/>
          <w:sz w:val="24"/>
          <w:szCs w:val="24"/>
        </w:rPr>
        <w:t>自治区人民政府根据需要确定</w:t>
      </w:r>
      <w:r>
        <w:rPr>
          <w:rFonts w:ascii="宋体" w:hAnsi="宋体" w:eastAsia="宋体" w:cs="宋体"/>
          <w:spacing w:val="-1"/>
          <w:sz w:val="24"/>
          <w:szCs w:val="24"/>
        </w:rPr>
        <w:t>的禁止开发区域。</w:t>
      </w:r>
      <w:r>
        <w:rPr>
          <w:rFonts w:hint="eastAsia" w:ascii="宋体" w:hAnsi="宋体" w:eastAsia="宋体" w:cs="宋体"/>
          <w:spacing w:val="-1"/>
          <w:sz w:val="24"/>
          <w:szCs w:val="24"/>
        </w:rPr>
        <w:t>新疆维吾尔自治区</w:t>
      </w:r>
      <w:bookmarkStart w:id="49" w:name="_GoBack"/>
      <w:bookmarkEnd w:id="49"/>
      <w:r>
        <w:rPr>
          <w:rFonts w:ascii="宋体" w:hAnsi="宋体" w:eastAsia="宋体" w:cs="宋体"/>
          <w:spacing w:val="-1"/>
          <w:sz w:val="24"/>
          <w:szCs w:val="24"/>
        </w:rPr>
        <w:t>级禁止开发区共</w:t>
      </w:r>
      <w:r>
        <w:rPr>
          <w:rFonts w:ascii="宋体" w:hAnsi="宋体" w:eastAsia="宋体" w:cs="宋体"/>
          <w:spacing w:val="-46"/>
          <w:sz w:val="24"/>
          <w:szCs w:val="24"/>
        </w:rPr>
        <w:t xml:space="preserve"> </w:t>
      </w:r>
      <w:r>
        <w:rPr>
          <w:rFonts w:ascii="宋体" w:hAnsi="宋体" w:eastAsia="宋体" w:cs="宋体"/>
          <w:spacing w:val="-1"/>
          <w:sz w:val="24"/>
          <w:szCs w:val="24"/>
        </w:rPr>
        <w:t>63</w:t>
      </w:r>
      <w:r>
        <w:rPr>
          <w:rFonts w:ascii="宋体" w:hAnsi="宋体" w:eastAsia="宋体" w:cs="宋体"/>
          <w:spacing w:val="-41"/>
          <w:sz w:val="24"/>
          <w:szCs w:val="24"/>
        </w:rPr>
        <w:t xml:space="preserve"> </w:t>
      </w:r>
      <w:r>
        <w:rPr>
          <w:rFonts w:ascii="宋体" w:hAnsi="宋体" w:eastAsia="宋体" w:cs="宋体"/>
          <w:spacing w:val="-1"/>
          <w:sz w:val="24"/>
          <w:szCs w:val="24"/>
        </w:rPr>
        <w:t>处，总面积为</w:t>
      </w:r>
      <w:r>
        <w:rPr>
          <w:rFonts w:ascii="宋体" w:hAnsi="宋体" w:eastAsia="宋体" w:cs="宋体"/>
          <w:spacing w:val="-47"/>
          <w:sz w:val="24"/>
          <w:szCs w:val="24"/>
        </w:rPr>
        <w:t xml:space="preserve"> </w:t>
      </w:r>
      <w:r>
        <w:rPr>
          <w:rFonts w:ascii="宋体" w:hAnsi="宋体" w:eastAsia="宋体" w:cs="宋体"/>
          <w:spacing w:val="-1"/>
          <w:sz w:val="24"/>
          <w:szCs w:val="24"/>
        </w:rPr>
        <w:t>94789.47km</w:t>
      </w:r>
      <w:r>
        <w:rPr>
          <w:rFonts w:ascii="宋体" w:hAnsi="宋体" w:eastAsia="宋体" w:cs="宋体"/>
          <w:spacing w:val="-1"/>
          <w:position w:val="11"/>
          <w:sz w:val="12"/>
          <w:szCs w:val="12"/>
        </w:rPr>
        <w:t>2</w:t>
      </w:r>
      <w:r>
        <w:rPr>
          <w:rFonts w:ascii="宋体" w:hAnsi="宋体" w:eastAsia="宋体" w:cs="宋体"/>
          <w:spacing w:val="-26"/>
          <w:position w:val="11"/>
          <w:sz w:val="12"/>
          <w:szCs w:val="12"/>
        </w:rPr>
        <w:t xml:space="preserve"> </w:t>
      </w:r>
      <w:r>
        <w:rPr>
          <w:rFonts w:ascii="宋体" w:hAnsi="宋体" w:eastAsia="宋体" w:cs="宋体"/>
          <w:spacing w:val="-1"/>
          <w:sz w:val="24"/>
          <w:szCs w:val="24"/>
        </w:rPr>
        <w:t>，占全区总面积的</w:t>
      </w:r>
      <w:r>
        <w:rPr>
          <w:rFonts w:ascii="宋体" w:hAnsi="宋体" w:eastAsia="宋体" w:cs="宋体"/>
          <w:spacing w:val="-45"/>
          <w:sz w:val="24"/>
          <w:szCs w:val="24"/>
        </w:rPr>
        <w:t xml:space="preserve"> </w:t>
      </w:r>
      <w:r>
        <w:rPr>
          <w:rFonts w:ascii="宋体" w:hAnsi="宋体" w:eastAsia="宋体" w:cs="宋体"/>
          <w:spacing w:val="-1"/>
          <w:sz w:val="24"/>
          <w:szCs w:val="24"/>
        </w:rPr>
        <w:t>5.69%，木垒县境内有大龙王森林公园。</w:t>
      </w:r>
    </w:p>
    <w:p w14:paraId="66EA77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根据新疆维吾尔自治区主体功能区规划，建设项目建设区域位于重点开发区和限制开发区，不属于禁止开发区域。</w:t>
      </w:r>
    </w:p>
    <w:p w14:paraId="53A85E85">
      <w:pPr>
        <w:spacing w:before="92" w:line="220" w:lineRule="auto"/>
        <w:ind w:left="17"/>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3.3.5</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与新疆生态环境保护“十四五</w:t>
      </w:r>
      <w:r>
        <w:rPr>
          <w:rFonts w:ascii="宋体" w:hAnsi="宋体" w:eastAsia="宋体" w:cs="宋体"/>
          <w:b/>
          <w:bCs/>
          <w:spacing w:val="-100"/>
          <w:sz w:val="28"/>
          <w:szCs w:val="28"/>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”规划的相符性分析</w:t>
      </w:r>
    </w:p>
    <w:p w14:paraId="6411EF7D">
      <w:pPr>
        <w:spacing w:line="360" w:lineRule="auto"/>
        <w:ind w:left="10" w:firstLine="480" w:firstLineChars="200"/>
        <w:rPr>
          <w:rFonts w:ascii="宋体" w:hAnsi="宋体" w:eastAsia="宋体" w:cs="宋体"/>
          <w:sz w:val="24"/>
          <w:szCs w:val="24"/>
        </w:rPr>
      </w:pPr>
      <w:r>
        <w:rPr>
          <w:rFonts w:ascii="宋体" w:hAnsi="宋体" w:eastAsia="宋体" w:cs="宋体"/>
          <w:sz w:val="24"/>
          <w:szCs w:val="24"/>
        </w:rPr>
        <w:t>根据新疆维吾尔自治区人民政府印发的《新疆生态环境保护“十四五 ”规划》目标，“十四五 ”时期，生态文明建设实现新进步，美丽新疆建设取得明显进展</w:t>
      </w:r>
      <w:r>
        <w:rPr>
          <w:rFonts w:hint="eastAsia" w:ascii="宋体" w:hAnsi="宋体" w:eastAsia="宋体" w:cs="宋体"/>
          <w:sz w:val="24"/>
          <w:szCs w:val="24"/>
          <w:lang w:eastAsia="zh-CN"/>
        </w:rPr>
        <w:t>，</w:t>
      </w:r>
      <w:r>
        <w:rPr>
          <w:rFonts w:ascii="宋体" w:hAnsi="宋体" w:eastAsia="宋体" w:cs="宋体"/>
          <w:sz w:val="24"/>
          <w:szCs w:val="24"/>
        </w:rPr>
        <w:t>生态环境保护主要目标：</w:t>
      </w:r>
    </w:p>
    <w:p w14:paraId="6982D975">
      <w:pPr>
        <w:spacing w:line="360" w:lineRule="auto"/>
        <w:ind w:left="10"/>
        <w:rPr>
          <w:rFonts w:ascii="宋体" w:hAnsi="宋体" w:eastAsia="宋体" w:cs="宋体"/>
          <w:sz w:val="24"/>
          <w:szCs w:val="24"/>
        </w:rPr>
      </w:pPr>
      <w:r>
        <w:rPr>
          <w:rFonts w:ascii="宋体" w:hAnsi="宋体" w:eastAsia="宋体" w:cs="宋体"/>
          <w:sz w:val="24"/>
          <w:szCs w:val="24"/>
        </w:rPr>
        <w:t>——生产生活方式绿色转型成效显著。国土空间开发保护格局得到优化，能源开发利用效率大幅提升，能耗和水资源消耗、建设用地、碳排放强度得到有效控制，简约适度、绿色低碳的生活方式加快形成。</w:t>
      </w:r>
    </w:p>
    <w:p w14:paraId="3BAF60F0">
      <w:pPr>
        <w:spacing w:line="360" w:lineRule="auto"/>
        <w:ind w:left="10"/>
        <w:rPr>
          <w:rFonts w:ascii="宋体" w:hAnsi="宋体" w:eastAsia="宋体" w:cs="宋体"/>
          <w:sz w:val="24"/>
          <w:szCs w:val="24"/>
        </w:rPr>
      </w:pPr>
      <w:r>
        <w:rPr>
          <w:rFonts w:ascii="宋体" w:hAnsi="宋体" w:eastAsia="宋体" w:cs="宋体"/>
          <w:sz w:val="24"/>
          <w:szCs w:val="24"/>
        </w:rPr>
        <w:t>——生态环境质量持续改善。主要污染物排放总量持续减少，空气质量稳步改善，重污染天气明显减少，水环境质量保持总体优良，水资源合理开发利用，巩固城市黑臭水体治理成效，城乡人居环境明显改善。</w:t>
      </w:r>
    </w:p>
    <w:p w14:paraId="08CAC100">
      <w:pPr>
        <w:spacing w:line="360" w:lineRule="auto"/>
        <w:ind w:left="10"/>
        <w:rPr>
          <w:rFonts w:ascii="宋体" w:hAnsi="宋体" w:eastAsia="宋体" w:cs="宋体"/>
          <w:sz w:val="24"/>
          <w:szCs w:val="24"/>
        </w:rPr>
      </w:pPr>
      <w:r>
        <w:rPr>
          <w:rFonts w:ascii="宋体" w:hAnsi="宋体" w:eastAsia="宋体" w:cs="宋体"/>
          <w:sz w:val="24"/>
          <w:szCs w:val="24"/>
        </w:rPr>
        <w:t>——生态系统质量稳步提升。生态安全屏障更加牢固，生物多样性得到有效保护，生物安全管理水平显著提高，生态系统服务功能不断增强。</w:t>
      </w:r>
    </w:p>
    <w:p w14:paraId="17E454EB">
      <w:pPr>
        <w:spacing w:line="360" w:lineRule="auto"/>
        <w:ind w:left="10"/>
        <w:rPr>
          <w:rFonts w:ascii="宋体" w:hAnsi="宋体" w:eastAsia="宋体" w:cs="宋体"/>
          <w:sz w:val="24"/>
          <w:szCs w:val="24"/>
        </w:rPr>
      </w:pPr>
      <w:r>
        <w:rPr>
          <w:rFonts w:ascii="宋体" w:hAnsi="宋体" w:eastAsia="宋体" w:cs="宋体"/>
          <w:sz w:val="24"/>
          <w:szCs w:val="24"/>
        </w:rPr>
        <w:t>——环境安全得到有效保障。土壤污染风险管控和安全利用水平巩固提升，固体废物与化学物质环境风险防控能力明显增强，核安全监管持续加强，环境风险得到有效管控。</w:t>
      </w:r>
    </w:p>
    <w:p w14:paraId="41F1FBC2">
      <w:pPr>
        <w:spacing w:line="360" w:lineRule="auto"/>
        <w:ind w:left="10"/>
        <w:rPr>
          <w:rFonts w:ascii="宋体" w:hAnsi="宋体" w:eastAsia="宋体" w:cs="宋体"/>
          <w:sz w:val="24"/>
          <w:szCs w:val="24"/>
        </w:rPr>
      </w:pPr>
      <w:r>
        <w:rPr>
          <w:rFonts w:ascii="宋体" w:hAnsi="宋体" w:eastAsia="宋体" w:cs="宋体"/>
          <w:sz w:val="24"/>
          <w:szCs w:val="24"/>
        </w:rPr>
        <w:t>——现代环境治理体系进一步健全。生态文明制度改革深入推进，生态环境治理能力突出短板加快补齐，生态环境治理效能得到新提升。同时规划还提出：加强水资源、水生态、水环境系统管理，强化水资源刚性 约束，深入推进最严格水资源管理制度......农业灌溉水有效利用系数提高到 0.58；加强水生态保护修复。加强生态水量调度，优化重点河湖生态补水，强化 河湖生态水量保障，保护修复重点河湖水生态。加强涉水生态空间管控和保护， 严格河湖管理范围内的建设项目和有关活动管理......因地制宜调整农业结构和 种植结构，改进耕作方式，减少高耗水作物种植规模，发展节水农业。推进以水 定地、量水生产、适水种植，严控灌溉规模，稳妥有序推进退地减水工作。加强 工程节水，推进农田水利设施提档升级，加快大中型灌区续建配套与节水改造， 在有条件的地方开展重点灌区现代化改造，发展农业高效节水灌溉，提高用水效率和效益。持续推进高标准农田建设。</w:t>
      </w:r>
    </w:p>
    <w:p w14:paraId="1DC762C0">
      <w:pPr>
        <w:spacing w:line="360" w:lineRule="auto"/>
        <w:ind w:left="10" w:firstLine="480" w:firstLineChars="200"/>
        <w:rPr>
          <w:rFonts w:ascii="宋体" w:hAnsi="宋体" w:eastAsia="宋体" w:cs="宋体"/>
          <w:sz w:val="24"/>
          <w:szCs w:val="24"/>
        </w:rPr>
      </w:pPr>
      <w:r>
        <w:rPr>
          <w:rFonts w:ascii="宋体" w:hAnsi="宋体" w:eastAsia="宋体" w:cs="宋体"/>
          <w:sz w:val="24"/>
          <w:szCs w:val="24"/>
        </w:rPr>
        <w:t>本工程为灌区配套设施的节水改造工程，针对原有破损、老化的灌溉渠道进 行防渗改造，建设相关渠系构筑物，同时对现状</w:t>
      </w:r>
      <w:r>
        <w:rPr>
          <w:rFonts w:hint="eastAsia" w:ascii="宋体" w:hAnsi="宋体" w:eastAsia="宋体" w:cs="宋体"/>
          <w:sz w:val="24"/>
          <w:szCs w:val="24"/>
          <w:lang w:eastAsia="zh-CN"/>
        </w:rPr>
        <w:t>泵房</w:t>
      </w:r>
      <w:r>
        <w:rPr>
          <w:rFonts w:ascii="宋体" w:hAnsi="宋体" w:eastAsia="宋体" w:cs="宋体"/>
          <w:sz w:val="24"/>
          <w:szCs w:val="24"/>
        </w:rPr>
        <w:t>进行改建。工程实施后可 有效缓解灌区水资源短缺、提高灌区灌溉水资源的有效利用率，实现水资源可持 续利用，有利于建立优势农业和精品农业，项目本身属于农田水利设施提档升级 类工程，运行期间不排放废气、废水、固废等污染物，不会引起生态环境质量恶</w:t>
      </w:r>
    </w:p>
    <w:p w14:paraId="30B27470">
      <w:pPr>
        <w:spacing w:line="360" w:lineRule="auto"/>
        <w:ind w:left="10"/>
        <w:rPr>
          <w:rFonts w:ascii="宋体" w:hAnsi="宋体" w:eastAsia="宋体" w:cs="宋体"/>
          <w:sz w:val="24"/>
          <w:szCs w:val="24"/>
        </w:rPr>
      </w:pPr>
      <w:r>
        <w:rPr>
          <w:rFonts w:ascii="宋体" w:hAnsi="宋体" w:eastAsia="宋体" w:cs="宋体"/>
          <w:sz w:val="24"/>
          <w:szCs w:val="24"/>
        </w:rPr>
        <w:t>化。本工程施工完成后会对临时占地进行平整并恢复植被，对当地生态系统影响较小。综上，本工程符合《新疆生态环境保护“十四五 ”规划》中有关规定。</w:t>
      </w:r>
    </w:p>
    <w:p w14:paraId="4BA65FF4">
      <w:pPr>
        <w:spacing w:before="91" w:line="220" w:lineRule="auto"/>
        <w:ind w:left="17"/>
        <w:outlineLvl w:val="2"/>
        <w:rPr>
          <w:rFonts w:ascii="宋体" w:hAnsi="宋体" w:eastAsia="宋体" w:cs="宋体"/>
          <w:b/>
          <w:bCs/>
          <w:sz w:val="28"/>
          <w:szCs w:val="28"/>
        </w:rPr>
      </w:pPr>
      <w:r>
        <w:rPr>
          <w:rFonts w:ascii="宋体" w:hAnsi="宋体" w:eastAsia="宋体" w:cs="宋体"/>
          <w:b/>
          <w:bCs/>
          <w:sz w:val="28"/>
          <w:szCs w:val="28"/>
          <w14:textOutline w14:w="5103" w14:cap="sq" w14:cmpd="sng">
            <w14:solidFill>
              <w14:srgbClr w14:val="000000"/>
            </w14:solidFill>
            <w14:prstDash w14:val="solid"/>
            <w14:bevel/>
          </w14:textOutline>
        </w:rPr>
        <w:t>3.3.</w:t>
      </w:r>
      <w:r>
        <w:rPr>
          <w:rFonts w:hint="eastAsia" w:ascii="宋体" w:hAnsi="宋体" w:eastAsia="宋体" w:cs="宋体"/>
          <w:b/>
          <w:bCs/>
          <w:sz w:val="28"/>
          <w:szCs w:val="28"/>
          <w:lang w:val="en-US" w:eastAsia="zh-CN"/>
          <w14:textOutline w14:w="5103" w14:cap="sq" w14:cmpd="sng">
            <w14:solidFill>
              <w14:srgbClr w14:val="000000"/>
            </w14:solidFill>
            <w14:prstDash w14:val="solid"/>
            <w14:bevel/>
          </w14:textOutline>
        </w:rPr>
        <w:t xml:space="preserve">6 </w:t>
      </w:r>
      <w:r>
        <w:rPr>
          <w:rFonts w:ascii="宋体" w:hAnsi="宋体" w:eastAsia="宋体" w:cs="宋体"/>
          <w:b/>
          <w:bCs/>
          <w:sz w:val="28"/>
          <w:szCs w:val="28"/>
          <w14:textOutline w14:w="5103" w14:cap="sq" w14:cmpd="sng">
            <w14:solidFill>
              <w14:srgbClr w14:val="000000"/>
            </w14:solidFill>
            <w14:prstDash w14:val="solid"/>
            <w14:bevel/>
          </w14:textOutline>
        </w:rPr>
        <w:t>与《</w:t>
      </w:r>
      <w:r>
        <w:rPr>
          <w:rFonts w:hint="eastAsia" w:ascii="宋体" w:hAnsi="宋体" w:eastAsia="宋体" w:cs="宋体"/>
          <w:b/>
          <w:bCs/>
          <w:sz w:val="28"/>
          <w:szCs w:val="28"/>
          <w:lang w:eastAsia="zh-CN"/>
          <w14:textOutline w14:w="5103" w14:cap="sq" w14:cmpd="sng">
            <w14:solidFill>
              <w14:srgbClr w14:val="000000"/>
            </w14:solidFill>
            <w14:prstDash w14:val="solid"/>
            <w14:bevel/>
          </w14:textOutline>
        </w:rPr>
        <w:t>新疆吐鲁番艾丁湖国家湿地公园总体规划（2017—2021）</w:t>
      </w:r>
      <w:r>
        <w:rPr>
          <w:rFonts w:ascii="宋体" w:hAnsi="宋体" w:eastAsia="宋体" w:cs="宋体"/>
          <w:b/>
          <w:bCs/>
          <w:sz w:val="28"/>
          <w:szCs w:val="28"/>
          <w14:textOutline w14:w="5103" w14:cap="sq" w14:cmpd="sng">
            <w14:solidFill>
              <w14:srgbClr w14:val="000000"/>
            </w14:solidFill>
            <w14:prstDash w14:val="solid"/>
            <w14:bevel/>
          </w14:textOutline>
        </w:rPr>
        <w:t>》的符合性</w:t>
      </w:r>
      <w:r>
        <w:rPr>
          <w:rFonts w:ascii="宋体" w:hAnsi="宋体" w:eastAsia="宋体" w:cs="宋体"/>
          <w:b/>
          <w:bCs/>
          <w:spacing w:val="-7"/>
          <w:sz w:val="28"/>
          <w:szCs w:val="28"/>
          <w14:textOutline w14:w="5103" w14:cap="sq" w14:cmpd="sng">
            <w14:solidFill>
              <w14:srgbClr w14:val="000000"/>
            </w14:solidFill>
            <w14:prstDash w14:val="solid"/>
            <w14:bevel/>
          </w14:textOutline>
        </w:rPr>
        <w:t>分析</w:t>
      </w:r>
    </w:p>
    <w:p w14:paraId="745163C9">
      <w:pPr>
        <w:spacing w:before="276" w:line="360" w:lineRule="auto"/>
        <w:ind w:left="23" w:right="26" w:firstLine="480"/>
        <w:rPr>
          <w:rFonts w:ascii="宋体" w:hAnsi="宋体" w:eastAsia="宋体" w:cs="宋体"/>
          <w:sz w:val="24"/>
          <w:szCs w:val="24"/>
        </w:rPr>
      </w:pPr>
      <w:r>
        <w:rPr>
          <w:rFonts w:ascii="宋体" w:hAnsi="宋体" w:eastAsia="宋体" w:cs="宋体"/>
          <w:spacing w:val="-3"/>
          <w:sz w:val="24"/>
          <w:szCs w:val="24"/>
        </w:rPr>
        <w:t>根据《国家湿地公园管理办法》规定，禁止下列行为：开</w:t>
      </w:r>
      <w:r>
        <w:rPr>
          <w:rFonts w:ascii="宋体" w:hAnsi="宋体" w:eastAsia="宋体" w:cs="宋体"/>
          <w:spacing w:val="-4"/>
          <w:sz w:val="24"/>
          <w:szCs w:val="24"/>
        </w:rPr>
        <w:t>（围）垦、填埋或</w:t>
      </w:r>
      <w:r>
        <w:rPr>
          <w:rFonts w:ascii="宋体" w:hAnsi="宋体" w:eastAsia="宋体" w:cs="宋体"/>
          <w:spacing w:val="-1"/>
          <w:sz w:val="24"/>
          <w:szCs w:val="24"/>
        </w:rPr>
        <w:t>者排干湿地；截断湿地水源；挖沙、采矿；</w:t>
      </w:r>
      <w:r>
        <w:rPr>
          <w:rFonts w:ascii="宋体" w:hAnsi="宋体" w:eastAsia="宋体" w:cs="宋体"/>
          <w:spacing w:val="-2"/>
          <w:sz w:val="24"/>
          <w:szCs w:val="24"/>
        </w:rPr>
        <w:t>倾倒有毒有害物质、废弃物、垃圾；</w:t>
      </w:r>
      <w:r>
        <w:rPr>
          <w:rFonts w:ascii="宋体" w:hAnsi="宋体" w:eastAsia="宋体" w:cs="宋体"/>
          <w:spacing w:val="-3"/>
          <w:sz w:val="24"/>
          <w:szCs w:val="24"/>
        </w:rPr>
        <w:t>从事房地产、度假村、高尔夫球场、风力发电、光伏发电等任何不符合主体功能</w:t>
      </w:r>
      <w:r>
        <w:rPr>
          <w:rFonts w:ascii="宋体" w:hAnsi="宋体" w:eastAsia="宋体" w:cs="宋体"/>
          <w:spacing w:val="-1"/>
          <w:sz w:val="24"/>
          <w:szCs w:val="24"/>
        </w:rPr>
        <w:t>定位的建设项目和开发活动；破坏野生动物</w:t>
      </w:r>
      <w:r>
        <w:rPr>
          <w:rFonts w:ascii="宋体" w:hAnsi="宋体" w:eastAsia="宋体" w:cs="宋体"/>
          <w:spacing w:val="-2"/>
          <w:sz w:val="24"/>
          <w:szCs w:val="24"/>
        </w:rPr>
        <w:t>栖息地和迁徙通道、鱼类洄游通道，</w:t>
      </w:r>
      <w:r>
        <w:rPr>
          <w:rFonts w:ascii="宋体" w:hAnsi="宋体" w:eastAsia="宋体" w:cs="宋体"/>
          <w:spacing w:val="-1"/>
          <w:sz w:val="24"/>
          <w:szCs w:val="24"/>
        </w:rPr>
        <w:t>滥采滥捕野生动植物。；引入外来物种；擅</w:t>
      </w:r>
      <w:r>
        <w:rPr>
          <w:rFonts w:ascii="宋体" w:hAnsi="宋体" w:eastAsia="宋体" w:cs="宋体"/>
          <w:spacing w:val="-2"/>
          <w:sz w:val="24"/>
          <w:szCs w:val="24"/>
        </w:rPr>
        <w:t>自放牧、捕捞、取土、取水、排污、</w:t>
      </w:r>
    </w:p>
    <w:p w14:paraId="09EBE238">
      <w:pPr>
        <w:keepNext w:val="0"/>
        <w:keepLines w:val="0"/>
        <w:pageBreakBefore w:val="0"/>
        <w:widowControl/>
        <w:kinsoku w:val="0"/>
        <w:wordWrap/>
        <w:overflowPunct/>
        <w:topLinePunct w:val="0"/>
        <w:autoSpaceDE w:val="0"/>
        <w:autoSpaceDN w:val="0"/>
        <w:bidi w:val="0"/>
        <w:adjustRightInd w:val="0"/>
        <w:snapToGrid w:val="0"/>
        <w:spacing w:line="360" w:lineRule="auto"/>
        <w:ind w:left="23"/>
        <w:textAlignment w:val="baseline"/>
        <w:rPr>
          <w:rFonts w:ascii="宋体" w:hAnsi="宋体" w:eastAsia="宋体" w:cs="宋体"/>
          <w:sz w:val="24"/>
          <w:szCs w:val="24"/>
        </w:rPr>
      </w:pPr>
      <w:r>
        <w:rPr>
          <w:rFonts w:ascii="宋体" w:hAnsi="宋体" w:eastAsia="宋体" w:cs="宋体"/>
          <w:spacing w:val="-1"/>
          <w:sz w:val="24"/>
          <w:szCs w:val="24"/>
        </w:rPr>
        <w:t>放生；其他破坏湿地及其生态功能的活动。</w:t>
      </w:r>
    </w:p>
    <w:p w14:paraId="1CF4E82C">
      <w:pPr>
        <w:keepNext w:val="0"/>
        <w:keepLines w:val="0"/>
        <w:pageBreakBefore w:val="0"/>
        <w:widowControl/>
        <w:kinsoku w:val="0"/>
        <w:wordWrap/>
        <w:overflowPunct/>
        <w:topLinePunct w:val="0"/>
        <w:autoSpaceDE w:val="0"/>
        <w:autoSpaceDN w:val="0"/>
        <w:bidi w:val="0"/>
        <w:adjustRightInd w:val="0"/>
        <w:snapToGrid w:val="0"/>
        <w:spacing w:line="360" w:lineRule="auto"/>
        <w:ind w:left="23" w:right="80" w:firstLine="482"/>
        <w:textAlignment w:val="baseline"/>
        <w:rPr>
          <w:rFonts w:ascii="宋体" w:hAnsi="宋体" w:eastAsia="宋体" w:cs="宋体"/>
          <w:sz w:val="24"/>
          <w:szCs w:val="24"/>
        </w:rPr>
      </w:pPr>
      <w:r>
        <w:rPr>
          <w:rFonts w:ascii="宋体" w:hAnsi="宋体" w:eastAsia="宋体" w:cs="宋体"/>
          <w:spacing w:val="-3"/>
          <w:sz w:val="24"/>
          <w:szCs w:val="24"/>
        </w:rPr>
        <w:t>艾丁湖位于中国新疆维吾尔自治区吐鲁番盆地西南部，是</w:t>
      </w:r>
      <w:r>
        <w:rPr>
          <w:rFonts w:ascii="宋体" w:hAnsi="宋体" w:eastAsia="宋体" w:cs="宋体"/>
          <w:spacing w:val="-4"/>
          <w:sz w:val="24"/>
          <w:szCs w:val="24"/>
        </w:rPr>
        <w:t>中国陆地上的最低</w:t>
      </w:r>
      <w:r>
        <w:rPr>
          <w:rFonts w:ascii="宋体" w:hAnsi="宋体" w:eastAsia="宋体" w:cs="宋体"/>
          <w:spacing w:val="-3"/>
          <w:sz w:val="24"/>
          <w:szCs w:val="24"/>
        </w:rPr>
        <w:t>点，也是世界上仅次于约旦死海的第二低地。目前艾丁湖的主要补给水源可分为三类：首先主要来自地表径流。阿拉沟是吐鲁番盆地内的一条河流，夏季洪水期间，部分河水会流入艾丁湖。然而，由于上游用水量的增加，流入艾丁湖的水量</w:t>
      </w:r>
      <w:r>
        <w:rPr>
          <w:rFonts w:ascii="宋体" w:hAnsi="宋体" w:eastAsia="宋体" w:cs="宋体"/>
          <w:spacing w:val="-3"/>
          <w:sz w:val="24"/>
          <w:szCs w:val="24"/>
          <w:u w:val="none"/>
        </w:rPr>
        <w:t>逐年减少，目前仅有白杨河和阿拉沟河汛期洪水能够季节性补给艾丁湖。其次坎</w:t>
      </w:r>
      <w:r>
        <mc:AlternateContent>
          <mc:Choice Requires="wps">
            <w:drawing>
              <wp:anchor distT="0" distB="0" distL="114300" distR="114300" simplePos="0" relativeHeight="251667456" behindDoc="0" locked="0" layoutInCell="0" allowOverlap="1">
                <wp:simplePos x="0" y="0"/>
                <wp:positionH relativeFrom="page">
                  <wp:posOffset>1143000</wp:posOffset>
                </wp:positionH>
                <wp:positionV relativeFrom="page">
                  <wp:posOffset>923290</wp:posOffset>
                </wp:positionV>
                <wp:extent cx="5274310" cy="9525"/>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274310" cy="9525"/>
                        </a:xfrm>
                        <a:custGeom>
                          <a:avLst/>
                          <a:gdLst/>
                          <a:ahLst/>
                          <a:cxnLst/>
                          <a:pathLst>
                            <a:path w="8305" h="15">
                              <a:moveTo>
                                <a:pt x="0" y="0"/>
                              </a:moveTo>
                              <a:lnTo>
                                <a:pt x="8305" y="0"/>
                              </a:lnTo>
                              <a:lnTo>
                                <a:pt x="8305" y="14"/>
                              </a:lnTo>
                              <a:lnTo>
                                <a:pt x="0" y="14"/>
                              </a:lnTo>
                              <a:lnTo>
                                <a:pt x="0" y="0"/>
                              </a:lnTo>
                              <a:close/>
                            </a:path>
                          </a:pathLst>
                        </a:custGeom>
                        <a:noFill/>
                        <a:ln>
                          <a:noFill/>
                        </a:ln>
                      </wps:spPr>
                      <wps:bodyPr upright="1"/>
                    </wps:wsp>
                  </a:graphicData>
                </a:graphic>
              </wp:anchor>
            </w:drawing>
          </mc:Choice>
          <mc:Fallback>
            <w:pict>
              <v:shape id="_x0000_s1026" o:spid="_x0000_s1026" o:spt="100" style="position:absolute;left:0pt;margin-left:90pt;margin-top:72.7pt;height:0.75pt;width:415.3pt;mso-position-horizontal-relative:page;mso-position-vertical-relative:page;z-index:251667456;mso-width-relative:page;mso-height-relative:page;" filled="f" stroked="f" coordsize="8305,15" o:allowincell="f" o:gfxdata="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L8cH2QAAAAwBAAAPAAAAAAAAAAEAIAAAACIAAABkcnMvZG93&#10;bnJldi54bWxQSwECFAAUAAAACACHTuJAi0oOlv8BAABUBAAADgAAAAAAAAABACAAAAAoAQAAZHJz&#10;L2Uyb0RvYy54bWxQSwUGAAAAAAYABgBZAQAAmQUAAAAA&#10;" path="m0,0l8305,0,8305,14,0,14,0,0xe">
                <v:fill on="f" focussize="0,0"/>
                <v:stroke on="f"/>
                <v:imagedata o:title=""/>
                <o:lock v:ext="edit" aspectratio="f"/>
              </v:shape>
            </w:pict>
          </mc:Fallback>
        </mc:AlternateContent>
      </w:r>
      <w:r>
        <w:rPr>
          <w:rFonts w:ascii="宋体" w:hAnsi="宋体" w:eastAsia="宋体" w:cs="宋体"/>
          <w:spacing w:val="-3"/>
          <w:sz w:val="24"/>
          <w:szCs w:val="24"/>
        </w:rPr>
        <w:t>儿井是新疆地区特有的一种灌溉方式，通过地下渠道将山区水源引入农</w:t>
      </w:r>
      <w:r>
        <w:rPr>
          <w:rFonts w:ascii="宋体" w:hAnsi="宋体" w:eastAsia="宋体" w:cs="宋体"/>
          <w:spacing w:val="-4"/>
          <w:sz w:val="24"/>
          <w:szCs w:val="24"/>
        </w:rPr>
        <w:t>田。冬季</w:t>
      </w:r>
      <w:r>
        <w:rPr>
          <w:rFonts w:ascii="宋体" w:hAnsi="宋体" w:eastAsia="宋体" w:cs="宋体"/>
          <w:spacing w:val="-8"/>
          <w:sz w:val="24"/>
          <w:szCs w:val="24"/>
        </w:rPr>
        <w:t>时，坎儿井的流量会减少，部分水会渗入地下，通过地下径流补给艾丁湖。然而，</w:t>
      </w:r>
      <w:r>
        <w:rPr>
          <w:rFonts w:ascii="宋体" w:hAnsi="宋体" w:eastAsia="宋体" w:cs="宋体"/>
          <w:spacing w:val="-3"/>
          <w:sz w:val="24"/>
          <w:szCs w:val="24"/>
        </w:rPr>
        <w:t>由于在坎儿井出口处修建水库蓄纳冬水，故坎儿井水对艾丁湖的补给量也是越来越少。第三吐鲁番盆地内的农田灌溉会产生大量排水，这些排水通过地下径流进入艾丁湖。然而，随着吐鲁番盆地用水的大量增加，地下水开采量逐年增大，地下水位连年下降，导致灌区排水对艾丁湖的补给量也逐渐减少。综上所述，艾丁湖的主要补给水源包括河流夏季洪水、坎儿井冬季流量和灌区排水。然而，由于多种原因，这些补给水源的数量和质量都受到了影响，导致艾丁湖的水量逐年减少，甚至出现干涸的现象。</w:t>
      </w:r>
    </w:p>
    <w:p w14:paraId="2CCE6D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sz w:val="24"/>
          <w:szCs w:val="24"/>
        </w:rPr>
        <w:t>因此，本工程的建设符合《</w:t>
      </w:r>
      <w:r>
        <w:rPr>
          <w:rFonts w:hint="eastAsia"/>
          <w:sz w:val="24"/>
          <w:szCs w:val="24"/>
          <w:lang w:eastAsia="zh-CN"/>
        </w:rPr>
        <w:t>新疆吐鲁番艾丁湖国家湿地公园总体规划</w:t>
      </w:r>
      <w:r>
        <w:rPr>
          <w:rFonts w:hint="eastAsia" w:ascii="宋体" w:hAnsi="宋体" w:eastAsia="宋体" w:cs="宋体"/>
          <w:sz w:val="24"/>
          <w:szCs w:val="24"/>
          <w:lang w:eastAsia="zh-CN"/>
        </w:rPr>
        <w:t>（2017—2021）</w:t>
      </w:r>
      <w:r>
        <w:rPr>
          <w:rFonts w:hint="eastAsia" w:ascii="宋体" w:hAnsi="宋体" w:eastAsia="宋体" w:cs="宋体"/>
          <w:sz w:val="24"/>
          <w:szCs w:val="24"/>
        </w:rPr>
        <w:t>》的要求。</w:t>
      </w:r>
    </w:p>
    <w:p w14:paraId="5EECC522">
      <w:pPr>
        <w:spacing w:before="91" w:line="220" w:lineRule="auto"/>
        <w:ind w:left="17"/>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3.3.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7 </w:t>
      </w:r>
      <w:r>
        <w:rPr>
          <w:rFonts w:ascii="宋体" w:hAnsi="宋体" w:eastAsia="宋体" w:cs="宋体"/>
          <w:b/>
          <w:bCs/>
          <w:spacing w:val="-1"/>
          <w:sz w:val="28"/>
          <w:szCs w:val="28"/>
          <w14:textOutline w14:w="5103" w14:cap="sq" w14:cmpd="sng">
            <w14:solidFill>
              <w14:srgbClr w14:val="000000"/>
            </w14:solidFill>
            <w14:prstDash w14:val="solid"/>
            <w14:bevel/>
          </w14:textOutline>
        </w:rPr>
        <w:t>工程与三线一单的相符性</w:t>
      </w:r>
    </w:p>
    <w:p w14:paraId="5D49509B">
      <w:pPr>
        <w:spacing w:before="205" w:line="219" w:lineRule="auto"/>
        <w:ind w:left="14"/>
        <w:outlineLvl w:val="3"/>
        <w:rPr>
          <w:rFonts w:ascii="宋体" w:hAnsi="宋体" w:eastAsia="宋体" w:cs="宋体"/>
          <w:b/>
          <w:bCs/>
          <w:sz w:val="24"/>
          <w:szCs w:val="24"/>
        </w:rPr>
      </w:pPr>
      <w:r>
        <w:rPr>
          <w:b/>
          <w:bCs/>
        </w:rPr>
        <w:fldChar w:fldCharType="begin"/>
      </w:r>
      <w:r>
        <w:rPr>
          <w:b/>
          <w:bCs/>
        </w:rPr>
        <w:instrText xml:space="preserve"> HYPERLINK "3.3.9.1"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3.3.</w:t>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7</w:t>
      </w:r>
      <w:r>
        <w:rPr>
          <w:rFonts w:ascii="宋体" w:hAnsi="宋体" w:eastAsia="宋体" w:cs="宋体"/>
          <w:b/>
          <w:bCs/>
          <w:spacing w:val="-1"/>
          <w:sz w:val="24"/>
          <w:szCs w:val="24"/>
          <w14:textOutline w14:w="4358" w14:cap="sq" w14:cmpd="sng">
            <w14:solidFill>
              <w14:srgbClr w14:val="000000"/>
            </w14:solidFill>
            <w14:prstDash w14:val="solid"/>
            <w14:bevel/>
          </w14:textOutline>
        </w:rPr>
        <w:t>.1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新疆维吾尔自治区七大片区“三线一单</w:t>
      </w:r>
      <w:r>
        <w:rPr>
          <w:rFonts w:ascii="宋体" w:hAnsi="宋体" w:eastAsia="宋体" w:cs="宋体"/>
          <w:b/>
          <w:bCs/>
          <w:spacing w:val="-88"/>
          <w:sz w:val="24"/>
          <w:szCs w:val="24"/>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”生态环境分区管控要求符合性</w:t>
      </w:r>
    </w:p>
    <w:p w14:paraId="08C5F7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rPr>
      </w:pPr>
      <w:r>
        <w:rPr>
          <w:sz w:val="24"/>
          <w:szCs w:val="24"/>
        </w:rPr>
        <w:t>根据《自治区生态环境分区管控方案和七大片区管控要求》，本项目位于吐</w:t>
      </w:r>
      <w:r>
        <w:rPr>
          <w:sz w:val="24"/>
          <w:szCs w:val="24"/>
        </w:rPr>
        <mc:AlternateContent>
          <mc:Choice Requires="wps">
            <w:drawing>
              <wp:anchor distT="0" distB="0" distL="114300" distR="114300" simplePos="0" relativeHeight="251669504" behindDoc="0" locked="0" layoutInCell="0" allowOverlap="1">
                <wp:simplePos x="0" y="0"/>
                <wp:positionH relativeFrom="page">
                  <wp:posOffset>3647440</wp:posOffset>
                </wp:positionH>
                <wp:positionV relativeFrom="page">
                  <wp:posOffset>9950450</wp:posOffset>
                </wp:positionV>
                <wp:extent cx="267970" cy="806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67970" cy="80645"/>
                        </a:xfrm>
                        <a:prstGeom prst="rect">
                          <a:avLst/>
                        </a:prstGeom>
                        <a:noFill/>
                        <a:ln>
                          <a:noFill/>
                        </a:ln>
                      </wps:spPr>
                      <wps:txbx>
                        <w:txbxContent>
                          <w:p w14:paraId="20860EA2">
                            <w:pPr>
                              <w:spacing w:before="20" w:line="8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w:t>
                            </w:r>
                            <w:r>
                              <w:rPr>
                                <w:rFonts w:ascii="Times New Roman" w:hAnsi="Times New Roman" w:eastAsia="Times New Roman" w:cs="Times New Roman"/>
                                <w:spacing w:val="1"/>
                                <w:position w:val="-1"/>
                                <w:sz w:val="18"/>
                                <w:szCs w:val="18"/>
                              </w:rPr>
                              <w:t xml:space="preserve">      </w:t>
                            </w:r>
                            <w:r>
                              <w:rPr>
                                <w:rFonts w:ascii="Times New Roman" w:hAnsi="Times New Roman" w:eastAsia="Times New Roman" w:cs="Times New Roman"/>
                                <w:spacing w:val="-4"/>
                                <w:position w:val="-1"/>
                                <w:sz w:val="18"/>
                                <w:szCs w:val="18"/>
                              </w:rPr>
                              <w:t>-</w:t>
                            </w:r>
                          </w:p>
                        </w:txbxContent>
                      </wps:txbx>
                      <wps:bodyPr lIns="0" tIns="0" rIns="0" bIns="0" upright="1"/>
                    </wps:wsp>
                  </a:graphicData>
                </a:graphic>
              </wp:anchor>
            </w:drawing>
          </mc:Choice>
          <mc:Fallback>
            <w:pict>
              <v:shape id="_x0000_s1026" o:spid="_x0000_s1026" o:spt="202" type="#_x0000_t202" style="position:absolute;left:0pt;margin-left:287.2pt;margin-top:783.5pt;height:6.35pt;width:21.1pt;mso-position-horizontal-relative:page;mso-position-vertical-relative:page;z-index:251669504;mso-width-relative:page;mso-height-relative:page;" filled="f" stroked="f" coordsize="21600,21600" o:allowincell="f" o:gfxdata="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3HokdoAAAANAQAADwAAAAAAAAABACAAAAAiAAAAZHJzL2Rvd25yZXYueG1sUEsB&#10;AhQAFAAAAAgAh07iQEzJqSi6AQAAcgMAAA4AAAAAAAAAAQAgAAAAKQEAAGRycy9lMm9Eb2MueG1s&#10;UEsFBgAAAAAGAAYAWQEAAFUFAAAAAA==&#10;">
                <v:fill on="f" focussize="0,0"/>
                <v:stroke on="f"/>
                <v:imagedata o:title=""/>
                <o:lock v:ext="edit" aspectratio="f"/>
                <v:textbox inset="0mm,0mm,0mm,0mm">
                  <w:txbxContent>
                    <w:p w14:paraId="20860EA2">
                      <w:pPr>
                        <w:spacing w:before="20" w:line="8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w:t>
                      </w:r>
                      <w:r>
                        <w:rPr>
                          <w:rFonts w:ascii="Times New Roman" w:hAnsi="Times New Roman" w:eastAsia="Times New Roman" w:cs="Times New Roman"/>
                          <w:spacing w:val="1"/>
                          <w:position w:val="-1"/>
                          <w:sz w:val="18"/>
                          <w:szCs w:val="18"/>
                        </w:rPr>
                        <w:t xml:space="preserve">      </w:t>
                      </w:r>
                      <w:r>
                        <w:rPr>
                          <w:rFonts w:ascii="Times New Roman" w:hAnsi="Times New Roman" w:eastAsia="Times New Roman" w:cs="Times New Roman"/>
                          <w:spacing w:val="-4"/>
                          <w:position w:val="-1"/>
                          <w:sz w:val="18"/>
                          <w:szCs w:val="18"/>
                        </w:rPr>
                        <w:t>-</w:t>
                      </w:r>
                    </w:p>
                  </w:txbxContent>
                </v:textbox>
              </v:shape>
            </w:pict>
          </mc:Fallback>
        </mc:AlternateContent>
      </w:r>
      <w:r>
        <w:rPr>
          <w:sz w:val="24"/>
          <w:szCs w:val="24"/>
        </w:rPr>
        <w:t>鲁番市高昌区，属于吐哈片区，本项目与《新疆维吾尔自治区七大片区“三线一单”生态环境分区管控要求》符合性见表。</w:t>
      </w:r>
    </w:p>
    <w:p w14:paraId="7C9FA6A1">
      <w:pPr>
        <w:pStyle w:val="4"/>
        <w:rPr>
          <w:sz w:val="24"/>
          <w:szCs w:val="24"/>
        </w:rPr>
        <w:sectPr>
          <w:headerReference r:id="rId9" w:type="default"/>
          <w:footerReference r:id="rId10" w:type="default"/>
          <w:pgSz w:w="11905" w:h="16839"/>
          <w:pgMar w:top="1151" w:right="1620" w:bottom="1120" w:left="1701" w:header="882" w:footer="842" w:gutter="0"/>
          <w:pgBorders>
            <w:top w:val="none" w:sz="0" w:space="0"/>
            <w:left w:val="none" w:sz="0" w:space="0"/>
            <w:bottom w:val="none" w:sz="0" w:space="0"/>
            <w:right w:val="none" w:sz="0" w:space="0"/>
          </w:pgBorders>
          <w:pgNumType w:fmt="decimal"/>
          <w:cols w:space="720" w:num="1"/>
        </w:sectPr>
      </w:pPr>
    </w:p>
    <w:p w14:paraId="3AACC866">
      <w:pPr>
        <w:pStyle w:val="5"/>
        <w:jc w:val="center"/>
        <w:rPr>
          <w:rFonts w:hint="default"/>
          <w:lang w:val="en-US" w:eastAsia="zh-CN"/>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43"/>
          <w:sz w:val="20"/>
          <w:szCs w:val="20"/>
        </w:rPr>
        <w:t xml:space="preserve"> </w:t>
      </w:r>
      <w:r>
        <w:rPr>
          <w:rFonts w:hint="eastAsia" w:ascii="Times New Roman" w:hAnsi="Times New Roman" w:eastAsia="宋体" w:cs="Times New Roman"/>
          <w:b/>
          <w:bCs/>
          <w:spacing w:val="7"/>
          <w:sz w:val="20"/>
          <w:szCs w:val="20"/>
          <w:lang w:val="en-US" w:eastAsia="zh-CN"/>
        </w:rPr>
        <w:t>3-3</w:t>
      </w:r>
      <w:r>
        <w:rPr>
          <w:rFonts w:ascii="Times New Roman" w:hAnsi="Times New Roman" w:eastAsia="Times New Roman" w:cs="Times New Roman"/>
          <w:b/>
          <w:bCs/>
          <w:spacing w:val="7"/>
          <w:sz w:val="20"/>
          <w:szCs w:val="20"/>
        </w:rPr>
        <w:t>-</w:t>
      </w:r>
      <w:r>
        <w:rPr>
          <w:rFonts w:hint="eastAsia" w:ascii="Times New Roman" w:hAnsi="Times New Roman" w:eastAsia="宋体" w:cs="Times New Roman"/>
          <w:b/>
          <w:bCs/>
          <w:spacing w:val="7"/>
          <w:sz w:val="20"/>
          <w:szCs w:val="20"/>
          <w:lang w:val="en-US" w:eastAsia="zh-CN"/>
        </w:rPr>
        <w:t>2</w:t>
      </w:r>
      <w:r>
        <w:rPr>
          <w:rFonts w:ascii="Times New Roman" w:hAnsi="Times New Roman" w:eastAsia="Times New Roman" w:cs="Times New Roman"/>
          <w:b/>
          <w:bCs/>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七大片区</w:t>
      </w:r>
      <w:r>
        <w:rPr>
          <w:rFonts w:ascii="Times New Roman" w:hAnsi="Times New Roman" w:eastAsia="Times New Roman" w:cs="Times New Roman"/>
          <w:b/>
          <w:bCs/>
          <w:spacing w:val="7"/>
          <w:sz w:val="20"/>
          <w:szCs w:val="20"/>
        </w:rPr>
        <w:t>“</w:t>
      </w:r>
      <w:r>
        <w:rPr>
          <w:rFonts w:ascii="宋体" w:hAnsi="宋体" w:eastAsia="宋体" w:cs="宋体"/>
          <w:spacing w:val="7"/>
          <w:sz w:val="20"/>
          <w:szCs w:val="20"/>
          <w14:textOutline w14:w="3795" w14:cap="sq" w14:cmpd="sng">
            <w14:solidFill>
              <w14:srgbClr w14:val="000000"/>
            </w14:solidFill>
            <w14:prstDash w14:val="solid"/>
            <w14:bevel/>
          </w14:textOutline>
        </w:rPr>
        <w:t>三线一单</w:t>
      </w:r>
      <w:r>
        <w:rPr>
          <w:rFonts w:ascii="Times New Roman" w:hAnsi="Times New Roman" w:eastAsia="Times New Roman" w:cs="Times New Roman"/>
          <w:b/>
          <w:bCs/>
          <w:spacing w:val="7"/>
          <w:sz w:val="20"/>
          <w:szCs w:val="20"/>
        </w:rPr>
        <w:t>”</w:t>
      </w:r>
      <w:r>
        <w:rPr>
          <w:rFonts w:ascii="宋体" w:hAnsi="宋体" w:eastAsia="宋体" w:cs="宋体"/>
          <w:spacing w:val="7"/>
          <w:sz w:val="20"/>
          <w:szCs w:val="20"/>
          <w14:textOutline w14:w="3795" w14:cap="sq" w14:cmpd="sng">
            <w14:solidFill>
              <w14:srgbClr w14:val="000000"/>
            </w14:solidFill>
            <w14:prstDash w14:val="solid"/>
            <w14:bevel/>
          </w14:textOutline>
        </w:rPr>
        <w:t>生</w:t>
      </w:r>
      <w:r>
        <w:rPr>
          <w:rFonts w:ascii="宋体" w:hAnsi="宋体" w:eastAsia="宋体" w:cs="宋体"/>
          <w:spacing w:val="6"/>
          <w:sz w:val="20"/>
          <w:szCs w:val="20"/>
          <w14:textOutline w14:w="3795" w14:cap="sq" w14:cmpd="sng">
            <w14:solidFill>
              <w14:srgbClr w14:val="000000"/>
            </w14:solidFill>
            <w14:prstDash w14:val="solid"/>
            <w14:bevel/>
          </w14:textOutline>
        </w:rPr>
        <w:t>态环境分区管控要求符合性分析</w:t>
      </w: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04"/>
        <w:gridCol w:w="1107"/>
        <w:gridCol w:w="6757"/>
        <w:gridCol w:w="4729"/>
        <w:gridCol w:w="1265"/>
      </w:tblGrid>
      <w:tr w14:paraId="4E341C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941" w:type="pct"/>
            <w:gridSpan w:val="3"/>
            <w:tcBorders>
              <w:tl2br w:val="nil"/>
              <w:tr2bl w:val="nil"/>
            </w:tcBorders>
            <w:vAlign w:val="top"/>
          </w:tcPr>
          <w:p w14:paraId="60EEF2E3">
            <w:pPr>
              <w:pStyle w:val="15"/>
              <w:spacing w:before="81" w:line="219" w:lineRule="auto"/>
              <w:ind w:left="3760"/>
              <w:rPr>
                <w:sz w:val="20"/>
                <w:szCs w:val="20"/>
              </w:rPr>
            </w:pPr>
            <w:r>
              <w:rPr>
                <w:spacing w:val="6"/>
                <w:sz w:val="20"/>
                <w:szCs w:val="20"/>
              </w:rPr>
              <w:t>管控要求</w:t>
            </w:r>
          </w:p>
        </w:tc>
        <w:tc>
          <w:tcPr>
            <w:tcW w:w="1623" w:type="pct"/>
            <w:tcBorders>
              <w:tl2br w:val="nil"/>
              <w:tr2bl w:val="nil"/>
            </w:tcBorders>
            <w:vAlign w:val="top"/>
          </w:tcPr>
          <w:p w14:paraId="4CD827E6">
            <w:pPr>
              <w:pStyle w:val="15"/>
              <w:spacing w:before="81" w:line="219" w:lineRule="auto"/>
              <w:ind w:left="1889"/>
              <w:rPr>
                <w:sz w:val="20"/>
                <w:szCs w:val="20"/>
              </w:rPr>
            </w:pPr>
            <w:r>
              <w:rPr>
                <w:spacing w:val="6"/>
                <w:sz w:val="20"/>
                <w:szCs w:val="20"/>
              </w:rPr>
              <w:t>工程情况</w:t>
            </w:r>
          </w:p>
        </w:tc>
        <w:tc>
          <w:tcPr>
            <w:tcW w:w="434" w:type="pct"/>
            <w:tcBorders>
              <w:tl2br w:val="nil"/>
              <w:tr2bl w:val="nil"/>
            </w:tcBorders>
            <w:vAlign w:val="top"/>
          </w:tcPr>
          <w:p w14:paraId="023B0DE5">
            <w:pPr>
              <w:pStyle w:val="15"/>
              <w:spacing w:before="81" w:line="219" w:lineRule="auto"/>
              <w:ind w:left="308"/>
              <w:rPr>
                <w:sz w:val="20"/>
                <w:szCs w:val="20"/>
              </w:rPr>
            </w:pPr>
            <w:r>
              <w:rPr>
                <w:spacing w:val="6"/>
                <w:sz w:val="20"/>
                <w:szCs w:val="20"/>
              </w:rPr>
              <w:t>符合性</w:t>
            </w:r>
          </w:p>
        </w:tc>
      </w:tr>
      <w:tr w14:paraId="601AAB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242" w:type="pct"/>
            <w:vMerge w:val="restart"/>
            <w:tcBorders>
              <w:tl2br w:val="nil"/>
              <w:tr2bl w:val="nil"/>
            </w:tcBorders>
            <w:vAlign w:val="top"/>
          </w:tcPr>
          <w:p w14:paraId="3308C364">
            <w:pPr>
              <w:rPr>
                <w:rFonts w:ascii="Arial"/>
                <w:sz w:val="21"/>
              </w:rPr>
            </w:pPr>
          </w:p>
          <w:p w14:paraId="02AD906C">
            <w:pPr>
              <w:rPr>
                <w:rFonts w:ascii="Arial"/>
                <w:sz w:val="21"/>
              </w:rPr>
            </w:pPr>
          </w:p>
          <w:p w14:paraId="6ADDACCD">
            <w:pPr>
              <w:rPr>
                <w:rFonts w:ascii="Arial"/>
                <w:sz w:val="21"/>
              </w:rPr>
            </w:pPr>
          </w:p>
          <w:p w14:paraId="2891C511">
            <w:pPr>
              <w:rPr>
                <w:rFonts w:ascii="Arial"/>
                <w:sz w:val="21"/>
              </w:rPr>
            </w:pPr>
          </w:p>
          <w:p w14:paraId="029CF412">
            <w:pPr>
              <w:rPr>
                <w:rFonts w:ascii="Arial"/>
                <w:sz w:val="21"/>
              </w:rPr>
            </w:pPr>
          </w:p>
          <w:p w14:paraId="02EEC06C">
            <w:pPr>
              <w:rPr>
                <w:rFonts w:ascii="Arial"/>
                <w:sz w:val="21"/>
              </w:rPr>
            </w:pPr>
          </w:p>
          <w:p w14:paraId="6B64EA13">
            <w:pPr>
              <w:rPr>
                <w:rFonts w:ascii="Arial"/>
                <w:sz w:val="21"/>
              </w:rPr>
            </w:pPr>
          </w:p>
          <w:p w14:paraId="42D87EE6">
            <w:pPr>
              <w:rPr>
                <w:rFonts w:ascii="Arial"/>
                <w:sz w:val="21"/>
              </w:rPr>
            </w:pPr>
          </w:p>
          <w:p w14:paraId="64F1C026">
            <w:pPr>
              <w:rPr>
                <w:rFonts w:ascii="Arial"/>
                <w:sz w:val="21"/>
              </w:rPr>
            </w:pPr>
          </w:p>
          <w:p w14:paraId="27B7C076">
            <w:pPr>
              <w:rPr>
                <w:rFonts w:ascii="Arial"/>
                <w:sz w:val="21"/>
              </w:rPr>
            </w:pPr>
          </w:p>
          <w:p w14:paraId="45333028">
            <w:pPr>
              <w:rPr>
                <w:rFonts w:ascii="Arial"/>
                <w:sz w:val="21"/>
              </w:rPr>
            </w:pPr>
          </w:p>
          <w:p w14:paraId="7CEFE8B9">
            <w:pPr>
              <w:rPr>
                <w:rFonts w:ascii="Arial"/>
                <w:sz w:val="21"/>
              </w:rPr>
            </w:pPr>
          </w:p>
          <w:p w14:paraId="52C65385">
            <w:pPr>
              <w:spacing w:line="241" w:lineRule="auto"/>
              <w:rPr>
                <w:rFonts w:ascii="Arial"/>
                <w:sz w:val="21"/>
              </w:rPr>
            </w:pPr>
          </w:p>
          <w:p w14:paraId="6FAC3363">
            <w:pPr>
              <w:spacing w:line="241" w:lineRule="auto"/>
              <w:rPr>
                <w:rFonts w:ascii="Arial"/>
                <w:sz w:val="21"/>
              </w:rPr>
            </w:pPr>
          </w:p>
          <w:p w14:paraId="560A94F3">
            <w:pPr>
              <w:pStyle w:val="15"/>
              <w:spacing w:before="65" w:line="262" w:lineRule="auto"/>
              <w:ind w:left="115" w:right="109" w:firstLine="4"/>
              <w:rPr>
                <w:sz w:val="20"/>
                <w:szCs w:val="20"/>
              </w:rPr>
            </w:pPr>
            <w:r>
              <w:rPr>
                <w:spacing w:val="26"/>
                <w:sz w:val="20"/>
                <w:szCs w:val="20"/>
              </w:rPr>
              <w:t>总体</w:t>
            </w:r>
            <w:r>
              <w:rPr>
                <w:sz w:val="20"/>
                <w:szCs w:val="20"/>
              </w:rPr>
              <w:t xml:space="preserve"> </w:t>
            </w:r>
            <w:r>
              <w:rPr>
                <w:spacing w:val="4"/>
                <w:sz w:val="20"/>
                <w:szCs w:val="20"/>
              </w:rPr>
              <w:t>要求</w:t>
            </w:r>
          </w:p>
        </w:tc>
        <w:tc>
          <w:tcPr>
            <w:tcW w:w="380" w:type="pct"/>
            <w:tcBorders>
              <w:tl2br w:val="nil"/>
              <w:tr2bl w:val="nil"/>
            </w:tcBorders>
            <w:vAlign w:val="top"/>
          </w:tcPr>
          <w:p w14:paraId="52324980">
            <w:pPr>
              <w:spacing w:line="324" w:lineRule="auto"/>
              <w:rPr>
                <w:rFonts w:ascii="Arial"/>
                <w:sz w:val="21"/>
              </w:rPr>
            </w:pPr>
          </w:p>
          <w:p w14:paraId="6DC23C8B">
            <w:pPr>
              <w:spacing w:line="324" w:lineRule="auto"/>
              <w:rPr>
                <w:rFonts w:ascii="Arial"/>
                <w:sz w:val="21"/>
              </w:rPr>
            </w:pPr>
          </w:p>
          <w:p w14:paraId="63A0DAB7">
            <w:pPr>
              <w:pStyle w:val="15"/>
              <w:spacing w:before="65" w:line="261" w:lineRule="auto"/>
              <w:ind w:left="116" w:right="109" w:firstLine="1"/>
              <w:rPr>
                <w:sz w:val="20"/>
                <w:szCs w:val="20"/>
              </w:rPr>
            </w:pPr>
            <w:r>
              <w:rPr>
                <w:spacing w:val="11"/>
                <w:sz w:val="20"/>
                <w:szCs w:val="20"/>
              </w:rPr>
              <w:t>空间布局</w:t>
            </w:r>
            <w:r>
              <w:rPr>
                <w:spacing w:val="2"/>
                <w:sz w:val="20"/>
                <w:szCs w:val="20"/>
              </w:rPr>
              <w:t xml:space="preserve"> 约束</w:t>
            </w:r>
          </w:p>
        </w:tc>
        <w:tc>
          <w:tcPr>
            <w:tcW w:w="2319" w:type="pct"/>
            <w:tcBorders>
              <w:tl2br w:val="nil"/>
              <w:tr2bl w:val="nil"/>
            </w:tcBorders>
            <w:vAlign w:val="top"/>
          </w:tcPr>
          <w:p w14:paraId="196D2EE4">
            <w:pPr>
              <w:pStyle w:val="15"/>
              <w:spacing w:before="74" w:line="283" w:lineRule="auto"/>
              <w:ind w:left="110" w:right="105" w:firstLine="2"/>
              <w:jc w:val="both"/>
              <w:rPr>
                <w:sz w:val="20"/>
                <w:szCs w:val="20"/>
              </w:rPr>
            </w:pPr>
            <w:r>
              <w:rPr>
                <w:spacing w:val="10"/>
                <w:sz w:val="20"/>
                <w:szCs w:val="20"/>
              </w:rPr>
              <w:t>严格执行国家、</w:t>
            </w:r>
            <w:r>
              <w:rPr>
                <w:spacing w:val="-43"/>
                <w:sz w:val="20"/>
                <w:szCs w:val="20"/>
              </w:rPr>
              <w:t xml:space="preserve"> </w:t>
            </w:r>
            <w:r>
              <w:rPr>
                <w:spacing w:val="10"/>
                <w:sz w:val="20"/>
                <w:szCs w:val="20"/>
              </w:rPr>
              <w:t>自治区产业政策和环境准入要求，严禁</w:t>
            </w:r>
            <w:r>
              <w:rPr>
                <w:rFonts w:ascii="Times New Roman" w:hAnsi="Times New Roman" w:eastAsia="Times New Roman" w:cs="Times New Roman"/>
                <w:spacing w:val="10"/>
                <w:sz w:val="20"/>
                <w:szCs w:val="20"/>
              </w:rPr>
              <w:t>“</w:t>
            </w:r>
            <w:r>
              <w:rPr>
                <w:spacing w:val="10"/>
                <w:sz w:val="20"/>
                <w:szCs w:val="20"/>
              </w:rPr>
              <w:t>三高</w:t>
            </w:r>
            <w:r>
              <w:rPr>
                <w:rFonts w:ascii="Times New Roman" w:hAnsi="Times New Roman" w:eastAsia="Times New Roman" w:cs="Times New Roman"/>
                <w:spacing w:val="10"/>
                <w:sz w:val="20"/>
                <w:szCs w:val="20"/>
              </w:rPr>
              <w:t>”</w:t>
            </w:r>
            <w:r>
              <w:rPr>
                <w:spacing w:val="10"/>
                <w:sz w:val="20"/>
                <w:szCs w:val="20"/>
              </w:rPr>
              <w:t>项目进</w:t>
            </w:r>
            <w:r>
              <w:rPr>
                <w:sz w:val="20"/>
                <w:szCs w:val="20"/>
              </w:rPr>
              <w:t xml:space="preserve"> </w:t>
            </w:r>
            <w:r>
              <w:rPr>
                <w:spacing w:val="12"/>
                <w:sz w:val="20"/>
                <w:szCs w:val="20"/>
              </w:rPr>
              <w:t>新疆，坚决遏制</w:t>
            </w:r>
            <w:r>
              <w:rPr>
                <w:rFonts w:ascii="Times New Roman" w:hAnsi="Times New Roman" w:eastAsia="Times New Roman" w:cs="Times New Roman"/>
                <w:spacing w:val="12"/>
                <w:sz w:val="20"/>
                <w:szCs w:val="20"/>
              </w:rPr>
              <w:t>“</w:t>
            </w:r>
            <w:r>
              <w:rPr>
                <w:spacing w:val="12"/>
                <w:sz w:val="20"/>
                <w:szCs w:val="20"/>
              </w:rPr>
              <w:t>两高</w:t>
            </w:r>
            <w:r>
              <w:rPr>
                <w:rFonts w:ascii="Times New Roman" w:hAnsi="Times New Roman" w:eastAsia="Times New Roman" w:cs="Times New Roman"/>
                <w:spacing w:val="12"/>
                <w:sz w:val="20"/>
                <w:szCs w:val="20"/>
              </w:rPr>
              <w:t>”</w:t>
            </w:r>
            <w:r>
              <w:rPr>
                <w:spacing w:val="12"/>
                <w:sz w:val="20"/>
                <w:szCs w:val="20"/>
              </w:rPr>
              <w:t>项目盲目发展。不得在水源涵养区、饮用</w:t>
            </w:r>
            <w:r>
              <w:rPr>
                <w:spacing w:val="11"/>
                <w:sz w:val="20"/>
                <w:szCs w:val="20"/>
              </w:rPr>
              <w:t>水水</w:t>
            </w:r>
            <w:r>
              <w:rPr>
                <w:sz w:val="20"/>
                <w:szCs w:val="20"/>
              </w:rPr>
              <w:t xml:space="preserve"> </w:t>
            </w:r>
            <w:r>
              <w:rPr>
                <w:spacing w:val="12"/>
                <w:sz w:val="20"/>
                <w:szCs w:val="20"/>
              </w:rPr>
              <w:t>源保护区内和河流、湖泊、水库周围建设重化</w:t>
            </w:r>
            <w:r>
              <w:rPr>
                <w:spacing w:val="11"/>
                <w:sz w:val="20"/>
                <w:szCs w:val="20"/>
              </w:rPr>
              <w:t>工、涉重金属等工业污</w:t>
            </w:r>
            <w:r>
              <w:rPr>
                <w:sz w:val="20"/>
                <w:szCs w:val="20"/>
              </w:rPr>
              <w:t xml:space="preserve"> </w:t>
            </w:r>
            <w:r>
              <w:rPr>
                <w:spacing w:val="12"/>
                <w:sz w:val="20"/>
                <w:szCs w:val="20"/>
              </w:rPr>
              <w:t>染项目。推动项目集聚发展，新建、改建、扩</w:t>
            </w:r>
            <w:r>
              <w:rPr>
                <w:spacing w:val="11"/>
                <w:sz w:val="20"/>
                <w:szCs w:val="20"/>
              </w:rPr>
              <w:t>建工业项目原则上应布</w:t>
            </w:r>
            <w:r>
              <w:rPr>
                <w:sz w:val="20"/>
                <w:szCs w:val="20"/>
              </w:rPr>
              <w:t xml:space="preserve"> </w:t>
            </w:r>
            <w:r>
              <w:rPr>
                <w:spacing w:val="12"/>
                <w:sz w:val="20"/>
                <w:szCs w:val="20"/>
              </w:rPr>
              <w:t>置于由县级及以上人民政府批准建立、环境保</w:t>
            </w:r>
            <w:r>
              <w:rPr>
                <w:spacing w:val="11"/>
                <w:sz w:val="20"/>
                <w:szCs w:val="20"/>
              </w:rPr>
              <w:t>护基础设施完善的产业</w:t>
            </w:r>
            <w:r>
              <w:rPr>
                <w:sz w:val="20"/>
                <w:szCs w:val="20"/>
              </w:rPr>
              <w:t xml:space="preserve"> </w:t>
            </w:r>
            <w:r>
              <w:rPr>
                <w:spacing w:val="9"/>
                <w:sz w:val="20"/>
                <w:szCs w:val="20"/>
              </w:rPr>
              <w:t>园区、工业聚集区或规划矿区，并且符合相关规划和规划环评要求。</w:t>
            </w:r>
          </w:p>
        </w:tc>
        <w:tc>
          <w:tcPr>
            <w:tcW w:w="1623" w:type="pct"/>
            <w:tcBorders>
              <w:tl2br w:val="nil"/>
              <w:tr2bl w:val="nil"/>
            </w:tcBorders>
            <w:vAlign w:val="top"/>
          </w:tcPr>
          <w:p w14:paraId="6330A599">
            <w:pPr>
              <w:spacing w:line="331" w:lineRule="auto"/>
              <w:rPr>
                <w:rFonts w:ascii="Arial"/>
                <w:sz w:val="21"/>
              </w:rPr>
            </w:pPr>
          </w:p>
          <w:p w14:paraId="305314E9">
            <w:pPr>
              <w:pStyle w:val="15"/>
              <w:spacing w:before="65" w:line="278" w:lineRule="auto"/>
              <w:ind w:left="67" w:right="104" w:firstLine="46"/>
              <w:jc w:val="both"/>
              <w:rPr>
                <w:sz w:val="20"/>
                <w:szCs w:val="20"/>
              </w:rPr>
            </w:pPr>
            <w:r>
              <w:rPr>
                <w:spacing w:val="18"/>
                <w:sz w:val="20"/>
                <w:szCs w:val="20"/>
              </w:rPr>
              <w:t>本工程建设属于国家鼓励类项目，不属于</w:t>
            </w:r>
            <w:r>
              <w:rPr>
                <w:spacing w:val="17"/>
                <w:sz w:val="20"/>
                <w:szCs w:val="20"/>
              </w:rPr>
              <w:t xml:space="preserve"> </w:t>
            </w:r>
            <w:r>
              <w:rPr>
                <w:rFonts w:ascii="Times New Roman" w:hAnsi="Times New Roman" w:eastAsia="Times New Roman" w:cs="Times New Roman"/>
                <w:spacing w:val="11"/>
                <w:sz w:val="20"/>
                <w:szCs w:val="20"/>
              </w:rPr>
              <w:t>“</w:t>
            </w:r>
            <w:r>
              <w:rPr>
                <w:spacing w:val="11"/>
                <w:sz w:val="20"/>
                <w:szCs w:val="20"/>
              </w:rPr>
              <w:t>三高</w:t>
            </w:r>
            <w:r>
              <w:rPr>
                <w:rFonts w:ascii="Times New Roman" w:hAnsi="Times New Roman" w:eastAsia="Times New Roman" w:cs="Times New Roman"/>
                <w:spacing w:val="11"/>
                <w:sz w:val="20"/>
                <w:szCs w:val="20"/>
              </w:rPr>
              <w:t>”</w:t>
            </w:r>
            <w:r>
              <w:rPr>
                <w:spacing w:val="11"/>
                <w:sz w:val="20"/>
                <w:szCs w:val="20"/>
              </w:rPr>
              <w:t>项目，工程的建设有利于提高水资源利用率，保证生态用水，</w:t>
            </w:r>
            <w:r>
              <w:rPr>
                <w:rFonts w:hint="eastAsia"/>
                <w:spacing w:val="11"/>
                <w:sz w:val="20"/>
                <w:szCs w:val="20"/>
                <w:lang w:val="en-US" w:eastAsia="zh-CN"/>
              </w:rPr>
              <w:t>保护艾丁湖生态环境</w:t>
            </w:r>
            <w:r>
              <w:rPr>
                <w:spacing w:val="13"/>
                <w:sz w:val="20"/>
                <w:szCs w:val="20"/>
              </w:rPr>
              <w:t>。</w:t>
            </w:r>
          </w:p>
        </w:tc>
        <w:tc>
          <w:tcPr>
            <w:tcW w:w="434" w:type="pct"/>
            <w:tcBorders>
              <w:tl2br w:val="nil"/>
              <w:tr2bl w:val="nil"/>
            </w:tcBorders>
            <w:vAlign w:val="top"/>
          </w:tcPr>
          <w:p w14:paraId="7A0C4747">
            <w:pPr>
              <w:spacing w:line="269" w:lineRule="auto"/>
              <w:rPr>
                <w:rFonts w:ascii="Arial"/>
                <w:sz w:val="21"/>
              </w:rPr>
            </w:pPr>
          </w:p>
          <w:p w14:paraId="5576D29B">
            <w:pPr>
              <w:spacing w:line="269" w:lineRule="auto"/>
              <w:rPr>
                <w:rFonts w:ascii="Arial"/>
                <w:sz w:val="21"/>
              </w:rPr>
            </w:pPr>
          </w:p>
          <w:p w14:paraId="0CC6EC97">
            <w:pPr>
              <w:spacing w:line="269" w:lineRule="auto"/>
              <w:rPr>
                <w:rFonts w:ascii="Arial"/>
                <w:sz w:val="21"/>
              </w:rPr>
            </w:pPr>
          </w:p>
          <w:p w14:paraId="0A41B150">
            <w:pPr>
              <w:pStyle w:val="15"/>
              <w:spacing w:before="65" w:line="228" w:lineRule="auto"/>
              <w:ind w:left="116"/>
              <w:rPr>
                <w:sz w:val="20"/>
                <w:szCs w:val="20"/>
              </w:rPr>
            </w:pPr>
            <w:r>
              <w:rPr>
                <w:spacing w:val="3"/>
                <w:sz w:val="20"/>
                <w:szCs w:val="20"/>
              </w:rPr>
              <w:t>符合</w:t>
            </w:r>
          </w:p>
        </w:tc>
      </w:tr>
      <w:tr w14:paraId="77CC65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62" w:hRule="atLeast"/>
        </w:trPr>
        <w:tc>
          <w:tcPr>
            <w:tcW w:w="242" w:type="pct"/>
            <w:vMerge w:val="continue"/>
            <w:tcBorders>
              <w:tl2br w:val="nil"/>
              <w:tr2bl w:val="nil"/>
            </w:tcBorders>
            <w:vAlign w:val="top"/>
          </w:tcPr>
          <w:p w14:paraId="0280A17F">
            <w:pPr>
              <w:rPr>
                <w:rFonts w:ascii="Arial"/>
                <w:sz w:val="21"/>
              </w:rPr>
            </w:pPr>
          </w:p>
        </w:tc>
        <w:tc>
          <w:tcPr>
            <w:tcW w:w="380" w:type="pct"/>
            <w:tcBorders>
              <w:tl2br w:val="nil"/>
              <w:tr2bl w:val="nil"/>
            </w:tcBorders>
            <w:vAlign w:val="top"/>
          </w:tcPr>
          <w:p w14:paraId="759AD3BE">
            <w:pPr>
              <w:spacing w:line="251" w:lineRule="auto"/>
              <w:rPr>
                <w:rFonts w:ascii="Arial"/>
                <w:sz w:val="21"/>
              </w:rPr>
            </w:pPr>
          </w:p>
          <w:p w14:paraId="18F4464C">
            <w:pPr>
              <w:spacing w:line="251" w:lineRule="auto"/>
              <w:rPr>
                <w:rFonts w:ascii="Arial"/>
                <w:sz w:val="21"/>
              </w:rPr>
            </w:pPr>
          </w:p>
          <w:p w14:paraId="3634B2B9">
            <w:pPr>
              <w:spacing w:line="252" w:lineRule="auto"/>
              <w:rPr>
                <w:rFonts w:ascii="Arial"/>
                <w:sz w:val="21"/>
              </w:rPr>
            </w:pPr>
          </w:p>
          <w:p w14:paraId="20A06637">
            <w:pPr>
              <w:spacing w:line="252" w:lineRule="auto"/>
              <w:rPr>
                <w:rFonts w:ascii="Arial"/>
                <w:sz w:val="21"/>
              </w:rPr>
            </w:pPr>
          </w:p>
          <w:p w14:paraId="50A067C3">
            <w:pPr>
              <w:spacing w:line="252" w:lineRule="auto"/>
              <w:rPr>
                <w:rFonts w:ascii="Arial"/>
                <w:sz w:val="21"/>
              </w:rPr>
            </w:pPr>
          </w:p>
          <w:p w14:paraId="71F274D6">
            <w:pPr>
              <w:spacing w:line="252" w:lineRule="auto"/>
              <w:rPr>
                <w:rFonts w:ascii="Arial"/>
                <w:sz w:val="21"/>
              </w:rPr>
            </w:pPr>
          </w:p>
          <w:p w14:paraId="09CFA9A1">
            <w:pPr>
              <w:spacing w:line="252" w:lineRule="auto"/>
              <w:rPr>
                <w:rFonts w:ascii="Arial"/>
                <w:sz w:val="21"/>
              </w:rPr>
            </w:pPr>
          </w:p>
          <w:p w14:paraId="3EB192A6">
            <w:pPr>
              <w:pStyle w:val="15"/>
              <w:spacing w:before="65" w:line="261" w:lineRule="auto"/>
              <w:ind w:left="111" w:right="109" w:firstLine="1"/>
              <w:rPr>
                <w:sz w:val="20"/>
                <w:szCs w:val="20"/>
              </w:rPr>
            </w:pPr>
            <w:r>
              <w:rPr>
                <w:spacing w:val="12"/>
                <w:sz w:val="20"/>
                <w:szCs w:val="20"/>
              </w:rPr>
              <w:t>污染物排</w:t>
            </w:r>
            <w:r>
              <w:rPr>
                <w:spacing w:val="2"/>
                <w:sz w:val="20"/>
                <w:szCs w:val="20"/>
              </w:rPr>
              <w:t xml:space="preserve"> </w:t>
            </w:r>
            <w:r>
              <w:rPr>
                <w:spacing w:val="6"/>
                <w:sz w:val="20"/>
                <w:szCs w:val="20"/>
              </w:rPr>
              <w:t>放管控</w:t>
            </w:r>
          </w:p>
        </w:tc>
        <w:tc>
          <w:tcPr>
            <w:tcW w:w="2319" w:type="pct"/>
            <w:tcBorders>
              <w:tl2br w:val="nil"/>
              <w:tr2bl w:val="nil"/>
            </w:tcBorders>
            <w:vAlign w:val="top"/>
          </w:tcPr>
          <w:p w14:paraId="657F88B4">
            <w:pPr>
              <w:pStyle w:val="15"/>
              <w:spacing w:before="81" w:line="289" w:lineRule="auto"/>
              <w:ind w:left="111" w:right="37"/>
              <w:jc w:val="both"/>
              <w:rPr>
                <w:sz w:val="20"/>
                <w:szCs w:val="20"/>
              </w:rPr>
            </w:pPr>
            <w:r>
              <w:rPr>
                <w:spacing w:val="11"/>
                <w:sz w:val="20"/>
                <w:szCs w:val="20"/>
              </w:rPr>
              <w:t>深化行业污染源头治理，深入开展火电行业减排，全力推进钢</w:t>
            </w:r>
            <w:r>
              <w:rPr>
                <w:spacing w:val="10"/>
                <w:sz w:val="20"/>
                <w:szCs w:val="20"/>
              </w:rPr>
              <w:t xml:space="preserve">铁行业 </w:t>
            </w:r>
            <w:r>
              <w:rPr>
                <w:spacing w:val="12"/>
                <w:sz w:val="20"/>
                <w:szCs w:val="20"/>
              </w:rPr>
              <w:t>超低排放改造，有序推进石化行业</w:t>
            </w:r>
            <w:r>
              <w:rPr>
                <w:rFonts w:ascii="Times New Roman" w:hAnsi="Times New Roman" w:eastAsia="Times New Roman" w:cs="Times New Roman"/>
                <w:spacing w:val="12"/>
                <w:sz w:val="20"/>
                <w:szCs w:val="20"/>
              </w:rPr>
              <w:t>"</w:t>
            </w:r>
            <w:r>
              <w:rPr>
                <w:spacing w:val="12"/>
                <w:sz w:val="20"/>
                <w:szCs w:val="20"/>
              </w:rPr>
              <w:t>泄漏检测与修复</w:t>
            </w:r>
            <w:r>
              <w:rPr>
                <w:rFonts w:ascii="Times New Roman" w:hAnsi="Times New Roman" w:eastAsia="Times New Roman" w:cs="Times New Roman"/>
                <w:spacing w:val="12"/>
                <w:sz w:val="20"/>
                <w:szCs w:val="20"/>
              </w:rPr>
              <w:t>"</w:t>
            </w:r>
            <w:r>
              <w:rPr>
                <w:spacing w:val="12"/>
                <w:sz w:val="20"/>
                <w:szCs w:val="20"/>
              </w:rPr>
              <w:t>技术改造。强化</w:t>
            </w:r>
            <w:r>
              <w:rPr>
                <w:spacing w:val="14"/>
                <w:sz w:val="20"/>
                <w:szCs w:val="20"/>
              </w:rPr>
              <w:t xml:space="preserve"> </w:t>
            </w:r>
            <w:r>
              <w:rPr>
                <w:spacing w:val="11"/>
                <w:sz w:val="20"/>
                <w:szCs w:val="20"/>
              </w:rPr>
              <w:t>煤化工、石化、有机化工、表面涂装、包装印刷等重点行业挥</w:t>
            </w:r>
            <w:r>
              <w:rPr>
                <w:spacing w:val="10"/>
                <w:sz w:val="20"/>
                <w:szCs w:val="20"/>
              </w:rPr>
              <w:t xml:space="preserve">发性有 </w:t>
            </w:r>
            <w:r>
              <w:rPr>
                <w:spacing w:val="7"/>
                <w:sz w:val="20"/>
                <w:szCs w:val="20"/>
              </w:rPr>
              <w:t>机物控制。深入开展燃煤锅炉污染综合整治，深化工业炉窑综合治理。</w:t>
            </w:r>
            <w:r>
              <w:rPr>
                <w:sz w:val="20"/>
                <w:szCs w:val="20"/>
              </w:rPr>
              <w:t xml:space="preserve"> </w:t>
            </w:r>
            <w:r>
              <w:rPr>
                <w:spacing w:val="12"/>
                <w:sz w:val="20"/>
                <w:szCs w:val="20"/>
              </w:rPr>
              <w:t>加强</w:t>
            </w:r>
            <w:r>
              <w:rPr>
                <w:rFonts w:ascii="Times New Roman" w:hAnsi="Times New Roman" w:eastAsia="Times New Roman" w:cs="Times New Roman"/>
                <w:spacing w:val="12"/>
                <w:sz w:val="20"/>
                <w:szCs w:val="20"/>
              </w:rPr>
              <w:t>"</w:t>
            </w:r>
            <w:r>
              <w:rPr>
                <w:spacing w:val="12"/>
                <w:sz w:val="20"/>
                <w:szCs w:val="20"/>
              </w:rPr>
              <w:t>散乱污</w:t>
            </w:r>
            <w:r>
              <w:rPr>
                <w:rFonts w:ascii="Times New Roman" w:hAnsi="Times New Roman" w:eastAsia="Times New Roman" w:cs="Times New Roman"/>
                <w:spacing w:val="12"/>
                <w:sz w:val="20"/>
                <w:szCs w:val="20"/>
              </w:rPr>
              <w:t>"</w:t>
            </w:r>
            <w:r>
              <w:rPr>
                <w:spacing w:val="12"/>
                <w:sz w:val="20"/>
                <w:szCs w:val="20"/>
              </w:rPr>
              <w:t>企业综合整治。优化区域交通运输</w:t>
            </w:r>
            <w:r>
              <w:rPr>
                <w:spacing w:val="11"/>
                <w:sz w:val="20"/>
                <w:szCs w:val="20"/>
              </w:rPr>
              <w:t xml:space="preserve">结构，加快货物运输 </w:t>
            </w:r>
            <w:r>
              <w:rPr>
                <w:spacing w:val="9"/>
                <w:sz w:val="20"/>
                <w:szCs w:val="20"/>
              </w:rPr>
              <w:t>绿色转型，做好车油联合管控，</w:t>
            </w:r>
            <w:r>
              <w:rPr>
                <w:spacing w:val="-42"/>
                <w:sz w:val="20"/>
                <w:szCs w:val="20"/>
              </w:rPr>
              <w:t xml:space="preserve"> </w:t>
            </w:r>
            <w:r>
              <w:rPr>
                <w:spacing w:val="9"/>
                <w:sz w:val="20"/>
                <w:szCs w:val="20"/>
              </w:rPr>
              <w:t xml:space="preserve">以改善流域水环境质量为核心，强化 </w:t>
            </w:r>
            <w:r>
              <w:rPr>
                <w:spacing w:val="12"/>
                <w:sz w:val="20"/>
                <w:szCs w:val="20"/>
              </w:rPr>
              <w:t>源头控制，</w:t>
            </w:r>
            <w:r>
              <w:rPr>
                <w:rFonts w:ascii="Times New Roman" w:hAnsi="Times New Roman" w:eastAsia="Times New Roman" w:cs="Times New Roman"/>
                <w:spacing w:val="12"/>
                <w:sz w:val="20"/>
                <w:szCs w:val="20"/>
              </w:rPr>
              <w:t>"</w:t>
            </w:r>
            <w:r>
              <w:rPr>
                <w:spacing w:val="12"/>
                <w:sz w:val="20"/>
                <w:szCs w:val="20"/>
              </w:rPr>
              <w:t>一河（湖）一策</w:t>
            </w:r>
            <w:r>
              <w:rPr>
                <w:rFonts w:ascii="Times New Roman" w:hAnsi="Times New Roman" w:eastAsia="Times New Roman" w:cs="Times New Roman"/>
                <w:spacing w:val="12"/>
                <w:sz w:val="20"/>
                <w:szCs w:val="20"/>
              </w:rPr>
              <w:t>"</w:t>
            </w:r>
            <w:r>
              <w:rPr>
                <w:spacing w:val="12"/>
                <w:sz w:val="20"/>
                <w:szCs w:val="20"/>
              </w:rPr>
              <w:t>精准施治，减少水</w:t>
            </w:r>
            <w:r>
              <w:rPr>
                <w:spacing w:val="11"/>
                <w:sz w:val="20"/>
                <w:szCs w:val="20"/>
              </w:rPr>
              <w:t>污染物排放，持续改 善水环境质量。强化因区（工业集聚区）水污染防治，不断提</w:t>
            </w:r>
            <w:r>
              <w:rPr>
                <w:spacing w:val="10"/>
                <w:sz w:val="20"/>
                <w:szCs w:val="20"/>
              </w:rPr>
              <w:t xml:space="preserve">高工业 </w:t>
            </w:r>
            <w:r>
              <w:rPr>
                <w:spacing w:val="11"/>
                <w:sz w:val="20"/>
                <w:szCs w:val="20"/>
              </w:rPr>
              <w:t>用水重复利用率。加快实施城镇污水处理设施提质增效，补齐</w:t>
            </w:r>
            <w:r>
              <w:rPr>
                <w:spacing w:val="10"/>
                <w:sz w:val="20"/>
                <w:szCs w:val="20"/>
              </w:rPr>
              <w:t xml:space="preserve">生活污 </w:t>
            </w:r>
            <w:r>
              <w:rPr>
                <w:spacing w:val="11"/>
                <w:sz w:val="20"/>
                <w:szCs w:val="20"/>
              </w:rPr>
              <w:t>水收集和处理设施短板，提高再生水回用比例。持续推进农业</w:t>
            </w:r>
            <w:r>
              <w:rPr>
                <w:spacing w:val="10"/>
                <w:sz w:val="20"/>
                <w:szCs w:val="20"/>
              </w:rPr>
              <w:t xml:space="preserve">农村污 </w:t>
            </w:r>
            <w:r>
              <w:rPr>
                <w:spacing w:val="11"/>
                <w:sz w:val="20"/>
                <w:szCs w:val="20"/>
              </w:rPr>
              <w:t>染防治。提升土壤环境监管能力，加强污染地块安全利用监管</w:t>
            </w:r>
            <w:r>
              <w:rPr>
                <w:spacing w:val="10"/>
                <w:sz w:val="20"/>
                <w:szCs w:val="20"/>
              </w:rPr>
              <w:t xml:space="preserve">。强化 </w:t>
            </w:r>
            <w:r>
              <w:rPr>
                <w:spacing w:val="11"/>
                <w:sz w:val="20"/>
                <w:szCs w:val="20"/>
              </w:rPr>
              <w:t>工矿用地管理，严格建设用地土壤环境风险管控，加强农用地</w:t>
            </w:r>
            <w:r>
              <w:rPr>
                <w:spacing w:val="10"/>
                <w:sz w:val="20"/>
                <w:szCs w:val="20"/>
              </w:rPr>
              <w:t xml:space="preserve">土壤污 </w:t>
            </w:r>
            <w:r>
              <w:rPr>
                <w:spacing w:val="9"/>
                <w:sz w:val="20"/>
                <w:szCs w:val="20"/>
              </w:rPr>
              <w:t>染源头控制，科学施用化肥农药，提高农膜回收率。</w:t>
            </w:r>
          </w:p>
        </w:tc>
        <w:tc>
          <w:tcPr>
            <w:tcW w:w="1623" w:type="pct"/>
            <w:tcBorders>
              <w:tl2br w:val="nil"/>
              <w:tr2bl w:val="nil"/>
            </w:tcBorders>
            <w:vAlign w:val="top"/>
          </w:tcPr>
          <w:p w14:paraId="4975C167">
            <w:pPr>
              <w:rPr>
                <w:rFonts w:ascii="Arial"/>
                <w:sz w:val="21"/>
              </w:rPr>
            </w:pPr>
          </w:p>
          <w:p w14:paraId="7EE17287">
            <w:pPr>
              <w:rPr>
                <w:rFonts w:ascii="Arial"/>
                <w:sz w:val="21"/>
              </w:rPr>
            </w:pPr>
          </w:p>
          <w:p w14:paraId="0768643B">
            <w:pPr>
              <w:rPr>
                <w:rFonts w:ascii="Arial"/>
                <w:sz w:val="21"/>
              </w:rPr>
            </w:pPr>
          </w:p>
          <w:p w14:paraId="26B524E4">
            <w:pPr>
              <w:spacing w:line="241" w:lineRule="auto"/>
              <w:rPr>
                <w:rFonts w:ascii="Arial"/>
                <w:sz w:val="21"/>
              </w:rPr>
            </w:pPr>
          </w:p>
          <w:p w14:paraId="5DB03773">
            <w:pPr>
              <w:spacing w:line="241" w:lineRule="auto"/>
              <w:rPr>
                <w:rFonts w:ascii="Arial"/>
                <w:sz w:val="21"/>
              </w:rPr>
            </w:pPr>
          </w:p>
          <w:p w14:paraId="576BF6AA">
            <w:pPr>
              <w:spacing w:line="241" w:lineRule="auto"/>
              <w:rPr>
                <w:rFonts w:ascii="Arial"/>
                <w:sz w:val="21"/>
              </w:rPr>
            </w:pPr>
          </w:p>
          <w:p w14:paraId="5C32A25D">
            <w:pPr>
              <w:pStyle w:val="15"/>
              <w:spacing w:before="65" w:line="282" w:lineRule="auto"/>
              <w:ind w:left="113" w:right="104"/>
              <w:jc w:val="both"/>
              <w:rPr>
                <w:sz w:val="20"/>
                <w:szCs w:val="20"/>
              </w:rPr>
            </w:pPr>
            <w:r>
              <w:rPr>
                <w:spacing w:val="8"/>
                <w:sz w:val="20"/>
                <w:szCs w:val="20"/>
              </w:rPr>
              <w:t>本项目为水利工程，不属于管控清单中禁止或限</w:t>
            </w:r>
            <w:r>
              <w:rPr>
                <w:spacing w:val="6"/>
                <w:sz w:val="20"/>
                <w:szCs w:val="20"/>
              </w:rPr>
              <w:t xml:space="preserve"> </w:t>
            </w:r>
            <w:r>
              <w:rPr>
                <w:spacing w:val="8"/>
                <w:sz w:val="20"/>
                <w:szCs w:val="20"/>
              </w:rPr>
              <w:t>制的排放为污染物的工业企业，且工程的建设有</w:t>
            </w:r>
            <w:r>
              <w:rPr>
                <w:spacing w:val="10"/>
                <w:sz w:val="20"/>
                <w:szCs w:val="20"/>
              </w:rPr>
              <w:t xml:space="preserve"> </w:t>
            </w:r>
            <w:r>
              <w:rPr>
                <w:spacing w:val="18"/>
                <w:sz w:val="20"/>
                <w:szCs w:val="20"/>
              </w:rPr>
              <w:t>利于提高灌溉供水保证</w:t>
            </w:r>
            <w:r>
              <w:rPr>
                <w:spacing w:val="8"/>
                <w:sz w:val="20"/>
                <w:szCs w:val="20"/>
              </w:rPr>
              <w:t>率，保障耕地、林地和草场灌溉水，提高</w:t>
            </w:r>
            <w:r>
              <w:rPr>
                <w:rFonts w:hint="eastAsia"/>
                <w:spacing w:val="8"/>
                <w:sz w:val="20"/>
                <w:szCs w:val="20"/>
                <w:lang w:val="en-US" w:eastAsia="zh-CN"/>
              </w:rPr>
              <w:t>艾丁湖</w:t>
            </w:r>
            <w:r>
              <w:rPr>
                <w:spacing w:val="8"/>
                <w:sz w:val="20"/>
                <w:szCs w:val="20"/>
              </w:rPr>
              <w:t>流域生</w:t>
            </w:r>
            <w:r>
              <w:rPr>
                <w:spacing w:val="7"/>
                <w:sz w:val="20"/>
                <w:szCs w:val="20"/>
              </w:rPr>
              <w:t>态水量保证程度。</w:t>
            </w:r>
          </w:p>
        </w:tc>
        <w:tc>
          <w:tcPr>
            <w:tcW w:w="434" w:type="pct"/>
            <w:tcBorders>
              <w:tl2br w:val="nil"/>
              <w:tr2bl w:val="nil"/>
            </w:tcBorders>
            <w:vAlign w:val="top"/>
          </w:tcPr>
          <w:p w14:paraId="648B4A0E">
            <w:pPr>
              <w:rPr>
                <w:rFonts w:ascii="Arial"/>
                <w:sz w:val="21"/>
              </w:rPr>
            </w:pPr>
          </w:p>
          <w:p w14:paraId="48C6DEE2">
            <w:pPr>
              <w:rPr>
                <w:rFonts w:ascii="Arial"/>
                <w:sz w:val="21"/>
              </w:rPr>
            </w:pPr>
          </w:p>
          <w:p w14:paraId="28434F26">
            <w:pPr>
              <w:rPr>
                <w:rFonts w:ascii="Arial"/>
                <w:sz w:val="21"/>
              </w:rPr>
            </w:pPr>
          </w:p>
          <w:p w14:paraId="6C10F036">
            <w:pPr>
              <w:rPr>
                <w:rFonts w:ascii="Arial"/>
                <w:sz w:val="21"/>
              </w:rPr>
            </w:pPr>
          </w:p>
          <w:p w14:paraId="1DF0A62E">
            <w:pPr>
              <w:rPr>
                <w:rFonts w:ascii="Arial"/>
                <w:sz w:val="21"/>
              </w:rPr>
            </w:pPr>
          </w:p>
          <w:p w14:paraId="736E6225">
            <w:pPr>
              <w:rPr>
                <w:rFonts w:ascii="Arial"/>
                <w:sz w:val="21"/>
              </w:rPr>
            </w:pPr>
          </w:p>
          <w:p w14:paraId="0AE2E767">
            <w:pPr>
              <w:spacing w:line="241" w:lineRule="auto"/>
              <w:rPr>
                <w:rFonts w:ascii="Arial"/>
                <w:sz w:val="21"/>
              </w:rPr>
            </w:pPr>
          </w:p>
          <w:p w14:paraId="56743972">
            <w:pPr>
              <w:spacing w:line="241" w:lineRule="auto"/>
              <w:rPr>
                <w:rFonts w:ascii="Arial"/>
                <w:sz w:val="21"/>
              </w:rPr>
            </w:pPr>
          </w:p>
          <w:p w14:paraId="2F1A289A">
            <w:pPr>
              <w:pStyle w:val="15"/>
              <w:spacing w:before="65" w:line="228" w:lineRule="auto"/>
              <w:ind w:left="116"/>
              <w:rPr>
                <w:sz w:val="20"/>
                <w:szCs w:val="20"/>
              </w:rPr>
            </w:pPr>
            <w:r>
              <w:rPr>
                <w:spacing w:val="3"/>
                <w:sz w:val="20"/>
                <w:szCs w:val="20"/>
              </w:rPr>
              <w:t>符合</w:t>
            </w:r>
          </w:p>
        </w:tc>
      </w:tr>
      <w:tr w14:paraId="1974D8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242" w:type="pct"/>
            <w:vMerge w:val="continue"/>
            <w:tcBorders>
              <w:tl2br w:val="nil"/>
              <w:tr2bl w:val="nil"/>
            </w:tcBorders>
            <w:vAlign w:val="top"/>
          </w:tcPr>
          <w:p w14:paraId="7C298174">
            <w:pPr>
              <w:rPr>
                <w:rFonts w:ascii="Arial"/>
                <w:sz w:val="21"/>
              </w:rPr>
            </w:pPr>
          </w:p>
        </w:tc>
        <w:tc>
          <w:tcPr>
            <w:tcW w:w="380" w:type="pct"/>
            <w:tcBorders>
              <w:tl2br w:val="nil"/>
              <w:tr2bl w:val="nil"/>
            </w:tcBorders>
            <w:vAlign w:val="top"/>
          </w:tcPr>
          <w:p w14:paraId="1C3DC020">
            <w:pPr>
              <w:spacing w:line="332" w:lineRule="auto"/>
              <w:rPr>
                <w:rFonts w:ascii="Arial"/>
                <w:sz w:val="21"/>
              </w:rPr>
            </w:pPr>
          </w:p>
          <w:p w14:paraId="203D0C20">
            <w:pPr>
              <w:pStyle w:val="15"/>
              <w:spacing w:before="65" w:line="263" w:lineRule="auto"/>
              <w:ind w:left="124" w:right="109" w:hanging="13"/>
              <w:rPr>
                <w:sz w:val="20"/>
                <w:szCs w:val="20"/>
              </w:rPr>
            </w:pPr>
            <w:r>
              <w:rPr>
                <w:spacing w:val="13"/>
                <w:sz w:val="20"/>
                <w:szCs w:val="20"/>
              </w:rPr>
              <w:t>环境风险</w:t>
            </w:r>
            <w:r>
              <w:rPr>
                <w:sz w:val="20"/>
                <w:szCs w:val="20"/>
              </w:rPr>
              <w:t xml:space="preserve"> </w:t>
            </w:r>
            <w:r>
              <w:rPr>
                <w:spacing w:val="-2"/>
                <w:sz w:val="20"/>
                <w:szCs w:val="20"/>
              </w:rPr>
              <w:t>防控</w:t>
            </w:r>
          </w:p>
        </w:tc>
        <w:tc>
          <w:tcPr>
            <w:tcW w:w="2319" w:type="pct"/>
            <w:tcBorders>
              <w:tl2br w:val="nil"/>
              <w:tr2bl w:val="nil"/>
            </w:tcBorders>
            <w:vAlign w:val="top"/>
          </w:tcPr>
          <w:p w14:paraId="7EA1531F">
            <w:pPr>
              <w:spacing w:line="333" w:lineRule="auto"/>
              <w:rPr>
                <w:rFonts w:ascii="Arial"/>
                <w:sz w:val="21"/>
              </w:rPr>
            </w:pPr>
          </w:p>
          <w:p w14:paraId="713317D0">
            <w:pPr>
              <w:pStyle w:val="15"/>
              <w:spacing w:before="65" w:line="262" w:lineRule="auto"/>
              <w:ind w:left="111" w:right="105"/>
              <w:rPr>
                <w:sz w:val="20"/>
                <w:szCs w:val="20"/>
              </w:rPr>
            </w:pPr>
            <w:r>
              <w:rPr>
                <w:spacing w:val="11"/>
                <w:sz w:val="20"/>
                <w:szCs w:val="20"/>
              </w:rPr>
              <w:t>禁止在化工园区外新建、扩建危险化学品生产项目。严格落实危险废</w:t>
            </w:r>
            <w:r>
              <w:rPr>
                <w:spacing w:val="18"/>
                <w:sz w:val="20"/>
                <w:szCs w:val="20"/>
              </w:rPr>
              <w:t xml:space="preserve"> </w:t>
            </w:r>
            <w:r>
              <w:rPr>
                <w:spacing w:val="9"/>
                <w:sz w:val="20"/>
                <w:szCs w:val="20"/>
              </w:rPr>
              <w:t>物处置相关要求。加强重点流域水环境风险管控，保障水环境安全。</w:t>
            </w:r>
          </w:p>
        </w:tc>
        <w:tc>
          <w:tcPr>
            <w:tcW w:w="1623" w:type="pct"/>
            <w:tcBorders>
              <w:tl2br w:val="nil"/>
              <w:tr2bl w:val="nil"/>
            </w:tcBorders>
            <w:vAlign w:val="top"/>
          </w:tcPr>
          <w:p w14:paraId="058E2177">
            <w:pPr>
              <w:pStyle w:val="15"/>
              <w:spacing w:before="81" w:line="276" w:lineRule="auto"/>
              <w:ind w:left="113" w:right="104"/>
              <w:rPr>
                <w:rFonts w:hint="default" w:eastAsia="宋体"/>
                <w:sz w:val="20"/>
                <w:szCs w:val="20"/>
                <w:lang w:val="en-US" w:eastAsia="zh-CN"/>
              </w:rPr>
            </w:pPr>
            <w:r>
              <w:rPr>
                <w:spacing w:val="8"/>
                <w:sz w:val="20"/>
                <w:szCs w:val="20"/>
              </w:rPr>
              <w:t>本</w:t>
            </w:r>
            <w:r>
              <w:rPr>
                <w:rFonts w:hint="eastAsia"/>
                <w:spacing w:val="8"/>
                <w:sz w:val="20"/>
                <w:szCs w:val="20"/>
                <w:lang w:val="en-US" w:eastAsia="zh-CN"/>
              </w:rPr>
              <w:t>项目不涉及</w:t>
            </w:r>
          </w:p>
        </w:tc>
        <w:tc>
          <w:tcPr>
            <w:tcW w:w="434" w:type="pct"/>
            <w:tcBorders>
              <w:tl2br w:val="nil"/>
              <w:tr2bl w:val="nil"/>
            </w:tcBorders>
            <w:vAlign w:val="top"/>
          </w:tcPr>
          <w:p w14:paraId="0850D4BE">
            <w:pPr>
              <w:spacing w:line="246" w:lineRule="auto"/>
              <w:rPr>
                <w:rFonts w:ascii="Arial"/>
                <w:sz w:val="21"/>
              </w:rPr>
            </w:pPr>
          </w:p>
          <w:p w14:paraId="51B960F6">
            <w:pPr>
              <w:spacing w:line="246" w:lineRule="auto"/>
              <w:rPr>
                <w:rFonts w:ascii="Arial"/>
                <w:sz w:val="21"/>
              </w:rPr>
            </w:pPr>
          </w:p>
          <w:p w14:paraId="66086962">
            <w:pPr>
              <w:pStyle w:val="15"/>
              <w:spacing w:before="65" w:line="228" w:lineRule="auto"/>
              <w:ind w:left="116"/>
              <w:rPr>
                <w:sz w:val="20"/>
                <w:szCs w:val="20"/>
              </w:rPr>
            </w:pPr>
            <w:r>
              <w:rPr>
                <w:spacing w:val="3"/>
                <w:sz w:val="20"/>
                <w:szCs w:val="20"/>
              </w:rPr>
              <w:t>符合</w:t>
            </w:r>
          </w:p>
        </w:tc>
      </w:tr>
      <w:tr w14:paraId="64FB2F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242" w:type="pct"/>
            <w:vMerge w:val="continue"/>
            <w:tcBorders>
              <w:tl2br w:val="nil"/>
              <w:tr2bl w:val="nil"/>
            </w:tcBorders>
            <w:vAlign w:val="top"/>
          </w:tcPr>
          <w:p w14:paraId="2FC0386D">
            <w:pPr>
              <w:rPr>
                <w:rFonts w:ascii="Arial"/>
                <w:sz w:val="21"/>
              </w:rPr>
            </w:pPr>
          </w:p>
        </w:tc>
        <w:tc>
          <w:tcPr>
            <w:tcW w:w="380" w:type="pct"/>
            <w:tcBorders>
              <w:tl2br w:val="nil"/>
              <w:tr2bl w:val="nil"/>
            </w:tcBorders>
            <w:vAlign w:val="top"/>
          </w:tcPr>
          <w:p w14:paraId="6122ACEE">
            <w:pPr>
              <w:pStyle w:val="15"/>
              <w:spacing w:before="238" w:line="261" w:lineRule="auto"/>
              <w:ind w:left="112" w:right="109" w:firstLine="8"/>
              <w:rPr>
                <w:sz w:val="20"/>
                <w:szCs w:val="20"/>
              </w:rPr>
            </w:pPr>
            <w:r>
              <w:rPr>
                <w:spacing w:val="11"/>
                <w:sz w:val="20"/>
                <w:szCs w:val="20"/>
              </w:rPr>
              <w:t>资源开发</w:t>
            </w:r>
            <w:r>
              <w:rPr>
                <w:sz w:val="20"/>
                <w:szCs w:val="20"/>
              </w:rPr>
              <w:t xml:space="preserve"> </w:t>
            </w:r>
            <w:r>
              <w:rPr>
                <w:spacing w:val="7"/>
                <w:sz w:val="20"/>
                <w:szCs w:val="20"/>
              </w:rPr>
              <w:t>利用效率</w:t>
            </w:r>
          </w:p>
        </w:tc>
        <w:tc>
          <w:tcPr>
            <w:tcW w:w="2319" w:type="pct"/>
            <w:tcBorders>
              <w:tl2br w:val="nil"/>
              <w:tr2bl w:val="nil"/>
            </w:tcBorders>
            <w:vAlign w:val="top"/>
          </w:tcPr>
          <w:p w14:paraId="432B8F19">
            <w:pPr>
              <w:pStyle w:val="15"/>
              <w:spacing w:before="76" w:line="270" w:lineRule="auto"/>
              <w:ind w:left="120" w:right="105" w:hanging="9"/>
              <w:jc w:val="both"/>
              <w:rPr>
                <w:sz w:val="20"/>
                <w:szCs w:val="20"/>
              </w:rPr>
            </w:pPr>
            <w:r>
              <w:rPr>
                <w:spacing w:val="12"/>
                <w:sz w:val="20"/>
                <w:szCs w:val="20"/>
              </w:rPr>
              <w:t>优化能源结构，控制煤炭等化石能源使用量</w:t>
            </w:r>
            <w:r>
              <w:rPr>
                <w:spacing w:val="11"/>
                <w:sz w:val="20"/>
                <w:szCs w:val="20"/>
              </w:rPr>
              <w:t>，鼓励使用清洁能源，协</w:t>
            </w:r>
            <w:r>
              <w:rPr>
                <w:sz w:val="20"/>
                <w:szCs w:val="20"/>
              </w:rPr>
              <w:t xml:space="preserve"> </w:t>
            </w:r>
            <w:r>
              <w:rPr>
                <w:spacing w:val="11"/>
                <w:sz w:val="20"/>
                <w:szCs w:val="20"/>
              </w:rPr>
              <w:t>同推进减污降碳。全面实施节水工程，合理开发利用水资源，提升水</w:t>
            </w:r>
            <w:r>
              <w:rPr>
                <w:spacing w:val="9"/>
                <w:sz w:val="20"/>
                <w:szCs w:val="20"/>
              </w:rPr>
              <w:t xml:space="preserve"> </w:t>
            </w:r>
            <w:r>
              <w:rPr>
                <w:spacing w:val="8"/>
                <w:sz w:val="20"/>
                <w:szCs w:val="20"/>
              </w:rPr>
              <w:t>资源利用效率，保障生态用水，严防地下水超采。</w:t>
            </w:r>
          </w:p>
        </w:tc>
        <w:tc>
          <w:tcPr>
            <w:tcW w:w="1623" w:type="pct"/>
            <w:tcBorders>
              <w:tl2br w:val="nil"/>
              <w:tr2bl w:val="nil"/>
            </w:tcBorders>
            <w:vAlign w:val="top"/>
          </w:tcPr>
          <w:p w14:paraId="4C3E38F3">
            <w:pPr>
              <w:pStyle w:val="15"/>
              <w:spacing w:before="76" w:line="270" w:lineRule="auto"/>
              <w:ind w:left="113" w:right="104"/>
              <w:jc w:val="both"/>
              <w:rPr>
                <w:sz w:val="20"/>
                <w:szCs w:val="20"/>
              </w:rPr>
            </w:pPr>
            <w:r>
              <w:rPr>
                <w:spacing w:val="8"/>
                <w:sz w:val="20"/>
                <w:szCs w:val="20"/>
              </w:rPr>
              <w:t>。解决局部</w:t>
            </w:r>
            <w:r>
              <w:rPr>
                <w:spacing w:val="6"/>
                <w:sz w:val="20"/>
                <w:szCs w:val="20"/>
              </w:rPr>
              <w:t xml:space="preserve"> </w:t>
            </w:r>
            <w:r>
              <w:rPr>
                <w:spacing w:val="8"/>
                <w:sz w:val="20"/>
                <w:szCs w:val="20"/>
              </w:rPr>
              <w:t>地区地下水超采问题，使地下水的开采量控制在</w:t>
            </w:r>
            <w:r>
              <w:rPr>
                <w:spacing w:val="10"/>
                <w:sz w:val="20"/>
                <w:szCs w:val="20"/>
              </w:rPr>
              <w:t xml:space="preserve"> </w:t>
            </w:r>
            <w:r>
              <w:rPr>
                <w:spacing w:val="7"/>
                <w:sz w:val="20"/>
                <w:szCs w:val="20"/>
              </w:rPr>
              <w:t>可开采量范围之内。</w:t>
            </w:r>
          </w:p>
        </w:tc>
        <w:tc>
          <w:tcPr>
            <w:tcW w:w="434" w:type="pct"/>
            <w:tcBorders>
              <w:tl2br w:val="nil"/>
              <w:tr2bl w:val="nil"/>
            </w:tcBorders>
            <w:vAlign w:val="top"/>
          </w:tcPr>
          <w:p w14:paraId="5790E23C">
            <w:pPr>
              <w:spacing w:line="331" w:lineRule="auto"/>
              <w:rPr>
                <w:rFonts w:ascii="Arial"/>
                <w:sz w:val="21"/>
              </w:rPr>
            </w:pPr>
          </w:p>
          <w:p w14:paraId="3E32C969">
            <w:pPr>
              <w:pStyle w:val="15"/>
              <w:spacing w:before="65" w:line="228" w:lineRule="auto"/>
              <w:ind w:left="116"/>
              <w:rPr>
                <w:sz w:val="20"/>
                <w:szCs w:val="20"/>
              </w:rPr>
            </w:pPr>
            <w:r>
              <w:rPr>
                <w:spacing w:val="3"/>
                <w:sz w:val="20"/>
                <w:szCs w:val="20"/>
              </w:rPr>
              <w:t>符合</w:t>
            </w:r>
          </w:p>
        </w:tc>
      </w:tr>
      <w:tr w14:paraId="3D6236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27" w:hRule="atLeast"/>
        </w:trPr>
        <w:tc>
          <w:tcPr>
            <w:tcW w:w="242" w:type="pct"/>
            <w:tcBorders>
              <w:tl2br w:val="nil"/>
              <w:tr2bl w:val="nil"/>
            </w:tcBorders>
            <w:vAlign w:val="top"/>
          </w:tcPr>
          <w:p w14:paraId="7ABC443E">
            <w:pPr>
              <w:spacing w:line="281" w:lineRule="auto"/>
              <w:rPr>
                <w:rFonts w:ascii="Arial"/>
                <w:sz w:val="21"/>
              </w:rPr>
            </w:pPr>
          </w:p>
          <w:p w14:paraId="273E8B30">
            <w:pPr>
              <w:spacing w:line="281" w:lineRule="auto"/>
              <w:rPr>
                <w:rFonts w:ascii="Arial"/>
                <w:sz w:val="21"/>
              </w:rPr>
            </w:pPr>
          </w:p>
          <w:p w14:paraId="3F09FF81">
            <w:pPr>
              <w:spacing w:line="281" w:lineRule="auto"/>
              <w:rPr>
                <w:rFonts w:ascii="Arial"/>
                <w:sz w:val="21"/>
              </w:rPr>
            </w:pPr>
          </w:p>
          <w:p w14:paraId="68BA6635">
            <w:pPr>
              <w:spacing w:line="282" w:lineRule="auto"/>
              <w:rPr>
                <w:rFonts w:ascii="Arial"/>
                <w:sz w:val="21"/>
              </w:rPr>
            </w:pPr>
          </w:p>
          <w:p w14:paraId="58AF0C86">
            <w:pPr>
              <w:pStyle w:val="15"/>
              <w:spacing w:before="65" w:line="279" w:lineRule="auto"/>
              <w:ind w:left="114" w:right="109" w:firstLine="3"/>
              <w:jc w:val="both"/>
              <w:rPr>
                <w:sz w:val="20"/>
                <w:szCs w:val="20"/>
              </w:rPr>
            </w:pPr>
            <w:r>
              <w:rPr>
                <w:spacing w:val="27"/>
                <w:sz w:val="20"/>
                <w:szCs w:val="20"/>
              </w:rPr>
              <w:t>各片</w:t>
            </w:r>
            <w:r>
              <w:rPr>
                <w:sz w:val="20"/>
                <w:szCs w:val="20"/>
              </w:rPr>
              <w:t xml:space="preserve"> </w:t>
            </w:r>
            <w:r>
              <w:rPr>
                <w:spacing w:val="-2"/>
                <w:sz w:val="20"/>
                <w:szCs w:val="20"/>
              </w:rPr>
              <w:t>区</w:t>
            </w:r>
            <w:r>
              <w:rPr>
                <w:spacing w:val="-39"/>
                <w:sz w:val="20"/>
                <w:szCs w:val="20"/>
              </w:rPr>
              <w:t xml:space="preserve"> </w:t>
            </w:r>
            <w:r>
              <w:rPr>
                <w:spacing w:val="-2"/>
                <w:sz w:val="20"/>
                <w:szCs w:val="20"/>
              </w:rPr>
              <w:t>管</w:t>
            </w:r>
            <w:r>
              <w:rPr>
                <w:sz w:val="20"/>
                <w:szCs w:val="20"/>
              </w:rPr>
              <w:t xml:space="preserve"> </w:t>
            </w:r>
            <w:r>
              <w:rPr>
                <w:spacing w:val="29"/>
                <w:sz w:val="20"/>
                <w:szCs w:val="20"/>
              </w:rPr>
              <w:t>控要</w:t>
            </w:r>
            <w:r>
              <w:rPr>
                <w:sz w:val="20"/>
                <w:szCs w:val="20"/>
              </w:rPr>
              <w:t xml:space="preserve"> </w:t>
            </w:r>
            <w:r>
              <w:rPr>
                <w:spacing w:val="1"/>
                <w:sz w:val="20"/>
                <w:szCs w:val="20"/>
              </w:rPr>
              <w:t>求</w:t>
            </w:r>
          </w:p>
        </w:tc>
        <w:tc>
          <w:tcPr>
            <w:tcW w:w="380" w:type="pct"/>
            <w:tcBorders>
              <w:tl2br w:val="nil"/>
              <w:tr2bl w:val="nil"/>
            </w:tcBorders>
            <w:vAlign w:val="top"/>
          </w:tcPr>
          <w:p w14:paraId="3A6A6271">
            <w:pPr>
              <w:spacing w:line="282" w:lineRule="auto"/>
              <w:rPr>
                <w:rFonts w:ascii="Arial"/>
                <w:sz w:val="21"/>
              </w:rPr>
            </w:pPr>
          </w:p>
          <w:p w14:paraId="48E696ED">
            <w:pPr>
              <w:spacing w:line="282" w:lineRule="auto"/>
              <w:rPr>
                <w:rFonts w:ascii="Arial"/>
                <w:sz w:val="21"/>
              </w:rPr>
            </w:pPr>
          </w:p>
          <w:p w14:paraId="4C72C7E7">
            <w:pPr>
              <w:spacing w:line="282" w:lineRule="auto"/>
              <w:rPr>
                <w:rFonts w:ascii="Arial"/>
                <w:sz w:val="21"/>
              </w:rPr>
            </w:pPr>
          </w:p>
          <w:p w14:paraId="4FC97C89">
            <w:pPr>
              <w:spacing w:line="282" w:lineRule="auto"/>
              <w:rPr>
                <w:rFonts w:ascii="Arial"/>
                <w:sz w:val="21"/>
              </w:rPr>
            </w:pPr>
          </w:p>
          <w:p w14:paraId="7119FCB7">
            <w:pPr>
              <w:pStyle w:val="15"/>
              <w:spacing w:before="65" w:line="278" w:lineRule="auto"/>
              <w:ind w:left="117" w:right="109" w:firstLine="5"/>
              <w:jc w:val="both"/>
              <w:rPr>
                <w:sz w:val="20"/>
                <w:szCs w:val="20"/>
              </w:rPr>
            </w:pPr>
            <w:r>
              <w:rPr>
                <w:spacing w:val="10"/>
                <w:sz w:val="20"/>
                <w:szCs w:val="20"/>
              </w:rPr>
              <w:t>吐哈片区</w:t>
            </w:r>
            <w:r>
              <w:rPr>
                <w:spacing w:val="1"/>
                <w:sz w:val="20"/>
                <w:szCs w:val="20"/>
              </w:rPr>
              <w:t xml:space="preserve"> </w:t>
            </w:r>
            <w:r>
              <w:rPr>
                <w:spacing w:val="11"/>
                <w:sz w:val="20"/>
                <w:szCs w:val="20"/>
              </w:rPr>
              <w:t>（吐鲁番</w:t>
            </w:r>
            <w:r>
              <w:rPr>
                <w:spacing w:val="2"/>
                <w:sz w:val="20"/>
                <w:szCs w:val="20"/>
              </w:rPr>
              <w:t xml:space="preserve"> </w:t>
            </w:r>
            <w:r>
              <w:rPr>
                <w:spacing w:val="11"/>
                <w:sz w:val="20"/>
                <w:szCs w:val="20"/>
              </w:rPr>
              <w:t>市和哈密</w:t>
            </w:r>
            <w:r>
              <w:rPr>
                <w:spacing w:val="2"/>
                <w:sz w:val="20"/>
                <w:szCs w:val="20"/>
              </w:rPr>
              <w:t xml:space="preserve"> </w:t>
            </w:r>
            <w:r>
              <w:rPr>
                <w:spacing w:val="-3"/>
                <w:sz w:val="20"/>
                <w:szCs w:val="20"/>
              </w:rPr>
              <w:t>市）</w:t>
            </w:r>
          </w:p>
        </w:tc>
        <w:tc>
          <w:tcPr>
            <w:tcW w:w="2319" w:type="pct"/>
            <w:tcBorders>
              <w:tl2br w:val="nil"/>
              <w:tr2bl w:val="nil"/>
            </w:tcBorders>
            <w:vAlign w:val="top"/>
          </w:tcPr>
          <w:p w14:paraId="68C66178">
            <w:pPr>
              <w:spacing w:line="333" w:lineRule="auto"/>
              <w:rPr>
                <w:rFonts w:ascii="Arial"/>
                <w:sz w:val="21"/>
              </w:rPr>
            </w:pPr>
          </w:p>
          <w:p w14:paraId="0513B0F1">
            <w:pPr>
              <w:pStyle w:val="15"/>
              <w:spacing w:before="65" w:line="278" w:lineRule="auto"/>
              <w:ind w:left="111" w:right="105" w:firstLine="5"/>
              <w:rPr>
                <w:sz w:val="20"/>
                <w:szCs w:val="20"/>
              </w:rPr>
            </w:pPr>
            <w:r>
              <w:rPr>
                <w:spacing w:val="11"/>
                <w:sz w:val="20"/>
                <w:szCs w:val="20"/>
              </w:rPr>
              <w:t>强化吐哈盆地文物古迹、坎儿井、基本农田、荒漠植被、砾幕、城镇</w:t>
            </w:r>
            <w:r>
              <w:rPr>
                <w:spacing w:val="13"/>
                <w:sz w:val="20"/>
                <w:szCs w:val="20"/>
              </w:rPr>
              <w:t xml:space="preserve"> </w:t>
            </w:r>
            <w:r>
              <w:rPr>
                <w:spacing w:val="12"/>
                <w:sz w:val="20"/>
                <w:szCs w:val="20"/>
              </w:rPr>
              <w:t>人居环境保护。落实最严格的水资源管理制</w:t>
            </w:r>
            <w:r>
              <w:rPr>
                <w:spacing w:val="11"/>
                <w:sz w:val="20"/>
                <w:szCs w:val="20"/>
              </w:rPr>
              <w:t>度，提高水资源集约节约</w:t>
            </w:r>
            <w:r>
              <w:rPr>
                <w:sz w:val="20"/>
                <w:szCs w:val="20"/>
              </w:rPr>
              <w:t xml:space="preserve"> </w:t>
            </w:r>
            <w:r>
              <w:rPr>
                <w:spacing w:val="12"/>
                <w:sz w:val="20"/>
                <w:szCs w:val="20"/>
              </w:rPr>
              <w:t>高效利用水平。积极推进吐鲁番部善超采区</w:t>
            </w:r>
            <w:r>
              <w:rPr>
                <w:spacing w:val="11"/>
                <w:sz w:val="20"/>
                <w:szCs w:val="20"/>
              </w:rPr>
              <w:t>、托克逊超采区和哈密超</w:t>
            </w:r>
            <w:r>
              <w:rPr>
                <w:sz w:val="20"/>
                <w:szCs w:val="20"/>
              </w:rPr>
              <w:t xml:space="preserve"> </w:t>
            </w:r>
            <w:r>
              <w:rPr>
                <w:spacing w:val="9"/>
                <w:sz w:val="20"/>
                <w:szCs w:val="20"/>
              </w:rPr>
              <w:t>采区的地下水超采治理，逐步压减超采量，实现地下水采补平衡。</w:t>
            </w:r>
          </w:p>
          <w:p w14:paraId="4874105E">
            <w:pPr>
              <w:pStyle w:val="15"/>
              <w:spacing w:before="72" w:line="263" w:lineRule="auto"/>
              <w:ind w:left="124" w:right="107" w:hanging="8"/>
              <w:rPr>
                <w:sz w:val="20"/>
                <w:szCs w:val="20"/>
              </w:rPr>
            </w:pPr>
            <w:r>
              <w:rPr>
                <w:spacing w:val="6"/>
                <w:sz w:val="20"/>
                <w:szCs w:val="20"/>
              </w:rPr>
              <w:t>强化油</w:t>
            </w:r>
            <w:r>
              <w:rPr>
                <w:rFonts w:ascii="Times New Roman" w:hAnsi="Times New Roman" w:eastAsia="Times New Roman" w:cs="Times New Roman"/>
                <w:spacing w:val="6"/>
                <w:sz w:val="20"/>
                <w:szCs w:val="20"/>
              </w:rPr>
              <w:t>(</w:t>
            </w:r>
            <w:r>
              <w:rPr>
                <w:spacing w:val="6"/>
                <w:sz w:val="20"/>
                <w:szCs w:val="20"/>
              </w:rPr>
              <w:t>气</w:t>
            </w:r>
            <w:r>
              <w:rPr>
                <w:rFonts w:ascii="Times New Roman" w:hAnsi="Times New Roman" w:eastAsia="Times New Roman" w:cs="Times New Roman"/>
                <w:spacing w:val="6"/>
                <w:sz w:val="20"/>
                <w:szCs w:val="20"/>
              </w:rPr>
              <w:t>)</w:t>
            </w:r>
            <w:r>
              <w:rPr>
                <w:spacing w:val="6"/>
                <w:sz w:val="20"/>
                <w:szCs w:val="20"/>
              </w:rPr>
              <w:t>资源开发区土壤环境污染综合整治。加强涉重金属行业污染</w:t>
            </w:r>
            <w:r>
              <w:rPr>
                <w:spacing w:val="15"/>
                <w:sz w:val="20"/>
                <w:szCs w:val="20"/>
              </w:rPr>
              <w:t xml:space="preserve"> </w:t>
            </w:r>
            <w:r>
              <w:rPr>
                <w:spacing w:val="7"/>
                <w:sz w:val="20"/>
                <w:szCs w:val="20"/>
              </w:rPr>
              <w:t>防控与工业废物处理处置。</w:t>
            </w:r>
          </w:p>
          <w:p w14:paraId="43E19B0E">
            <w:pPr>
              <w:pStyle w:val="15"/>
              <w:spacing w:before="70" w:line="274" w:lineRule="auto"/>
              <w:ind w:left="112" w:right="105"/>
              <w:jc w:val="both"/>
              <w:rPr>
                <w:sz w:val="20"/>
                <w:szCs w:val="20"/>
              </w:rPr>
            </w:pPr>
            <w:r>
              <w:rPr>
                <w:spacing w:val="11"/>
                <w:sz w:val="20"/>
                <w:szCs w:val="20"/>
              </w:rPr>
              <w:t>煤炭、石油、天然气开发单位应当制定生态保护和恢复治理方案，并</w:t>
            </w:r>
            <w:r>
              <w:rPr>
                <w:spacing w:val="17"/>
                <w:sz w:val="20"/>
                <w:szCs w:val="20"/>
              </w:rPr>
              <w:t xml:space="preserve"> </w:t>
            </w:r>
            <w:r>
              <w:rPr>
                <w:spacing w:val="11"/>
                <w:sz w:val="20"/>
                <w:szCs w:val="20"/>
              </w:rPr>
              <w:t>予以实施。生态保护和恢复治理方案内容应当向社会公布，接受社会</w:t>
            </w:r>
            <w:r>
              <w:rPr>
                <w:spacing w:val="17"/>
                <w:sz w:val="20"/>
                <w:szCs w:val="20"/>
              </w:rPr>
              <w:t xml:space="preserve"> </w:t>
            </w:r>
            <w:r>
              <w:rPr>
                <w:spacing w:val="2"/>
                <w:sz w:val="20"/>
                <w:szCs w:val="20"/>
              </w:rPr>
              <w:t>监督。</w:t>
            </w:r>
          </w:p>
        </w:tc>
        <w:tc>
          <w:tcPr>
            <w:tcW w:w="1623" w:type="pct"/>
            <w:tcBorders>
              <w:tl2br w:val="nil"/>
              <w:tr2bl w:val="nil"/>
            </w:tcBorders>
            <w:vAlign w:val="top"/>
          </w:tcPr>
          <w:p w14:paraId="175C7A0C">
            <w:pPr>
              <w:pStyle w:val="15"/>
              <w:spacing w:before="74" w:line="276" w:lineRule="auto"/>
              <w:ind w:left="112" w:right="49"/>
              <w:jc w:val="both"/>
              <w:rPr>
                <w:sz w:val="20"/>
                <w:szCs w:val="20"/>
              </w:rPr>
            </w:pPr>
            <w:r>
              <w:rPr>
                <w:rFonts w:hint="eastAsia"/>
                <w:spacing w:val="11"/>
                <w:sz w:val="20"/>
                <w:szCs w:val="20"/>
                <w:lang w:val="en-US" w:eastAsia="zh-CN"/>
              </w:rPr>
              <w:t>本</w:t>
            </w:r>
            <w:r>
              <w:rPr>
                <w:spacing w:val="11"/>
                <w:sz w:val="20"/>
                <w:szCs w:val="20"/>
              </w:rPr>
              <w:t>工程的建设有利于提高水资源利用率，</w:t>
            </w:r>
            <w:r>
              <w:rPr>
                <w:rFonts w:hint="eastAsia"/>
                <w:spacing w:val="11"/>
                <w:sz w:val="20"/>
                <w:szCs w:val="20"/>
                <w:lang w:val="en-US" w:eastAsia="zh-CN"/>
              </w:rPr>
              <w:t>节约农业用水，</w:t>
            </w:r>
            <w:r>
              <w:rPr>
                <w:spacing w:val="11"/>
                <w:sz w:val="20"/>
                <w:szCs w:val="20"/>
              </w:rPr>
              <w:t>保证生态用水，</w:t>
            </w:r>
            <w:r>
              <w:rPr>
                <w:rFonts w:hint="eastAsia"/>
                <w:spacing w:val="11"/>
                <w:sz w:val="20"/>
                <w:szCs w:val="20"/>
                <w:lang w:val="en-US" w:eastAsia="zh-CN"/>
              </w:rPr>
              <w:t>保护艾丁湖生态环境</w:t>
            </w:r>
            <w:r>
              <w:rPr>
                <w:spacing w:val="13"/>
                <w:sz w:val="20"/>
                <w:szCs w:val="20"/>
              </w:rPr>
              <w:t>。</w:t>
            </w:r>
          </w:p>
        </w:tc>
        <w:tc>
          <w:tcPr>
            <w:tcW w:w="434" w:type="pct"/>
            <w:tcBorders>
              <w:tl2br w:val="nil"/>
              <w:tr2bl w:val="nil"/>
            </w:tcBorders>
            <w:vAlign w:val="top"/>
          </w:tcPr>
          <w:p w14:paraId="2E513C42">
            <w:pPr>
              <w:spacing w:line="267" w:lineRule="auto"/>
              <w:rPr>
                <w:rFonts w:ascii="Arial"/>
                <w:sz w:val="21"/>
              </w:rPr>
            </w:pPr>
          </w:p>
          <w:p w14:paraId="1AD2F882">
            <w:pPr>
              <w:spacing w:line="267" w:lineRule="auto"/>
              <w:rPr>
                <w:rFonts w:ascii="Arial"/>
                <w:sz w:val="21"/>
              </w:rPr>
            </w:pPr>
          </w:p>
          <w:p w14:paraId="7A54465B">
            <w:pPr>
              <w:spacing w:line="267" w:lineRule="auto"/>
              <w:rPr>
                <w:rFonts w:ascii="Arial"/>
                <w:sz w:val="21"/>
              </w:rPr>
            </w:pPr>
          </w:p>
          <w:p w14:paraId="55A4F00F">
            <w:pPr>
              <w:spacing w:line="267" w:lineRule="auto"/>
              <w:rPr>
                <w:rFonts w:ascii="Arial"/>
                <w:sz w:val="21"/>
              </w:rPr>
            </w:pPr>
          </w:p>
          <w:p w14:paraId="128A01A6">
            <w:pPr>
              <w:spacing w:line="267" w:lineRule="auto"/>
              <w:rPr>
                <w:rFonts w:ascii="Arial"/>
                <w:sz w:val="21"/>
              </w:rPr>
            </w:pPr>
          </w:p>
          <w:p w14:paraId="1CAAA487">
            <w:pPr>
              <w:spacing w:line="268" w:lineRule="auto"/>
              <w:rPr>
                <w:rFonts w:ascii="Arial"/>
                <w:sz w:val="21"/>
              </w:rPr>
            </w:pPr>
          </w:p>
          <w:p w14:paraId="71C4E442">
            <w:pPr>
              <w:pStyle w:val="15"/>
              <w:spacing w:before="65" w:line="228" w:lineRule="auto"/>
              <w:ind w:left="116"/>
              <w:rPr>
                <w:sz w:val="20"/>
                <w:szCs w:val="20"/>
              </w:rPr>
            </w:pPr>
            <w:r>
              <w:rPr>
                <w:spacing w:val="3"/>
                <w:sz w:val="20"/>
                <w:szCs w:val="20"/>
              </w:rPr>
              <w:t>符合</w:t>
            </w:r>
          </w:p>
        </w:tc>
      </w:tr>
    </w:tbl>
    <w:p w14:paraId="0AC69F0C">
      <w:pPr>
        <w:rPr>
          <w:rFonts w:hint="default"/>
          <w:lang w:val="en-US" w:eastAsia="zh-CN"/>
        </w:rPr>
        <w:sectPr>
          <w:pgSz w:w="16839" w:h="11905" w:orient="landscape"/>
          <w:pgMar w:top="1701" w:right="1151" w:bottom="1620" w:left="1120" w:header="882" w:footer="842" w:gutter="0"/>
          <w:pgBorders>
            <w:top w:val="none" w:sz="0" w:space="0"/>
            <w:left w:val="none" w:sz="0" w:space="0"/>
            <w:bottom w:val="none" w:sz="0" w:space="0"/>
            <w:right w:val="none" w:sz="0" w:space="0"/>
          </w:pgBorders>
          <w:pgNumType w:fmt="decimal"/>
          <w:cols w:space="720" w:num="1"/>
        </w:sectPr>
      </w:pPr>
    </w:p>
    <w:p w14:paraId="6992D319">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11"/>
        <w:textAlignment w:val="baseline"/>
        <w:outlineLvl w:val="3"/>
        <w:rPr>
          <w:rFonts w:ascii="宋体" w:hAnsi="宋体" w:eastAsia="宋体" w:cs="宋体"/>
          <w:sz w:val="24"/>
          <w:szCs w:val="24"/>
        </w:rPr>
      </w:pPr>
      <w:r>
        <w:rPr>
          <w:b/>
          <w:bCs/>
        </w:rPr>
        <w:fldChar w:fldCharType="begin"/>
      </w:r>
      <w:r>
        <w:rPr>
          <w:b/>
          <w:bCs/>
        </w:rPr>
        <w:instrText xml:space="preserve"> HYPERLINK "3.3.9.2"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3.3.</w:t>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7</w:t>
      </w:r>
      <w:r>
        <w:rPr>
          <w:rFonts w:ascii="宋体" w:hAnsi="宋体" w:eastAsia="宋体" w:cs="宋体"/>
          <w:b/>
          <w:bCs/>
          <w:spacing w:val="-1"/>
          <w:sz w:val="24"/>
          <w:szCs w:val="24"/>
          <w14:textOutline w14:w="4358" w14:cap="sq" w14:cmpd="sng">
            <w14:solidFill>
              <w14:srgbClr w14:val="000000"/>
            </w14:solidFill>
            <w14:prstDash w14:val="solid"/>
            <w14:bevel/>
          </w14:textOutline>
        </w:rPr>
        <w:t>.2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b/>
          <w:bCs/>
          <w:spacing w:val="-1"/>
          <w:sz w:val="24"/>
          <w:szCs w:val="24"/>
          <w:lang w:eastAsia="zh-CN"/>
          <w14:textOutline w14:w="4358" w14:cap="sq" w14:cmpd="sng">
            <w14:solidFill>
              <w14:srgbClr w14:val="000000"/>
            </w14:solidFill>
            <w14:prstDash w14:val="solid"/>
            <w14:bevel/>
          </w14:textOutline>
        </w:rPr>
        <w:t>吐鲁番市</w:t>
      </w:r>
      <w:r>
        <w:rPr>
          <w:rFonts w:ascii="宋体" w:hAnsi="宋体" w:eastAsia="宋体" w:cs="宋体"/>
          <w:b/>
          <w:bCs/>
          <w:spacing w:val="-1"/>
          <w:sz w:val="24"/>
          <w:szCs w:val="24"/>
          <w14:textOutline w14:w="4358" w14:cap="sq" w14:cmpd="sng">
            <w14:solidFill>
              <w14:srgbClr w14:val="000000"/>
            </w14:solidFill>
            <w14:prstDash w14:val="solid"/>
            <w14:bevel/>
          </w14:textOutline>
        </w:rPr>
        <w:t>“三线一单</w:t>
      </w:r>
      <w:r>
        <w:rPr>
          <w:rFonts w:ascii="宋体" w:hAnsi="宋体" w:eastAsia="宋体" w:cs="宋体"/>
          <w:b/>
          <w:bCs/>
          <w:spacing w:val="-85"/>
          <w:sz w:val="24"/>
          <w:szCs w:val="24"/>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”生态环境分区管控方案符合性分析</w:t>
      </w:r>
    </w:p>
    <w:p w14:paraId="67C948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rPr>
        <w:sectPr>
          <w:pgSz w:w="11905" w:h="16839"/>
          <w:pgMar w:top="1151" w:right="1620" w:bottom="1120" w:left="1701" w:header="882" w:footer="842"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z w:val="24"/>
          <w:szCs w:val="24"/>
        </w:rPr>
        <w:t>根据《吐鲁番市“三线一单”生态环境分区管控方案》（吐政办【2021】24号），吐鲁番市共划定管控单元64个，优先保护单元17个，重点管控单元36个，一般管控单元11个。本次流域规划范围为高昌区，高昌区共划定管控单元18个，优先保护单元6个</w:t>
      </w:r>
      <w:r>
        <w:rPr>
          <w:rFonts w:hint="eastAsia" w:ascii="宋体" w:hAnsi="宋体" w:eastAsia="宋体" w:cs="宋体"/>
          <w:sz w:val="24"/>
          <w:szCs w:val="24"/>
          <w:lang w:eastAsia="zh-CN"/>
        </w:rPr>
        <w:t>，</w:t>
      </w:r>
      <w:r>
        <w:rPr>
          <w:rFonts w:hint="eastAsia" w:ascii="宋体" w:hAnsi="宋体" w:eastAsia="宋体" w:cs="宋体"/>
          <w:sz w:val="24"/>
          <w:szCs w:val="24"/>
        </w:rPr>
        <w:t>重点管控单元8个，一般管控单元4个</w:t>
      </w:r>
      <w:r>
        <w:rPr>
          <w:sz w:val="24"/>
          <w:szCs w:val="24"/>
        </w:rPr>
        <w:t>。</w:t>
      </w:r>
    </w:p>
    <w:p w14:paraId="35639292">
      <w:pPr>
        <w:spacing w:before="300" w:line="193" w:lineRule="auto"/>
        <w:jc w:val="center"/>
      </w:pPr>
      <w:r>
        <w:rPr>
          <w:rFonts w:ascii="宋体" w:hAnsi="宋体" w:eastAsia="宋体" w:cs="宋体"/>
          <w:spacing w:val="3"/>
          <w:sz w:val="20"/>
          <w:szCs w:val="20"/>
          <w14:textOutline w14:w="3795" w14:cap="sq" w14:cmpd="sng">
            <w14:solidFill>
              <w14:srgbClr w14:val="000000"/>
            </w14:solidFill>
            <w14:prstDash w14:val="solid"/>
            <w14:bevel/>
          </w14:textOutline>
        </w:rPr>
        <w:t>表</w:t>
      </w:r>
      <w:r>
        <w:rPr>
          <w:rFonts w:ascii="宋体" w:hAnsi="宋体" w:eastAsia="宋体" w:cs="宋体"/>
          <w:spacing w:val="-43"/>
          <w:sz w:val="20"/>
          <w:szCs w:val="20"/>
        </w:rPr>
        <w:t xml:space="preserve"> </w:t>
      </w:r>
      <w:r>
        <w:rPr>
          <w:rFonts w:hint="eastAsia" w:ascii="Times New Roman" w:hAnsi="Times New Roman" w:eastAsia="宋体" w:cs="Times New Roman"/>
          <w:b/>
          <w:bCs/>
          <w:spacing w:val="3"/>
          <w:sz w:val="20"/>
          <w:szCs w:val="20"/>
          <w:lang w:val="en-US" w:eastAsia="zh-CN"/>
        </w:rPr>
        <w:t>3-</w:t>
      </w:r>
      <w:r>
        <w:rPr>
          <w:rFonts w:ascii="Times New Roman" w:hAnsi="Times New Roman" w:eastAsia="Times New Roman" w:cs="Times New Roman"/>
          <w:b/>
          <w:bCs/>
          <w:spacing w:val="3"/>
          <w:sz w:val="20"/>
          <w:szCs w:val="20"/>
        </w:rPr>
        <w:t>3-5</w:t>
      </w:r>
      <w:r>
        <w:rPr>
          <w:rFonts w:hint="eastAsia" w:ascii="Times New Roman" w:hAnsi="Times New Roman" w:eastAsia="宋体" w:cs="Times New Roman"/>
          <w:b/>
          <w:bCs/>
          <w:spacing w:val="3"/>
          <w:sz w:val="20"/>
          <w:szCs w:val="20"/>
          <w:lang w:val="en-US" w:eastAsia="zh-CN"/>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吐鲁番市生态环境准入清单符合性分析一览表</w:t>
      </w: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4"/>
        <w:gridCol w:w="9055"/>
        <w:gridCol w:w="3622"/>
        <w:gridCol w:w="1031"/>
      </w:tblGrid>
      <w:tr w14:paraId="72A9C16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401" w:type="pct"/>
            <w:gridSpan w:val="2"/>
            <w:tcBorders>
              <w:tl2br w:val="nil"/>
              <w:tr2bl w:val="nil"/>
            </w:tcBorders>
            <w:vAlign w:val="top"/>
          </w:tcPr>
          <w:p w14:paraId="6673F418">
            <w:pPr>
              <w:pStyle w:val="15"/>
              <w:spacing w:before="80" w:line="220" w:lineRule="auto"/>
              <w:ind w:left="4202"/>
              <w:rPr>
                <w:sz w:val="20"/>
                <w:szCs w:val="20"/>
              </w:rPr>
            </w:pPr>
            <w:r>
              <w:rPr>
                <w:spacing w:val="7"/>
                <w:sz w:val="20"/>
                <w:szCs w:val="20"/>
              </w:rPr>
              <w:t>总体管控要求</w:t>
            </w:r>
          </w:p>
        </w:tc>
        <w:tc>
          <w:tcPr>
            <w:tcW w:w="1243" w:type="pct"/>
            <w:tcBorders>
              <w:tl2br w:val="nil"/>
              <w:tr2bl w:val="nil"/>
            </w:tcBorders>
            <w:vAlign w:val="top"/>
          </w:tcPr>
          <w:p w14:paraId="26D3C364">
            <w:pPr>
              <w:pStyle w:val="15"/>
              <w:spacing w:before="80" w:line="220" w:lineRule="auto"/>
              <w:ind w:left="1353"/>
              <w:rPr>
                <w:sz w:val="20"/>
                <w:szCs w:val="20"/>
              </w:rPr>
            </w:pPr>
            <w:r>
              <w:rPr>
                <w:spacing w:val="6"/>
                <w:sz w:val="20"/>
                <w:szCs w:val="20"/>
              </w:rPr>
              <w:t>工程情况</w:t>
            </w:r>
          </w:p>
        </w:tc>
        <w:tc>
          <w:tcPr>
            <w:tcW w:w="354" w:type="pct"/>
            <w:tcBorders>
              <w:tl2br w:val="nil"/>
              <w:tr2bl w:val="nil"/>
            </w:tcBorders>
            <w:vAlign w:val="top"/>
          </w:tcPr>
          <w:p w14:paraId="70C71854">
            <w:pPr>
              <w:pStyle w:val="15"/>
              <w:spacing w:before="80" w:line="220" w:lineRule="auto"/>
              <w:ind w:left="118"/>
              <w:rPr>
                <w:sz w:val="20"/>
                <w:szCs w:val="20"/>
              </w:rPr>
            </w:pPr>
            <w:r>
              <w:rPr>
                <w:spacing w:val="6"/>
                <w:sz w:val="20"/>
                <w:szCs w:val="20"/>
              </w:rPr>
              <w:t>符合性</w:t>
            </w:r>
          </w:p>
        </w:tc>
      </w:tr>
      <w:tr w14:paraId="632997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22" w:hRule="atLeast"/>
        </w:trPr>
        <w:tc>
          <w:tcPr>
            <w:tcW w:w="293" w:type="pct"/>
            <w:tcBorders>
              <w:tl2br w:val="nil"/>
              <w:tr2bl w:val="nil"/>
            </w:tcBorders>
            <w:vAlign w:val="top"/>
          </w:tcPr>
          <w:p w14:paraId="658D6991">
            <w:pPr>
              <w:spacing w:line="261" w:lineRule="auto"/>
              <w:rPr>
                <w:rFonts w:ascii="Arial"/>
                <w:sz w:val="21"/>
              </w:rPr>
            </w:pPr>
          </w:p>
          <w:p w14:paraId="4CFA8F96">
            <w:pPr>
              <w:spacing w:line="261" w:lineRule="auto"/>
              <w:rPr>
                <w:rFonts w:ascii="Arial"/>
                <w:sz w:val="21"/>
              </w:rPr>
            </w:pPr>
          </w:p>
          <w:p w14:paraId="626E4A75">
            <w:pPr>
              <w:spacing w:line="261" w:lineRule="auto"/>
              <w:rPr>
                <w:rFonts w:ascii="Arial"/>
                <w:sz w:val="21"/>
              </w:rPr>
            </w:pPr>
          </w:p>
          <w:p w14:paraId="390C4F08">
            <w:pPr>
              <w:spacing w:line="261" w:lineRule="auto"/>
              <w:rPr>
                <w:rFonts w:ascii="Arial"/>
                <w:sz w:val="21"/>
              </w:rPr>
            </w:pPr>
          </w:p>
          <w:p w14:paraId="5F16F4E3">
            <w:pPr>
              <w:spacing w:line="261" w:lineRule="auto"/>
              <w:rPr>
                <w:rFonts w:ascii="Arial"/>
                <w:sz w:val="21"/>
              </w:rPr>
            </w:pPr>
          </w:p>
          <w:p w14:paraId="4EB11567">
            <w:pPr>
              <w:spacing w:line="261" w:lineRule="auto"/>
              <w:rPr>
                <w:rFonts w:ascii="Arial"/>
                <w:sz w:val="21"/>
              </w:rPr>
            </w:pPr>
          </w:p>
          <w:p w14:paraId="0E4B7993">
            <w:pPr>
              <w:spacing w:line="261" w:lineRule="auto"/>
              <w:rPr>
                <w:rFonts w:ascii="Arial"/>
                <w:sz w:val="21"/>
              </w:rPr>
            </w:pPr>
          </w:p>
          <w:p w14:paraId="03EC88BD">
            <w:pPr>
              <w:spacing w:line="262" w:lineRule="auto"/>
              <w:rPr>
                <w:rFonts w:ascii="Arial"/>
                <w:sz w:val="21"/>
              </w:rPr>
            </w:pPr>
          </w:p>
          <w:p w14:paraId="009FF9F9">
            <w:pPr>
              <w:spacing w:line="262" w:lineRule="auto"/>
              <w:rPr>
                <w:rFonts w:ascii="Arial"/>
                <w:sz w:val="21"/>
              </w:rPr>
            </w:pPr>
          </w:p>
          <w:p w14:paraId="27A00398">
            <w:pPr>
              <w:spacing w:line="262" w:lineRule="auto"/>
              <w:rPr>
                <w:rFonts w:ascii="Arial"/>
                <w:sz w:val="21"/>
              </w:rPr>
            </w:pPr>
          </w:p>
          <w:p w14:paraId="3BFA8BDD">
            <w:pPr>
              <w:spacing w:line="262" w:lineRule="auto"/>
              <w:rPr>
                <w:rFonts w:ascii="Arial"/>
                <w:sz w:val="21"/>
              </w:rPr>
            </w:pPr>
          </w:p>
          <w:p w14:paraId="741B4859">
            <w:pPr>
              <w:pStyle w:val="15"/>
              <w:spacing w:before="65" w:line="319" w:lineRule="exact"/>
              <w:ind w:left="219"/>
              <w:rPr>
                <w:sz w:val="20"/>
                <w:szCs w:val="20"/>
              </w:rPr>
            </w:pPr>
            <w:r>
              <w:rPr>
                <w:spacing w:val="1"/>
                <w:position w:val="8"/>
                <w:sz w:val="20"/>
                <w:szCs w:val="20"/>
              </w:rPr>
              <w:t>空间</w:t>
            </w:r>
          </w:p>
          <w:p w14:paraId="6CEC3083">
            <w:pPr>
              <w:pStyle w:val="15"/>
              <w:spacing w:line="226" w:lineRule="auto"/>
              <w:ind w:left="213"/>
              <w:rPr>
                <w:sz w:val="20"/>
                <w:szCs w:val="20"/>
              </w:rPr>
            </w:pPr>
            <w:r>
              <w:rPr>
                <w:spacing w:val="4"/>
                <w:sz w:val="20"/>
                <w:szCs w:val="20"/>
              </w:rPr>
              <w:t>布局</w:t>
            </w:r>
          </w:p>
          <w:p w14:paraId="1B033FDE">
            <w:pPr>
              <w:pStyle w:val="15"/>
              <w:spacing w:before="72" w:line="228" w:lineRule="auto"/>
              <w:ind w:left="218"/>
              <w:rPr>
                <w:sz w:val="20"/>
                <w:szCs w:val="20"/>
              </w:rPr>
            </w:pPr>
            <w:r>
              <w:rPr>
                <w:spacing w:val="2"/>
                <w:sz w:val="20"/>
                <w:szCs w:val="20"/>
              </w:rPr>
              <w:t>约束</w:t>
            </w:r>
          </w:p>
        </w:tc>
        <w:tc>
          <w:tcPr>
            <w:tcW w:w="3107" w:type="pct"/>
            <w:tcBorders>
              <w:tl2br w:val="nil"/>
              <w:tr2bl w:val="nil"/>
            </w:tcBorders>
            <w:vAlign w:val="top"/>
          </w:tcPr>
          <w:p w14:paraId="3543B0F0">
            <w:pPr>
              <w:pStyle w:val="15"/>
              <w:spacing w:before="77" w:line="261" w:lineRule="auto"/>
              <w:ind w:left="114" w:right="106" w:firstLine="12"/>
              <w:rPr>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9"/>
                <w:sz w:val="20"/>
                <w:szCs w:val="20"/>
              </w:rPr>
              <w:t xml:space="preserve">1 </w:t>
            </w:r>
            <w:r>
              <w:rPr>
                <w:spacing w:val="9"/>
                <w:sz w:val="20"/>
                <w:szCs w:val="20"/>
              </w:rPr>
              <w:t>严格执行自治区总体准入要求、</w:t>
            </w:r>
            <w:r>
              <w:rPr>
                <w:spacing w:val="-49"/>
                <w:sz w:val="20"/>
                <w:szCs w:val="20"/>
              </w:rPr>
              <w:t xml:space="preserve"> </w:t>
            </w:r>
            <w:r>
              <w:rPr>
                <w:spacing w:val="9"/>
                <w:sz w:val="20"/>
                <w:szCs w:val="20"/>
              </w:rPr>
              <w:t>自治区七大片区分区总体要求以及吐哈片区管控要求中关</w:t>
            </w:r>
            <w:r>
              <w:rPr>
                <w:sz w:val="20"/>
                <w:szCs w:val="20"/>
              </w:rPr>
              <w:t xml:space="preserve"> </w:t>
            </w:r>
            <w:r>
              <w:rPr>
                <w:spacing w:val="5"/>
                <w:sz w:val="20"/>
                <w:szCs w:val="20"/>
              </w:rPr>
              <w:t>于</w:t>
            </w:r>
            <w:r>
              <w:rPr>
                <w:rFonts w:ascii="Times New Roman" w:hAnsi="Times New Roman" w:eastAsia="Times New Roman" w:cs="Times New Roman"/>
                <w:spacing w:val="5"/>
                <w:sz w:val="20"/>
                <w:szCs w:val="20"/>
              </w:rPr>
              <w:t>“</w:t>
            </w:r>
            <w:r>
              <w:rPr>
                <w:spacing w:val="5"/>
                <w:sz w:val="20"/>
                <w:szCs w:val="20"/>
              </w:rPr>
              <w:t>空间布局约束</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1"/>
                <w:sz w:val="20"/>
                <w:szCs w:val="20"/>
              </w:rPr>
              <w:t xml:space="preserve"> </w:t>
            </w:r>
            <w:r>
              <w:rPr>
                <w:spacing w:val="5"/>
                <w:sz w:val="20"/>
                <w:szCs w:val="20"/>
              </w:rPr>
              <w:t>的各项要求。</w:t>
            </w:r>
          </w:p>
          <w:p w14:paraId="0DDCAEC1">
            <w:pPr>
              <w:pStyle w:val="15"/>
              <w:spacing w:before="72" w:line="263" w:lineRule="auto"/>
              <w:ind w:left="112" w:right="106" w:firstLine="15"/>
              <w:rPr>
                <w:sz w:val="20"/>
                <w:szCs w:val="20"/>
              </w:rPr>
            </w:pPr>
            <w:r>
              <w:rPr>
                <w:rFonts w:ascii="Times New Roman" w:hAnsi="Times New Roman" w:eastAsia="Times New Roman" w:cs="Times New Roman"/>
                <w:spacing w:val="11"/>
                <w:sz w:val="20"/>
                <w:szCs w:val="20"/>
              </w:rPr>
              <w:t xml:space="preserve">1.2 </w:t>
            </w:r>
            <w:r>
              <w:rPr>
                <w:spacing w:val="11"/>
                <w:sz w:val="20"/>
                <w:szCs w:val="20"/>
              </w:rPr>
              <w:t>禁止各类保护地的矿产资源开发，禁止优先保护单元等生态敏感区域的大</w:t>
            </w:r>
            <w:r>
              <w:rPr>
                <w:spacing w:val="10"/>
                <w:sz w:val="20"/>
                <w:szCs w:val="20"/>
              </w:rPr>
              <w:t>规模的矿产资源</w:t>
            </w:r>
            <w:r>
              <w:rPr>
                <w:sz w:val="20"/>
                <w:szCs w:val="20"/>
              </w:rPr>
              <w:t xml:space="preserve"> </w:t>
            </w:r>
            <w:r>
              <w:rPr>
                <w:spacing w:val="2"/>
                <w:sz w:val="20"/>
                <w:szCs w:val="20"/>
              </w:rPr>
              <w:t>开发。</w:t>
            </w:r>
          </w:p>
          <w:p w14:paraId="3C6E471B">
            <w:pPr>
              <w:pStyle w:val="15"/>
              <w:spacing w:before="73" w:line="278" w:lineRule="auto"/>
              <w:ind w:left="112" w:right="104" w:firstLine="15"/>
              <w:rPr>
                <w:sz w:val="20"/>
                <w:szCs w:val="20"/>
              </w:rPr>
            </w:pPr>
            <w:r>
              <w:rPr>
                <w:rFonts w:ascii="Times New Roman" w:hAnsi="Times New Roman" w:eastAsia="Times New Roman" w:cs="Times New Roman"/>
                <w:spacing w:val="11"/>
                <w:sz w:val="20"/>
                <w:szCs w:val="20"/>
              </w:rPr>
              <w:t xml:space="preserve">1.3 </w:t>
            </w:r>
            <w:r>
              <w:rPr>
                <w:spacing w:val="11"/>
                <w:sz w:val="20"/>
                <w:szCs w:val="20"/>
              </w:rPr>
              <w:t>禁止在源头水区域内进行污染环境的任何开发建设活动，现行法律、法规</w:t>
            </w:r>
            <w:r>
              <w:rPr>
                <w:spacing w:val="10"/>
                <w:sz w:val="20"/>
                <w:szCs w:val="20"/>
              </w:rPr>
              <w:t>明确豁免的开发</w:t>
            </w:r>
            <w:r>
              <w:rPr>
                <w:sz w:val="20"/>
                <w:szCs w:val="20"/>
              </w:rPr>
              <w:t xml:space="preserve"> </w:t>
            </w:r>
            <w:r>
              <w:rPr>
                <w:spacing w:val="9"/>
                <w:sz w:val="20"/>
                <w:szCs w:val="20"/>
              </w:rPr>
              <w:t>建设活动除外；禁止在源头水周围建设重化工、涉重金属等工业污染项目；除改善水质为目的</w:t>
            </w:r>
            <w:r>
              <w:rPr>
                <w:spacing w:val="13"/>
                <w:sz w:val="20"/>
                <w:szCs w:val="20"/>
              </w:rPr>
              <w:t xml:space="preserve"> </w:t>
            </w:r>
            <w:r>
              <w:rPr>
                <w:spacing w:val="9"/>
                <w:sz w:val="20"/>
                <w:szCs w:val="20"/>
              </w:rPr>
              <w:t>治理工程、重要生境保护与修复、水土流失治理工程、专项河湖整治工程等之外，禁止进行大</w:t>
            </w:r>
            <w:r>
              <w:rPr>
                <w:spacing w:val="15"/>
                <w:sz w:val="20"/>
                <w:szCs w:val="20"/>
              </w:rPr>
              <w:t xml:space="preserve"> </w:t>
            </w:r>
            <w:r>
              <w:rPr>
                <w:spacing w:val="9"/>
                <w:sz w:val="20"/>
                <w:szCs w:val="20"/>
              </w:rPr>
              <w:t>规模对水环境造成影响的国土资源开发和经济活动。</w:t>
            </w:r>
          </w:p>
          <w:p w14:paraId="4B72AAA1">
            <w:pPr>
              <w:pStyle w:val="15"/>
              <w:spacing w:before="72" w:line="273" w:lineRule="auto"/>
              <w:ind w:left="110" w:right="35" w:firstLine="17"/>
              <w:rPr>
                <w:sz w:val="20"/>
                <w:szCs w:val="20"/>
              </w:rPr>
            </w:pPr>
            <w:r>
              <w:rPr>
                <w:rFonts w:ascii="Times New Roman" w:hAnsi="Times New Roman" w:eastAsia="Times New Roman" w:cs="Times New Roman"/>
                <w:spacing w:val="9"/>
                <w:sz w:val="20"/>
                <w:szCs w:val="20"/>
              </w:rPr>
              <w:t xml:space="preserve">1.4 </w:t>
            </w:r>
            <w:r>
              <w:rPr>
                <w:spacing w:val="9"/>
                <w:sz w:val="20"/>
                <w:szCs w:val="20"/>
              </w:rPr>
              <w:t>禁止新建、扩建《产业结构调整指导目录（</w:t>
            </w:r>
            <w:r>
              <w:rPr>
                <w:rFonts w:ascii="Times New Roman" w:hAnsi="Times New Roman" w:eastAsia="Times New Roman" w:cs="Times New Roman"/>
                <w:spacing w:val="9"/>
                <w:sz w:val="20"/>
                <w:szCs w:val="20"/>
              </w:rPr>
              <w:t xml:space="preserve">2024 </w:t>
            </w:r>
            <w:r>
              <w:rPr>
                <w:spacing w:val="9"/>
                <w:sz w:val="20"/>
                <w:szCs w:val="20"/>
              </w:rPr>
              <w:t>年本）</w:t>
            </w:r>
            <w:r>
              <w:rPr>
                <w:spacing w:val="8"/>
                <w:sz w:val="20"/>
                <w:szCs w:val="20"/>
              </w:rPr>
              <w:t xml:space="preserve">》中限制类、淘汰类项目。禁止引 </w:t>
            </w:r>
            <w:r>
              <w:rPr>
                <w:spacing w:val="5"/>
                <w:sz w:val="20"/>
                <w:szCs w:val="20"/>
              </w:rPr>
              <w:t>入《市场准入负面清单（</w:t>
            </w:r>
            <w:r>
              <w:rPr>
                <w:rFonts w:ascii="Times New Roman" w:hAnsi="Times New Roman" w:eastAsia="Times New Roman" w:cs="Times New Roman"/>
                <w:spacing w:val="5"/>
                <w:sz w:val="20"/>
                <w:szCs w:val="20"/>
              </w:rPr>
              <w:t xml:space="preserve">2024 </w:t>
            </w:r>
            <w:r>
              <w:rPr>
                <w:spacing w:val="5"/>
                <w:sz w:val="20"/>
                <w:szCs w:val="20"/>
              </w:rPr>
              <w:t>年版）》禁止准入</w:t>
            </w:r>
            <w:r>
              <w:rPr>
                <w:spacing w:val="4"/>
                <w:sz w:val="20"/>
                <w:szCs w:val="20"/>
              </w:rPr>
              <w:t>类事项。除国家规划项目外，禁止新建、扩建、</w:t>
            </w:r>
            <w:r>
              <w:rPr>
                <w:sz w:val="20"/>
                <w:szCs w:val="20"/>
              </w:rPr>
              <w:t xml:space="preserve"> </w:t>
            </w:r>
            <w:r>
              <w:rPr>
                <w:spacing w:val="6"/>
                <w:sz w:val="20"/>
                <w:szCs w:val="20"/>
              </w:rPr>
              <w:t>改建</w:t>
            </w:r>
            <w:r>
              <w:rPr>
                <w:rFonts w:ascii="Times New Roman" w:hAnsi="Times New Roman" w:eastAsia="Times New Roman" w:cs="Times New Roman"/>
                <w:spacing w:val="6"/>
                <w:sz w:val="20"/>
                <w:szCs w:val="20"/>
              </w:rPr>
              <w:t>“</w:t>
            </w:r>
            <w:r>
              <w:rPr>
                <w:spacing w:val="6"/>
                <w:sz w:val="20"/>
                <w:szCs w:val="20"/>
              </w:rPr>
              <w:t>三高</w:t>
            </w:r>
            <w:r>
              <w:rPr>
                <w:rFonts w:ascii="Times New Roman" w:hAnsi="Times New Roman" w:eastAsia="Times New Roman" w:cs="Times New Roman"/>
                <w:spacing w:val="6"/>
                <w:sz w:val="20"/>
                <w:szCs w:val="20"/>
              </w:rPr>
              <w:t>”</w:t>
            </w:r>
            <w:r>
              <w:rPr>
                <w:spacing w:val="6"/>
                <w:sz w:val="20"/>
                <w:szCs w:val="20"/>
              </w:rPr>
              <w:t>项目。</w:t>
            </w:r>
          </w:p>
          <w:p w14:paraId="39EBE20F">
            <w:pPr>
              <w:pStyle w:val="15"/>
              <w:spacing w:before="72" w:line="280" w:lineRule="auto"/>
              <w:ind w:left="111" w:right="104" w:firstLine="16"/>
              <w:rPr>
                <w:sz w:val="20"/>
                <w:szCs w:val="20"/>
              </w:rPr>
            </w:pPr>
            <w:r>
              <w:rPr>
                <w:rFonts w:ascii="Times New Roman" w:hAnsi="Times New Roman" w:eastAsia="Times New Roman" w:cs="Times New Roman"/>
                <w:spacing w:val="11"/>
                <w:sz w:val="20"/>
                <w:szCs w:val="20"/>
              </w:rPr>
              <w:t xml:space="preserve">1.5 </w:t>
            </w:r>
            <w:r>
              <w:rPr>
                <w:spacing w:val="11"/>
                <w:sz w:val="20"/>
                <w:szCs w:val="20"/>
              </w:rPr>
              <w:t>大气弱扩散区禁止新建、扩建原油加工、天然气加工、油母页岩提炼原油</w:t>
            </w:r>
            <w:r>
              <w:rPr>
                <w:spacing w:val="10"/>
                <w:sz w:val="20"/>
                <w:szCs w:val="20"/>
              </w:rPr>
              <w:t>、煤制原油及其</w:t>
            </w:r>
            <w:r>
              <w:rPr>
                <w:sz w:val="20"/>
                <w:szCs w:val="20"/>
              </w:rPr>
              <w:t xml:space="preserve"> </w:t>
            </w:r>
            <w:r>
              <w:rPr>
                <w:spacing w:val="9"/>
                <w:sz w:val="20"/>
                <w:szCs w:val="20"/>
              </w:rPr>
              <w:t>他石油制品、煤化工、炼焦、煤炭热解、电石、除单纯混合和分装外的化学原料制造、化学品</w:t>
            </w:r>
            <w:r>
              <w:rPr>
                <w:spacing w:val="16"/>
                <w:sz w:val="20"/>
                <w:szCs w:val="20"/>
              </w:rPr>
              <w:t xml:space="preserve"> </w:t>
            </w:r>
            <w:r>
              <w:rPr>
                <w:spacing w:val="9"/>
                <w:sz w:val="20"/>
                <w:szCs w:val="20"/>
              </w:rPr>
              <w:t>制造、炼钢、炼铁、金属冶炼等三类工业项目，现有三类工业项目改建不得增加污染物排放总</w:t>
            </w:r>
            <w:r>
              <w:rPr>
                <w:spacing w:val="13"/>
                <w:sz w:val="20"/>
                <w:szCs w:val="20"/>
              </w:rPr>
              <w:t xml:space="preserve"> </w:t>
            </w:r>
            <w:r>
              <w:rPr>
                <w:sz w:val="20"/>
                <w:szCs w:val="20"/>
              </w:rPr>
              <w:t>量。</w:t>
            </w:r>
          </w:p>
          <w:p w14:paraId="32A41B11">
            <w:pPr>
              <w:pStyle w:val="15"/>
              <w:spacing w:before="67" w:line="282" w:lineRule="auto"/>
              <w:ind w:left="112" w:right="104" w:firstLine="15"/>
              <w:rPr>
                <w:sz w:val="20"/>
                <w:szCs w:val="20"/>
              </w:rPr>
            </w:pPr>
            <w:r>
              <w:rPr>
                <w:rFonts w:ascii="Times New Roman" w:hAnsi="Times New Roman" w:eastAsia="Times New Roman" w:cs="Times New Roman"/>
                <w:spacing w:val="11"/>
                <w:sz w:val="20"/>
                <w:szCs w:val="20"/>
              </w:rPr>
              <w:t xml:space="preserve">1.6 </w:t>
            </w:r>
            <w:r>
              <w:rPr>
                <w:spacing w:val="11"/>
                <w:sz w:val="20"/>
                <w:szCs w:val="20"/>
              </w:rPr>
              <w:t>城镇居民集中区域禁止新、改、扩建原油加工、天然气加工、油母页岩提</w:t>
            </w:r>
            <w:r>
              <w:rPr>
                <w:spacing w:val="10"/>
                <w:sz w:val="20"/>
                <w:szCs w:val="20"/>
              </w:rPr>
              <w:t>炼原油、煤制原</w:t>
            </w:r>
            <w:r>
              <w:rPr>
                <w:sz w:val="20"/>
                <w:szCs w:val="20"/>
              </w:rPr>
              <w:t xml:space="preserve"> </w:t>
            </w:r>
            <w:r>
              <w:rPr>
                <w:spacing w:val="9"/>
                <w:sz w:val="20"/>
                <w:szCs w:val="20"/>
              </w:rPr>
              <w:t>油及其他石油制品、煤化工、炼焦、煤炭热解、电石、除单纯混合和分装外的化学原料制造、</w:t>
            </w:r>
            <w:r>
              <w:rPr>
                <w:spacing w:val="15"/>
                <w:sz w:val="20"/>
                <w:szCs w:val="20"/>
              </w:rPr>
              <w:t xml:space="preserve"> </w:t>
            </w:r>
            <w:r>
              <w:rPr>
                <w:spacing w:val="8"/>
                <w:sz w:val="20"/>
                <w:szCs w:val="20"/>
              </w:rPr>
              <w:t>化学品制造、炼钢、炼铁、金属冶炼等三类工业项目；禁止新建金属压延</w:t>
            </w:r>
            <w:r>
              <w:rPr>
                <w:spacing w:val="7"/>
                <w:sz w:val="20"/>
                <w:szCs w:val="20"/>
              </w:rPr>
              <w:t>加工、含有电镀</w:t>
            </w:r>
            <w:r>
              <w:rPr>
                <w:rFonts w:ascii="Times New Roman" w:hAnsi="Times New Roman" w:eastAsia="Times New Roman" w:cs="Times New Roman"/>
                <w:spacing w:val="7"/>
                <w:sz w:val="20"/>
                <w:szCs w:val="20"/>
              </w:rPr>
              <w:t>/</w:t>
            </w:r>
            <w:r>
              <w:rPr>
                <w:spacing w:val="7"/>
                <w:sz w:val="20"/>
                <w:szCs w:val="20"/>
              </w:rPr>
              <w:t>喷漆</w:t>
            </w:r>
            <w:r>
              <w:rPr>
                <w:sz w:val="20"/>
                <w:szCs w:val="20"/>
              </w:rPr>
              <w:t xml:space="preserve"> </w:t>
            </w:r>
            <w:r>
              <w:rPr>
                <w:spacing w:val="8"/>
                <w:sz w:val="20"/>
                <w:szCs w:val="20"/>
              </w:rPr>
              <w:t>等表面处理工艺的金属制品加工制造（喷漆工艺</w:t>
            </w:r>
            <w:r>
              <w:rPr>
                <w:spacing w:val="7"/>
                <w:sz w:val="20"/>
                <w:szCs w:val="20"/>
              </w:rPr>
              <w:t>指使用油性漆量（含稀释剂）</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19"/>
                <w:w w:val="101"/>
                <w:sz w:val="20"/>
                <w:szCs w:val="20"/>
              </w:rPr>
              <w:t xml:space="preserve"> </w:t>
            </w:r>
            <w:r>
              <w:rPr>
                <w:spacing w:val="7"/>
                <w:sz w:val="20"/>
                <w:szCs w:val="20"/>
              </w:rPr>
              <w:t>吨及以上）等</w:t>
            </w:r>
            <w:r>
              <w:rPr>
                <w:sz w:val="20"/>
                <w:szCs w:val="20"/>
              </w:rPr>
              <w:t xml:space="preserve"> </w:t>
            </w:r>
            <w:r>
              <w:rPr>
                <w:spacing w:val="7"/>
                <w:sz w:val="20"/>
                <w:szCs w:val="20"/>
              </w:rPr>
              <w:t>涉气二类工业项目。</w:t>
            </w:r>
          </w:p>
          <w:p w14:paraId="284A6387">
            <w:pPr>
              <w:pStyle w:val="15"/>
              <w:spacing w:before="72" w:line="218" w:lineRule="auto"/>
              <w:ind w:left="127"/>
              <w:rPr>
                <w:sz w:val="20"/>
                <w:szCs w:val="20"/>
              </w:rPr>
            </w:pPr>
            <w:r>
              <w:rPr>
                <w:rFonts w:ascii="Times New Roman" w:hAnsi="Times New Roman" w:eastAsia="Times New Roman" w:cs="Times New Roman"/>
                <w:spacing w:val="11"/>
                <w:sz w:val="20"/>
                <w:szCs w:val="20"/>
              </w:rPr>
              <w:t xml:space="preserve">1.7 </w:t>
            </w:r>
            <w:r>
              <w:rPr>
                <w:spacing w:val="11"/>
                <w:sz w:val="20"/>
                <w:szCs w:val="20"/>
              </w:rPr>
              <w:t>推动项目集聚发展，石油化工、煤化工、焦化、制药、印染等重点行业需</w:t>
            </w:r>
            <w:r>
              <w:rPr>
                <w:spacing w:val="10"/>
                <w:sz w:val="20"/>
                <w:szCs w:val="20"/>
              </w:rPr>
              <w:t>布设在依法设立</w:t>
            </w:r>
          </w:p>
        </w:tc>
        <w:tc>
          <w:tcPr>
            <w:tcW w:w="1243" w:type="pct"/>
            <w:tcBorders>
              <w:tl2br w:val="nil"/>
              <w:tr2bl w:val="nil"/>
            </w:tcBorders>
            <w:vAlign w:val="top"/>
          </w:tcPr>
          <w:p w14:paraId="2C59702E">
            <w:pPr>
              <w:spacing w:line="267" w:lineRule="auto"/>
              <w:rPr>
                <w:rFonts w:ascii="Arial"/>
                <w:sz w:val="21"/>
              </w:rPr>
            </w:pPr>
          </w:p>
          <w:p w14:paraId="50C5EF44">
            <w:pPr>
              <w:spacing w:line="267" w:lineRule="auto"/>
              <w:rPr>
                <w:rFonts w:ascii="Arial"/>
                <w:sz w:val="21"/>
              </w:rPr>
            </w:pPr>
          </w:p>
          <w:p w14:paraId="6B34BD20">
            <w:pPr>
              <w:spacing w:line="267" w:lineRule="auto"/>
              <w:rPr>
                <w:rFonts w:ascii="Arial"/>
                <w:sz w:val="21"/>
              </w:rPr>
            </w:pPr>
          </w:p>
          <w:p w14:paraId="6ACD7469">
            <w:pPr>
              <w:spacing w:line="267" w:lineRule="auto"/>
              <w:rPr>
                <w:rFonts w:ascii="Arial"/>
                <w:sz w:val="21"/>
              </w:rPr>
            </w:pPr>
          </w:p>
          <w:p w14:paraId="136AD0A0">
            <w:pPr>
              <w:spacing w:line="267" w:lineRule="auto"/>
              <w:rPr>
                <w:rFonts w:ascii="Arial"/>
                <w:sz w:val="21"/>
              </w:rPr>
            </w:pPr>
          </w:p>
          <w:p w14:paraId="4281B533">
            <w:pPr>
              <w:spacing w:line="267" w:lineRule="auto"/>
              <w:rPr>
                <w:rFonts w:ascii="Arial"/>
                <w:sz w:val="21"/>
              </w:rPr>
            </w:pPr>
          </w:p>
          <w:p w14:paraId="61CB291F">
            <w:pPr>
              <w:pStyle w:val="15"/>
              <w:spacing w:before="65" w:line="284" w:lineRule="auto"/>
              <w:ind w:left="113" w:right="104" w:firstLine="1"/>
              <w:rPr>
                <w:sz w:val="20"/>
                <w:szCs w:val="20"/>
              </w:rPr>
            </w:pPr>
            <w:r>
              <w:rPr>
                <w:rFonts w:hint="eastAsia"/>
                <w:spacing w:val="11"/>
                <w:sz w:val="20"/>
                <w:szCs w:val="20"/>
                <w:lang w:val="en-US" w:eastAsia="zh-CN"/>
              </w:rPr>
              <w:t>本</w:t>
            </w:r>
            <w:r>
              <w:rPr>
                <w:spacing w:val="11"/>
                <w:sz w:val="20"/>
                <w:szCs w:val="20"/>
              </w:rPr>
              <w:t>工程</w:t>
            </w:r>
            <w:r>
              <w:rPr>
                <w:spacing w:val="6"/>
                <w:sz w:val="20"/>
                <w:szCs w:val="20"/>
              </w:rPr>
              <w:t>不属于管</w:t>
            </w:r>
            <w:r>
              <w:rPr>
                <w:spacing w:val="20"/>
                <w:sz w:val="20"/>
                <w:szCs w:val="20"/>
              </w:rPr>
              <w:t>控清单中禁止或限制的排放为污染</w:t>
            </w:r>
            <w:r>
              <w:rPr>
                <w:spacing w:val="1"/>
                <w:sz w:val="20"/>
                <w:szCs w:val="20"/>
              </w:rPr>
              <w:t xml:space="preserve"> </w:t>
            </w:r>
            <w:r>
              <w:rPr>
                <w:spacing w:val="6"/>
                <w:sz w:val="20"/>
                <w:szCs w:val="20"/>
              </w:rPr>
              <w:t>物的工业企业，</w:t>
            </w:r>
            <w:r>
              <w:rPr>
                <w:spacing w:val="11"/>
                <w:sz w:val="20"/>
                <w:szCs w:val="20"/>
              </w:rPr>
              <w:t>有利于提高水资源利用率，保证生态用水，</w:t>
            </w:r>
            <w:r>
              <w:rPr>
                <w:rFonts w:hint="eastAsia"/>
                <w:spacing w:val="11"/>
                <w:sz w:val="20"/>
                <w:szCs w:val="20"/>
                <w:lang w:val="en-US" w:eastAsia="zh-CN"/>
              </w:rPr>
              <w:t>保护艾丁湖生态环境</w:t>
            </w:r>
            <w:r>
              <w:rPr>
                <w:spacing w:val="13"/>
                <w:sz w:val="20"/>
                <w:szCs w:val="20"/>
              </w:rPr>
              <w:t>。</w:t>
            </w:r>
          </w:p>
          <w:p w14:paraId="05FA10C5">
            <w:pPr>
              <w:pStyle w:val="15"/>
              <w:spacing w:before="70" w:line="283" w:lineRule="auto"/>
              <w:ind w:left="113" w:right="104" w:firstLine="1"/>
              <w:rPr>
                <w:sz w:val="20"/>
                <w:szCs w:val="20"/>
              </w:rPr>
            </w:pPr>
          </w:p>
        </w:tc>
        <w:tc>
          <w:tcPr>
            <w:tcW w:w="354" w:type="pct"/>
            <w:tcBorders>
              <w:tl2br w:val="nil"/>
              <w:tr2bl w:val="nil"/>
            </w:tcBorders>
            <w:vAlign w:val="top"/>
          </w:tcPr>
          <w:p w14:paraId="168C8EBD">
            <w:pPr>
              <w:spacing w:line="245" w:lineRule="auto"/>
              <w:rPr>
                <w:rFonts w:ascii="Arial"/>
                <w:sz w:val="21"/>
              </w:rPr>
            </w:pPr>
          </w:p>
          <w:p w14:paraId="505809AF">
            <w:pPr>
              <w:spacing w:line="245" w:lineRule="auto"/>
              <w:rPr>
                <w:rFonts w:ascii="Arial"/>
                <w:sz w:val="21"/>
              </w:rPr>
            </w:pPr>
          </w:p>
          <w:p w14:paraId="1DB12C1A">
            <w:pPr>
              <w:spacing w:line="245" w:lineRule="auto"/>
              <w:rPr>
                <w:rFonts w:ascii="Arial"/>
                <w:sz w:val="21"/>
              </w:rPr>
            </w:pPr>
          </w:p>
          <w:p w14:paraId="06EFA42E">
            <w:pPr>
              <w:spacing w:line="245" w:lineRule="auto"/>
              <w:rPr>
                <w:rFonts w:ascii="Arial"/>
                <w:sz w:val="21"/>
              </w:rPr>
            </w:pPr>
          </w:p>
          <w:p w14:paraId="5A7A10C9">
            <w:pPr>
              <w:spacing w:line="245" w:lineRule="auto"/>
              <w:rPr>
                <w:rFonts w:ascii="Arial"/>
                <w:sz w:val="21"/>
              </w:rPr>
            </w:pPr>
          </w:p>
          <w:p w14:paraId="2C4B6945">
            <w:pPr>
              <w:spacing w:line="245" w:lineRule="auto"/>
              <w:rPr>
                <w:rFonts w:ascii="Arial"/>
                <w:sz w:val="21"/>
              </w:rPr>
            </w:pPr>
          </w:p>
          <w:p w14:paraId="7D91FE2E">
            <w:pPr>
              <w:spacing w:line="245" w:lineRule="auto"/>
              <w:rPr>
                <w:rFonts w:ascii="Arial"/>
                <w:sz w:val="21"/>
              </w:rPr>
            </w:pPr>
          </w:p>
          <w:p w14:paraId="5D85C98D">
            <w:pPr>
              <w:spacing w:line="246" w:lineRule="auto"/>
              <w:rPr>
                <w:rFonts w:ascii="Arial"/>
                <w:sz w:val="21"/>
              </w:rPr>
            </w:pPr>
          </w:p>
          <w:p w14:paraId="34167297">
            <w:pPr>
              <w:spacing w:line="246" w:lineRule="auto"/>
              <w:rPr>
                <w:rFonts w:ascii="Arial"/>
                <w:sz w:val="21"/>
              </w:rPr>
            </w:pPr>
          </w:p>
          <w:p w14:paraId="4CBC56C9">
            <w:pPr>
              <w:spacing w:line="246" w:lineRule="auto"/>
              <w:rPr>
                <w:rFonts w:ascii="Arial"/>
                <w:sz w:val="21"/>
              </w:rPr>
            </w:pPr>
          </w:p>
          <w:p w14:paraId="6756DA70">
            <w:pPr>
              <w:spacing w:line="246" w:lineRule="auto"/>
              <w:rPr>
                <w:rFonts w:ascii="Arial"/>
                <w:sz w:val="21"/>
              </w:rPr>
            </w:pPr>
          </w:p>
          <w:p w14:paraId="3BD2BC67">
            <w:pPr>
              <w:spacing w:line="246" w:lineRule="auto"/>
              <w:rPr>
                <w:rFonts w:ascii="Arial"/>
                <w:sz w:val="21"/>
              </w:rPr>
            </w:pPr>
          </w:p>
          <w:p w14:paraId="41C37592">
            <w:pPr>
              <w:spacing w:line="246" w:lineRule="auto"/>
              <w:rPr>
                <w:rFonts w:ascii="Arial"/>
                <w:sz w:val="21"/>
              </w:rPr>
            </w:pPr>
          </w:p>
          <w:p w14:paraId="6F9B4A1E">
            <w:pPr>
              <w:pStyle w:val="15"/>
              <w:spacing w:before="66" w:line="228" w:lineRule="auto"/>
              <w:ind w:left="300"/>
              <w:rPr>
                <w:sz w:val="20"/>
                <w:szCs w:val="20"/>
              </w:rPr>
            </w:pPr>
            <w:r>
              <w:rPr>
                <w:spacing w:val="3"/>
                <w:sz w:val="20"/>
                <w:szCs w:val="20"/>
              </w:rPr>
              <w:t>符合</w:t>
            </w:r>
          </w:p>
        </w:tc>
      </w:tr>
      <w:tr w14:paraId="582962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46" w:hRule="atLeast"/>
        </w:trPr>
        <w:tc>
          <w:tcPr>
            <w:tcW w:w="293" w:type="pct"/>
            <w:tcBorders>
              <w:tl2br w:val="nil"/>
              <w:tr2bl w:val="nil"/>
            </w:tcBorders>
            <w:vAlign w:val="top"/>
          </w:tcPr>
          <w:p w14:paraId="734CD7A1">
            <w:pPr>
              <w:rPr>
                <w:rFonts w:ascii="Arial"/>
                <w:sz w:val="21"/>
              </w:rPr>
            </w:pPr>
          </w:p>
        </w:tc>
        <w:tc>
          <w:tcPr>
            <w:tcW w:w="3107" w:type="pct"/>
            <w:tcBorders>
              <w:tl2br w:val="nil"/>
              <w:tr2bl w:val="nil"/>
            </w:tcBorders>
            <w:vAlign w:val="top"/>
          </w:tcPr>
          <w:p w14:paraId="3E7C4D0A">
            <w:pPr>
              <w:pStyle w:val="15"/>
              <w:spacing w:before="81" w:line="228" w:lineRule="auto"/>
              <w:ind w:left="128"/>
              <w:rPr>
                <w:sz w:val="20"/>
                <w:szCs w:val="20"/>
              </w:rPr>
            </w:pPr>
            <w:r>
              <w:rPr>
                <w:spacing w:val="8"/>
                <w:sz w:val="20"/>
                <w:szCs w:val="20"/>
              </w:rPr>
              <w:t>的产业园区内，并符合园区的规划和规划环评。</w:t>
            </w:r>
          </w:p>
          <w:p w14:paraId="426BA6E9">
            <w:pPr>
              <w:pStyle w:val="15"/>
              <w:spacing w:before="72" w:line="261" w:lineRule="auto"/>
              <w:ind w:left="113" w:right="106" w:firstLine="13"/>
              <w:rPr>
                <w:sz w:val="20"/>
                <w:szCs w:val="20"/>
              </w:rPr>
            </w:pPr>
            <w:r>
              <w:rPr>
                <w:rFonts w:ascii="Times New Roman" w:hAnsi="Times New Roman" w:eastAsia="Times New Roman" w:cs="Times New Roman"/>
                <w:spacing w:val="11"/>
                <w:sz w:val="20"/>
                <w:szCs w:val="20"/>
              </w:rPr>
              <w:t xml:space="preserve">1.8 </w:t>
            </w:r>
            <w:r>
              <w:rPr>
                <w:spacing w:val="11"/>
                <w:sz w:val="20"/>
                <w:szCs w:val="20"/>
              </w:rPr>
              <w:t>合理布局工业、商业、居住、科教等功能区块，严格控制噪声、废气、恶</w:t>
            </w:r>
            <w:r>
              <w:rPr>
                <w:spacing w:val="10"/>
                <w:sz w:val="20"/>
                <w:szCs w:val="20"/>
              </w:rPr>
              <w:t>臭等影响较大的</w:t>
            </w:r>
            <w:r>
              <w:rPr>
                <w:sz w:val="20"/>
                <w:szCs w:val="20"/>
              </w:rPr>
              <w:t xml:space="preserve"> </w:t>
            </w:r>
            <w:r>
              <w:rPr>
                <w:spacing w:val="8"/>
                <w:sz w:val="20"/>
                <w:szCs w:val="20"/>
              </w:rPr>
              <w:t>建设项目布局于居住、科教等功能区块。</w:t>
            </w:r>
          </w:p>
          <w:p w14:paraId="4A554BC3">
            <w:pPr>
              <w:pStyle w:val="15"/>
              <w:spacing w:before="74" w:line="279" w:lineRule="auto"/>
              <w:ind w:left="111" w:right="59" w:firstLine="15"/>
              <w:rPr>
                <w:sz w:val="20"/>
                <w:szCs w:val="20"/>
              </w:rPr>
            </w:pPr>
            <w:r>
              <w:rPr>
                <w:rFonts w:ascii="Times New Roman" w:hAnsi="Times New Roman" w:eastAsia="Times New Roman" w:cs="Times New Roman"/>
                <w:spacing w:val="11"/>
                <w:sz w:val="20"/>
                <w:szCs w:val="20"/>
              </w:rPr>
              <w:t xml:space="preserve">1.9 </w:t>
            </w:r>
            <w:r>
              <w:rPr>
                <w:spacing w:val="11"/>
                <w:sz w:val="20"/>
                <w:szCs w:val="20"/>
              </w:rPr>
              <w:t>严格控制新增燃煤电厂项目建设，严格控制燃煤机组新增装机规模，城市建成区</w:t>
            </w:r>
            <w:r>
              <w:rPr>
                <w:spacing w:val="10"/>
                <w:sz w:val="20"/>
                <w:szCs w:val="20"/>
              </w:rPr>
              <w:t>不再新建</w:t>
            </w:r>
            <w:r>
              <w:rPr>
                <w:sz w:val="20"/>
                <w:szCs w:val="20"/>
              </w:rPr>
              <w:t xml:space="preserve"> </w:t>
            </w:r>
            <w:r>
              <w:rPr>
                <w:rFonts w:ascii="Times New Roman" w:hAnsi="Times New Roman" w:eastAsia="Times New Roman" w:cs="Times New Roman"/>
                <w:spacing w:val="7"/>
                <w:sz w:val="20"/>
                <w:szCs w:val="20"/>
              </w:rPr>
              <w:t xml:space="preserve">35 </w:t>
            </w:r>
            <w:r>
              <w:rPr>
                <w:spacing w:val="7"/>
                <w:sz w:val="20"/>
                <w:szCs w:val="20"/>
              </w:rPr>
              <w:t>蒸吨</w:t>
            </w:r>
            <w:r>
              <w:rPr>
                <w:rFonts w:ascii="Times New Roman" w:hAnsi="Times New Roman" w:eastAsia="Times New Roman" w:cs="Times New Roman"/>
                <w:spacing w:val="7"/>
                <w:sz w:val="20"/>
                <w:szCs w:val="20"/>
              </w:rPr>
              <w:t>/</w:t>
            </w:r>
            <w:r>
              <w:rPr>
                <w:spacing w:val="7"/>
                <w:sz w:val="20"/>
                <w:szCs w:val="20"/>
              </w:rPr>
              <w:t>小时以下的燃煤锅炉，其他地区禁止新建</w:t>
            </w:r>
            <w:r>
              <w:rPr>
                <w:spacing w:val="-4"/>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蒸吨</w:t>
            </w:r>
            <w:r>
              <w:rPr>
                <w:rFonts w:ascii="Times New Roman" w:hAnsi="Times New Roman" w:eastAsia="Times New Roman" w:cs="Times New Roman"/>
                <w:spacing w:val="7"/>
                <w:sz w:val="20"/>
                <w:szCs w:val="20"/>
              </w:rPr>
              <w:t>/</w:t>
            </w:r>
            <w:r>
              <w:rPr>
                <w:spacing w:val="7"/>
                <w:sz w:val="20"/>
                <w:szCs w:val="20"/>
              </w:rPr>
              <w:t>小时以下燃煤锅炉。严禁新增钢铁、</w:t>
            </w:r>
            <w:r>
              <w:rPr>
                <w:sz w:val="20"/>
                <w:szCs w:val="20"/>
              </w:rPr>
              <w:t xml:space="preserve"> </w:t>
            </w:r>
            <w:r>
              <w:rPr>
                <w:spacing w:val="9"/>
                <w:sz w:val="20"/>
                <w:szCs w:val="20"/>
              </w:rPr>
              <w:t>水泥、平板玻璃等产能严重过剩行业的新建项目，严格控制多晶硅、聚氯乙烯等行业的新增产</w:t>
            </w:r>
            <w:r>
              <w:rPr>
                <w:spacing w:val="15"/>
                <w:sz w:val="20"/>
                <w:szCs w:val="20"/>
              </w:rPr>
              <w:t xml:space="preserve"> </w:t>
            </w:r>
            <w:r>
              <w:rPr>
                <w:spacing w:val="5"/>
                <w:sz w:val="20"/>
                <w:szCs w:val="20"/>
              </w:rPr>
              <w:t>能项目。</w:t>
            </w:r>
          </w:p>
          <w:p w14:paraId="101F2338">
            <w:pPr>
              <w:pStyle w:val="15"/>
              <w:spacing w:before="71" w:line="273" w:lineRule="auto"/>
              <w:ind w:left="110" w:right="55" w:firstLine="17"/>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 xml:space="preserve">10 </w:t>
            </w:r>
            <w:r>
              <w:rPr>
                <w:spacing w:val="4"/>
                <w:sz w:val="20"/>
                <w:szCs w:val="20"/>
              </w:rPr>
              <w:t>禁止新建非机械化开采的煤矿；禁止建设</w:t>
            </w:r>
            <w:r>
              <w:rPr>
                <w:spacing w:val="-41"/>
                <w:sz w:val="20"/>
                <w:szCs w:val="20"/>
              </w:rPr>
              <w:t xml:space="preserve"> </w:t>
            </w:r>
            <w:r>
              <w:rPr>
                <w:rFonts w:ascii="Times New Roman" w:hAnsi="Times New Roman" w:eastAsia="Times New Roman" w:cs="Times New Roman"/>
                <w:spacing w:val="4"/>
                <w:sz w:val="20"/>
                <w:szCs w:val="20"/>
              </w:rPr>
              <w:t>45</w:t>
            </w:r>
            <w:r>
              <w:rPr>
                <w:rFonts w:ascii="Times New Roman" w:hAnsi="Times New Roman" w:eastAsia="Times New Roman" w:cs="Times New Roman"/>
                <w:spacing w:val="14"/>
                <w:w w:val="101"/>
                <w:sz w:val="20"/>
                <w:szCs w:val="20"/>
              </w:rPr>
              <w:t xml:space="preserve"> </w:t>
            </w:r>
            <w:r>
              <w:rPr>
                <w:spacing w:val="4"/>
                <w:sz w:val="20"/>
                <w:szCs w:val="20"/>
              </w:rPr>
              <w:t>万吨</w:t>
            </w:r>
            <w:r>
              <w:rPr>
                <w:rFonts w:ascii="Times New Roman" w:hAnsi="Times New Roman" w:eastAsia="Times New Roman" w:cs="Times New Roman"/>
                <w:spacing w:val="4"/>
                <w:sz w:val="20"/>
                <w:szCs w:val="20"/>
              </w:rPr>
              <w:t>/</w:t>
            </w:r>
            <w:r>
              <w:rPr>
                <w:spacing w:val="4"/>
                <w:sz w:val="20"/>
                <w:szCs w:val="20"/>
              </w:rPr>
              <w:t>年以下能力的改扩建矿井；禁止新</w:t>
            </w:r>
            <w:r>
              <w:rPr>
                <w:spacing w:val="3"/>
                <w:sz w:val="20"/>
                <w:szCs w:val="20"/>
              </w:rPr>
              <w:t>建</w:t>
            </w:r>
            <w:r>
              <w:rPr>
                <w:spacing w:val="-21"/>
                <w:sz w:val="20"/>
                <w:szCs w:val="20"/>
              </w:rPr>
              <w:t xml:space="preserve"> </w:t>
            </w:r>
            <w:r>
              <w:rPr>
                <w:rFonts w:ascii="Times New Roman" w:hAnsi="Times New Roman" w:eastAsia="Times New Roman" w:cs="Times New Roman"/>
                <w:spacing w:val="3"/>
                <w:sz w:val="20"/>
                <w:szCs w:val="20"/>
              </w:rPr>
              <w:t>120</w:t>
            </w:r>
            <w:r>
              <w:rPr>
                <w:rFonts w:ascii="Times New Roman" w:hAnsi="Times New Roman" w:eastAsia="Times New Roman" w:cs="Times New Roman"/>
                <w:sz w:val="20"/>
                <w:szCs w:val="20"/>
              </w:rPr>
              <w:t xml:space="preserve">  </w:t>
            </w:r>
            <w:r>
              <w:rPr>
                <w:spacing w:val="7"/>
                <w:sz w:val="20"/>
                <w:szCs w:val="20"/>
              </w:rPr>
              <w:t>万吨</w:t>
            </w:r>
            <w:r>
              <w:rPr>
                <w:rFonts w:ascii="Times New Roman" w:hAnsi="Times New Roman" w:eastAsia="Times New Roman" w:cs="Times New Roman"/>
                <w:spacing w:val="7"/>
                <w:sz w:val="20"/>
                <w:szCs w:val="20"/>
              </w:rPr>
              <w:t>/</w:t>
            </w:r>
            <w:r>
              <w:rPr>
                <w:spacing w:val="7"/>
                <w:sz w:val="20"/>
                <w:szCs w:val="20"/>
              </w:rPr>
              <w:t>年矿井及</w:t>
            </w:r>
            <w:r>
              <w:rPr>
                <w:spacing w:val="-38"/>
                <w:sz w:val="20"/>
                <w:szCs w:val="20"/>
              </w:rPr>
              <w:t xml:space="preserve"> </w:t>
            </w:r>
            <w:r>
              <w:rPr>
                <w:rFonts w:ascii="Times New Roman" w:hAnsi="Times New Roman" w:eastAsia="Times New Roman" w:cs="Times New Roman"/>
                <w:spacing w:val="7"/>
                <w:sz w:val="20"/>
                <w:szCs w:val="20"/>
              </w:rPr>
              <w:t xml:space="preserve">400 </w:t>
            </w:r>
            <w:r>
              <w:rPr>
                <w:spacing w:val="7"/>
                <w:sz w:val="20"/>
                <w:szCs w:val="20"/>
              </w:rPr>
              <w:t>万吨</w:t>
            </w:r>
            <w:r>
              <w:rPr>
                <w:rFonts w:ascii="Times New Roman" w:hAnsi="Times New Roman" w:eastAsia="Times New Roman" w:cs="Times New Roman"/>
                <w:spacing w:val="7"/>
                <w:sz w:val="20"/>
                <w:szCs w:val="20"/>
              </w:rPr>
              <w:t>/</w:t>
            </w:r>
            <w:r>
              <w:rPr>
                <w:spacing w:val="7"/>
                <w:sz w:val="20"/>
                <w:szCs w:val="20"/>
              </w:rPr>
              <w:t>年露天以下规模的煤矿项目。有色金属年开采量不得少于</w:t>
            </w:r>
            <w:r>
              <w:rPr>
                <w:spacing w:val="-23"/>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万吨</w:t>
            </w:r>
            <w:r>
              <w:rPr>
                <w:rFonts w:ascii="Times New Roman" w:hAnsi="Times New Roman" w:eastAsia="Times New Roman" w:cs="Times New Roman"/>
                <w:spacing w:val="7"/>
                <w:sz w:val="20"/>
                <w:szCs w:val="20"/>
              </w:rPr>
              <w:t>/</w:t>
            </w:r>
            <w:r>
              <w:rPr>
                <w:spacing w:val="7"/>
                <w:sz w:val="20"/>
                <w:szCs w:val="20"/>
              </w:rPr>
              <w:t>年。</w:t>
            </w:r>
            <w:r>
              <w:rPr>
                <w:sz w:val="20"/>
                <w:szCs w:val="20"/>
              </w:rPr>
              <w:t xml:space="preserve"> </w:t>
            </w:r>
            <w:r>
              <w:rPr>
                <w:spacing w:val="8"/>
                <w:sz w:val="20"/>
                <w:szCs w:val="20"/>
              </w:rPr>
              <w:t>砂石料矿统一规划、集中开采。</w:t>
            </w:r>
          </w:p>
          <w:p w14:paraId="7565E8DB">
            <w:pPr>
              <w:pStyle w:val="15"/>
              <w:spacing w:before="73" w:line="261" w:lineRule="auto"/>
              <w:ind w:left="144" w:right="104" w:hanging="17"/>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 xml:space="preserve">11 </w:t>
            </w:r>
            <w:r>
              <w:rPr>
                <w:spacing w:val="8"/>
                <w:sz w:val="20"/>
                <w:szCs w:val="20"/>
              </w:rPr>
              <w:t>严格控制新建化工、造纸、印染、煤炭采选、石油炼化等高耗水行业的</w:t>
            </w:r>
            <w:r>
              <w:rPr>
                <w:spacing w:val="7"/>
                <w:sz w:val="20"/>
                <w:szCs w:val="20"/>
              </w:rPr>
              <w:t>项目，工艺废水能</w:t>
            </w:r>
            <w:r>
              <w:rPr>
                <w:sz w:val="20"/>
                <w:szCs w:val="20"/>
              </w:rPr>
              <w:t xml:space="preserve"> </w:t>
            </w:r>
            <w:r>
              <w:rPr>
                <w:spacing w:val="3"/>
                <w:sz w:val="20"/>
                <w:szCs w:val="20"/>
              </w:rPr>
              <w:t>自身实现回用除外。</w:t>
            </w:r>
          </w:p>
          <w:p w14:paraId="371B3C1B">
            <w:pPr>
              <w:pStyle w:val="15"/>
              <w:spacing w:before="77" w:line="279" w:lineRule="auto"/>
              <w:ind w:left="113" w:right="104" w:firstLine="14"/>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 xml:space="preserve">12 </w:t>
            </w:r>
            <w:r>
              <w:rPr>
                <w:spacing w:val="8"/>
                <w:sz w:val="20"/>
                <w:szCs w:val="20"/>
              </w:rPr>
              <w:t>加强坎儿井的保护。在坎儿井所在地从事水资源开发利用活动，应当遵</w:t>
            </w:r>
            <w:r>
              <w:rPr>
                <w:spacing w:val="7"/>
                <w:sz w:val="20"/>
                <w:szCs w:val="20"/>
              </w:rPr>
              <w:t>守坎儿井保护和利</w:t>
            </w:r>
            <w:r>
              <w:rPr>
                <w:sz w:val="20"/>
                <w:szCs w:val="20"/>
              </w:rPr>
              <w:t xml:space="preserve"> </w:t>
            </w:r>
            <w:r>
              <w:rPr>
                <w:spacing w:val="9"/>
                <w:sz w:val="20"/>
                <w:szCs w:val="20"/>
              </w:rPr>
              <w:t>用规划，新建、扩建、改建水库等控制性水利工程或者打机电井，应当对工程的建设和运行管</w:t>
            </w:r>
            <w:r>
              <w:rPr>
                <w:spacing w:val="12"/>
                <w:sz w:val="20"/>
                <w:szCs w:val="20"/>
              </w:rPr>
              <w:t xml:space="preserve"> </w:t>
            </w:r>
            <w:r>
              <w:rPr>
                <w:spacing w:val="9"/>
                <w:sz w:val="20"/>
                <w:szCs w:val="20"/>
              </w:rPr>
              <w:t>理进行科学论证，避免对坎儿井水源造成影响。新建、扩建、改建公路、铁路、输油输气管道</w:t>
            </w:r>
            <w:r>
              <w:rPr>
                <w:spacing w:val="12"/>
                <w:sz w:val="20"/>
                <w:szCs w:val="20"/>
              </w:rPr>
              <w:t xml:space="preserve"> </w:t>
            </w:r>
            <w:r>
              <w:rPr>
                <w:spacing w:val="9"/>
                <w:sz w:val="20"/>
                <w:szCs w:val="20"/>
              </w:rPr>
              <w:t>以及石油、天然气开采等各类工程，需要穿越、跨越坎儿井的，需对工程建设期间、运行过程</w:t>
            </w:r>
            <w:r>
              <w:rPr>
                <w:spacing w:val="12"/>
                <w:sz w:val="20"/>
                <w:szCs w:val="20"/>
              </w:rPr>
              <w:t xml:space="preserve"> </w:t>
            </w:r>
            <w:r>
              <w:rPr>
                <w:spacing w:val="9"/>
                <w:sz w:val="20"/>
                <w:szCs w:val="20"/>
              </w:rPr>
              <w:t>中可能给坎儿井造成的危害进行论证，并制定坎儿井保护方案。</w:t>
            </w:r>
          </w:p>
        </w:tc>
        <w:tc>
          <w:tcPr>
            <w:tcW w:w="1243" w:type="pct"/>
            <w:tcBorders>
              <w:tl2br w:val="nil"/>
              <w:tr2bl w:val="nil"/>
            </w:tcBorders>
            <w:vAlign w:val="top"/>
          </w:tcPr>
          <w:p w14:paraId="498F38D5">
            <w:pPr>
              <w:rPr>
                <w:rFonts w:ascii="Arial"/>
                <w:sz w:val="21"/>
              </w:rPr>
            </w:pPr>
          </w:p>
        </w:tc>
        <w:tc>
          <w:tcPr>
            <w:tcW w:w="354" w:type="pct"/>
            <w:tcBorders>
              <w:tl2br w:val="nil"/>
              <w:tr2bl w:val="nil"/>
            </w:tcBorders>
            <w:vAlign w:val="top"/>
          </w:tcPr>
          <w:p w14:paraId="46EFCC06">
            <w:pPr>
              <w:rPr>
                <w:rFonts w:ascii="Arial"/>
                <w:sz w:val="21"/>
              </w:rPr>
            </w:pPr>
          </w:p>
        </w:tc>
      </w:tr>
      <w:tr w14:paraId="07301C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66" w:hRule="atLeast"/>
        </w:trPr>
        <w:tc>
          <w:tcPr>
            <w:tcW w:w="293" w:type="pct"/>
            <w:tcBorders>
              <w:tl2br w:val="nil"/>
              <w:tr2bl w:val="nil"/>
            </w:tcBorders>
            <w:vAlign w:val="top"/>
          </w:tcPr>
          <w:p w14:paraId="59390B51">
            <w:pPr>
              <w:spacing w:line="325" w:lineRule="auto"/>
              <w:rPr>
                <w:rFonts w:ascii="Arial"/>
                <w:sz w:val="21"/>
              </w:rPr>
            </w:pPr>
          </w:p>
          <w:p w14:paraId="6161ED0E">
            <w:pPr>
              <w:spacing w:line="326" w:lineRule="auto"/>
              <w:rPr>
                <w:rFonts w:ascii="Arial"/>
                <w:sz w:val="21"/>
              </w:rPr>
            </w:pPr>
          </w:p>
          <w:p w14:paraId="44351F6D">
            <w:pPr>
              <w:pStyle w:val="15"/>
              <w:spacing w:before="65" w:line="228" w:lineRule="auto"/>
              <w:ind w:left="215"/>
              <w:rPr>
                <w:sz w:val="20"/>
                <w:szCs w:val="20"/>
              </w:rPr>
            </w:pPr>
            <w:r>
              <w:rPr>
                <w:spacing w:val="3"/>
                <w:sz w:val="20"/>
                <w:szCs w:val="20"/>
              </w:rPr>
              <w:t>污染</w:t>
            </w:r>
          </w:p>
          <w:p w14:paraId="6613FDE9">
            <w:pPr>
              <w:pStyle w:val="15"/>
              <w:spacing w:before="71" w:line="229" w:lineRule="auto"/>
              <w:ind w:left="213"/>
              <w:rPr>
                <w:sz w:val="20"/>
                <w:szCs w:val="20"/>
              </w:rPr>
            </w:pPr>
            <w:r>
              <w:rPr>
                <w:spacing w:val="4"/>
                <w:sz w:val="20"/>
                <w:szCs w:val="20"/>
              </w:rPr>
              <w:t>物排</w:t>
            </w:r>
          </w:p>
          <w:p w14:paraId="52007802">
            <w:pPr>
              <w:pStyle w:val="15"/>
              <w:spacing w:before="73" w:line="228" w:lineRule="auto"/>
              <w:ind w:left="213"/>
              <w:rPr>
                <w:sz w:val="20"/>
                <w:szCs w:val="20"/>
              </w:rPr>
            </w:pPr>
            <w:r>
              <w:rPr>
                <w:spacing w:val="4"/>
                <w:sz w:val="20"/>
                <w:szCs w:val="20"/>
              </w:rPr>
              <w:t>放管</w:t>
            </w:r>
          </w:p>
          <w:p w14:paraId="53A4D132">
            <w:pPr>
              <w:pStyle w:val="15"/>
              <w:spacing w:before="73" w:line="228" w:lineRule="auto"/>
              <w:ind w:left="318"/>
              <w:rPr>
                <w:sz w:val="20"/>
                <w:szCs w:val="20"/>
              </w:rPr>
            </w:pPr>
            <w:r>
              <w:rPr>
                <w:spacing w:val="1"/>
                <w:sz w:val="20"/>
                <w:szCs w:val="20"/>
              </w:rPr>
              <w:t>控</w:t>
            </w:r>
          </w:p>
        </w:tc>
        <w:tc>
          <w:tcPr>
            <w:tcW w:w="3107" w:type="pct"/>
            <w:tcBorders>
              <w:tl2br w:val="nil"/>
              <w:tr2bl w:val="nil"/>
            </w:tcBorders>
            <w:vAlign w:val="top"/>
          </w:tcPr>
          <w:p w14:paraId="69D73620">
            <w:pPr>
              <w:pStyle w:val="15"/>
              <w:spacing w:before="79" w:line="262" w:lineRule="auto"/>
              <w:ind w:left="114" w:right="106" w:hanging="7"/>
              <w:rPr>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0"/>
                <w:sz w:val="20"/>
                <w:szCs w:val="20"/>
              </w:rPr>
              <w:t xml:space="preserve">1 </w:t>
            </w:r>
            <w:r>
              <w:rPr>
                <w:spacing w:val="10"/>
                <w:sz w:val="20"/>
                <w:szCs w:val="20"/>
              </w:rPr>
              <w:t>严格执行自治区总体准入要求、</w:t>
            </w:r>
            <w:r>
              <w:rPr>
                <w:spacing w:val="-49"/>
                <w:sz w:val="20"/>
                <w:szCs w:val="20"/>
              </w:rPr>
              <w:t xml:space="preserve"> </w:t>
            </w:r>
            <w:r>
              <w:rPr>
                <w:spacing w:val="10"/>
                <w:sz w:val="20"/>
                <w:szCs w:val="20"/>
              </w:rPr>
              <w:t>自治区七大</w:t>
            </w:r>
            <w:r>
              <w:rPr>
                <w:spacing w:val="9"/>
                <w:sz w:val="20"/>
                <w:szCs w:val="20"/>
              </w:rPr>
              <w:t>片区分区总体要求以及吐哈片区管控要求中关</w:t>
            </w:r>
            <w:r>
              <w:rPr>
                <w:sz w:val="20"/>
                <w:szCs w:val="20"/>
              </w:rPr>
              <w:t xml:space="preserve"> </w:t>
            </w:r>
            <w:r>
              <w:rPr>
                <w:spacing w:val="6"/>
                <w:sz w:val="20"/>
                <w:szCs w:val="20"/>
              </w:rPr>
              <w:t>于</w:t>
            </w:r>
            <w:r>
              <w:rPr>
                <w:rFonts w:ascii="Times New Roman" w:hAnsi="Times New Roman" w:eastAsia="Times New Roman" w:cs="Times New Roman"/>
                <w:spacing w:val="6"/>
                <w:sz w:val="20"/>
                <w:szCs w:val="20"/>
              </w:rPr>
              <w:t>“</w:t>
            </w:r>
            <w:r>
              <w:rPr>
                <w:spacing w:val="6"/>
                <w:sz w:val="20"/>
                <w:szCs w:val="20"/>
              </w:rPr>
              <w:t>污染物排放管控</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0"/>
                <w:sz w:val="20"/>
                <w:szCs w:val="20"/>
              </w:rPr>
              <w:t xml:space="preserve"> </w:t>
            </w:r>
            <w:r>
              <w:rPr>
                <w:spacing w:val="6"/>
                <w:sz w:val="20"/>
                <w:szCs w:val="20"/>
              </w:rPr>
              <w:t>的各项要求。</w:t>
            </w:r>
          </w:p>
          <w:p w14:paraId="0A145CC1">
            <w:pPr>
              <w:pStyle w:val="15"/>
              <w:spacing w:before="72" w:line="228" w:lineRule="auto"/>
              <w:ind w:left="107"/>
              <w:rPr>
                <w:sz w:val="20"/>
                <w:szCs w:val="20"/>
              </w:rPr>
            </w:pPr>
            <w:r>
              <w:rPr>
                <w:rFonts w:ascii="Times New Roman" w:hAnsi="Times New Roman" w:eastAsia="Times New Roman" w:cs="Times New Roman"/>
                <w:spacing w:val="8"/>
                <w:sz w:val="20"/>
                <w:szCs w:val="20"/>
              </w:rPr>
              <w:t xml:space="preserve">2.2 </w:t>
            </w:r>
            <w:r>
              <w:rPr>
                <w:spacing w:val="8"/>
                <w:sz w:val="20"/>
                <w:szCs w:val="20"/>
              </w:rPr>
              <w:t>新建、扩建、改建项目新增</w:t>
            </w:r>
            <w:r>
              <w:rPr>
                <w:spacing w:val="-31"/>
                <w:sz w:val="20"/>
                <w:szCs w:val="20"/>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24"/>
                <w:sz w:val="20"/>
                <w:szCs w:val="20"/>
              </w:rPr>
              <w:t xml:space="preserve"> </w:t>
            </w:r>
            <w:r>
              <w:rPr>
                <w:spacing w:val="8"/>
                <w:sz w:val="20"/>
                <w:szCs w:val="20"/>
              </w:rPr>
              <w:t>、</w:t>
            </w:r>
            <w:r>
              <w:rPr>
                <w:rFonts w:ascii="Times New Roman" w:hAnsi="Times New Roman" w:eastAsia="Times New Roman" w:cs="Times New Roman"/>
                <w:sz w:val="20"/>
                <w:szCs w:val="20"/>
              </w:rPr>
              <w:t>NOX</w:t>
            </w:r>
            <w:r>
              <w:rPr>
                <w:rFonts w:ascii="Times New Roman" w:hAnsi="Times New Roman" w:eastAsia="Times New Roman" w:cs="Times New Roman"/>
                <w:spacing w:val="-25"/>
                <w:sz w:val="20"/>
                <w:szCs w:val="20"/>
              </w:rPr>
              <w:t xml:space="preserve"> </w:t>
            </w:r>
            <w:r>
              <w:rPr>
                <w:spacing w:val="8"/>
                <w:sz w:val="20"/>
                <w:szCs w:val="20"/>
              </w:rPr>
              <w:t>、烟粉尘等大气污染物总量需实施削</w:t>
            </w:r>
            <w:r>
              <w:rPr>
                <w:spacing w:val="7"/>
                <w:sz w:val="20"/>
                <w:szCs w:val="20"/>
              </w:rPr>
              <w:t>减替代。</w:t>
            </w:r>
          </w:p>
          <w:p w14:paraId="5FBD3099">
            <w:pPr>
              <w:pStyle w:val="15"/>
              <w:spacing w:before="73" w:line="262" w:lineRule="auto"/>
              <w:ind w:left="112" w:right="106" w:hanging="5"/>
              <w:rPr>
                <w:sz w:val="20"/>
                <w:szCs w:val="20"/>
              </w:rPr>
            </w:pPr>
            <w:r>
              <w:rPr>
                <w:rFonts w:ascii="Times New Roman" w:hAnsi="Times New Roman" w:eastAsia="Times New Roman" w:cs="Times New Roman"/>
                <w:spacing w:val="11"/>
                <w:sz w:val="20"/>
                <w:szCs w:val="20"/>
              </w:rPr>
              <w:t>2.3</w:t>
            </w:r>
            <w:r>
              <w:rPr>
                <w:rFonts w:ascii="Times New Roman" w:hAnsi="Times New Roman" w:eastAsia="Times New Roman" w:cs="Times New Roman"/>
                <w:spacing w:val="33"/>
                <w:w w:val="101"/>
                <w:sz w:val="20"/>
                <w:szCs w:val="20"/>
              </w:rPr>
              <w:t xml:space="preserve"> </w:t>
            </w:r>
            <w:r>
              <w:rPr>
                <w:spacing w:val="11"/>
                <w:sz w:val="20"/>
                <w:szCs w:val="20"/>
              </w:rPr>
              <w:t>实施</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1"/>
                <w:w w:val="101"/>
                <w:sz w:val="20"/>
                <w:szCs w:val="20"/>
              </w:rPr>
              <w:t xml:space="preserve"> </w:t>
            </w:r>
            <w:r>
              <w:rPr>
                <w:spacing w:val="11"/>
                <w:sz w:val="20"/>
                <w:szCs w:val="20"/>
              </w:rPr>
              <w:t>总量控制，推进产业集聚区域的</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11"/>
                <w:sz w:val="20"/>
                <w:szCs w:val="20"/>
              </w:rPr>
              <w:t>治理，含有有机化学品储存企业深入开</w:t>
            </w:r>
            <w:r>
              <w:rPr>
                <w:sz w:val="20"/>
                <w:szCs w:val="20"/>
              </w:rPr>
              <w:t xml:space="preserve"> </w:t>
            </w:r>
            <w:r>
              <w:rPr>
                <w:spacing w:val="10"/>
                <w:sz w:val="20"/>
                <w:szCs w:val="20"/>
              </w:rPr>
              <w:t>展泄漏检测与修复（</w:t>
            </w:r>
            <w:r>
              <w:rPr>
                <w:rFonts w:ascii="Times New Roman" w:hAnsi="Times New Roman" w:eastAsia="Times New Roman" w:cs="Times New Roman"/>
                <w:sz w:val="20"/>
                <w:szCs w:val="20"/>
              </w:rPr>
              <w:t>LDAR</w:t>
            </w:r>
            <w:r>
              <w:rPr>
                <w:spacing w:val="10"/>
                <w:sz w:val="20"/>
                <w:szCs w:val="20"/>
              </w:rPr>
              <w:t>）技术改造。</w:t>
            </w:r>
          </w:p>
          <w:p w14:paraId="7B0D5501">
            <w:pPr>
              <w:pStyle w:val="15"/>
              <w:spacing w:before="72" w:line="261" w:lineRule="auto"/>
              <w:ind w:left="109" w:right="106" w:hanging="2"/>
              <w:rPr>
                <w:sz w:val="20"/>
                <w:szCs w:val="20"/>
              </w:rPr>
            </w:pPr>
            <w:r>
              <w:rPr>
                <w:rFonts w:ascii="Times New Roman" w:hAnsi="Times New Roman" w:eastAsia="Times New Roman" w:cs="Times New Roman"/>
                <w:spacing w:val="11"/>
                <w:sz w:val="20"/>
                <w:szCs w:val="20"/>
              </w:rPr>
              <w:t xml:space="preserve">2.4 </w:t>
            </w:r>
            <w:r>
              <w:rPr>
                <w:spacing w:val="11"/>
                <w:sz w:val="20"/>
                <w:szCs w:val="20"/>
              </w:rPr>
              <w:t>严格控制大气环境布局敏感区和弱扩散区大气污染物排放总量，新建涉气项目按照规定实</w:t>
            </w:r>
            <w:r>
              <w:rPr>
                <w:spacing w:val="13"/>
                <w:sz w:val="20"/>
                <w:szCs w:val="20"/>
              </w:rPr>
              <w:t xml:space="preserve"> </w:t>
            </w:r>
            <w:r>
              <w:rPr>
                <w:spacing w:val="7"/>
                <w:sz w:val="20"/>
                <w:szCs w:val="20"/>
              </w:rPr>
              <w:t>施大气污染物</w:t>
            </w:r>
            <w:r>
              <w:rPr>
                <w:rFonts w:ascii="Times New Roman" w:hAnsi="Times New Roman" w:eastAsia="Times New Roman" w:cs="Times New Roman"/>
                <w:spacing w:val="7"/>
                <w:sz w:val="20"/>
                <w:szCs w:val="20"/>
              </w:rPr>
              <w:t>“</w:t>
            </w:r>
            <w:r>
              <w:rPr>
                <w:spacing w:val="7"/>
                <w:sz w:val="20"/>
                <w:szCs w:val="20"/>
              </w:rPr>
              <w:t>减量替代</w:t>
            </w:r>
            <w:r>
              <w:rPr>
                <w:rFonts w:ascii="Times New Roman" w:hAnsi="Times New Roman" w:eastAsia="Times New Roman" w:cs="Times New Roman"/>
                <w:spacing w:val="7"/>
                <w:sz w:val="20"/>
                <w:szCs w:val="20"/>
              </w:rPr>
              <w:t>”</w:t>
            </w:r>
            <w:r>
              <w:rPr>
                <w:spacing w:val="7"/>
                <w:sz w:val="20"/>
                <w:szCs w:val="20"/>
              </w:rPr>
              <w:t>。</w:t>
            </w:r>
          </w:p>
          <w:p w14:paraId="2F62F47F">
            <w:pPr>
              <w:pStyle w:val="15"/>
              <w:spacing w:before="75" w:line="217" w:lineRule="auto"/>
              <w:ind w:left="107"/>
              <w:rPr>
                <w:sz w:val="20"/>
                <w:szCs w:val="20"/>
              </w:rPr>
            </w:pPr>
            <w:r>
              <w:rPr>
                <w:rFonts w:ascii="Times New Roman" w:hAnsi="Times New Roman" w:eastAsia="Times New Roman" w:cs="Times New Roman"/>
                <w:spacing w:val="11"/>
                <w:sz w:val="20"/>
                <w:szCs w:val="20"/>
              </w:rPr>
              <w:t xml:space="preserve">2.5 </w:t>
            </w:r>
            <w:r>
              <w:rPr>
                <w:spacing w:val="11"/>
                <w:sz w:val="20"/>
                <w:szCs w:val="20"/>
              </w:rPr>
              <w:t>加快推进火电、热电、钢铁、水泥等行业企业超低排放清洁化改造，提高除尘脱硫脱硝效</w:t>
            </w:r>
          </w:p>
        </w:tc>
        <w:tc>
          <w:tcPr>
            <w:tcW w:w="1243" w:type="pct"/>
            <w:tcBorders>
              <w:tl2br w:val="nil"/>
              <w:tr2bl w:val="nil"/>
            </w:tcBorders>
            <w:vAlign w:val="top"/>
          </w:tcPr>
          <w:p w14:paraId="1817589A">
            <w:pPr>
              <w:pStyle w:val="15"/>
              <w:spacing w:before="240" w:line="273" w:lineRule="auto"/>
              <w:ind w:left="115" w:right="104"/>
              <w:jc w:val="both"/>
              <w:rPr>
                <w:sz w:val="20"/>
                <w:szCs w:val="20"/>
              </w:rPr>
            </w:pPr>
            <w:r>
              <w:rPr>
                <w:spacing w:val="6"/>
                <w:sz w:val="20"/>
                <w:szCs w:val="20"/>
              </w:rPr>
              <w:t>本次</w:t>
            </w:r>
            <w:r>
              <w:rPr>
                <w:rFonts w:hint="eastAsia"/>
                <w:spacing w:val="6"/>
                <w:sz w:val="20"/>
                <w:szCs w:val="20"/>
                <w:lang w:val="en-US" w:eastAsia="zh-CN"/>
              </w:rPr>
              <w:t>水利工程</w:t>
            </w:r>
            <w:r>
              <w:rPr>
                <w:spacing w:val="6"/>
                <w:sz w:val="20"/>
                <w:szCs w:val="20"/>
              </w:rPr>
              <w:t>建设排放污染物主要为施工期阶段，且工程不涉及总量控制指</w:t>
            </w:r>
            <w:r>
              <w:rPr>
                <w:sz w:val="20"/>
                <w:szCs w:val="20"/>
              </w:rPr>
              <w:t>标。</w:t>
            </w:r>
            <w:r>
              <w:rPr>
                <w:spacing w:val="6"/>
                <w:sz w:val="20"/>
                <w:szCs w:val="20"/>
              </w:rPr>
              <w:t>本工程建设压减了地下水开采，</w:t>
            </w:r>
            <w:r>
              <w:rPr>
                <w:spacing w:val="2"/>
                <w:sz w:val="20"/>
                <w:szCs w:val="20"/>
              </w:rPr>
              <w:t>有利于</w:t>
            </w:r>
            <w:r>
              <w:rPr>
                <w:spacing w:val="6"/>
                <w:sz w:val="20"/>
                <w:szCs w:val="20"/>
              </w:rPr>
              <w:t>恢复地下水位，由于地下水的开采量</w:t>
            </w:r>
            <w:r>
              <w:rPr>
                <w:spacing w:val="7"/>
                <w:sz w:val="20"/>
                <w:szCs w:val="20"/>
              </w:rPr>
              <w:t>减少会将对坎尔井产生正面的影响</w:t>
            </w:r>
            <w:r>
              <w:rPr>
                <w:rFonts w:hint="eastAsia"/>
                <w:spacing w:val="7"/>
                <w:sz w:val="20"/>
                <w:szCs w:val="20"/>
                <w:lang w:eastAsia="zh-CN"/>
              </w:rPr>
              <w:t>，</w:t>
            </w:r>
            <w:r>
              <w:rPr>
                <w:rFonts w:hint="eastAsia"/>
                <w:spacing w:val="7"/>
                <w:sz w:val="20"/>
                <w:szCs w:val="20"/>
                <w:lang w:val="en-US" w:eastAsia="zh-CN"/>
              </w:rPr>
              <w:t>同时将改善艾丁湖生态环境</w:t>
            </w:r>
            <w:r>
              <w:rPr>
                <w:spacing w:val="7"/>
                <w:sz w:val="20"/>
                <w:szCs w:val="20"/>
              </w:rPr>
              <w:t>。</w:t>
            </w:r>
          </w:p>
        </w:tc>
        <w:tc>
          <w:tcPr>
            <w:tcW w:w="354" w:type="pct"/>
            <w:tcBorders>
              <w:tl2br w:val="nil"/>
              <w:tr2bl w:val="nil"/>
            </w:tcBorders>
            <w:vAlign w:val="top"/>
          </w:tcPr>
          <w:p w14:paraId="380C380C">
            <w:pPr>
              <w:spacing w:line="281" w:lineRule="auto"/>
              <w:rPr>
                <w:rFonts w:ascii="Arial"/>
                <w:sz w:val="21"/>
              </w:rPr>
            </w:pPr>
          </w:p>
          <w:p w14:paraId="3E80B5DD">
            <w:pPr>
              <w:spacing w:line="282" w:lineRule="auto"/>
              <w:rPr>
                <w:rFonts w:ascii="Arial"/>
                <w:sz w:val="21"/>
              </w:rPr>
            </w:pPr>
          </w:p>
          <w:p w14:paraId="65A44EB3">
            <w:pPr>
              <w:spacing w:line="282" w:lineRule="auto"/>
              <w:rPr>
                <w:rFonts w:ascii="Arial"/>
                <w:sz w:val="21"/>
              </w:rPr>
            </w:pPr>
          </w:p>
          <w:p w14:paraId="19F0960B">
            <w:pPr>
              <w:spacing w:line="282" w:lineRule="auto"/>
              <w:rPr>
                <w:rFonts w:ascii="Arial"/>
                <w:sz w:val="21"/>
              </w:rPr>
            </w:pPr>
          </w:p>
          <w:p w14:paraId="56CAB369">
            <w:pPr>
              <w:pStyle w:val="15"/>
              <w:spacing w:before="65" w:line="228" w:lineRule="auto"/>
              <w:ind w:left="300"/>
              <w:rPr>
                <w:sz w:val="20"/>
                <w:szCs w:val="20"/>
              </w:rPr>
            </w:pPr>
            <w:r>
              <w:rPr>
                <w:spacing w:val="3"/>
                <w:sz w:val="20"/>
                <w:szCs w:val="20"/>
              </w:rPr>
              <w:t>符合</w:t>
            </w:r>
          </w:p>
        </w:tc>
      </w:tr>
      <w:tr w14:paraId="71B8D0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045" w:hRule="atLeast"/>
        </w:trPr>
        <w:tc>
          <w:tcPr>
            <w:tcW w:w="293" w:type="pct"/>
            <w:tcBorders>
              <w:tl2br w:val="nil"/>
              <w:tr2bl w:val="nil"/>
            </w:tcBorders>
            <w:vAlign w:val="top"/>
          </w:tcPr>
          <w:p w14:paraId="411876C8">
            <w:pPr>
              <w:rPr>
                <w:rFonts w:ascii="Arial"/>
                <w:sz w:val="21"/>
              </w:rPr>
            </w:pPr>
          </w:p>
        </w:tc>
        <w:tc>
          <w:tcPr>
            <w:tcW w:w="3107" w:type="pct"/>
            <w:tcBorders>
              <w:tl2br w:val="nil"/>
              <w:tr2bl w:val="nil"/>
            </w:tcBorders>
            <w:vAlign w:val="top"/>
          </w:tcPr>
          <w:p w14:paraId="55110C52">
            <w:pPr>
              <w:pStyle w:val="15"/>
              <w:spacing w:before="83" w:line="278" w:lineRule="auto"/>
              <w:ind w:left="110" w:right="52" w:firstLine="2"/>
              <w:jc w:val="both"/>
              <w:rPr>
                <w:sz w:val="20"/>
                <w:szCs w:val="20"/>
              </w:rPr>
            </w:pPr>
            <w:r>
              <w:rPr>
                <w:spacing w:val="6"/>
                <w:sz w:val="20"/>
                <w:szCs w:val="20"/>
              </w:rPr>
              <w:t>率。推动</w:t>
            </w:r>
            <w:r>
              <w:rPr>
                <w:rFonts w:ascii="Times New Roman" w:hAnsi="Times New Roman" w:eastAsia="Times New Roman" w:cs="Times New Roman"/>
                <w:spacing w:val="6"/>
                <w:sz w:val="20"/>
                <w:szCs w:val="20"/>
              </w:rPr>
              <w:t>“</w:t>
            </w:r>
            <w:r>
              <w:rPr>
                <w:spacing w:val="6"/>
                <w:sz w:val="20"/>
                <w:szCs w:val="20"/>
              </w:rPr>
              <w:t>工业炉窑</w:t>
            </w:r>
            <w:r>
              <w:rPr>
                <w:rFonts w:ascii="Times New Roman" w:hAnsi="Times New Roman" w:eastAsia="Times New Roman" w:cs="Times New Roman"/>
                <w:spacing w:val="6"/>
                <w:sz w:val="20"/>
                <w:szCs w:val="20"/>
              </w:rPr>
              <w:t>”</w:t>
            </w:r>
            <w:r>
              <w:rPr>
                <w:spacing w:val="6"/>
                <w:sz w:val="20"/>
                <w:szCs w:val="20"/>
              </w:rPr>
              <w:t>清洁排放改造，工业炉窑依照法律法规和有关规定设置大气污染物排放口，</w:t>
            </w:r>
            <w:r>
              <w:rPr>
                <w:sz w:val="20"/>
                <w:szCs w:val="20"/>
              </w:rPr>
              <w:t xml:space="preserve"> </w:t>
            </w:r>
            <w:r>
              <w:rPr>
                <w:spacing w:val="3"/>
                <w:sz w:val="20"/>
                <w:szCs w:val="20"/>
              </w:rPr>
              <w:t>并采取有效的废气治理措施，达到大气污染物排放标准。实施热电锅炉</w:t>
            </w:r>
            <w:r>
              <w:rPr>
                <w:rFonts w:ascii="Times New Roman" w:hAnsi="Times New Roman" w:eastAsia="Times New Roman" w:cs="Times New Roman"/>
                <w:spacing w:val="2"/>
                <w:sz w:val="20"/>
                <w:szCs w:val="20"/>
              </w:rPr>
              <w:t>“</w:t>
            </w:r>
            <w:r>
              <w:rPr>
                <w:spacing w:val="2"/>
                <w:sz w:val="20"/>
                <w:szCs w:val="20"/>
              </w:rPr>
              <w:t>并小上大</w:t>
            </w:r>
            <w:r>
              <w:rPr>
                <w:rFonts w:ascii="Times New Roman" w:hAnsi="Times New Roman" w:eastAsia="Times New Roman" w:cs="Times New Roman"/>
                <w:spacing w:val="2"/>
                <w:sz w:val="20"/>
                <w:szCs w:val="20"/>
              </w:rPr>
              <w:t>”</w:t>
            </w:r>
            <w:r>
              <w:rPr>
                <w:spacing w:val="2"/>
                <w:sz w:val="20"/>
                <w:szCs w:val="20"/>
              </w:rPr>
              <w:t>，大力推进</w:t>
            </w:r>
            <w:r>
              <w:rPr>
                <w:rFonts w:ascii="Times New Roman" w:hAnsi="Times New Roman" w:eastAsia="Times New Roman" w:cs="Times New Roman"/>
                <w:spacing w:val="2"/>
                <w:sz w:val="20"/>
                <w:szCs w:val="20"/>
              </w:rPr>
              <w:t>“</w:t>
            </w:r>
            <w:r>
              <w:rPr>
                <w:spacing w:val="2"/>
                <w:sz w:val="20"/>
                <w:szCs w:val="20"/>
              </w:rPr>
              <w:t>煤</w:t>
            </w:r>
            <w:r>
              <w:rPr>
                <w:sz w:val="20"/>
                <w:szCs w:val="20"/>
              </w:rPr>
              <w:t xml:space="preserve"> </w:t>
            </w:r>
            <w:r>
              <w:rPr>
                <w:spacing w:val="6"/>
                <w:sz w:val="20"/>
                <w:szCs w:val="20"/>
              </w:rPr>
              <w:t>改气</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7"/>
                <w:sz w:val="20"/>
                <w:szCs w:val="20"/>
              </w:rPr>
              <w:t xml:space="preserve"> </w:t>
            </w:r>
            <w:r>
              <w:rPr>
                <w:spacing w:val="6"/>
                <w:sz w:val="20"/>
                <w:szCs w:val="20"/>
              </w:rPr>
              <w:t>、</w:t>
            </w:r>
            <w:r>
              <w:rPr>
                <w:rFonts w:ascii="Times New Roman" w:hAnsi="Times New Roman" w:eastAsia="Times New Roman" w:cs="Times New Roman"/>
                <w:spacing w:val="6"/>
                <w:sz w:val="20"/>
                <w:szCs w:val="20"/>
              </w:rPr>
              <w:t>“</w:t>
            </w:r>
            <w:r>
              <w:rPr>
                <w:spacing w:val="6"/>
                <w:sz w:val="20"/>
                <w:szCs w:val="20"/>
              </w:rPr>
              <w:t>煤改电</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9"/>
                <w:sz w:val="20"/>
                <w:szCs w:val="20"/>
              </w:rPr>
              <w:t xml:space="preserve"> </w:t>
            </w:r>
            <w:r>
              <w:rPr>
                <w:spacing w:val="6"/>
                <w:sz w:val="20"/>
                <w:szCs w:val="20"/>
              </w:rPr>
              <w:t>、</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6"/>
                <w:sz w:val="20"/>
                <w:szCs w:val="20"/>
              </w:rPr>
              <w:t xml:space="preserve"> </w:t>
            </w:r>
            <w:r>
              <w:rPr>
                <w:spacing w:val="6"/>
                <w:sz w:val="20"/>
                <w:szCs w:val="20"/>
              </w:rPr>
              <w:t>电化吐鲁番</w:t>
            </w:r>
            <w:r>
              <w:rPr>
                <w:rFonts w:ascii="Times New Roman" w:hAnsi="Times New Roman" w:eastAsia="Times New Roman" w:cs="Times New Roman"/>
                <w:spacing w:val="6"/>
                <w:sz w:val="20"/>
                <w:szCs w:val="20"/>
              </w:rPr>
              <w:t>”</w:t>
            </w:r>
            <w:r>
              <w:rPr>
                <w:spacing w:val="6"/>
                <w:sz w:val="20"/>
                <w:szCs w:val="20"/>
              </w:rPr>
              <w:t>工作，继续加大新能源的开发和利用，扩大光伏发电、风电规</w:t>
            </w:r>
            <w:r>
              <w:rPr>
                <w:sz w:val="20"/>
                <w:szCs w:val="20"/>
              </w:rPr>
              <w:t xml:space="preserve"> </w:t>
            </w:r>
            <w:r>
              <w:rPr>
                <w:spacing w:val="7"/>
                <w:sz w:val="20"/>
                <w:szCs w:val="20"/>
              </w:rPr>
              <w:t>模和装机容量。</w:t>
            </w:r>
          </w:p>
          <w:p w14:paraId="51FEDD14">
            <w:pPr>
              <w:pStyle w:val="15"/>
              <w:spacing w:before="72" w:line="261" w:lineRule="auto"/>
              <w:ind w:left="109" w:right="104" w:hanging="2"/>
              <w:rPr>
                <w:sz w:val="20"/>
                <w:szCs w:val="20"/>
              </w:rPr>
            </w:pPr>
            <w:r>
              <w:rPr>
                <w:rFonts w:ascii="Times New Roman" w:hAnsi="Times New Roman" w:eastAsia="Times New Roman" w:cs="Times New Roman"/>
                <w:spacing w:val="7"/>
                <w:sz w:val="20"/>
                <w:szCs w:val="20"/>
              </w:rPr>
              <w:t xml:space="preserve">2.6 </w:t>
            </w:r>
            <w:r>
              <w:rPr>
                <w:spacing w:val="7"/>
                <w:sz w:val="20"/>
                <w:szCs w:val="20"/>
              </w:rPr>
              <w:t>加快工业区外的</w:t>
            </w:r>
            <w:r>
              <w:rPr>
                <w:rFonts w:ascii="Times New Roman" w:hAnsi="Times New Roman" w:eastAsia="Times New Roman" w:cs="Times New Roman"/>
                <w:spacing w:val="7"/>
                <w:sz w:val="20"/>
                <w:szCs w:val="20"/>
              </w:rPr>
              <w:t>“</w:t>
            </w:r>
            <w:r>
              <w:rPr>
                <w:spacing w:val="7"/>
                <w:sz w:val="20"/>
                <w:szCs w:val="20"/>
              </w:rPr>
              <w:t>散乱污</w:t>
            </w:r>
            <w:r>
              <w:rPr>
                <w:rFonts w:ascii="Times New Roman" w:hAnsi="Times New Roman" w:eastAsia="Times New Roman" w:cs="Times New Roman"/>
                <w:spacing w:val="7"/>
                <w:sz w:val="20"/>
                <w:szCs w:val="20"/>
              </w:rPr>
              <w:t>”</w:t>
            </w:r>
            <w:r>
              <w:rPr>
                <w:spacing w:val="7"/>
                <w:sz w:val="20"/>
                <w:szCs w:val="20"/>
              </w:rPr>
              <w:t>企业搬迁升级改造，落实小产能置换办法，对</w:t>
            </w:r>
            <w:r>
              <w:rPr>
                <w:rFonts w:ascii="Times New Roman" w:hAnsi="Times New Roman" w:eastAsia="Times New Roman" w:cs="Times New Roman"/>
                <w:spacing w:val="7"/>
                <w:sz w:val="20"/>
                <w:szCs w:val="20"/>
              </w:rPr>
              <w:t>“</w:t>
            </w:r>
            <w:r>
              <w:rPr>
                <w:spacing w:val="7"/>
                <w:sz w:val="20"/>
                <w:szCs w:val="20"/>
              </w:rPr>
              <w:t>小散乱</w:t>
            </w:r>
            <w:r>
              <w:rPr>
                <w:rFonts w:ascii="Times New Roman" w:hAnsi="Times New Roman" w:eastAsia="Times New Roman" w:cs="Times New Roman"/>
                <w:spacing w:val="7"/>
                <w:sz w:val="20"/>
                <w:szCs w:val="20"/>
              </w:rPr>
              <w:t>”</w:t>
            </w:r>
            <w:r>
              <w:rPr>
                <w:spacing w:val="7"/>
                <w:sz w:val="20"/>
                <w:szCs w:val="20"/>
              </w:rPr>
              <w:t>石材企业的</w:t>
            </w:r>
            <w:r>
              <w:rPr>
                <w:spacing w:val="12"/>
                <w:sz w:val="20"/>
                <w:szCs w:val="20"/>
              </w:rPr>
              <w:t xml:space="preserve"> </w:t>
            </w:r>
            <w:r>
              <w:rPr>
                <w:spacing w:val="8"/>
                <w:sz w:val="20"/>
                <w:szCs w:val="20"/>
              </w:rPr>
              <w:t>优化整合，积极引导石材企业技术改造。</w:t>
            </w:r>
          </w:p>
          <w:p w14:paraId="7FDB2DF6">
            <w:pPr>
              <w:pStyle w:val="15"/>
              <w:spacing w:before="75" w:line="227" w:lineRule="auto"/>
              <w:ind w:left="107"/>
              <w:rPr>
                <w:sz w:val="20"/>
                <w:szCs w:val="20"/>
              </w:rPr>
            </w:pPr>
            <w:r>
              <w:rPr>
                <w:rFonts w:ascii="Times New Roman" w:hAnsi="Times New Roman" w:eastAsia="Times New Roman" w:cs="Times New Roman"/>
                <w:spacing w:val="8"/>
                <w:sz w:val="20"/>
                <w:szCs w:val="20"/>
              </w:rPr>
              <w:t xml:space="preserve">2.7 </w:t>
            </w:r>
            <w:r>
              <w:rPr>
                <w:spacing w:val="8"/>
                <w:sz w:val="20"/>
                <w:szCs w:val="20"/>
              </w:rPr>
              <w:t>加强机动车污染防治，启动非道路移动机械治理。</w:t>
            </w:r>
          </w:p>
          <w:p w14:paraId="4D7CADD1">
            <w:pPr>
              <w:pStyle w:val="15"/>
              <w:spacing w:before="73" w:line="261" w:lineRule="auto"/>
              <w:ind w:left="112" w:right="106" w:hanging="5"/>
              <w:rPr>
                <w:sz w:val="20"/>
                <w:szCs w:val="20"/>
              </w:rPr>
            </w:pPr>
            <w:r>
              <w:rPr>
                <w:rFonts w:ascii="Times New Roman" w:hAnsi="Times New Roman" w:eastAsia="Times New Roman" w:cs="Times New Roman"/>
                <w:spacing w:val="11"/>
                <w:sz w:val="20"/>
                <w:szCs w:val="20"/>
              </w:rPr>
              <w:t xml:space="preserve">2.8 </w:t>
            </w:r>
            <w:r>
              <w:rPr>
                <w:spacing w:val="11"/>
                <w:sz w:val="20"/>
                <w:szCs w:val="20"/>
              </w:rPr>
              <w:t>加快矿山治理和绿色矿山建设进程，新矿按照绿色标准生产，加快改造升级，逐步达到要</w:t>
            </w:r>
            <w:r>
              <w:rPr>
                <w:spacing w:val="13"/>
                <w:sz w:val="20"/>
                <w:szCs w:val="20"/>
              </w:rPr>
              <w:t xml:space="preserve"> </w:t>
            </w:r>
            <w:r>
              <w:rPr>
                <w:spacing w:val="8"/>
                <w:sz w:val="20"/>
                <w:szCs w:val="20"/>
              </w:rPr>
              <w:t>求。强化矿山地质环境保护。</w:t>
            </w:r>
          </w:p>
          <w:p w14:paraId="11CE2AA3">
            <w:pPr>
              <w:pStyle w:val="15"/>
              <w:spacing w:before="76" w:line="278" w:lineRule="auto"/>
              <w:ind w:left="110" w:right="106" w:hanging="3"/>
              <w:rPr>
                <w:sz w:val="20"/>
                <w:szCs w:val="20"/>
              </w:rPr>
            </w:pPr>
            <w:r>
              <w:rPr>
                <w:rFonts w:ascii="Times New Roman" w:hAnsi="Times New Roman" w:eastAsia="Times New Roman" w:cs="Times New Roman"/>
                <w:spacing w:val="11"/>
                <w:sz w:val="20"/>
                <w:szCs w:val="20"/>
              </w:rPr>
              <w:t xml:space="preserve">2.9 </w:t>
            </w:r>
            <w:r>
              <w:rPr>
                <w:spacing w:val="11"/>
                <w:sz w:val="20"/>
                <w:szCs w:val="20"/>
              </w:rPr>
              <w:t>加强天然林保护，加强防护林建设，开展绿洲外围的荒漠区生态治理和绿洲内部退化林修</w:t>
            </w:r>
            <w:r>
              <w:rPr>
                <w:spacing w:val="13"/>
                <w:sz w:val="20"/>
                <w:szCs w:val="20"/>
              </w:rPr>
              <w:t xml:space="preserve"> </w:t>
            </w:r>
            <w:r>
              <w:rPr>
                <w:spacing w:val="10"/>
                <w:sz w:val="20"/>
                <w:szCs w:val="20"/>
              </w:rPr>
              <w:t>复；推进</w:t>
            </w:r>
            <w:r>
              <w:rPr>
                <w:rFonts w:ascii="Times New Roman" w:hAnsi="Times New Roman" w:eastAsia="Times New Roman" w:cs="Times New Roman"/>
                <w:spacing w:val="10"/>
                <w:sz w:val="20"/>
                <w:szCs w:val="20"/>
              </w:rPr>
              <w:t>“</w:t>
            </w:r>
            <w:r>
              <w:rPr>
                <w:spacing w:val="10"/>
                <w:sz w:val="20"/>
                <w:szCs w:val="20"/>
              </w:rPr>
              <w:t>两滩</w:t>
            </w:r>
            <w:r>
              <w:rPr>
                <w:rFonts w:ascii="Times New Roman" w:hAnsi="Times New Roman" w:eastAsia="Times New Roman" w:cs="Times New Roman"/>
                <w:spacing w:val="10"/>
                <w:sz w:val="20"/>
                <w:szCs w:val="20"/>
              </w:rPr>
              <w:t>”</w:t>
            </w:r>
            <w:r>
              <w:rPr>
                <w:spacing w:val="10"/>
                <w:sz w:val="20"/>
                <w:szCs w:val="20"/>
              </w:rPr>
              <w:t>绿化建设，加强分布在山前、沙漠、绿洲外</w:t>
            </w:r>
            <w:r>
              <w:rPr>
                <w:spacing w:val="9"/>
                <w:sz w:val="20"/>
                <w:szCs w:val="20"/>
              </w:rPr>
              <w:t>围的荒漠灌木林保护；全面实施退</w:t>
            </w:r>
            <w:r>
              <w:rPr>
                <w:sz w:val="20"/>
                <w:szCs w:val="20"/>
              </w:rPr>
              <w:t xml:space="preserve"> </w:t>
            </w:r>
            <w:r>
              <w:rPr>
                <w:spacing w:val="9"/>
                <w:sz w:val="20"/>
                <w:szCs w:val="20"/>
              </w:rPr>
              <w:t>耕还林（草</w:t>
            </w:r>
            <w:r>
              <w:rPr>
                <w:spacing w:val="15"/>
                <w:sz w:val="20"/>
                <w:szCs w:val="20"/>
              </w:rPr>
              <w:t>），</w:t>
            </w:r>
            <w:r>
              <w:rPr>
                <w:spacing w:val="9"/>
                <w:sz w:val="20"/>
                <w:szCs w:val="20"/>
              </w:rPr>
              <w:t>控制水土流失，增强涵养水源，保护生物多样性；荒漠区域加强防风固沙工程</w:t>
            </w:r>
            <w:r>
              <w:rPr>
                <w:spacing w:val="1"/>
                <w:sz w:val="20"/>
                <w:szCs w:val="20"/>
              </w:rPr>
              <w:t xml:space="preserve"> </w:t>
            </w:r>
            <w:r>
              <w:rPr>
                <w:spacing w:val="8"/>
                <w:sz w:val="20"/>
                <w:szCs w:val="20"/>
              </w:rPr>
              <w:t>建设，采取封沙育林育草。</w:t>
            </w:r>
          </w:p>
          <w:p w14:paraId="1BBD07BE">
            <w:pPr>
              <w:pStyle w:val="15"/>
              <w:spacing w:before="71" w:line="282" w:lineRule="auto"/>
              <w:ind w:left="111" w:right="104" w:hanging="4"/>
              <w:rPr>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8"/>
                <w:sz w:val="20"/>
                <w:szCs w:val="20"/>
              </w:rPr>
              <w:t xml:space="preserve">10 </w:t>
            </w:r>
            <w:r>
              <w:rPr>
                <w:spacing w:val="8"/>
                <w:sz w:val="20"/>
                <w:szCs w:val="20"/>
              </w:rPr>
              <w:t>推进农业农村污染防治，防治畜禽养殖污染，科学规划布局畜禽养殖，配套建设粪便污水</w:t>
            </w:r>
            <w:r>
              <w:rPr>
                <w:sz w:val="20"/>
                <w:szCs w:val="20"/>
              </w:rPr>
              <w:t xml:space="preserve"> </w:t>
            </w:r>
            <w:r>
              <w:rPr>
                <w:spacing w:val="9"/>
                <w:sz w:val="20"/>
                <w:szCs w:val="20"/>
              </w:rPr>
              <w:t>贮存、处理、利用设施，新建、扩建、改建规模化畜禽养殖场（小区）要实施雨污分流、粪便</w:t>
            </w:r>
            <w:r>
              <w:rPr>
                <w:spacing w:val="13"/>
                <w:sz w:val="20"/>
                <w:szCs w:val="20"/>
              </w:rPr>
              <w:t xml:space="preserve"> </w:t>
            </w:r>
            <w:r>
              <w:rPr>
                <w:spacing w:val="9"/>
                <w:sz w:val="20"/>
                <w:szCs w:val="20"/>
              </w:rPr>
              <w:t>污水资源化利用；控制农业面源污染，控制农田化肥农药使用量，大力发展生态循环农业，加</w:t>
            </w:r>
            <w:r>
              <w:rPr>
                <w:spacing w:val="15"/>
                <w:sz w:val="20"/>
                <w:szCs w:val="20"/>
              </w:rPr>
              <w:t xml:space="preserve"> </w:t>
            </w:r>
            <w:r>
              <w:rPr>
                <w:spacing w:val="9"/>
                <w:sz w:val="20"/>
                <w:szCs w:val="20"/>
              </w:rPr>
              <w:t>快推广测土配方施肥、安全用药、绿色防控、农业废弃物资源化利用等农业清洁生产技术与装</w:t>
            </w:r>
            <w:r>
              <w:rPr>
                <w:spacing w:val="13"/>
                <w:sz w:val="20"/>
                <w:szCs w:val="20"/>
              </w:rPr>
              <w:t xml:space="preserve"> </w:t>
            </w:r>
            <w:r>
              <w:rPr>
                <w:spacing w:val="9"/>
                <w:sz w:val="20"/>
                <w:szCs w:val="20"/>
              </w:rPr>
              <w:t>备；优化种植业结构与布局；加快农村环境综合整治。</w:t>
            </w:r>
          </w:p>
          <w:p w14:paraId="305B8A00">
            <w:pPr>
              <w:pStyle w:val="15"/>
              <w:spacing w:before="76" w:line="261" w:lineRule="auto"/>
              <w:ind w:left="113" w:right="106" w:hanging="6"/>
              <w:rPr>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8"/>
                <w:sz w:val="20"/>
                <w:szCs w:val="20"/>
              </w:rPr>
              <w:t xml:space="preserve">11 </w:t>
            </w:r>
            <w:r>
              <w:rPr>
                <w:spacing w:val="8"/>
                <w:sz w:val="20"/>
                <w:szCs w:val="20"/>
              </w:rPr>
              <w:t>严格按照《新疆维吾尔自治区坎儿井保护条例》对区域内坎儿井进行保护，禁止向坎儿井</w:t>
            </w:r>
            <w:r>
              <w:rPr>
                <w:sz w:val="20"/>
                <w:szCs w:val="20"/>
              </w:rPr>
              <w:t xml:space="preserve"> </w:t>
            </w:r>
            <w:r>
              <w:rPr>
                <w:spacing w:val="9"/>
                <w:sz w:val="20"/>
                <w:szCs w:val="20"/>
              </w:rPr>
              <w:t>水源、明渠、蓄水池倾倒废污水、垃圾等废弃物。</w:t>
            </w:r>
          </w:p>
          <w:p w14:paraId="71D9DD77">
            <w:pPr>
              <w:pStyle w:val="15"/>
              <w:spacing w:before="73" w:line="256" w:lineRule="auto"/>
              <w:ind w:left="109" w:right="104" w:hanging="2"/>
              <w:rPr>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9"/>
                <w:sz w:val="20"/>
                <w:szCs w:val="20"/>
              </w:rPr>
              <w:t xml:space="preserve">12 </w:t>
            </w:r>
            <w:r>
              <w:rPr>
                <w:spacing w:val="9"/>
                <w:sz w:val="20"/>
                <w:szCs w:val="20"/>
              </w:rPr>
              <w:t>推动区域低碳示范。探索开展环境质量达标与碳</w:t>
            </w:r>
            <w:r>
              <w:rPr>
                <w:spacing w:val="8"/>
                <w:sz w:val="20"/>
                <w:szCs w:val="20"/>
              </w:rPr>
              <w:t>排放达峰</w:t>
            </w:r>
            <w:r>
              <w:rPr>
                <w:rFonts w:ascii="Times New Roman" w:hAnsi="Times New Roman" w:eastAsia="Times New Roman" w:cs="Times New Roman"/>
                <w:spacing w:val="8"/>
                <w:sz w:val="20"/>
                <w:szCs w:val="20"/>
              </w:rPr>
              <w:t>“</w:t>
            </w:r>
            <w:r>
              <w:rPr>
                <w:spacing w:val="8"/>
                <w:sz w:val="20"/>
                <w:szCs w:val="20"/>
              </w:rPr>
              <w:t>双达</w:t>
            </w:r>
            <w:r>
              <w:rPr>
                <w:rFonts w:ascii="Times New Roman" w:hAnsi="Times New Roman" w:eastAsia="Times New Roman" w:cs="Times New Roman"/>
                <w:spacing w:val="8"/>
                <w:sz w:val="20"/>
                <w:szCs w:val="20"/>
              </w:rPr>
              <w:t>”</w:t>
            </w:r>
            <w:r>
              <w:rPr>
                <w:spacing w:val="8"/>
                <w:sz w:val="20"/>
                <w:szCs w:val="20"/>
              </w:rPr>
              <w:t>试点示范建设，积极推动</w:t>
            </w:r>
            <w:r>
              <w:rPr>
                <w:sz w:val="20"/>
                <w:szCs w:val="20"/>
              </w:rPr>
              <w:t xml:space="preserve"> </w:t>
            </w:r>
            <w:r>
              <w:rPr>
                <w:spacing w:val="9"/>
                <w:sz w:val="20"/>
                <w:szCs w:val="20"/>
              </w:rPr>
              <w:t>低碳城市、低碳园区、低碳社区和低碳企业试点示范项目。</w:t>
            </w:r>
          </w:p>
        </w:tc>
        <w:tc>
          <w:tcPr>
            <w:tcW w:w="1243" w:type="pct"/>
            <w:tcBorders>
              <w:tl2br w:val="nil"/>
              <w:tr2bl w:val="nil"/>
            </w:tcBorders>
            <w:vAlign w:val="top"/>
          </w:tcPr>
          <w:p w14:paraId="4EB6DE31">
            <w:pPr>
              <w:rPr>
                <w:rFonts w:ascii="Arial"/>
                <w:sz w:val="21"/>
              </w:rPr>
            </w:pPr>
          </w:p>
        </w:tc>
        <w:tc>
          <w:tcPr>
            <w:tcW w:w="354" w:type="pct"/>
            <w:tcBorders>
              <w:tl2br w:val="nil"/>
              <w:tr2bl w:val="nil"/>
            </w:tcBorders>
            <w:vAlign w:val="top"/>
          </w:tcPr>
          <w:p w14:paraId="3EB64268">
            <w:pPr>
              <w:rPr>
                <w:rFonts w:ascii="Arial"/>
                <w:sz w:val="21"/>
              </w:rPr>
            </w:pPr>
          </w:p>
        </w:tc>
      </w:tr>
      <w:tr w14:paraId="2324B8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293" w:type="pct"/>
            <w:tcBorders>
              <w:tl2br w:val="nil"/>
              <w:tr2bl w:val="nil"/>
            </w:tcBorders>
            <w:vAlign w:val="top"/>
          </w:tcPr>
          <w:p w14:paraId="361B64DD">
            <w:pPr>
              <w:pStyle w:val="15"/>
              <w:spacing w:before="81" w:line="319" w:lineRule="exact"/>
              <w:ind w:left="213"/>
              <w:rPr>
                <w:sz w:val="20"/>
                <w:szCs w:val="20"/>
              </w:rPr>
            </w:pPr>
            <w:r>
              <w:rPr>
                <w:spacing w:val="4"/>
                <w:position w:val="8"/>
                <w:sz w:val="20"/>
                <w:szCs w:val="20"/>
              </w:rPr>
              <w:t>环境</w:t>
            </w:r>
          </w:p>
          <w:p w14:paraId="30101DD3">
            <w:pPr>
              <w:pStyle w:val="15"/>
              <w:spacing w:line="228" w:lineRule="auto"/>
              <w:ind w:left="214"/>
              <w:rPr>
                <w:sz w:val="20"/>
                <w:szCs w:val="20"/>
              </w:rPr>
            </w:pPr>
            <w:r>
              <w:rPr>
                <w:spacing w:val="4"/>
                <w:sz w:val="20"/>
                <w:szCs w:val="20"/>
              </w:rPr>
              <w:t>风险</w:t>
            </w:r>
          </w:p>
          <w:p w14:paraId="3FBC593B">
            <w:pPr>
              <w:pStyle w:val="15"/>
              <w:spacing w:before="74" w:line="217" w:lineRule="auto"/>
              <w:ind w:left="226"/>
              <w:rPr>
                <w:sz w:val="20"/>
                <w:szCs w:val="20"/>
              </w:rPr>
            </w:pPr>
            <w:r>
              <w:rPr>
                <w:spacing w:val="-2"/>
                <w:sz w:val="20"/>
                <w:szCs w:val="20"/>
              </w:rPr>
              <w:t>防控</w:t>
            </w:r>
          </w:p>
        </w:tc>
        <w:tc>
          <w:tcPr>
            <w:tcW w:w="3107" w:type="pct"/>
            <w:tcBorders>
              <w:tl2br w:val="nil"/>
              <w:tr2bl w:val="nil"/>
            </w:tcBorders>
            <w:vAlign w:val="top"/>
          </w:tcPr>
          <w:p w14:paraId="6CAF1ACD">
            <w:pPr>
              <w:pStyle w:val="15"/>
              <w:spacing w:before="79" w:line="262" w:lineRule="auto"/>
              <w:ind w:left="113" w:right="106" w:hanging="2"/>
              <w:rPr>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0"/>
                <w:sz w:val="20"/>
                <w:szCs w:val="20"/>
              </w:rPr>
              <w:t xml:space="preserve">1 </w:t>
            </w:r>
            <w:r>
              <w:rPr>
                <w:spacing w:val="10"/>
                <w:sz w:val="20"/>
                <w:szCs w:val="20"/>
              </w:rPr>
              <w:t>严格执行自治区总体准入要求、</w:t>
            </w:r>
            <w:r>
              <w:rPr>
                <w:spacing w:val="-49"/>
                <w:sz w:val="20"/>
                <w:szCs w:val="20"/>
              </w:rPr>
              <w:t xml:space="preserve"> </w:t>
            </w:r>
            <w:r>
              <w:rPr>
                <w:spacing w:val="10"/>
                <w:sz w:val="20"/>
                <w:szCs w:val="20"/>
              </w:rPr>
              <w:t>自</w:t>
            </w:r>
            <w:r>
              <w:rPr>
                <w:spacing w:val="9"/>
                <w:sz w:val="20"/>
                <w:szCs w:val="20"/>
              </w:rPr>
              <w:t>治区七大片区分区总体要求以及吐哈片区管控要求中关</w:t>
            </w:r>
            <w:r>
              <w:rPr>
                <w:sz w:val="20"/>
                <w:szCs w:val="20"/>
              </w:rPr>
              <w:t xml:space="preserve"> </w:t>
            </w:r>
            <w:r>
              <w:rPr>
                <w:spacing w:val="5"/>
                <w:sz w:val="20"/>
                <w:szCs w:val="20"/>
              </w:rPr>
              <w:t>于</w:t>
            </w:r>
            <w:r>
              <w:rPr>
                <w:rFonts w:ascii="Times New Roman" w:hAnsi="Times New Roman" w:eastAsia="Times New Roman" w:cs="Times New Roman"/>
                <w:spacing w:val="5"/>
                <w:sz w:val="20"/>
                <w:szCs w:val="20"/>
              </w:rPr>
              <w:t>“</w:t>
            </w:r>
            <w:r>
              <w:rPr>
                <w:spacing w:val="5"/>
                <w:sz w:val="20"/>
                <w:szCs w:val="20"/>
              </w:rPr>
              <w:t>环境风险防控</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1"/>
                <w:sz w:val="20"/>
                <w:szCs w:val="20"/>
              </w:rPr>
              <w:t xml:space="preserve"> </w:t>
            </w:r>
            <w:r>
              <w:rPr>
                <w:spacing w:val="5"/>
                <w:sz w:val="20"/>
                <w:szCs w:val="20"/>
              </w:rPr>
              <w:t>的各项要求。</w:t>
            </w:r>
          </w:p>
          <w:p w14:paraId="5251DDB3">
            <w:pPr>
              <w:pStyle w:val="15"/>
              <w:spacing w:before="74" w:line="217" w:lineRule="auto"/>
              <w:ind w:left="111"/>
              <w:rPr>
                <w:sz w:val="20"/>
                <w:szCs w:val="20"/>
              </w:rPr>
            </w:pPr>
            <w:r>
              <w:rPr>
                <w:rFonts w:ascii="Times New Roman" w:hAnsi="Times New Roman" w:eastAsia="Times New Roman" w:cs="Times New Roman"/>
                <w:spacing w:val="11"/>
                <w:sz w:val="20"/>
                <w:szCs w:val="20"/>
              </w:rPr>
              <w:t xml:space="preserve">3.2 </w:t>
            </w:r>
            <w:r>
              <w:rPr>
                <w:spacing w:val="11"/>
                <w:sz w:val="20"/>
                <w:szCs w:val="20"/>
              </w:rPr>
              <w:t>严格管控易导致环境风险的有毒有害和易燃易爆物质的使用和贮运，涉及此类物质的项目</w:t>
            </w:r>
          </w:p>
        </w:tc>
        <w:tc>
          <w:tcPr>
            <w:tcW w:w="1243" w:type="pct"/>
            <w:tcBorders>
              <w:tl2br w:val="nil"/>
              <w:tr2bl w:val="nil"/>
            </w:tcBorders>
            <w:vAlign w:val="top"/>
          </w:tcPr>
          <w:p w14:paraId="74191317">
            <w:pPr>
              <w:pStyle w:val="15"/>
              <w:spacing w:before="79" w:line="270" w:lineRule="auto"/>
              <w:ind w:left="113" w:right="104"/>
              <w:jc w:val="both"/>
              <w:rPr>
                <w:sz w:val="20"/>
                <w:szCs w:val="20"/>
              </w:rPr>
            </w:pPr>
            <w:r>
              <w:rPr>
                <w:rFonts w:hint="eastAsia"/>
                <w:spacing w:val="20"/>
                <w:sz w:val="20"/>
                <w:szCs w:val="20"/>
                <w:lang w:val="en-US" w:eastAsia="zh-CN"/>
              </w:rPr>
              <w:t>项目区</w:t>
            </w:r>
            <w:r>
              <w:rPr>
                <w:spacing w:val="20"/>
                <w:sz w:val="20"/>
                <w:szCs w:val="20"/>
              </w:rPr>
              <w:t>属于工农业综合</w:t>
            </w:r>
            <w:r>
              <w:rPr>
                <w:spacing w:val="6"/>
                <w:sz w:val="20"/>
                <w:szCs w:val="20"/>
              </w:rPr>
              <w:t>开发区，河道内不设排污口。</w:t>
            </w:r>
            <w:r>
              <w:rPr>
                <w:spacing w:val="11"/>
                <w:sz w:val="20"/>
                <w:szCs w:val="20"/>
              </w:rPr>
              <w:t>工程的建设有利于提高水资源利用率，保证生态用水，</w:t>
            </w:r>
            <w:r>
              <w:rPr>
                <w:rFonts w:hint="eastAsia"/>
                <w:spacing w:val="11"/>
                <w:sz w:val="20"/>
                <w:szCs w:val="20"/>
                <w:lang w:val="en-US" w:eastAsia="zh-CN"/>
              </w:rPr>
              <w:t>保护艾丁湖生态环境</w:t>
            </w:r>
            <w:r>
              <w:rPr>
                <w:spacing w:val="13"/>
                <w:sz w:val="20"/>
                <w:szCs w:val="20"/>
              </w:rPr>
              <w:t>。</w:t>
            </w:r>
          </w:p>
        </w:tc>
        <w:tc>
          <w:tcPr>
            <w:tcW w:w="354" w:type="pct"/>
            <w:tcBorders>
              <w:tl2br w:val="nil"/>
              <w:tr2bl w:val="nil"/>
            </w:tcBorders>
            <w:vAlign w:val="top"/>
          </w:tcPr>
          <w:p w14:paraId="2D33FA3C">
            <w:pPr>
              <w:spacing w:line="332" w:lineRule="auto"/>
              <w:rPr>
                <w:rFonts w:ascii="Arial"/>
                <w:sz w:val="21"/>
              </w:rPr>
            </w:pPr>
          </w:p>
          <w:p w14:paraId="542853D4">
            <w:pPr>
              <w:pStyle w:val="15"/>
              <w:spacing w:before="65" w:line="228" w:lineRule="auto"/>
              <w:ind w:left="300"/>
              <w:rPr>
                <w:sz w:val="20"/>
                <w:szCs w:val="20"/>
              </w:rPr>
            </w:pPr>
            <w:r>
              <w:rPr>
                <w:spacing w:val="3"/>
                <w:sz w:val="20"/>
                <w:szCs w:val="20"/>
              </w:rPr>
              <w:t>符合</w:t>
            </w:r>
          </w:p>
        </w:tc>
      </w:tr>
      <w:tr w14:paraId="081D70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293" w:type="pct"/>
            <w:tcBorders>
              <w:tl2br w:val="nil"/>
              <w:tr2bl w:val="nil"/>
            </w:tcBorders>
            <w:vAlign w:val="top"/>
          </w:tcPr>
          <w:p w14:paraId="472C4A7E">
            <w:pPr>
              <w:rPr>
                <w:rFonts w:ascii="Arial"/>
                <w:sz w:val="21"/>
              </w:rPr>
            </w:pPr>
          </w:p>
        </w:tc>
        <w:tc>
          <w:tcPr>
            <w:tcW w:w="3107" w:type="pct"/>
            <w:tcBorders>
              <w:tl2br w:val="nil"/>
              <w:tr2bl w:val="nil"/>
            </w:tcBorders>
            <w:vAlign w:val="top"/>
          </w:tcPr>
          <w:p w14:paraId="4C00C31C">
            <w:pPr>
              <w:pStyle w:val="15"/>
              <w:spacing w:before="81" w:line="228" w:lineRule="auto"/>
              <w:ind w:left="114"/>
              <w:rPr>
                <w:sz w:val="20"/>
                <w:szCs w:val="20"/>
              </w:rPr>
            </w:pPr>
            <w:r>
              <w:rPr>
                <w:spacing w:val="9"/>
                <w:sz w:val="20"/>
                <w:szCs w:val="20"/>
              </w:rPr>
              <w:t>必须编制风险应急预案；强化应急物资储备和救援队伍建设。</w:t>
            </w:r>
          </w:p>
          <w:p w14:paraId="557F209D">
            <w:pPr>
              <w:pStyle w:val="15"/>
              <w:spacing w:before="73" w:line="261" w:lineRule="auto"/>
              <w:ind w:left="122" w:right="106" w:hanging="11"/>
              <w:rPr>
                <w:sz w:val="20"/>
                <w:szCs w:val="20"/>
              </w:rPr>
            </w:pPr>
            <w:r>
              <w:rPr>
                <w:rFonts w:ascii="Times New Roman" w:hAnsi="Times New Roman" w:eastAsia="Times New Roman" w:cs="Times New Roman"/>
                <w:spacing w:val="11"/>
                <w:sz w:val="20"/>
                <w:szCs w:val="20"/>
              </w:rPr>
              <w:t>3.3</w:t>
            </w:r>
            <w:r>
              <w:rPr>
                <w:rFonts w:ascii="Times New Roman" w:hAnsi="Times New Roman" w:eastAsia="Times New Roman" w:cs="Times New Roman"/>
                <w:spacing w:val="25"/>
                <w:sz w:val="20"/>
                <w:szCs w:val="20"/>
              </w:rPr>
              <w:t xml:space="preserve"> </w:t>
            </w:r>
            <w:r>
              <w:rPr>
                <w:spacing w:val="11"/>
                <w:sz w:val="20"/>
                <w:szCs w:val="20"/>
              </w:rPr>
              <w:t>防范环境风险，严格坎儿井、地表水型水源地上游和地下水型水源地集水区高</w:t>
            </w:r>
            <w:r>
              <w:rPr>
                <w:spacing w:val="10"/>
                <w:sz w:val="20"/>
                <w:szCs w:val="20"/>
              </w:rPr>
              <w:t>污染、高风</w:t>
            </w:r>
            <w:r>
              <w:rPr>
                <w:sz w:val="20"/>
                <w:szCs w:val="20"/>
              </w:rPr>
              <w:t xml:space="preserve"> </w:t>
            </w:r>
            <w:r>
              <w:rPr>
                <w:spacing w:val="6"/>
                <w:sz w:val="20"/>
                <w:szCs w:val="20"/>
              </w:rPr>
              <w:t>险行业环境准入。</w:t>
            </w:r>
          </w:p>
          <w:p w14:paraId="3BC16A2F">
            <w:pPr>
              <w:pStyle w:val="15"/>
              <w:spacing w:before="73" w:line="262" w:lineRule="auto"/>
              <w:ind w:left="112" w:right="106" w:hanging="1"/>
              <w:rPr>
                <w:sz w:val="20"/>
                <w:szCs w:val="20"/>
              </w:rPr>
            </w:pPr>
            <w:r>
              <w:rPr>
                <w:rFonts w:ascii="Times New Roman" w:hAnsi="Times New Roman" w:eastAsia="Times New Roman" w:cs="Times New Roman"/>
                <w:spacing w:val="11"/>
                <w:sz w:val="20"/>
                <w:szCs w:val="20"/>
              </w:rPr>
              <w:t xml:space="preserve">3.4 </w:t>
            </w:r>
            <w:r>
              <w:rPr>
                <w:spacing w:val="11"/>
                <w:sz w:val="20"/>
                <w:szCs w:val="20"/>
              </w:rPr>
              <w:t>严格污染地块开发利用和流转审批。按照国家有关环境</w:t>
            </w:r>
            <w:r>
              <w:rPr>
                <w:rFonts w:hint="eastAsia"/>
                <w:spacing w:val="11"/>
                <w:sz w:val="20"/>
                <w:szCs w:val="20"/>
              </w:rPr>
              <w:t>标准</w:t>
            </w:r>
            <w:r>
              <w:rPr>
                <w:spacing w:val="11"/>
                <w:sz w:val="20"/>
                <w:szCs w:val="20"/>
              </w:rPr>
              <w:t>和技术规范，编制风险管控方</w:t>
            </w:r>
            <w:r>
              <w:rPr>
                <w:spacing w:val="9"/>
                <w:sz w:val="20"/>
                <w:szCs w:val="20"/>
              </w:rPr>
              <w:t xml:space="preserve"> </w:t>
            </w:r>
            <w:r>
              <w:rPr>
                <w:spacing w:val="-1"/>
                <w:sz w:val="20"/>
                <w:szCs w:val="20"/>
              </w:rPr>
              <w:t>案。</w:t>
            </w:r>
          </w:p>
        </w:tc>
        <w:tc>
          <w:tcPr>
            <w:tcW w:w="1243" w:type="pct"/>
            <w:tcBorders>
              <w:tl2br w:val="nil"/>
              <w:tr2bl w:val="nil"/>
            </w:tcBorders>
            <w:vAlign w:val="top"/>
          </w:tcPr>
          <w:p w14:paraId="6E3DF4D2">
            <w:pPr>
              <w:pStyle w:val="15"/>
              <w:spacing w:before="79" w:line="286" w:lineRule="auto"/>
              <w:ind w:left="113" w:right="104" w:firstLine="1"/>
              <w:jc w:val="both"/>
              <w:rPr>
                <w:sz w:val="20"/>
                <w:szCs w:val="20"/>
              </w:rPr>
            </w:pPr>
          </w:p>
        </w:tc>
        <w:tc>
          <w:tcPr>
            <w:tcW w:w="354" w:type="pct"/>
            <w:tcBorders>
              <w:tl2br w:val="nil"/>
              <w:tr2bl w:val="nil"/>
            </w:tcBorders>
            <w:vAlign w:val="top"/>
          </w:tcPr>
          <w:p w14:paraId="0EC6939E">
            <w:pPr>
              <w:rPr>
                <w:rFonts w:ascii="Arial"/>
                <w:sz w:val="21"/>
              </w:rPr>
            </w:pPr>
          </w:p>
        </w:tc>
      </w:tr>
      <w:tr w14:paraId="3DC18F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86" w:hRule="atLeast"/>
        </w:trPr>
        <w:tc>
          <w:tcPr>
            <w:tcW w:w="293" w:type="pct"/>
            <w:tcBorders>
              <w:tl2br w:val="nil"/>
              <w:tr2bl w:val="nil"/>
            </w:tcBorders>
            <w:vAlign w:val="top"/>
          </w:tcPr>
          <w:p w14:paraId="21C1EE9E">
            <w:pPr>
              <w:spacing w:line="267" w:lineRule="auto"/>
              <w:rPr>
                <w:rFonts w:ascii="Arial"/>
                <w:sz w:val="21"/>
              </w:rPr>
            </w:pPr>
          </w:p>
          <w:p w14:paraId="584DA4AA">
            <w:pPr>
              <w:spacing w:line="267" w:lineRule="auto"/>
              <w:rPr>
                <w:rFonts w:ascii="Arial"/>
                <w:sz w:val="21"/>
              </w:rPr>
            </w:pPr>
          </w:p>
          <w:p w14:paraId="56FE32D5">
            <w:pPr>
              <w:spacing w:line="267" w:lineRule="auto"/>
              <w:rPr>
                <w:rFonts w:ascii="Arial"/>
                <w:sz w:val="21"/>
              </w:rPr>
            </w:pPr>
          </w:p>
          <w:p w14:paraId="301792E5">
            <w:pPr>
              <w:spacing w:line="267" w:lineRule="auto"/>
              <w:rPr>
                <w:rFonts w:ascii="Arial"/>
                <w:sz w:val="21"/>
              </w:rPr>
            </w:pPr>
          </w:p>
          <w:p w14:paraId="005E00AB">
            <w:pPr>
              <w:spacing w:line="267" w:lineRule="auto"/>
              <w:rPr>
                <w:rFonts w:ascii="Arial"/>
                <w:sz w:val="21"/>
              </w:rPr>
            </w:pPr>
          </w:p>
          <w:p w14:paraId="2F904D91">
            <w:pPr>
              <w:spacing w:line="268" w:lineRule="auto"/>
              <w:rPr>
                <w:rFonts w:ascii="Arial"/>
                <w:sz w:val="21"/>
              </w:rPr>
            </w:pPr>
          </w:p>
          <w:p w14:paraId="750C654E">
            <w:pPr>
              <w:pStyle w:val="15"/>
              <w:spacing w:before="65" w:line="319" w:lineRule="exact"/>
              <w:ind w:left="222"/>
              <w:rPr>
                <w:sz w:val="20"/>
                <w:szCs w:val="20"/>
              </w:rPr>
            </w:pPr>
            <w:r>
              <w:rPr>
                <w:position w:val="8"/>
                <w:sz w:val="20"/>
                <w:szCs w:val="20"/>
              </w:rPr>
              <w:t>资源</w:t>
            </w:r>
          </w:p>
          <w:p w14:paraId="4BC3B795">
            <w:pPr>
              <w:pStyle w:val="15"/>
              <w:spacing w:line="228" w:lineRule="auto"/>
              <w:ind w:left="214"/>
              <w:rPr>
                <w:sz w:val="20"/>
                <w:szCs w:val="20"/>
              </w:rPr>
            </w:pPr>
            <w:r>
              <w:rPr>
                <w:spacing w:val="4"/>
                <w:sz w:val="20"/>
                <w:szCs w:val="20"/>
              </w:rPr>
              <w:t>开发</w:t>
            </w:r>
          </w:p>
          <w:p w14:paraId="6AB69A36">
            <w:pPr>
              <w:pStyle w:val="15"/>
              <w:spacing w:before="74" w:line="229" w:lineRule="auto"/>
              <w:ind w:left="214"/>
              <w:rPr>
                <w:sz w:val="20"/>
                <w:szCs w:val="20"/>
              </w:rPr>
            </w:pPr>
            <w:r>
              <w:rPr>
                <w:spacing w:val="4"/>
                <w:sz w:val="20"/>
                <w:szCs w:val="20"/>
              </w:rPr>
              <w:t>利用</w:t>
            </w:r>
          </w:p>
          <w:p w14:paraId="6F425B12">
            <w:pPr>
              <w:pStyle w:val="15"/>
              <w:spacing w:before="70" w:line="228" w:lineRule="auto"/>
              <w:ind w:left="218"/>
              <w:rPr>
                <w:sz w:val="20"/>
                <w:szCs w:val="20"/>
              </w:rPr>
            </w:pPr>
            <w:r>
              <w:rPr>
                <w:spacing w:val="2"/>
                <w:sz w:val="20"/>
                <w:szCs w:val="20"/>
              </w:rPr>
              <w:t>效率</w:t>
            </w:r>
          </w:p>
        </w:tc>
        <w:tc>
          <w:tcPr>
            <w:tcW w:w="3107" w:type="pct"/>
            <w:tcBorders>
              <w:tl2br w:val="nil"/>
              <w:tr2bl w:val="nil"/>
            </w:tcBorders>
            <w:vAlign w:val="top"/>
          </w:tcPr>
          <w:p w14:paraId="52F4410A">
            <w:pPr>
              <w:pStyle w:val="15"/>
              <w:spacing w:before="77" w:line="262" w:lineRule="auto"/>
              <w:ind w:left="114" w:right="106" w:hanging="8"/>
              <w:rPr>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0"/>
                <w:sz w:val="20"/>
                <w:szCs w:val="20"/>
              </w:rPr>
              <w:t xml:space="preserve">1 </w:t>
            </w:r>
            <w:r>
              <w:rPr>
                <w:spacing w:val="10"/>
                <w:sz w:val="20"/>
                <w:szCs w:val="20"/>
              </w:rPr>
              <w:t>严格执行自治区总体准入要求、</w:t>
            </w:r>
            <w:r>
              <w:rPr>
                <w:spacing w:val="-49"/>
                <w:sz w:val="20"/>
                <w:szCs w:val="20"/>
              </w:rPr>
              <w:t xml:space="preserve"> </w:t>
            </w:r>
            <w:r>
              <w:rPr>
                <w:spacing w:val="10"/>
                <w:sz w:val="20"/>
                <w:szCs w:val="20"/>
              </w:rPr>
              <w:t>自治区七大片</w:t>
            </w:r>
            <w:r>
              <w:rPr>
                <w:spacing w:val="9"/>
                <w:sz w:val="20"/>
                <w:szCs w:val="20"/>
              </w:rPr>
              <w:t>区分区总体要求以及吐哈片区管控要求中关</w:t>
            </w:r>
            <w:r>
              <w:rPr>
                <w:sz w:val="20"/>
                <w:szCs w:val="20"/>
              </w:rPr>
              <w:t xml:space="preserve"> </w:t>
            </w:r>
            <w:r>
              <w:rPr>
                <w:spacing w:val="5"/>
                <w:sz w:val="20"/>
                <w:szCs w:val="20"/>
              </w:rPr>
              <w:t>于</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spacing w:val="5"/>
                <w:sz w:val="20"/>
                <w:szCs w:val="20"/>
              </w:rPr>
              <w:t>资源开发利用效率</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4"/>
                <w:sz w:val="20"/>
                <w:szCs w:val="20"/>
              </w:rPr>
              <w:t xml:space="preserve"> </w:t>
            </w:r>
            <w:r>
              <w:rPr>
                <w:spacing w:val="5"/>
                <w:sz w:val="20"/>
                <w:szCs w:val="20"/>
              </w:rPr>
              <w:t>的各项要求。</w:t>
            </w:r>
          </w:p>
          <w:p w14:paraId="453DAEC4">
            <w:pPr>
              <w:pStyle w:val="15"/>
              <w:spacing w:before="72" w:line="273" w:lineRule="auto"/>
              <w:ind w:left="111" w:right="105" w:hanging="5"/>
              <w:rPr>
                <w:sz w:val="20"/>
                <w:szCs w:val="20"/>
              </w:rPr>
            </w:pPr>
            <w:r>
              <w:rPr>
                <w:rFonts w:ascii="Times New Roman" w:hAnsi="Times New Roman" w:eastAsia="Times New Roman" w:cs="Times New Roman"/>
                <w:spacing w:val="1"/>
                <w:sz w:val="20"/>
                <w:szCs w:val="20"/>
              </w:rPr>
              <w:t>4.2</w:t>
            </w:r>
            <w:r>
              <w:rPr>
                <w:rFonts w:ascii="Times New Roman" w:hAnsi="Times New Roman" w:eastAsia="Times New Roman" w:cs="Times New Roman"/>
                <w:spacing w:val="15"/>
                <w:w w:val="101"/>
                <w:sz w:val="20"/>
                <w:szCs w:val="20"/>
              </w:rPr>
              <w:t xml:space="preserve"> </w:t>
            </w:r>
            <w:r>
              <w:rPr>
                <w:spacing w:val="1"/>
                <w:sz w:val="20"/>
                <w:szCs w:val="20"/>
              </w:rPr>
              <w:t>到</w:t>
            </w:r>
            <w:r>
              <w:rPr>
                <w:spacing w:val="-41"/>
                <w:sz w:val="20"/>
                <w:szCs w:val="20"/>
              </w:rPr>
              <w:t xml:space="preserve"> </w:t>
            </w:r>
            <w:r>
              <w:rPr>
                <w:rFonts w:ascii="Times New Roman" w:hAnsi="Times New Roman" w:eastAsia="Times New Roman" w:cs="Times New Roman"/>
                <w:spacing w:val="1"/>
                <w:sz w:val="20"/>
                <w:szCs w:val="20"/>
              </w:rPr>
              <w:t>2025</w:t>
            </w:r>
            <w:r>
              <w:rPr>
                <w:rFonts w:ascii="Times New Roman" w:hAnsi="Times New Roman" w:eastAsia="Times New Roman" w:cs="Times New Roman"/>
                <w:spacing w:val="13"/>
                <w:w w:val="101"/>
                <w:sz w:val="20"/>
                <w:szCs w:val="20"/>
              </w:rPr>
              <w:t xml:space="preserve"> </w:t>
            </w:r>
            <w:r>
              <w:rPr>
                <w:spacing w:val="1"/>
                <w:sz w:val="20"/>
                <w:szCs w:val="20"/>
              </w:rPr>
              <w:t>年，全市年用水总量为</w:t>
            </w:r>
            <w:r>
              <w:rPr>
                <w:spacing w:val="-21"/>
                <w:sz w:val="20"/>
                <w:szCs w:val="20"/>
              </w:rPr>
              <w:t xml:space="preserve"> </w:t>
            </w:r>
            <w:r>
              <w:rPr>
                <w:rFonts w:ascii="Times New Roman" w:hAnsi="Times New Roman" w:eastAsia="Times New Roman" w:cs="Times New Roman"/>
                <w:spacing w:val="1"/>
                <w:sz w:val="20"/>
                <w:szCs w:val="20"/>
              </w:rPr>
              <w:t>11.2</w:t>
            </w:r>
            <w:r>
              <w:rPr>
                <w:rFonts w:ascii="Times New Roman" w:hAnsi="Times New Roman" w:eastAsia="Times New Roman" w:cs="Times New Roman"/>
                <w:sz w:val="20"/>
                <w:szCs w:val="20"/>
              </w:rPr>
              <w:t xml:space="preserve"> </w:t>
            </w:r>
            <w:r>
              <w:rPr>
                <w:sz w:val="20"/>
                <w:szCs w:val="20"/>
              </w:rPr>
              <w:t>亿立方米；到</w:t>
            </w:r>
            <w:r>
              <w:rPr>
                <w:spacing w:val="-43"/>
                <w:sz w:val="20"/>
                <w:szCs w:val="20"/>
              </w:rPr>
              <w:t xml:space="preserve"> </w:t>
            </w:r>
            <w:r>
              <w:rPr>
                <w:rFonts w:ascii="Times New Roman" w:hAnsi="Times New Roman" w:eastAsia="Times New Roman" w:cs="Times New Roman"/>
                <w:sz w:val="20"/>
                <w:szCs w:val="20"/>
              </w:rPr>
              <w:t>2030</w:t>
            </w:r>
            <w:r>
              <w:rPr>
                <w:rFonts w:ascii="Times New Roman" w:hAnsi="Times New Roman" w:eastAsia="Times New Roman" w:cs="Times New Roman"/>
                <w:spacing w:val="13"/>
                <w:sz w:val="20"/>
                <w:szCs w:val="20"/>
              </w:rPr>
              <w:t xml:space="preserve"> </w:t>
            </w:r>
            <w:r>
              <w:rPr>
                <w:sz w:val="20"/>
                <w:szCs w:val="20"/>
              </w:rPr>
              <w:t>年，全市年用水总量控制指标为</w:t>
            </w:r>
            <w:r>
              <w:rPr>
                <w:spacing w:val="-21"/>
                <w:sz w:val="20"/>
                <w:szCs w:val="20"/>
              </w:rPr>
              <w:t xml:space="preserve"> </w:t>
            </w:r>
            <w:r>
              <w:rPr>
                <w:rFonts w:ascii="Times New Roman" w:hAnsi="Times New Roman" w:eastAsia="Times New Roman" w:cs="Times New Roman"/>
                <w:sz w:val="20"/>
                <w:szCs w:val="20"/>
              </w:rPr>
              <w:t xml:space="preserve">10.44 </w:t>
            </w:r>
            <w:r>
              <w:rPr>
                <w:spacing w:val="9"/>
                <w:sz w:val="20"/>
                <w:szCs w:val="20"/>
              </w:rPr>
              <w:t>亿立方米。到</w:t>
            </w:r>
            <w:r>
              <w:rPr>
                <w:spacing w:val="-41"/>
                <w:sz w:val="20"/>
                <w:szCs w:val="20"/>
              </w:rPr>
              <w:t xml:space="preserve"> </w:t>
            </w:r>
            <w:r>
              <w:rPr>
                <w:rFonts w:ascii="Times New Roman" w:hAnsi="Times New Roman" w:eastAsia="Times New Roman" w:cs="Times New Roman"/>
                <w:spacing w:val="9"/>
                <w:sz w:val="20"/>
                <w:szCs w:val="20"/>
              </w:rPr>
              <w:t xml:space="preserve">2025 </w:t>
            </w:r>
            <w:r>
              <w:rPr>
                <w:spacing w:val="9"/>
                <w:sz w:val="20"/>
                <w:szCs w:val="20"/>
              </w:rPr>
              <w:t>年底前，力争城镇污水处理率达到</w:t>
            </w:r>
            <w:r>
              <w:rPr>
                <w:spacing w:val="-36"/>
                <w:sz w:val="20"/>
                <w:szCs w:val="20"/>
              </w:rPr>
              <w:t xml:space="preserve"> </w:t>
            </w:r>
            <w:r>
              <w:rPr>
                <w:rFonts w:ascii="Times New Roman" w:hAnsi="Times New Roman" w:eastAsia="Times New Roman" w:cs="Times New Roman"/>
                <w:spacing w:val="9"/>
                <w:sz w:val="20"/>
                <w:szCs w:val="20"/>
              </w:rPr>
              <w:t>98%</w:t>
            </w:r>
            <w:r>
              <w:rPr>
                <w:rFonts w:ascii="Times New Roman" w:hAnsi="Times New Roman" w:eastAsia="Times New Roman" w:cs="Times New Roman"/>
                <w:spacing w:val="-24"/>
                <w:sz w:val="20"/>
                <w:szCs w:val="20"/>
              </w:rPr>
              <w:t xml:space="preserve"> </w:t>
            </w:r>
            <w:r>
              <w:rPr>
                <w:spacing w:val="9"/>
                <w:sz w:val="20"/>
                <w:szCs w:val="20"/>
              </w:rPr>
              <w:t>，再</w:t>
            </w:r>
            <w:r>
              <w:rPr>
                <w:spacing w:val="8"/>
                <w:sz w:val="20"/>
                <w:szCs w:val="20"/>
              </w:rPr>
              <w:t>生水利用率达到</w:t>
            </w:r>
            <w:r>
              <w:rPr>
                <w:spacing w:val="-42"/>
                <w:sz w:val="20"/>
                <w:szCs w:val="20"/>
              </w:rPr>
              <w:t xml:space="preserve"> </w:t>
            </w:r>
            <w:r>
              <w:rPr>
                <w:rFonts w:ascii="Times New Roman" w:hAnsi="Times New Roman" w:eastAsia="Times New Roman" w:cs="Times New Roman"/>
                <w:spacing w:val="8"/>
                <w:sz w:val="20"/>
                <w:szCs w:val="20"/>
              </w:rPr>
              <w:t>40%</w:t>
            </w:r>
            <w:r>
              <w:rPr>
                <w:spacing w:val="8"/>
                <w:sz w:val="20"/>
                <w:szCs w:val="20"/>
              </w:rPr>
              <w:t>以上。水</w:t>
            </w:r>
            <w:r>
              <w:rPr>
                <w:sz w:val="20"/>
                <w:szCs w:val="20"/>
              </w:rPr>
              <w:t xml:space="preserve"> </w:t>
            </w:r>
            <w:r>
              <w:rPr>
                <w:spacing w:val="7"/>
                <w:sz w:val="20"/>
                <w:szCs w:val="20"/>
              </w:rPr>
              <w:t>利部门有调整更新时，</w:t>
            </w:r>
            <w:r>
              <w:rPr>
                <w:spacing w:val="-54"/>
                <w:sz w:val="20"/>
                <w:szCs w:val="20"/>
              </w:rPr>
              <w:t xml:space="preserve"> </w:t>
            </w:r>
            <w:r>
              <w:rPr>
                <w:spacing w:val="7"/>
                <w:sz w:val="20"/>
                <w:szCs w:val="20"/>
              </w:rPr>
              <w:t>以主管部门的最新成果为准。</w:t>
            </w:r>
          </w:p>
          <w:p w14:paraId="7459B0B3">
            <w:pPr>
              <w:pStyle w:val="15"/>
              <w:spacing w:before="70" w:line="282" w:lineRule="auto"/>
              <w:ind w:left="110" w:right="104" w:hanging="4"/>
              <w:rPr>
                <w:sz w:val="20"/>
                <w:szCs w:val="20"/>
              </w:rPr>
            </w:pPr>
            <w:r>
              <w:rPr>
                <w:rFonts w:ascii="Times New Roman" w:hAnsi="Times New Roman" w:eastAsia="Times New Roman" w:cs="Times New Roman"/>
                <w:spacing w:val="11"/>
                <w:sz w:val="20"/>
                <w:szCs w:val="20"/>
              </w:rPr>
              <w:t xml:space="preserve">4.3 </w:t>
            </w:r>
            <w:r>
              <w:rPr>
                <w:spacing w:val="11"/>
                <w:sz w:val="20"/>
                <w:szCs w:val="20"/>
              </w:rPr>
              <w:t>严控地下水超采。严格机电井管理，限期关闭公共供水管网覆盖范围内的自备水井，坚决</w:t>
            </w:r>
            <w:r>
              <w:rPr>
                <w:spacing w:val="14"/>
                <w:sz w:val="20"/>
                <w:szCs w:val="20"/>
              </w:rPr>
              <w:t xml:space="preserve"> </w:t>
            </w:r>
            <w:r>
              <w:rPr>
                <w:spacing w:val="11"/>
                <w:sz w:val="20"/>
                <w:szCs w:val="20"/>
              </w:rPr>
              <w:t>拆除非法取水设施。积极做好坎儿井保护工作。至</w:t>
            </w:r>
            <w:r>
              <w:rPr>
                <w:spacing w:val="-38"/>
                <w:sz w:val="20"/>
                <w:szCs w:val="20"/>
              </w:rPr>
              <w:t xml:space="preserve"> </w:t>
            </w:r>
            <w:r>
              <w:rPr>
                <w:rFonts w:ascii="Times New Roman" w:hAnsi="Times New Roman" w:eastAsia="Times New Roman" w:cs="Times New Roman"/>
                <w:spacing w:val="11"/>
                <w:sz w:val="20"/>
                <w:szCs w:val="20"/>
              </w:rPr>
              <w:t xml:space="preserve">2025 </w:t>
            </w:r>
            <w:r>
              <w:rPr>
                <w:spacing w:val="11"/>
                <w:sz w:val="20"/>
                <w:szCs w:val="20"/>
              </w:rPr>
              <w:t>年，吐鲁番和鄯善的大型超采</w:t>
            </w:r>
            <w:r>
              <w:rPr>
                <w:spacing w:val="10"/>
                <w:sz w:val="20"/>
                <w:szCs w:val="20"/>
              </w:rPr>
              <w:t>区变为</w:t>
            </w:r>
            <w:r>
              <w:rPr>
                <w:sz w:val="20"/>
                <w:szCs w:val="20"/>
              </w:rPr>
              <w:t xml:space="preserve"> </w:t>
            </w:r>
            <w:r>
              <w:rPr>
                <w:spacing w:val="10"/>
                <w:sz w:val="20"/>
                <w:szCs w:val="20"/>
              </w:rPr>
              <w:t>中型超采区。超采区面积要大幅减少（也即地下水位呈下降趋势</w:t>
            </w:r>
            <w:r>
              <w:rPr>
                <w:spacing w:val="9"/>
                <w:sz w:val="20"/>
                <w:szCs w:val="20"/>
              </w:rPr>
              <w:t>的检测井数量要大幅减少</w:t>
            </w:r>
            <w:r>
              <w:rPr>
                <w:spacing w:val="3"/>
                <w:sz w:val="20"/>
                <w:szCs w:val="20"/>
              </w:rPr>
              <w:t>），</w:t>
            </w:r>
            <w:r>
              <w:rPr>
                <w:sz w:val="20"/>
                <w:szCs w:val="20"/>
              </w:rPr>
              <w:t xml:space="preserve"> </w:t>
            </w:r>
            <w:r>
              <w:rPr>
                <w:spacing w:val="10"/>
                <w:sz w:val="20"/>
                <w:szCs w:val="20"/>
              </w:rPr>
              <w:t>且地下水位下降速率要控制在</w:t>
            </w:r>
            <w:r>
              <w:rPr>
                <w:spacing w:val="-38"/>
                <w:sz w:val="20"/>
                <w:szCs w:val="20"/>
              </w:rPr>
              <w:t xml:space="preserve"> </w:t>
            </w:r>
            <w:r>
              <w:rPr>
                <w:rFonts w:ascii="Times New Roman" w:hAnsi="Times New Roman" w:eastAsia="Times New Roman" w:cs="Times New Roman"/>
                <w:spacing w:val="10"/>
                <w:sz w:val="20"/>
                <w:szCs w:val="20"/>
              </w:rPr>
              <w:t xml:space="preserve">0.5 </w:t>
            </w:r>
            <w:r>
              <w:rPr>
                <w:spacing w:val="10"/>
                <w:sz w:val="20"/>
                <w:szCs w:val="20"/>
              </w:rPr>
              <w:t>米年</w:t>
            </w:r>
            <w:r>
              <w:rPr>
                <w:rFonts w:ascii="Times New Roman" w:hAnsi="Times New Roman" w:eastAsia="Times New Roman" w:cs="Times New Roman"/>
                <w:spacing w:val="10"/>
                <w:sz w:val="20"/>
                <w:szCs w:val="20"/>
              </w:rPr>
              <w:t>/</w:t>
            </w:r>
            <w:r>
              <w:rPr>
                <w:spacing w:val="10"/>
                <w:sz w:val="20"/>
                <w:szCs w:val="20"/>
              </w:rPr>
              <w:t>以内。至</w:t>
            </w:r>
            <w:r>
              <w:rPr>
                <w:spacing w:val="-38"/>
                <w:sz w:val="20"/>
                <w:szCs w:val="20"/>
              </w:rPr>
              <w:t xml:space="preserve"> </w:t>
            </w:r>
            <w:r>
              <w:rPr>
                <w:rFonts w:ascii="Times New Roman" w:hAnsi="Times New Roman" w:eastAsia="Times New Roman" w:cs="Times New Roman"/>
                <w:spacing w:val="10"/>
                <w:sz w:val="20"/>
                <w:szCs w:val="20"/>
              </w:rPr>
              <w:t xml:space="preserve">2030 </w:t>
            </w:r>
            <w:r>
              <w:rPr>
                <w:spacing w:val="10"/>
                <w:sz w:val="20"/>
                <w:szCs w:val="20"/>
              </w:rPr>
              <w:t>年，全部超采区地下水位基</w:t>
            </w:r>
            <w:r>
              <w:rPr>
                <w:spacing w:val="9"/>
                <w:sz w:val="20"/>
                <w:szCs w:val="20"/>
              </w:rPr>
              <w:t>本稳定（下</w:t>
            </w:r>
            <w:r>
              <w:rPr>
                <w:sz w:val="20"/>
                <w:szCs w:val="20"/>
              </w:rPr>
              <w:t xml:space="preserve"> </w:t>
            </w:r>
            <w:r>
              <w:rPr>
                <w:spacing w:val="6"/>
                <w:sz w:val="20"/>
                <w:szCs w:val="20"/>
              </w:rPr>
              <w:t>降速率为</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米</w:t>
            </w:r>
            <w:r>
              <w:rPr>
                <w:rFonts w:ascii="Times New Roman" w:hAnsi="Times New Roman" w:eastAsia="Times New Roman" w:cs="Times New Roman"/>
                <w:spacing w:val="6"/>
                <w:sz w:val="20"/>
                <w:szCs w:val="20"/>
              </w:rPr>
              <w:t>/</w:t>
            </w:r>
            <w:r>
              <w:rPr>
                <w:spacing w:val="6"/>
                <w:sz w:val="20"/>
                <w:szCs w:val="20"/>
              </w:rPr>
              <w:t>年）或呈上升趋势，全部达到采补平衡。</w:t>
            </w:r>
          </w:p>
          <w:p w14:paraId="6C2F3A6D">
            <w:pPr>
              <w:pStyle w:val="15"/>
              <w:spacing w:before="76" w:line="261" w:lineRule="auto"/>
              <w:ind w:left="111" w:right="106" w:hanging="5"/>
              <w:rPr>
                <w:sz w:val="20"/>
                <w:szCs w:val="20"/>
              </w:rPr>
            </w:pPr>
            <w:r>
              <w:rPr>
                <w:rFonts w:ascii="Times New Roman" w:hAnsi="Times New Roman" w:eastAsia="Times New Roman" w:cs="Times New Roman"/>
                <w:spacing w:val="11"/>
                <w:sz w:val="20"/>
                <w:szCs w:val="20"/>
              </w:rPr>
              <w:t xml:space="preserve">4.4 </w:t>
            </w:r>
            <w:r>
              <w:rPr>
                <w:spacing w:val="11"/>
                <w:sz w:val="20"/>
                <w:szCs w:val="20"/>
              </w:rPr>
              <w:t>推进工业节水改造、推动高耗水行业节水增效、积极推行水循环梯级利用。杜绝建设不符</w:t>
            </w:r>
            <w:r>
              <w:rPr>
                <w:spacing w:val="14"/>
                <w:sz w:val="20"/>
                <w:szCs w:val="20"/>
              </w:rPr>
              <w:t xml:space="preserve"> </w:t>
            </w:r>
            <w:r>
              <w:rPr>
                <w:spacing w:val="9"/>
                <w:sz w:val="20"/>
                <w:szCs w:val="20"/>
              </w:rPr>
              <w:t>合产业政策、水资源节约保护要求的项目；严格控制新建、扩建、改建高耗水项目。</w:t>
            </w:r>
          </w:p>
          <w:p w14:paraId="74DCF67E">
            <w:pPr>
              <w:pStyle w:val="15"/>
              <w:spacing w:before="72" w:line="258" w:lineRule="auto"/>
              <w:ind w:left="109" w:right="106" w:hanging="3"/>
              <w:rPr>
                <w:sz w:val="20"/>
                <w:szCs w:val="20"/>
              </w:rPr>
            </w:pPr>
            <w:r>
              <w:rPr>
                <w:rFonts w:ascii="Times New Roman" w:hAnsi="Times New Roman" w:eastAsia="Times New Roman" w:cs="Times New Roman"/>
                <w:spacing w:val="11"/>
                <w:sz w:val="20"/>
                <w:szCs w:val="20"/>
              </w:rPr>
              <w:t xml:space="preserve">4.5 </w:t>
            </w:r>
            <w:r>
              <w:rPr>
                <w:spacing w:val="11"/>
                <w:sz w:val="20"/>
                <w:szCs w:val="20"/>
              </w:rPr>
              <w:t>加强煤炭安全绿色开发和清洁高效利用，推广使用优质煤、洁净型煤；严把耗煤新项目准</w:t>
            </w:r>
            <w:r>
              <w:rPr>
                <w:spacing w:val="14"/>
                <w:sz w:val="20"/>
                <w:szCs w:val="20"/>
              </w:rPr>
              <w:t xml:space="preserve"> </w:t>
            </w:r>
            <w:r>
              <w:rPr>
                <w:spacing w:val="9"/>
                <w:sz w:val="20"/>
                <w:szCs w:val="20"/>
              </w:rPr>
              <w:t>入关，新建煤炭消费项目实施煤炭总量控制。</w:t>
            </w:r>
          </w:p>
        </w:tc>
        <w:tc>
          <w:tcPr>
            <w:tcW w:w="1243" w:type="pct"/>
            <w:tcBorders>
              <w:tl2br w:val="nil"/>
              <w:tr2bl w:val="nil"/>
            </w:tcBorders>
            <w:vAlign w:val="top"/>
          </w:tcPr>
          <w:p w14:paraId="254BD838">
            <w:pPr>
              <w:rPr>
                <w:rFonts w:ascii="Arial"/>
                <w:sz w:val="21"/>
              </w:rPr>
            </w:pPr>
          </w:p>
          <w:p w14:paraId="5028B7C6">
            <w:pPr>
              <w:rPr>
                <w:rFonts w:ascii="Arial"/>
                <w:sz w:val="21"/>
              </w:rPr>
            </w:pPr>
          </w:p>
          <w:p w14:paraId="1E224660">
            <w:pPr>
              <w:spacing w:line="241" w:lineRule="auto"/>
              <w:rPr>
                <w:rFonts w:ascii="Arial"/>
                <w:sz w:val="21"/>
              </w:rPr>
            </w:pPr>
          </w:p>
          <w:p w14:paraId="6159FC51">
            <w:pPr>
              <w:spacing w:line="241" w:lineRule="auto"/>
              <w:rPr>
                <w:rFonts w:ascii="Arial"/>
                <w:sz w:val="21"/>
              </w:rPr>
            </w:pPr>
          </w:p>
          <w:p w14:paraId="45AD7095">
            <w:pPr>
              <w:spacing w:line="241" w:lineRule="auto"/>
              <w:rPr>
                <w:rFonts w:ascii="Arial"/>
                <w:sz w:val="21"/>
              </w:rPr>
            </w:pPr>
          </w:p>
          <w:p w14:paraId="65DEB382">
            <w:pPr>
              <w:spacing w:line="241" w:lineRule="auto"/>
              <w:rPr>
                <w:rFonts w:ascii="Arial"/>
                <w:sz w:val="21"/>
              </w:rPr>
            </w:pPr>
          </w:p>
          <w:p w14:paraId="324D0F39">
            <w:pPr>
              <w:pStyle w:val="15"/>
              <w:spacing w:before="65" w:line="282" w:lineRule="auto"/>
              <w:ind w:left="113" w:right="104" w:firstLine="2"/>
              <w:jc w:val="both"/>
              <w:rPr>
                <w:sz w:val="20"/>
                <w:szCs w:val="20"/>
              </w:rPr>
            </w:pPr>
            <w:r>
              <w:rPr>
                <w:spacing w:val="20"/>
                <w:sz w:val="20"/>
                <w:szCs w:val="20"/>
              </w:rPr>
              <w:t>本</w:t>
            </w:r>
            <w:r>
              <w:rPr>
                <w:rFonts w:hint="eastAsia"/>
                <w:spacing w:val="20"/>
                <w:sz w:val="20"/>
                <w:szCs w:val="20"/>
                <w:lang w:val="en-US" w:eastAsia="zh-CN"/>
              </w:rPr>
              <w:t>项目</w:t>
            </w:r>
            <w:r>
              <w:rPr>
                <w:spacing w:val="20"/>
                <w:sz w:val="20"/>
                <w:szCs w:val="20"/>
              </w:rPr>
              <w:t>通过区域水资源配</w:t>
            </w:r>
            <w:r>
              <w:rPr>
                <w:spacing w:val="6"/>
                <w:sz w:val="20"/>
                <w:szCs w:val="20"/>
              </w:rPr>
              <w:t>置，提高水资源利用效率、供水保证率和水资源的承载能力，可有效</w:t>
            </w:r>
            <w:r>
              <w:rPr>
                <w:rFonts w:hint="eastAsia"/>
                <w:spacing w:val="6"/>
                <w:sz w:val="20"/>
                <w:szCs w:val="20"/>
                <w:lang w:val="en-US" w:eastAsia="zh-CN"/>
              </w:rPr>
              <w:t>缓解</w:t>
            </w:r>
            <w:r>
              <w:rPr>
                <w:spacing w:val="6"/>
                <w:sz w:val="20"/>
                <w:szCs w:val="20"/>
              </w:rPr>
              <w:t>流域内地下水超采问</w:t>
            </w:r>
            <w:r>
              <w:rPr>
                <w:spacing w:val="7"/>
                <w:sz w:val="20"/>
                <w:szCs w:val="20"/>
              </w:rPr>
              <w:t>题和改善生态环境。</w:t>
            </w:r>
          </w:p>
        </w:tc>
        <w:tc>
          <w:tcPr>
            <w:tcW w:w="354" w:type="pct"/>
            <w:tcBorders>
              <w:tl2br w:val="nil"/>
              <w:tr2bl w:val="nil"/>
            </w:tcBorders>
            <w:vAlign w:val="top"/>
          </w:tcPr>
          <w:p w14:paraId="3712000A">
            <w:pPr>
              <w:spacing w:line="259" w:lineRule="auto"/>
              <w:rPr>
                <w:rFonts w:ascii="Arial"/>
                <w:sz w:val="21"/>
              </w:rPr>
            </w:pPr>
          </w:p>
          <w:p w14:paraId="47D0CC3C">
            <w:pPr>
              <w:spacing w:line="260" w:lineRule="auto"/>
              <w:rPr>
                <w:rFonts w:ascii="Arial"/>
                <w:sz w:val="21"/>
              </w:rPr>
            </w:pPr>
          </w:p>
          <w:p w14:paraId="6EA7137E">
            <w:pPr>
              <w:spacing w:line="260" w:lineRule="auto"/>
              <w:rPr>
                <w:rFonts w:ascii="Arial"/>
                <w:sz w:val="21"/>
              </w:rPr>
            </w:pPr>
          </w:p>
          <w:p w14:paraId="4BF60A0B">
            <w:pPr>
              <w:spacing w:line="260" w:lineRule="auto"/>
              <w:rPr>
                <w:rFonts w:ascii="Arial"/>
                <w:sz w:val="21"/>
              </w:rPr>
            </w:pPr>
          </w:p>
          <w:p w14:paraId="2E908414">
            <w:pPr>
              <w:spacing w:line="260" w:lineRule="auto"/>
              <w:rPr>
                <w:rFonts w:ascii="Arial"/>
                <w:sz w:val="21"/>
              </w:rPr>
            </w:pPr>
          </w:p>
          <w:p w14:paraId="0A5F492C">
            <w:pPr>
              <w:spacing w:line="260" w:lineRule="auto"/>
              <w:rPr>
                <w:rFonts w:ascii="Arial"/>
                <w:sz w:val="21"/>
              </w:rPr>
            </w:pPr>
          </w:p>
          <w:p w14:paraId="16DF875F">
            <w:pPr>
              <w:spacing w:line="260" w:lineRule="auto"/>
              <w:rPr>
                <w:rFonts w:ascii="Arial"/>
                <w:sz w:val="21"/>
              </w:rPr>
            </w:pPr>
          </w:p>
          <w:p w14:paraId="0CB24FBD">
            <w:pPr>
              <w:spacing w:line="260" w:lineRule="auto"/>
              <w:rPr>
                <w:rFonts w:ascii="Arial"/>
                <w:sz w:val="21"/>
              </w:rPr>
            </w:pPr>
          </w:p>
          <w:p w14:paraId="7753A318">
            <w:pPr>
              <w:pStyle w:val="15"/>
              <w:spacing w:before="65" w:line="228" w:lineRule="auto"/>
              <w:ind w:left="300"/>
              <w:rPr>
                <w:sz w:val="20"/>
                <w:szCs w:val="20"/>
              </w:rPr>
            </w:pPr>
            <w:r>
              <w:rPr>
                <w:spacing w:val="3"/>
                <w:sz w:val="20"/>
                <w:szCs w:val="20"/>
              </w:rPr>
              <w:t>符合</w:t>
            </w:r>
          </w:p>
        </w:tc>
      </w:tr>
    </w:tbl>
    <w:p w14:paraId="35306E7E">
      <w:pPr>
        <w:pStyle w:val="5"/>
      </w:pPr>
    </w:p>
    <w:p w14:paraId="33B2536D">
      <w:pPr>
        <w:pStyle w:val="4"/>
        <w:rPr>
          <w:sz w:val="24"/>
          <w:szCs w:val="24"/>
        </w:rPr>
      </w:pPr>
    </w:p>
    <w:p w14:paraId="5C8E1C43">
      <w:pPr>
        <w:pStyle w:val="5"/>
        <w:rPr>
          <w:rFonts w:hint="eastAsia"/>
          <w:lang w:eastAsia="zh-CN"/>
        </w:rPr>
        <w:sectPr>
          <w:pgSz w:w="16839" w:h="11905" w:orient="landscape"/>
          <w:pgMar w:top="1701" w:right="1151" w:bottom="1620" w:left="1120" w:header="882" w:footer="842" w:gutter="0"/>
          <w:pgBorders>
            <w:top w:val="none" w:sz="0" w:space="0"/>
            <w:left w:val="none" w:sz="0" w:space="0"/>
            <w:bottom w:val="none" w:sz="0" w:space="0"/>
            <w:right w:val="none" w:sz="0" w:space="0"/>
          </w:pgBorders>
          <w:pgNumType w:fmt="decimal"/>
          <w:cols w:space="720" w:num="1"/>
        </w:sectPr>
      </w:pPr>
    </w:p>
    <w:p w14:paraId="32752406">
      <w:pPr>
        <w:spacing w:before="218" w:line="219" w:lineRule="auto"/>
        <w:ind w:left="18"/>
        <w:outlineLvl w:val="3"/>
        <w:rPr>
          <w:rFonts w:ascii="宋体" w:hAnsi="宋体" w:eastAsia="宋体" w:cs="宋体"/>
          <w:b/>
          <w:bCs/>
          <w:sz w:val="24"/>
          <w:szCs w:val="24"/>
        </w:rPr>
      </w:pPr>
      <w:r>
        <w:rPr>
          <w:b/>
          <w:bCs/>
        </w:rPr>
        <w:fldChar w:fldCharType="begin"/>
      </w:r>
      <w:r>
        <w:rPr>
          <w:b/>
          <w:bCs/>
        </w:rPr>
        <w:instrText xml:space="preserve"> HYPERLINK "3.3.9.3"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3.3.</w:t>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7</w:t>
      </w:r>
      <w:r>
        <w:rPr>
          <w:rFonts w:ascii="宋体" w:hAnsi="宋体" w:eastAsia="宋体" w:cs="宋体"/>
          <w:b/>
          <w:bCs/>
          <w:spacing w:val="-1"/>
          <w:sz w:val="24"/>
          <w:szCs w:val="24"/>
          <w14:textOutline w14:w="4358" w14:cap="sq" w14:cmpd="sng">
            <w14:solidFill>
              <w14:srgbClr w14:val="000000"/>
            </w14:solidFill>
            <w14:prstDash w14:val="solid"/>
            <w14:bevel/>
          </w14:textOutline>
        </w:rPr>
        <w:t>.3</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生态环境准入清单符合性分析</w:t>
      </w:r>
    </w:p>
    <w:p w14:paraId="7520F18C">
      <w:pPr>
        <w:spacing w:before="180" w:line="360" w:lineRule="auto"/>
        <w:ind w:left="13" w:firstLine="479"/>
        <w:jc w:val="both"/>
        <w:rPr>
          <w:rFonts w:ascii="宋体" w:hAnsi="宋体" w:eastAsia="宋体" w:cs="宋体"/>
          <w:sz w:val="24"/>
          <w:szCs w:val="24"/>
        </w:rPr>
      </w:pPr>
      <w:r>
        <w:rPr>
          <w:rFonts w:ascii="宋体" w:hAnsi="宋体" w:eastAsia="宋体" w:cs="宋体"/>
          <w:spacing w:val="3"/>
          <w:sz w:val="24"/>
          <w:szCs w:val="24"/>
        </w:rPr>
        <w:t>对照《</w:t>
      </w:r>
      <w:r>
        <w:rPr>
          <w:rFonts w:hint="eastAsia" w:ascii="宋体" w:hAnsi="宋体" w:eastAsia="宋体" w:cs="宋体"/>
          <w:spacing w:val="3"/>
          <w:sz w:val="24"/>
          <w:szCs w:val="24"/>
          <w:lang w:eastAsia="zh-CN"/>
        </w:rPr>
        <w:t>吐鲁番市</w:t>
      </w:r>
      <w:r>
        <w:rPr>
          <w:rFonts w:ascii="宋体" w:hAnsi="宋体" w:eastAsia="宋体" w:cs="宋体"/>
          <w:spacing w:val="3"/>
          <w:sz w:val="24"/>
          <w:szCs w:val="24"/>
        </w:rPr>
        <w:t>生态环境准入清单》对管控要</w:t>
      </w:r>
      <w:r>
        <w:rPr>
          <w:rFonts w:ascii="宋体" w:hAnsi="宋体" w:eastAsia="宋体" w:cs="宋体"/>
          <w:spacing w:val="2"/>
          <w:sz w:val="24"/>
          <w:szCs w:val="24"/>
        </w:rPr>
        <w:t>求，建设项目与生</w:t>
      </w:r>
      <w:r>
        <w:rPr>
          <w:rFonts w:ascii="宋体" w:hAnsi="宋体" w:eastAsia="宋体" w:cs="宋体"/>
          <w:spacing w:val="-3"/>
          <w:sz w:val="24"/>
          <w:szCs w:val="24"/>
        </w:rPr>
        <w:t>态环境准入清单符合性分析见表</w:t>
      </w:r>
      <w:r>
        <w:rPr>
          <w:rFonts w:ascii="宋体" w:hAnsi="宋体" w:eastAsia="宋体" w:cs="宋体"/>
          <w:spacing w:val="-34"/>
          <w:sz w:val="24"/>
          <w:szCs w:val="24"/>
        </w:rPr>
        <w:t xml:space="preserve"> </w:t>
      </w:r>
      <w:r>
        <w:rPr>
          <w:rFonts w:ascii="宋体" w:hAnsi="宋体" w:eastAsia="宋体" w:cs="宋体"/>
          <w:spacing w:val="-3"/>
          <w:sz w:val="24"/>
          <w:szCs w:val="24"/>
        </w:rPr>
        <w:t>3-3-4，根据分析结果可知，本工程符合《</w:t>
      </w:r>
      <w:r>
        <w:rPr>
          <w:rFonts w:hint="eastAsia" w:ascii="宋体" w:hAnsi="宋体" w:eastAsia="宋体" w:cs="宋体"/>
          <w:spacing w:val="-3"/>
          <w:sz w:val="24"/>
          <w:szCs w:val="24"/>
          <w:lang w:eastAsia="zh-CN"/>
        </w:rPr>
        <w:t>吐鲁番市</w:t>
      </w:r>
      <w:r>
        <w:rPr>
          <w:rFonts w:ascii="宋体" w:hAnsi="宋体" w:eastAsia="宋体" w:cs="宋体"/>
          <w:spacing w:val="-1"/>
          <w:sz w:val="24"/>
          <w:szCs w:val="24"/>
        </w:rPr>
        <w:t>生态环境准入清单》的要求。</w:t>
      </w:r>
    </w:p>
    <w:p w14:paraId="6CD883D1">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bookmarkStart w:id="19" w:name="bookmark20"/>
      <w:bookmarkEnd w:id="19"/>
      <w:bookmarkStart w:id="20" w:name="bookmark19"/>
      <w:bookmarkEnd w:id="20"/>
    </w:p>
    <w:p w14:paraId="296954A3">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D514A3A">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271E5943">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3AE0A3C2">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0D2454A1">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0EFF9325">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2AC2E7A4">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0E634D6B">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549F7E3F">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57ACD51">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2733ACC9">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C82D2B2">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7231C097">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7DDBCCA7">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AD36A50">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4364F6C">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730B1B6D">
      <w:pPr>
        <w:spacing w:before="314" w:line="223" w:lineRule="auto"/>
        <w:ind w:left="11"/>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5ED3DE16">
      <w:pPr>
        <w:spacing w:before="314" w:line="223" w:lineRule="auto"/>
        <w:ind w:left="11"/>
        <w:outlineLvl w:val="0"/>
        <w:rPr>
          <w:rFonts w:hint="eastAsia" w:ascii="黑体" w:hAnsi="黑体" w:eastAsia="黑体" w:cs="黑体"/>
          <w:sz w:val="32"/>
          <w:szCs w:val="32"/>
        </w:rPr>
      </w:pPr>
      <w:r>
        <w:rPr>
          <w:rFonts w:hint="eastAsia" w:ascii="黑体" w:hAnsi="黑体" w:eastAsia="黑体" w:cs="黑体"/>
          <w:spacing w:val="8"/>
          <w:sz w:val="32"/>
          <w:szCs w:val="32"/>
          <w14:textOutline w14:w="5793" w14:cap="sq" w14:cmpd="sng">
            <w14:solidFill>
              <w14:srgbClr w14:val="000000"/>
            </w14:solidFill>
            <w14:prstDash w14:val="solid"/>
            <w14:bevel/>
          </w14:textOutline>
        </w:rPr>
        <w:t>4</w:t>
      </w:r>
      <w:r>
        <w:rPr>
          <w:rFonts w:hint="eastAsia" w:ascii="黑体" w:hAnsi="黑体" w:eastAsia="黑体" w:cs="黑体"/>
          <w:spacing w:val="8"/>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8"/>
          <w:sz w:val="32"/>
          <w:szCs w:val="32"/>
          <w14:textOutline w14:w="5793" w14:cap="sq" w14:cmpd="sng">
            <w14:solidFill>
              <w14:srgbClr w14:val="000000"/>
            </w14:solidFill>
            <w14:prstDash w14:val="solid"/>
            <w14:bevel/>
          </w14:textOutline>
        </w:rPr>
        <w:t>环境现状调查与评价</w:t>
      </w:r>
    </w:p>
    <w:p w14:paraId="1F58F4B0">
      <w:pPr>
        <w:spacing w:before="244" w:line="219" w:lineRule="auto"/>
        <w:ind w:left="10"/>
        <w:outlineLvl w:val="1"/>
        <w:rPr>
          <w:rFonts w:ascii="宋体" w:hAnsi="宋体" w:eastAsia="宋体" w:cs="宋体"/>
          <w:sz w:val="30"/>
          <w:szCs w:val="30"/>
        </w:rPr>
      </w:pPr>
      <w:r>
        <w:rPr>
          <w:rFonts w:hint="eastAsia" w:ascii="黑体" w:hAnsi="黑体" w:eastAsia="黑体" w:cs="黑体"/>
          <w:spacing w:val="-7"/>
          <w:sz w:val="30"/>
          <w:szCs w:val="30"/>
          <w14:textOutline w14:w="5448" w14:cap="sq" w14:cmpd="sng">
            <w14:solidFill>
              <w14:srgbClr w14:val="000000"/>
            </w14:solidFill>
            <w14:prstDash w14:val="solid"/>
            <w14:bevel/>
          </w14:textOutline>
        </w:rPr>
        <w:t>4.1</w:t>
      </w:r>
      <w:r>
        <w:rPr>
          <w:rFonts w:hint="eastAsia" w:ascii="黑体" w:hAnsi="黑体" w:eastAsia="黑体" w:cs="黑体"/>
          <w:spacing w:val="-7"/>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7"/>
          <w:sz w:val="30"/>
          <w:szCs w:val="30"/>
          <w14:textOutline w14:w="5448" w14:cap="sq" w14:cmpd="sng">
            <w14:solidFill>
              <w14:srgbClr w14:val="000000"/>
            </w14:solidFill>
            <w14:prstDash w14:val="solid"/>
            <w14:bevel/>
          </w14:textOutline>
        </w:rPr>
        <w:t>自然环境概</w:t>
      </w:r>
      <w:r>
        <w:rPr>
          <w:rFonts w:ascii="宋体" w:hAnsi="宋体" w:eastAsia="宋体" w:cs="宋体"/>
          <w:spacing w:val="-7"/>
          <w:sz w:val="30"/>
          <w:szCs w:val="30"/>
          <w14:textOutline w14:w="5448" w14:cap="sq" w14:cmpd="sng">
            <w14:solidFill>
              <w14:srgbClr w14:val="000000"/>
            </w14:solidFill>
            <w14:prstDash w14:val="solid"/>
            <w14:bevel/>
          </w14:textOutline>
        </w:rPr>
        <w:t>况</w:t>
      </w:r>
    </w:p>
    <w:p w14:paraId="7F38C8C1">
      <w:pPr>
        <w:spacing w:before="223" w:line="220" w:lineRule="auto"/>
        <w:ind w:left="10"/>
        <w:outlineLvl w:val="2"/>
        <w:rPr>
          <w:rFonts w:ascii="宋体" w:hAnsi="宋体" w:eastAsia="宋体" w:cs="宋体"/>
          <w:sz w:val="28"/>
          <w:szCs w:val="28"/>
        </w:rPr>
      </w:pPr>
      <w:r>
        <w:rPr>
          <w:rFonts w:ascii="宋体" w:hAnsi="宋体" w:eastAsia="宋体" w:cs="宋体"/>
          <w:b/>
          <w:bCs/>
          <w:spacing w:val="-3"/>
          <w:sz w:val="28"/>
          <w:szCs w:val="28"/>
          <w14:textOutline w14:w="5103" w14:cap="sq" w14:cmpd="sng">
            <w14:solidFill>
              <w14:srgbClr w14:val="000000"/>
            </w14:solidFill>
            <w14:prstDash w14:val="solid"/>
            <w14:bevel/>
          </w14:textOutline>
        </w:rPr>
        <w:t>4.1.1</w:t>
      </w:r>
      <w:r>
        <w:rPr>
          <w:rFonts w:hint="eastAsia" w:ascii="宋体" w:hAnsi="宋体" w:eastAsia="宋体" w:cs="宋体"/>
          <w:b/>
          <w:bCs/>
          <w:spacing w:val="-3"/>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3"/>
          <w:sz w:val="28"/>
          <w:szCs w:val="28"/>
          <w14:textOutline w14:w="5103" w14:cap="sq" w14:cmpd="sng">
            <w14:solidFill>
              <w14:srgbClr w14:val="000000"/>
            </w14:solidFill>
            <w14:prstDash w14:val="solid"/>
            <w14:bevel/>
          </w14:textOutline>
        </w:rPr>
        <w:t>区域概况</w:t>
      </w:r>
    </w:p>
    <w:p w14:paraId="17E12435">
      <w:pPr>
        <w:keepNext w:val="0"/>
        <w:keepLines w:val="0"/>
        <w:pageBreakBefore w:val="0"/>
        <w:widowControl/>
        <w:kinsoku w:val="0"/>
        <w:wordWrap/>
        <w:overflowPunct/>
        <w:topLinePunct w:val="0"/>
        <w:autoSpaceDE w:val="0"/>
        <w:autoSpaceDN w:val="0"/>
        <w:bidi w:val="0"/>
        <w:adjustRightInd w:val="0"/>
        <w:snapToGrid w:val="0"/>
        <w:spacing w:line="360" w:lineRule="auto"/>
        <w:ind w:left="12" w:firstLine="476" w:firstLineChars="200"/>
        <w:jc w:val="both"/>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吐鲁番市位于天山博格达峰南麓，地处新疆维吾尔自治区中部偏东，东邻哈密地区，南连若羌、尉犁县，西与和硕、和静县接壤，北与乌鲁木齐、吉木萨尔、奇台、木垒等县毗邻。东西长约300km，南北长约240km，土地总面积69713km2，占全疆总面积的4.2%。高昌区城区距自治区首府乌鲁木齐市公路里程182千米。</w:t>
      </w:r>
    </w:p>
    <w:p w14:paraId="078CADEC">
      <w:pPr>
        <w:keepNext w:val="0"/>
        <w:keepLines w:val="0"/>
        <w:pageBreakBefore w:val="0"/>
        <w:widowControl/>
        <w:kinsoku w:val="0"/>
        <w:wordWrap/>
        <w:overflowPunct/>
        <w:topLinePunct w:val="0"/>
        <w:autoSpaceDE w:val="0"/>
        <w:autoSpaceDN w:val="0"/>
        <w:bidi w:val="0"/>
        <w:adjustRightInd w:val="0"/>
        <w:snapToGrid w:val="0"/>
        <w:spacing w:line="360" w:lineRule="auto"/>
        <w:ind w:left="12" w:firstLine="476" w:firstLineChars="200"/>
        <w:jc w:val="both"/>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艾丁湖位于位于吐鲁番市高昌区市区南 50 公里的恰特卡勒乡境内、觉洛塔格山北麓。吐鲁番盆地水系的尾闾和最后归宿地，湖面低于海平面 155 米。艾丁湖是仅次于约旦死海（-391 米）的世界第二低地。艾丁湖维吾尔语意为“月光湖”，以湖水似月光般皎洁美丽而得名，又称“觉洛浣”、“艾丁库勒”和“月光湖”，与火焰山、葡萄沟并称为吐鲁番的三大自然景观。</w:t>
      </w:r>
    </w:p>
    <w:p w14:paraId="437BC82A">
      <w:pPr>
        <w:pStyle w:val="3"/>
        <w:jc w:val="center"/>
      </w:pPr>
      <w:r>
        <w:drawing>
          <wp:inline distT="0" distB="0" distL="114300" distR="114300">
            <wp:extent cx="5574665" cy="3841115"/>
            <wp:effectExtent l="12700" t="12700" r="1333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574665" cy="3841115"/>
                    </a:xfrm>
                    <a:prstGeom prst="rect">
                      <a:avLst/>
                    </a:prstGeom>
                    <a:noFill/>
                    <a:ln w="12700" cmpd="sng">
                      <a:solidFill>
                        <a:schemeClr val="tx1"/>
                      </a:solidFill>
                      <a:prstDash val="solid"/>
                    </a:ln>
                  </pic:spPr>
                </pic:pic>
              </a:graphicData>
            </a:graphic>
          </wp:inline>
        </w:drawing>
      </w:r>
    </w:p>
    <w:p w14:paraId="7B568E04">
      <w:pPr>
        <w:pStyle w:val="3"/>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eastAsia="宋体"/>
          <w:b/>
          <w:bCs/>
          <w:sz w:val="24"/>
          <w:szCs w:val="24"/>
          <w:lang w:val="en-US" w:eastAsia="zh-CN"/>
        </w:rPr>
      </w:pPr>
      <w:r>
        <w:rPr>
          <w:rFonts w:hint="eastAsia" w:eastAsia="宋体"/>
          <w:b/>
          <w:bCs/>
          <w:sz w:val="24"/>
          <w:szCs w:val="24"/>
          <w:lang w:val="en-US" w:eastAsia="zh-CN"/>
        </w:rPr>
        <w:t>图4-1-1  艾丁湖生态区位置示意图</w:t>
      </w:r>
    </w:p>
    <w:p w14:paraId="6C43ECB8">
      <w:pPr>
        <w:pStyle w:val="3"/>
        <w:rPr>
          <w:rFonts w:hint="eastAsia" w:ascii="宋体" w:hAnsi="宋体" w:eastAsia="宋体" w:cs="宋体"/>
          <w:spacing w:val="-1"/>
          <w:sz w:val="24"/>
          <w:szCs w:val="24"/>
          <w14:textOutline w14:w="12700" w14:cmpd="sng">
            <w14:solidFill>
              <w14:schemeClr w14:val="tx1">
                <w14:alpha w14:val="0"/>
              </w14:schemeClr>
            </w14:solidFill>
            <w14:prstDash w14:val="solid"/>
            <w14:round/>
          </w14:textOutline>
        </w:rPr>
      </w:pPr>
    </w:p>
    <w:p w14:paraId="09374BC5">
      <w:pPr>
        <w:spacing w:before="92" w:line="219" w:lineRule="auto"/>
        <w:ind w:left="10"/>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4.1.2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地形、地貌</w:t>
      </w:r>
    </w:p>
    <w:p w14:paraId="6AF38510">
      <w:pPr>
        <w:spacing w:before="206" w:line="220" w:lineRule="auto"/>
        <w:ind w:left="8"/>
        <w:outlineLvl w:val="3"/>
        <w:rPr>
          <w:rFonts w:ascii="宋体" w:hAnsi="宋体" w:eastAsia="宋体" w:cs="宋体"/>
          <w:sz w:val="24"/>
          <w:szCs w:val="24"/>
        </w:rPr>
      </w:pPr>
      <w:r>
        <w:rPr>
          <w:b/>
          <w:bCs/>
        </w:rPr>
        <w:fldChar w:fldCharType="begin"/>
      </w:r>
      <w:r>
        <w:rPr>
          <w:b/>
          <w:bCs/>
        </w:rPr>
        <w:instrText xml:space="preserve"> HYPERLINK "4.1.2.1" </w:instrText>
      </w:r>
      <w:r>
        <w:rPr>
          <w:b/>
          <w:bCs/>
        </w:rPr>
        <w:fldChar w:fldCharType="separate"/>
      </w:r>
      <w:r>
        <w:rPr>
          <w:rFonts w:ascii="宋体" w:hAnsi="宋体" w:eastAsia="宋体" w:cs="宋体"/>
          <w:b/>
          <w:bCs/>
          <w:spacing w:val="-3"/>
          <w:sz w:val="24"/>
          <w:szCs w:val="24"/>
          <w14:textOutline w14:w="4358" w14:cap="sq" w14:cmpd="sng">
            <w14:solidFill>
              <w14:srgbClr w14:val="000000"/>
            </w14:solidFill>
            <w14:prstDash w14:val="solid"/>
            <w14:bevel/>
          </w14:textOutline>
        </w:rPr>
        <w:t>4.1.2.1</w:t>
      </w:r>
      <w:r>
        <w:rPr>
          <w:rFonts w:ascii="宋体" w:hAnsi="宋体" w:eastAsia="宋体" w:cs="宋体"/>
          <w:b/>
          <w:bCs/>
          <w:spacing w:val="-3"/>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3"/>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3"/>
          <w:sz w:val="24"/>
          <w:szCs w:val="24"/>
          <w14:textOutline w14:w="4358" w14:cap="sq" w14:cmpd="sng">
            <w14:solidFill>
              <w14:srgbClr w14:val="000000"/>
            </w14:solidFill>
            <w14:prstDash w14:val="solid"/>
            <w14:bevel/>
          </w14:textOutline>
        </w:rPr>
        <w:t>区域地形</w:t>
      </w:r>
    </w:p>
    <w:p w14:paraId="0D86F1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吐鲁番市地处天山东部封闭性的山间盆地内，按照新疆区域地貌划分，全区由天山南坡山地、吐鲁番盆地、库米什盆地、觉罗塔格残余基底苔原及库鲁克塔格北部复向斜低山区构成。</w:t>
      </w:r>
    </w:p>
    <w:p w14:paraId="5D652B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吐鲁番市地形地貌酷似菱形，四面环山，中间低洼。北有天山（主峰博格达峰海拔5445m），西为喀拉乌成山高3500-4000m，西南有觉罗塔格山，南为库鲁克塔格山，东是库木塔格山。整体地势西北高、东南低，盆地四周除高低参差不齐的山地外，内部大部分为古洪积扇漆皮砾石戈壁。火焰山横贯盆地中央，全长80余公里，把盆地分为南、北两部分，山北为倾斜冲积扇，山南为冲积平原。艾丁湖海拔为-154m，是我国最低的盆地，也是世界有名的低洼地区之一。绿洲分布在盆地之中，是农作物集中区，也是畜牧业的生产地。</w:t>
      </w:r>
    </w:p>
    <w:p w14:paraId="5673A7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吐鲁番市地貌以山地和平原为主，北部为天山山脉，海拔最高峰博格达峰高达5445m；南部为我国最低的湖泊艾丁湖，海拔-154m；在天山和艾丁湖之间有海拔800m高的火焰山山脉横贯东西，将农业区分割为火焰山南（简称山南）和火焰山北（简称山北）两部分。整体地势由北向南倾斜，坡度约为1-4%。</w:t>
      </w:r>
    </w:p>
    <w:p w14:paraId="446465C0">
      <w:pPr>
        <w:keepNext w:val="0"/>
        <w:keepLines w:val="0"/>
        <w:pageBreakBefore w:val="0"/>
        <w:widowControl/>
        <w:kinsoku w:val="0"/>
        <w:wordWrap/>
        <w:overflowPunct/>
        <w:topLinePunct w:val="0"/>
        <w:autoSpaceDE w:val="0"/>
        <w:autoSpaceDN w:val="0"/>
        <w:bidi w:val="0"/>
        <w:adjustRightInd w:val="0"/>
        <w:snapToGrid w:val="0"/>
        <w:spacing w:before="1" w:line="360" w:lineRule="auto"/>
        <w:ind w:left="27"/>
        <w:jc w:val="both"/>
        <w:textAlignment w:val="baseline"/>
        <w:rPr>
          <w:rFonts w:hint="eastAsia" w:ascii="宋体" w:hAnsi="宋体" w:eastAsia="宋体" w:cs="宋体"/>
          <w:sz w:val="24"/>
          <w:szCs w:val="24"/>
        </w:rPr>
      </w:pPr>
      <w:r>
        <w:rPr>
          <w:rFonts w:hint="eastAsia" w:ascii="宋体" w:hAnsi="宋体" w:eastAsia="宋体" w:cs="宋体"/>
          <w:sz w:val="24"/>
          <w:szCs w:val="24"/>
        </w:rPr>
        <w:t>项目区内地势相对平坦，整体地形西北高，东南低，西边最高海拔为181米，东边最低海拔为-114米，项目区内土壤质地大部分为戈壁砾石，部分区域为沙化土地，土壤质地为荒漠土沙土层较厚有50-100厘米</w:t>
      </w:r>
      <w:r>
        <w:rPr>
          <w:rFonts w:hint="eastAsia" w:ascii="宋体" w:hAnsi="宋体" w:eastAsia="宋体" w:cs="宋体"/>
          <w:spacing w:val="-2"/>
          <w:sz w:val="24"/>
          <w:szCs w:val="24"/>
        </w:rPr>
        <w:t>。</w:t>
      </w:r>
    </w:p>
    <w:p w14:paraId="72302EBD">
      <w:pPr>
        <w:spacing w:before="157" w:line="219" w:lineRule="auto"/>
        <w:ind w:left="8"/>
        <w:outlineLvl w:val="3"/>
        <w:rPr>
          <w:rFonts w:ascii="宋体" w:hAnsi="宋体" w:eastAsia="宋体" w:cs="宋体"/>
          <w:sz w:val="24"/>
          <w:szCs w:val="24"/>
        </w:rPr>
      </w:pPr>
      <w:r>
        <w:rPr>
          <w:b/>
          <w:bCs/>
        </w:rPr>
        <w:fldChar w:fldCharType="begin"/>
      </w:r>
      <w:r>
        <w:rPr>
          <w:b/>
          <w:bCs/>
        </w:rPr>
        <w:instrText xml:space="preserve"> HYPERLINK "4.1.2.2"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4.1.2.2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地层岩性</w:t>
      </w:r>
    </w:p>
    <w:p w14:paraId="5C781EED">
      <w:pPr>
        <w:spacing w:before="183" w:line="360" w:lineRule="auto"/>
        <w:ind w:left="15" w:right="10" w:firstLine="477"/>
        <w:jc w:val="both"/>
        <w:rPr>
          <w:rFonts w:ascii="宋体" w:hAnsi="宋体" w:eastAsia="宋体" w:cs="宋体"/>
          <w:sz w:val="24"/>
          <w:szCs w:val="24"/>
        </w:rPr>
      </w:pPr>
      <w:r>
        <w:rPr>
          <w:rFonts w:ascii="宋体" w:hAnsi="宋体" w:eastAsia="宋体" w:cs="宋体"/>
          <w:spacing w:val="-2"/>
          <w:sz w:val="24"/>
          <w:szCs w:val="24"/>
        </w:rPr>
        <w:t>工程区位于冲积平原区，第四系上更新</w:t>
      </w:r>
      <w:r>
        <w:rPr>
          <w:rFonts w:ascii="宋体" w:hAnsi="宋体" w:eastAsia="宋体" w:cs="宋体"/>
          <w:spacing w:val="-1"/>
          <w:sz w:val="24"/>
          <w:szCs w:val="24"/>
        </w:rPr>
        <w:t>统～全新统洪积地层广泛分布于工程区内，厚度</w:t>
      </w:r>
      <w:r>
        <w:rPr>
          <w:rFonts w:ascii="宋体" w:hAnsi="宋体" w:eastAsia="宋体" w:cs="宋体"/>
          <w:spacing w:val="-50"/>
          <w:sz w:val="24"/>
          <w:szCs w:val="24"/>
        </w:rPr>
        <w:t xml:space="preserve"> </w:t>
      </w:r>
      <w:r>
        <w:rPr>
          <w:rFonts w:ascii="宋体" w:hAnsi="宋体" w:eastAsia="宋体" w:cs="宋体"/>
          <w:spacing w:val="-1"/>
          <w:sz w:val="24"/>
          <w:szCs w:val="24"/>
        </w:rPr>
        <w:t>40～180m</w:t>
      </w:r>
      <w:r>
        <w:rPr>
          <w:rFonts w:ascii="宋体" w:hAnsi="宋体" w:eastAsia="宋体" w:cs="宋体"/>
          <w:spacing w:val="-47"/>
          <w:sz w:val="24"/>
          <w:szCs w:val="24"/>
        </w:rPr>
        <w:t xml:space="preserve"> </w:t>
      </w:r>
      <w:r>
        <w:rPr>
          <w:rFonts w:ascii="宋体" w:hAnsi="宋体" w:eastAsia="宋体" w:cs="宋体"/>
          <w:spacing w:val="-1"/>
          <w:sz w:val="24"/>
          <w:szCs w:val="24"/>
        </w:rPr>
        <w:t>不等。上更新统洪积层的细土带被全新统洪积层的细土带所覆盖。主要为亚砂土及含砾砂互层。</w:t>
      </w:r>
    </w:p>
    <w:p w14:paraId="46DA7569">
      <w:pPr>
        <w:keepNext w:val="0"/>
        <w:keepLines w:val="0"/>
        <w:pageBreakBefore w:val="0"/>
        <w:widowControl/>
        <w:kinsoku w:val="0"/>
        <w:wordWrap/>
        <w:overflowPunct/>
        <w:topLinePunct w:val="0"/>
        <w:autoSpaceDE w:val="0"/>
        <w:autoSpaceDN w:val="0"/>
        <w:bidi w:val="0"/>
        <w:adjustRightInd w:val="0"/>
        <w:snapToGrid w:val="0"/>
        <w:spacing w:before="91" w:line="360" w:lineRule="auto"/>
        <w:ind w:left="10"/>
        <w:textAlignment w:val="baseline"/>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4.1.3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地质</w:t>
      </w:r>
    </w:p>
    <w:p w14:paraId="4BCE03E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w:t>
      </w:r>
      <w:r>
        <w:rPr>
          <w:rFonts w:hint="eastAsia" w:ascii="宋体" w:hAnsi="宋体" w:eastAsia="宋体" w:cs="宋体"/>
          <w:sz w:val="24"/>
          <w:szCs w:val="24"/>
          <w:lang w:eastAsia="zh-CN"/>
        </w:rPr>
        <w:t>泵房</w:t>
      </w:r>
      <w:r>
        <w:rPr>
          <w:rFonts w:ascii="宋体" w:hAnsi="宋体" w:eastAsia="宋体" w:cs="宋体"/>
          <w:sz w:val="24"/>
          <w:szCs w:val="24"/>
        </w:rPr>
        <w:t>最大勘探深度 15.0m 内，揭露的地层岩性为第四系洪积（Q4pl ）形成的细粒土（低液限粘土、低液限粉土），砂类土（粉土质砂、含细粒土砂）。</w:t>
      </w:r>
    </w:p>
    <w:p w14:paraId="55B7D387">
      <w:pPr>
        <w:keepNext w:val="0"/>
        <w:keepLines w:val="0"/>
        <w:pageBreakBefore w:val="0"/>
        <w:widowControl/>
        <w:kinsoku w:val="0"/>
        <w:wordWrap/>
        <w:overflowPunct/>
        <w:topLinePunct w:val="0"/>
        <w:autoSpaceDE w:val="0"/>
        <w:autoSpaceDN w:val="0"/>
        <w:bidi w:val="0"/>
        <w:adjustRightInd w:val="0"/>
        <w:snapToGrid w:val="0"/>
        <w:spacing w:before="92" w:line="360" w:lineRule="auto"/>
        <w:ind w:left="10"/>
        <w:textAlignment w:val="baseline"/>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4.1.4</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水文概况</w:t>
      </w:r>
    </w:p>
    <w:p w14:paraId="70C19478">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outlineLvl w:val="1"/>
        <w:rPr>
          <w:rFonts w:hint="eastAsia" w:ascii="宋体" w:hAnsi="宋体" w:eastAsia="宋体" w:cs="宋体"/>
          <w:sz w:val="24"/>
          <w:szCs w:val="24"/>
        </w:rPr>
      </w:pPr>
      <w:bookmarkStart w:id="21" w:name="_Toc14474"/>
      <w:bookmarkStart w:id="22" w:name="_Toc11138"/>
      <w:r>
        <w:rPr>
          <w:rFonts w:hint="eastAsia" w:ascii="宋体" w:hAnsi="宋体" w:eastAsia="宋体" w:cs="宋体"/>
          <w:sz w:val="24"/>
          <w:szCs w:val="24"/>
        </w:rPr>
        <w:t>（1）地表水</w:t>
      </w:r>
      <w:bookmarkEnd w:id="21"/>
      <w:bookmarkEnd w:id="22"/>
    </w:p>
    <w:p w14:paraId="51ED65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吐鲁番市位于一个封闭的内陆盆地吐鲁番盆地内，其特殊的地理地貌使得仅有极少量的温湿气流通过盆地西、北部山区形成降水。吐鲁番市水资源的补给量主要靠高山融雪和降水，由于山区冰川相对较少，冰雪融水在地表水资源补给中只占10%，山区降水占90%，致使盆地内的河流径流具有独特的特点：年际变化不大，年内分配极不均匀，流量小，洪枯悬殊，水量不稳定，泥沙含量高。</w:t>
      </w:r>
    </w:p>
    <w:p w14:paraId="0D0F58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吐鲁番市水系均发源于西、北部中高山区，补给源为冰雪融水和山区降水。其中境内河流有9条，发源于北部天山山区；发源于境外的河流有5条，汇流区为西部山区。可利用地表水径流共计14条，多年平均总径流量9.3027亿m</w:t>
      </w:r>
      <w:r>
        <w:rPr>
          <w:rFonts w:hint="eastAsia" w:ascii="宋体" w:hAnsi="宋体" w:eastAsia="宋体" w:cs="宋体"/>
          <w:sz w:val="24"/>
          <w:szCs w:val="24"/>
          <w:vertAlign w:val="superscript"/>
        </w:rPr>
        <w:t>3</w:t>
      </w:r>
      <w:r>
        <w:rPr>
          <w:rFonts w:hint="eastAsia" w:ascii="宋体" w:hAnsi="宋体" w:eastAsia="宋体" w:cs="宋体"/>
          <w:sz w:val="24"/>
          <w:szCs w:val="24"/>
        </w:rPr>
        <w:t>。径流方向由山区到平原，最后进入盆地中心，具向心水系特征。</w:t>
      </w:r>
    </w:p>
    <w:p w14:paraId="0E49F94E">
      <w:pPr>
        <w:pStyle w:val="3"/>
        <w:rPr>
          <w:rFonts w:hint="eastAsia" w:ascii="宋体" w:hAnsi="宋体" w:eastAsia="宋体" w:cs="宋体"/>
          <w:sz w:val="24"/>
          <w:szCs w:val="24"/>
        </w:rPr>
      </w:pPr>
      <w:r>
        <w:drawing>
          <wp:inline distT="0" distB="0" distL="114300" distR="114300">
            <wp:extent cx="5804535" cy="3975100"/>
            <wp:effectExtent l="12700" t="12700" r="311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804535" cy="3975100"/>
                    </a:xfrm>
                    <a:prstGeom prst="rect">
                      <a:avLst/>
                    </a:prstGeom>
                    <a:noFill/>
                    <a:ln w="12700" cmpd="sng">
                      <a:solidFill>
                        <a:schemeClr val="tx1"/>
                      </a:solidFill>
                      <a:prstDash val="solid"/>
                    </a:ln>
                  </pic:spPr>
                </pic:pic>
              </a:graphicData>
            </a:graphic>
          </wp:inline>
        </w:drawing>
      </w:r>
    </w:p>
    <w:p w14:paraId="394797FE">
      <w:pPr>
        <w:pStyle w:val="3"/>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图4-1-1  吐鲁番盆地水系图</w:t>
      </w:r>
    </w:p>
    <w:p w14:paraId="2DC108D0">
      <w:pPr>
        <w:pStyle w:val="3"/>
        <w:rPr>
          <w:rFonts w:hint="eastAsia" w:ascii="宋体" w:hAnsi="宋体" w:eastAsia="宋体" w:cs="宋体"/>
          <w:sz w:val="24"/>
          <w:szCs w:val="24"/>
        </w:rPr>
      </w:pPr>
    </w:p>
    <w:p w14:paraId="6B7302C5">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outlineLvl w:val="1"/>
        <w:rPr>
          <w:rFonts w:hint="eastAsia" w:ascii="宋体" w:hAnsi="宋体" w:eastAsia="宋体" w:cs="宋体"/>
          <w:sz w:val="24"/>
          <w:szCs w:val="24"/>
        </w:rPr>
      </w:pPr>
      <w:bookmarkStart w:id="23" w:name="_Toc13026"/>
      <w:bookmarkStart w:id="24" w:name="_Toc13204"/>
      <w:r>
        <w:rPr>
          <w:rFonts w:hint="eastAsia" w:ascii="宋体" w:hAnsi="宋体" w:eastAsia="宋体" w:cs="宋体"/>
          <w:sz w:val="24"/>
          <w:szCs w:val="24"/>
        </w:rPr>
        <w:t>（2）地下水</w:t>
      </w:r>
      <w:bookmarkEnd w:id="23"/>
      <w:bookmarkEnd w:id="24"/>
    </w:p>
    <w:p w14:paraId="70EE5CEC">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rPr>
        <w:t>吐鲁番盆地是天山褶皱系中的一个新生代山间断陷盆地。以后随着第四系以来地壳上升和下降，古气候、古地理的变迁，使盆地周围地貌遭受强烈侵蚀，风化剥蚀作用，沉积了第四系物质，形成了“三山”夹“两盆”的地貌景观。由于特定的地形、地质条件，使灌区地下水天然补给量来自河水入渗补给、洪水入渗补给、河床潜流补给、引水渠系入渗补给、侧向补给，从而形成了下游灌区的地下水。年地下水补给总量约3亿立方米左右，地下水资源主要通过坎儿井和机电井形式引取</w:t>
      </w:r>
      <w:r>
        <w:rPr>
          <w:rFonts w:hint="eastAsia" w:ascii="宋体" w:hAnsi="宋体" w:eastAsia="宋体" w:cs="宋体"/>
          <w:sz w:val="24"/>
          <w:szCs w:val="24"/>
          <w:lang w:eastAsia="zh-CN"/>
        </w:rPr>
        <w:t>。</w:t>
      </w:r>
    </w:p>
    <w:p w14:paraId="3B18FE99">
      <w:pPr>
        <w:spacing w:before="92" w:line="220" w:lineRule="auto"/>
        <w:ind w:left="10"/>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4.1.5</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气象</w:t>
      </w:r>
    </w:p>
    <w:p w14:paraId="4BCF98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吐鲁番市地处欧亚大陆腹地，由于地势低洼，增温快、散热慢，冷湿空气不易进入的特殊地理位置，形成了极端干旱的温带内陆荒漠气候，其主要特点是：热量丰富、极端干燥、高温多风、降雨稀少、蒸发强烈、无霜期长、风大风多。气候特点主要表现为：⑴光能：全年日照时数2957.7~3122.8小时，日照百分率为69%，总辐射量为140~150千卡/厘米2。⑵温度：全年平均气温13.35℃，7月平均气温31.78℃，1月平均气温-9.8℃，35℃以上气温可持续165天，40℃以上高温可达106天。日温差和年温差均较大，无霜期长达192~271天，≥10℃年积温为4525.5~5733℃。⑶降水：吐鲁番市降水极少，气候干燥，蒸发量大，年平均降水量只有6.3~25.3mm，而年蒸发量却高达2751~3744mm，相对湿度为30%，ET0值为8mm/d。⑷大风：吐鲁番市属多风地带，年平均风速1.5~4.8m/s，≥8级以上大风日数18~108天，风向多偏北，春季的大风及夏季的干热风对农作物的危害均较大。</w:t>
      </w:r>
    </w:p>
    <w:p w14:paraId="74A203D6">
      <w:pPr>
        <w:keepNext w:val="0"/>
        <w:keepLines w:val="0"/>
        <w:pageBreakBefore w:val="0"/>
        <w:widowControl/>
        <w:kinsoku w:val="0"/>
        <w:wordWrap/>
        <w:overflowPunct/>
        <w:topLinePunct w:val="0"/>
        <w:autoSpaceDE w:val="0"/>
        <w:autoSpaceDN w:val="0"/>
        <w:bidi w:val="0"/>
        <w:adjustRightInd w:val="0"/>
        <w:snapToGrid w:val="0"/>
        <w:spacing w:line="360" w:lineRule="auto"/>
        <w:ind w:left="12"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艾丁湖北部面对天山风口，气候不仅极端干旱，而且多大风，尤其是干热风。艾丁湖气温年代际变化呈上升的趋势，上世纪80年代较70年代偏高0.11℃，增温幅度小，上世纪90年代较80年代偏高 0.36℃，进入21世纪，增温幅度比较大，2001年—2005年较上世纪 90年代偏高0.57℃，增温幅度最大，是近半个世纪以来最暖的时期。2011年7月14日，艾丁湖区域自动气象站最高气温50.2℃，这是中国大陆首次观测的超过50℃的记录，成为全国最热的地方</w:t>
      </w:r>
      <w:r>
        <w:rPr>
          <w:rFonts w:hint="eastAsia" w:ascii="宋体" w:hAnsi="宋体" w:eastAsia="宋体" w:cs="宋体"/>
          <w:spacing w:val="-3"/>
          <w:sz w:val="24"/>
          <w:szCs w:val="24"/>
        </w:rPr>
        <w:t>。</w:t>
      </w:r>
    </w:p>
    <w:p w14:paraId="6C826F93">
      <w:pPr>
        <w:keepNext w:val="0"/>
        <w:keepLines w:val="0"/>
        <w:pageBreakBefore w:val="0"/>
        <w:widowControl/>
        <w:kinsoku w:val="0"/>
        <w:wordWrap/>
        <w:overflowPunct/>
        <w:topLinePunct w:val="0"/>
        <w:autoSpaceDE w:val="0"/>
        <w:autoSpaceDN w:val="0"/>
        <w:bidi w:val="0"/>
        <w:adjustRightInd w:val="0"/>
        <w:snapToGrid w:val="0"/>
        <w:spacing w:before="97" w:line="360" w:lineRule="auto"/>
        <w:ind w:left="11"/>
        <w:textAlignment w:val="baseline"/>
        <w:outlineLvl w:val="1"/>
        <w:rPr>
          <w:rFonts w:ascii="宋体" w:hAnsi="宋体" w:eastAsia="宋体" w:cs="宋体"/>
          <w:sz w:val="30"/>
          <w:szCs w:val="30"/>
        </w:rPr>
      </w:pPr>
      <w:bookmarkStart w:id="25" w:name="bookmark21"/>
      <w:bookmarkEnd w:id="25"/>
      <w:r>
        <w:rPr>
          <w:rFonts w:hint="eastAsia" w:ascii="黑体" w:hAnsi="黑体" w:eastAsia="黑体" w:cs="黑体"/>
          <w:spacing w:val="2"/>
          <w:sz w:val="30"/>
          <w:szCs w:val="30"/>
          <w14:textOutline w14:w="5448" w14:cap="sq" w14:cmpd="sng">
            <w14:solidFill>
              <w14:srgbClr w14:val="000000"/>
            </w14:solidFill>
            <w14:prstDash w14:val="solid"/>
            <w14:bevel/>
          </w14:textOutline>
        </w:rPr>
        <w:t>4.2</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环境空气质量现状</w:t>
      </w:r>
    </w:p>
    <w:p w14:paraId="6E297C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根据《环境影响评价技术导则 大气环境》（H.J 2.2-2018），对于基本污染物环 境质量现状数据，项目所在区域达标判定优先采用国家或地方生态环境主管部门公开发布的评价基准年环境质量公告或环境质量报告中的数据或结论。</w:t>
      </w:r>
    </w:p>
    <w:p w14:paraId="1CA150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highlight w:val="none"/>
        </w:rPr>
        <w:t>根据导则对环境质量现状数据的要求，本次评价选择环境专业知识服务系统(</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"http://envi.ckcest.cn/environment/data_Integration/data_Integration.jsp"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http://envi.ckcest.cn/environment/data_Integration/data_Integration.jsp</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)发布的</w:t>
      </w:r>
      <w:r>
        <w:rPr>
          <w:rFonts w:hint="eastAsia" w:ascii="宋体" w:hAnsi="宋体" w:eastAsia="宋体" w:cs="宋体"/>
          <w:sz w:val="24"/>
          <w:szCs w:val="24"/>
          <w:highlight w:val="none"/>
          <w:lang w:val="en-US" w:eastAsia="zh-CN"/>
        </w:rPr>
        <w:t>吐鲁番</w:t>
      </w:r>
      <w:r>
        <w:rPr>
          <w:rFonts w:hint="eastAsia" w:ascii="宋体" w:hAnsi="宋体" w:eastAsia="宋体" w:cs="宋体"/>
          <w:sz w:val="24"/>
          <w:szCs w:val="24"/>
          <w:highlight w:val="none"/>
        </w:rPr>
        <w:t>地区监测点202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数据</w:t>
      </w:r>
      <w:r>
        <w:rPr>
          <w:rFonts w:hint="eastAsia" w:ascii="宋体" w:hAnsi="宋体" w:eastAsia="宋体" w:cs="宋体"/>
          <w:sz w:val="24"/>
          <w:szCs w:val="24"/>
          <w:highlight w:val="none"/>
        </w:rPr>
        <w:t>，作为本工程环境空气现状评价基本污染物 SO</w:t>
      </w:r>
      <w:r>
        <w:rPr>
          <w:rFonts w:hint="eastAsia" w:ascii="宋体" w:hAnsi="宋体" w:eastAsia="宋体" w:cs="宋体"/>
          <w:sz w:val="24"/>
          <w:szCs w:val="24"/>
          <w:highlight w:val="none"/>
          <w:vertAlign w:val="subscript"/>
        </w:rPr>
        <w:t>2</w:t>
      </w:r>
      <w:r>
        <w:rPr>
          <w:rFonts w:hint="eastAsia" w:ascii="宋体" w:hAnsi="宋体" w:eastAsia="宋体" w:cs="宋体"/>
          <w:sz w:val="24"/>
          <w:szCs w:val="24"/>
          <w:highlight w:val="none"/>
        </w:rPr>
        <w:t xml:space="preserve"> 、</w:t>
      </w:r>
      <w:r>
        <w:rPr>
          <w:rFonts w:hint="eastAsia" w:ascii="宋体" w:hAnsi="宋体" w:eastAsia="宋体" w:cs="宋体"/>
          <w:sz w:val="24"/>
          <w:szCs w:val="24"/>
        </w:rPr>
        <w:t>NO</w:t>
      </w:r>
      <w:r>
        <w:rPr>
          <w:rFonts w:hint="eastAsia" w:ascii="宋体" w:hAnsi="宋体" w:eastAsia="宋体" w:cs="宋体"/>
          <w:sz w:val="24"/>
          <w:szCs w:val="24"/>
          <w:vertAlign w:val="subscript"/>
        </w:rPr>
        <w:t>2</w:t>
      </w:r>
      <w:r>
        <w:rPr>
          <w:rFonts w:hint="eastAsia" w:ascii="宋体" w:hAnsi="宋体" w:eastAsia="宋体" w:cs="宋体"/>
          <w:sz w:val="24"/>
          <w:szCs w:val="24"/>
        </w:rPr>
        <w:t xml:space="preserve"> 、PM</w:t>
      </w:r>
      <w:r>
        <w:rPr>
          <w:rFonts w:hint="eastAsia" w:ascii="宋体" w:hAnsi="宋体" w:eastAsia="宋体" w:cs="宋体"/>
          <w:sz w:val="24"/>
          <w:szCs w:val="24"/>
          <w:vertAlign w:val="subscript"/>
        </w:rPr>
        <w:t>10</w:t>
      </w:r>
      <w:r>
        <w:rPr>
          <w:rFonts w:hint="eastAsia" w:ascii="宋体" w:hAnsi="宋体" w:eastAsia="宋体" w:cs="宋体"/>
          <w:sz w:val="24"/>
          <w:szCs w:val="24"/>
        </w:rPr>
        <w:t xml:space="preserve"> 、PM</w:t>
      </w:r>
      <w:r>
        <w:rPr>
          <w:rFonts w:hint="eastAsia" w:ascii="宋体" w:hAnsi="宋体" w:eastAsia="宋体" w:cs="宋体"/>
          <w:sz w:val="24"/>
          <w:szCs w:val="24"/>
          <w:vertAlign w:val="subscript"/>
        </w:rPr>
        <w:t>2.5</w:t>
      </w:r>
      <w:r>
        <w:rPr>
          <w:rFonts w:hint="eastAsia" w:ascii="宋体" w:hAnsi="宋体" w:eastAsia="宋体" w:cs="宋体"/>
          <w:sz w:val="24"/>
          <w:szCs w:val="24"/>
        </w:rPr>
        <w:t>、 CO 和 O</w:t>
      </w:r>
      <w:r>
        <w:rPr>
          <w:rFonts w:hint="eastAsia" w:ascii="宋体" w:hAnsi="宋体" w:eastAsia="宋体" w:cs="宋体"/>
          <w:sz w:val="24"/>
          <w:szCs w:val="24"/>
          <w:vertAlign w:val="subscript"/>
        </w:rPr>
        <w:t>3</w:t>
      </w:r>
      <w:r>
        <w:rPr>
          <w:rFonts w:hint="eastAsia" w:ascii="宋体" w:hAnsi="宋体" w:eastAsia="宋体" w:cs="宋体"/>
          <w:sz w:val="24"/>
          <w:szCs w:val="24"/>
        </w:rPr>
        <w:t xml:space="preserve"> 的数据来源。</w:t>
      </w:r>
    </w:p>
    <w:p w14:paraId="672526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both"/>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1</w:t>
      </w:r>
      <w:r>
        <w:rPr>
          <w:rFonts w:hint="eastAsia" w:ascii="宋体" w:hAnsi="宋体" w:eastAsia="宋体" w:cs="宋体"/>
          <w:spacing w:val="-5"/>
          <w:sz w:val="24"/>
          <w:szCs w:val="24"/>
          <w:lang w:eastAsia="zh-CN"/>
        </w:rPr>
        <w:t>）</w:t>
      </w:r>
      <w:r>
        <w:rPr>
          <w:rFonts w:ascii="宋体" w:hAnsi="宋体" w:eastAsia="宋体" w:cs="宋体"/>
          <w:spacing w:val="-5"/>
          <w:sz w:val="24"/>
          <w:szCs w:val="24"/>
        </w:rPr>
        <w:t>监测项目</w:t>
      </w:r>
    </w:p>
    <w:p w14:paraId="15CF06E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ascii="宋体" w:hAnsi="宋体" w:eastAsia="宋体" w:cs="宋体"/>
          <w:sz w:val="24"/>
          <w:szCs w:val="24"/>
        </w:rPr>
      </w:pPr>
      <w:r>
        <w:rPr>
          <w:rFonts w:ascii="宋体" w:hAnsi="宋体" w:eastAsia="宋体" w:cs="宋体"/>
          <w:spacing w:val="-4"/>
          <w:sz w:val="24"/>
          <w:szCs w:val="24"/>
        </w:rPr>
        <w:t>监测项目：基本污染物</w:t>
      </w:r>
      <w:r>
        <w:rPr>
          <w:rFonts w:ascii="宋体" w:hAnsi="宋体" w:eastAsia="宋体" w:cs="宋体"/>
          <w:spacing w:val="-49"/>
          <w:sz w:val="24"/>
          <w:szCs w:val="24"/>
        </w:rPr>
        <w:t xml:space="preserve"> </w:t>
      </w:r>
      <w:r>
        <w:rPr>
          <w:rFonts w:ascii="宋体" w:hAnsi="宋体" w:eastAsia="宋体" w:cs="宋体"/>
          <w:spacing w:val="-4"/>
          <w:sz w:val="24"/>
          <w:szCs w:val="24"/>
        </w:rPr>
        <w:t>SO</w:t>
      </w:r>
      <w:r>
        <w:rPr>
          <w:rFonts w:ascii="宋体" w:hAnsi="宋体" w:eastAsia="宋体" w:cs="宋体"/>
          <w:spacing w:val="-4"/>
          <w:position w:val="-3"/>
          <w:sz w:val="12"/>
          <w:szCs w:val="12"/>
        </w:rPr>
        <w:t>2</w:t>
      </w:r>
      <w:r>
        <w:rPr>
          <w:rFonts w:ascii="宋体" w:hAnsi="宋体" w:eastAsia="宋体" w:cs="宋体"/>
          <w:spacing w:val="-34"/>
          <w:position w:val="-3"/>
          <w:sz w:val="12"/>
          <w:szCs w:val="12"/>
        </w:rPr>
        <w:t xml:space="preserve"> </w:t>
      </w:r>
      <w:r>
        <w:rPr>
          <w:rFonts w:ascii="宋体" w:hAnsi="宋体" w:eastAsia="宋体" w:cs="宋体"/>
          <w:spacing w:val="-4"/>
          <w:sz w:val="24"/>
          <w:szCs w:val="24"/>
        </w:rPr>
        <w:t>、NO</w:t>
      </w:r>
      <w:r>
        <w:rPr>
          <w:rFonts w:ascii="宋体" w:hAnsi="宋体" w:eastAsia="宋体" w:cs="宋体"/>
          <w:spacing w:val="-4"/>
          <w:position w:val="-3"/>
          <w:sz w:val="12"/>
          <w:szCs w:val="12"/>
        </w:rPr>
        <w:t>2</w:t>
      </w:r>
      <w:r>
        <w:rPr>
          <w:rFonts w:ascii="宋体" w:hAnsi="宋体" w:eastAsia="宋体" w:cs="宋体"/>
          <w:spacing w:val="-34"/>
          <w:position w:val="-3"/>
          <w:sz w:val="12"/>
          <w:szCs w:val="12"/>
        </w:rPr>
        <w:t xml:space="preserve"> </w:t>
      </w:r>
      <w:r>
        <w:rPr>
          <w:rFonts w:ascii="宋体" w:hAnsi="宋体" w:eastAsia="宋体" w:cs="宋体"/>
          <w:spacing w:val="-4"/>
          <w:sz w:val="24"/>
          <w:szCs w:val="24"/>
        </w:rPr>
        <w:t>、PM</w:t>
      </w:r>
      <w:r>
        <w:rPr>
          <w:rFonts w:ascii="宋体" w:hAnsi="宋体" w:eastAsia="宋体" w:cs="宋体"/>
          <w:spacing w:val="-4"/>
          <w:position w:val="-3"/>
          <w:sz w:val="12"/>
          <w:szCs w:val="12"/>
        </w:rPr>
        <w:t>10</w:t>
      </w:r>
      <w:r>
        <w:rPr>
          <w:rFonts w:ascii="宋体" w:hAnsi="宋体" w:eastAsia="宋体" w:cs="宋体"/>
          <w:spacing w:val="-34"/>
          <w:position w:val="-3"/>
          <w:sz w:val="12"/>
          <w:szCs w:val="12"/>
        </w:rPr>
        <w:t xml:space="preserve"> </w:t>
      </w:r>
      <w:r>
        <w:rPr>
          <w:rFonts w:ascii="宋体" w:hAnsi="宋体" w:eastAsia="宋体" w:cs="宋体"/>
          <w:spacing w:val="-4"/>
          <w:sz w:val="24"/>
          <w:szCs w:val="24"/>
        </w:rPr>
        <w:t>、PM</w:t>
      </w:r>
      <w:r>
        <w:rPr>
          <w:rFonts w:ascii="宋体" w:hAnsi="宋体" w:eastAsia="宋体" w:cs="宋体"/>
          <w:spacing w:val="-4"/>
          <w:position w:val="-3"/>
          <w:sz w:val="12"/>
          <w:szCs w:val="12"/>
        </w:rPr>
        <w:t>2.5</w:t>
      </w:r>
      <w:r>
        <w:rPr>
          <w:rFonts w:ascii="宋体" w:hAnsi="宋体" w:eastAsia="宋体" w:cs="宋体"/>
          <w:spacing w:val="-34"/>
          <w:position w:val="-3"/>
          <w:sz w:val="12"/>
          <w:szCs w:val="12"/>
        </w:rPr>
        <w:t xml:space="preserve"> </w:t>
      </w:r>
      <w:r>
        <w:rPr>
          <w:rFonts w:ascii="宋体" w:hAnsi="宋体" w:eastAsia="宋体" w:cs="宋体"/>
          <w:spacing w:val="-4"/>
          <w:sz w:val="24"/>
          <w:szCs w:val="24"/>
        </w:rPr>
        <w:t>、</w:t>
      </w:r>
      <w:r>
        <w:rPr>
          <w:rFonts w:ascii="宋体" w:hAnsi="宋体" w:eastAsia="宋体" w:cs="宋体"/>
          <w:spacing w:val="-5"/>
          <w:sz w:val="24"/>
          <w:szCs w:val="24"/>
        </w:rPr>
        <w:t>CO</w:t>
      </w:r>
      <w:r>
        <w:rPr>
          <w:rFonts w:ascii="宋体" w:hAnsi="宋体" w:eastAsia="宋体" w:cs="宋体"/>
          <w:spacing w:val="-49"/>
          <w:sz w:val="24"/>
          <w:szCs w:val="24"/>
        </w:rPr>
        <w:t xml:space="preserve"> </w:t>
      </w:r>
      <w:r>
        <w:rPr>
          <w:rFonts w:ascii="宋体" w:hAnsi="宋体" w:eastAsia="宋体" w:cs="宋体"/>
          <w:spacing w:val="-5"/>
          <w:sz w:val="24"/>
          <w:szCs w:val="24"/>
        </w:rPr>
        <w:t>和</w:t>
      </w:r>
      <w:r>
        <w:rPr>
          <w:rFonts w:ascii="宋体" w:hAnsi="宋体" w:eastAsia="宋体" w:cs="宋体"/>
          <w:spacing w:val="-52"/>
          <w:sz w:val="24"/>
          <w:szCs w:val="24"/>
        </w:rPr>
        <w:t xml:space="preserve"> </w:t>
      </w:r>
      <w:r>
        <w:rPr>
          <w:rFonts w:ascii="宋体" w:hAnsi="宋体" w:eastAsia="宋体" w:cs="宋体"/>
          <w:spacing w:val="-5"/>
          <w:sz w:val="24"/>
          <w:szCs w:val="24"/>
        </w:rPr>
        <w:t>O</w:t>
      </w:r>
      <w:r>
        <w:rPr>
          <w:rFonts w:ascii="宋体" w:hAnsi="宋体" w:eastAsia="宋体" w:cs="宋体"/>
          <w:spacing w:val="-5"/>
          <w:position w:val="-3"/>
          <w:sz w:val="12"/>
          <w:szCs w:val="12"/>
        </w:rPr>
        <w:t>3</w:t>
      </w:r>
      <w:r>
        <w:rPr>
          <w:rFonts w:ascii="宋体" w:hAnsi="宋体" w:eastAsia="宋体" w:cs="宋体"/>
          <w:spacing w:val="-5"/>
          <w:sz w:val="24"/>
          <w:szCs w:val="24"/>
        </w:rPr>
        <w:t>；</w:t>
      </w:r>
    </w:p>
    <w:p w14:paraId="14D0DF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jc w:val="both"/>
        <w:textAlignment w:val="baseline"/>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2</w:t>
      </w:r>
      <w:r>
        <w:rPr>
          <w:rFonts w:hint="eastAsia" w:ascii="宋体" w:hAnsi="宋体" w:eastAsia="宋体" w:cs="宋体"/>
          <w:spacing w:val="-8"/>
          <w:sz w:val="24"/>
          <w:szCs w:val="24"/>
          <w:lang w:eastAsia="zh-CN"/>
        </w:rPr>
        <w:t>）</w:t>
      </w:r>
      <w:r>
        <w:rPr>
          <w:rFonts w:ascii="宋体" w:hAnsi="宋体" w:eastAsia="宋体" w:cs="宋体"/>
          <w:spacing w:val="-8"/>
          <w:sz w:val="24"/>
          <w:szCs w:val="24"/>
        </w:rPr>
        <w:t>评价标准</w:t>
      </w:r>
    </w:p>
    <w:p w14:paraId="562671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根据环境空气质量功能区划分规定，本次评价基本污染物 SO2 、NO2 、PM10 、PM2.5、CO 和 O3 执行《环境空气质量标准》 (GB3095-2012)中二级标准。</w:t>
      </w:r>
    </w:p>
    <w:p w14:paraId="387A2B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jc w:val="both"/>
        <w:textAlignment w:val="baseline"/>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3</w:t>
      </w:r>
      <w:r>
        <w:rPr>
          <w:rFonts w:hint="eastAsia" w:ascii="宋体" w:hAnsi="宋体" w:eastAsia="宋体" w:cs="宋体"/>
          <w:spacing w:val="-8"/>
          <w:sz w:val="24"/>
          <w:szCs w:val="24"/>
          <w:lang w:eastAsia="zh-CN"/>
        </w:rPr>
        <w:t>）</w:t>
      </w:r>
      <w:r>
        <w:rPr>
          <w:rFonts w:ascii="宋体" w:hAnsi="宋体" w:eastAsia="宋体" w:cs="宋体"/>
          <w:spacing w:val="-8"/>
          <w:sz w:val="24"/>
          <w:szCs w:val="24"/>
        </w:rPr>
        <w:t>评价方法</w:t>
      </w:r>
    </w:p>
    <w:p w14:paraId="3FAFA9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按照《环境空气质量评价技术规范(试行)》</w:t>
      </w:r>
      <w:r>
        <w:rPr>
          <w:rFonts w:ascii="宋体" w:hAnsi="宋体" w:eastAsia="宋体" w:cs="宋体"/>
          <w:spacing w:val="-60"/>
          <w:sz w:val="24"/>
          <w:szCs w:val="24"/>
        </w:rPr>
        <w:t xml:space="preserve"> </w:t>
      </w:r>
      <w:r>
        <w:rPr>
          <w:rFonts w:ascii="宋体" w:hAnsi="宋体" w:eastAsia="宋体" w:cs="宋体"/>
          <w:spacing w:val="-2"/>
          <w:sz w:val="24"/>
          <w:szCs w:val="24"/>
        </w:rPr>
        <w:t>(HJ</w:t>
      </w:r>
      <w:r>
        <w:rPr>
          <w:rFonts w:ascii="宋体" w:hAnsi="宋体" w:eastAsia="宋体" w:cs="宋体"/>
          <w:spacing w:val="-27"/>
          <w:sz w:val="24"/>
          <w:szCs w:val="24"/>
        </w:rPr>
        <w:t xml:space="preserve"> </w:t>
      </w:r>
      <w:r>
        <w:rPr>
          <w:rFonts w:ascii="宋体" w:hAnsi="宋体" w:eastAsia="宋体" w:cs="宋体"/>
          <w:spacing w:val="-2"/>
          <w:sz w:val="24"/>
          <w:szCs w:val="24"/>
        </w:rPr>
        <w:t>663-2013)中各评价项目的年评价</w:t>
      </w:r>
      <w:r>
        <w:rPr>
          <w:rFonts w:ascii="宋体" w:hAnsi="宋体" w:eastAsia="宋体" w:cs="宋体"/>
          <w:sz w:val="24"/>
          <w:szCs w:val="24"/>
        </w:rPr>
        <w:t xml:space="preserve"> </w:t>
      </w:r>
      <w:r>
        <w:rPr>
          <w:rFonts w:ascii="宋体" w:hAnsi="宋体" w:eastAsia="宋体" w:cs="宋体"/>
          <w:spacing w:val="-2"/>
          <w:sz w:val="24"/>
          <w:szCs w:val="24"/>
        </w:rPr>
        <w:t>指标进行判定。年评价指标中的年均浓度和相应百分位数</w:t>
      </w:r>
      <w:r>
        <w:rPr>
          <w:rFonts w:ascii="宋体" w:hAnsi="宋体" w:eastAsia="宋体" w:cs="宋体"/>
          <w:spacing w:val="-47"/>
          <w:sz w:val="24"/>
          <w:szCs w:val="24"/>
        </w:rPr>
        <w:t xml:space="preserve"> </w:t>
      </w:r>
      <w:r>
        <w:rPr>
          <w:rFonts w:ascii="宋体" w:hAnsi="宋体" w:eastAsia="宋体" w:cs="宋体"/>
          <w:spacing w:val="-2"/>
          <w:sz w:val="24"/>
          <w:szCs w:val="24"/>
        </w:rPr>
        <w:t>24h</w:t>
      </w:r>
      <w:r>
        <w:rPr>
          <w:rFonts w:ascii="宋体" w:hAnsi="宋体" w:eastAsia="宋体" w:cs="宋体"/>
          <w:spacing w:val="-52"/>
          <w:sz w:val="24"/>
          <w:szCs w:val="24"/>
        </w:rPr>
        <w:t xml:space="preserve"> </w:t>
      </w:r>
      <w:r>
        <w:rPr>
          <w:rFonts w:ascii="宋体" w:hAnsi="宋体" w:eastAsia="宋体" w:cs="宋体"/>
          <w:spacing w:val="-3"/>
          <w:sz w:val="24"/>
          <w:szCs w:val="24"/>
        </w:rPr>
        <w:t>平均或</w:t>
      </w:r>
      <w:r>
        <w:rPr>
          <w:rFonts w:ascii="宋体" w:hAnsi="宋体" w:eastAsia="宋体" w:cs="宋体"/>
          <w:spacing w:val="-50"/>
          <w:sz w:val="24"/>
          <w:szCs w:val="24"/>
        </w:rPr>
        <w:t xml:space="preserve"> </w:t>
      </w:r>
      <w:r>
        <w:rPr>
          <w:rFonts w:ascii="宋体" w:hAnsi="宋体" w:eastAsia="宋体" w:cs="宋体"/>
          <w:spacing w:val="-3"/>
          <w:sz w:val="24"/>
          <w:szCs w:val="24"/>
        </w:rPr>
        <w:t>8h</w:t>
      </w:r>
      <w:r>
        <w:rPr>
          <w:rFonts w:ascii="宋体" w:hAnsi="宋体" w:eastAsia="宋体" w:cs="宋体"/>
          <w:spacing w:val="-51"/>
          <w:sz w:val="24"/>
          <w:szCs w:val="24"/>
        </w:rPr>
        <w:t xml:space="preserve"> </w:t>
      </w:r>
      <w:r>
        <w:rPr>
          <w:rFonts w:ascii="宋体" w:hAnsi="宋体" w:eastAsia="宋体" w:cs="宋体"/>
          <w:spacing w:val="-3"/>
          <w:sz w:val="24"/>
          <w:szCs w:val="24"/>
        </w:rPr>
        <w:t>平均质量浓度</w:t>
      </w:r>
      <w:r>
        <w:rPr>
          <w:rFonts w:ascii="宋体" w:hAnsi="宋体" w:eastAsia="宋体" w:cs="宋体"/>
          <w:sz w:val="24"/>
          <w:szCs w:val="24"/>
        </w:rPr>
        <w:t xml:space="preserve"> </w:t>
      </w:r>
      <w:r>
        <w:rPr>
          <w:rFonts w:ascii="宋体" w:hAnsi="宋体" w:eastAsia="宋体" w:cs="宋体"/>
          <w:spacing w:val="-1"/>
          <w:sz w:val="24"/>
          <w:szCs w:val="24"/>
        </w:rPr>
        <w:t>满足《环境空气质量标准》（GB3095-2012）中二级浓度限值要求的即为</w:t>
      </w:r>
      <w:r>
        <w:rPr>
          <w:rFonts w:ascii="宋体" w:hAnsi="宋体" w:eastAsia="宋体" w:cs="宋体"/>
          <w:spacing w:val="-2"/>
          <w:sz w:val="24"/>
          <w:szCs w:val="24"/>
        </w:rPr>
        <w:t>达标。对于超</w:t>
      </w:r>
      <w:r>
        <w:rPr>
          <w:rFonts w:ascii="宋体" w:hAnsi="宋体" w:eastAsia="宋体" w:cs="宋体"/>
          <w:spacing w:val="-1"/>
          <w:sz w:val="24"/>
          <w:szCs w:val="24"/>
        </w:rPr>
        <w:t>标的污染物，计算其超标倍数和超标率。</w:t>
      </w:r>
    </w:p>
    <w:p w14:paraId="460D1D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ascii="宋体" w:hAnsi="宋体" w:eastAsia="宋体" w:cs="宋体"/>
          <w:sz w:val="24"/>
          <w:szCs w:val="24"/>
        </w:rPr>
      </w:pPr>
      <w:r>
        <w:rPr>
          <w:rFonts w:hint="eastAsia" w:ascii="宋体" w:hAnsi="宋体" w:eastAsia="宋体" w:cs="宋体"/>
          <w:spacing w:val="-4"/>
          <w:sz w:val="24"/>
          <w:szCs w:val="24"/>
          <w:lang w:eastAsia="zh-CN"/>
        </w:rPr>
        <w:t>（</w:t>
      </w:r>
      <w:r>
        <w:rPr>
          <w:rFonts w:hint="eastAsia" w:ascii="宋体" w:hAnsi="宋体" w:eastAsia="宋体" w:cs="宋体"/>
          <w:spacing w:val="-4"/>
          <w:sz w:val="24"/>
          <w:szCs w:val="24"/>
          <w:lang w:val="en-US" w:eastAsia="zh-CN"/>
        </w:rPr>
        <w:t>4</w:t>
      </w:r>
      <w:r>
        <w:rPr>
          <w:rFonts w:hint="eastAsia" w:ascii="宋体" w:hAnsi="宋体" w:eastAsia="宋体" w:cs="宋体"/>
          <w:spacing w:val="-4"/>
          <w:sz w:val="24"/>
          <w:szCs w:val="24"/>
          <w:lang w:eastAsia="zh-CN"/>
        </w:rPr>
        <w:t>）</w:t>
      </w:r>
      <w:r>
        <w:rPr>
          <w:rFonts w:ascii="宋体" w:hAnsi="宋体" w:eastAsia="宋体" w:cs="宋体"/>
          <w:spacing w:val="-4"/>
          <w:sz w:val="24"/>
          <w:szCs w:val="24"/>
        </w:rPr>
        <w:t>空气质量达标区的判定</w:t>
      </w:r>
    </w:p>
    <w:p w14:paraId="795E5F5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环境空气质量现状评价结果见表</w:t>
      </w:r>
      <w:r>
        <w:rPr>
          <w:rFonts w:ascii="宋体" w:hAnsi="宋体" w:eastAsia="宋体" w:cs="宋体"/>
          <w:spacing w:val="-51"/>
          <w:sz w:val="24"/>
          <w:szCs w:val="24"/>
        </w:rPr>
        <w:t xml:space="preserve"> </w:t>
      </w:r>
      <w:r>
        <w:rPr>
          <w:rFonts w:ascii="宋体" w:hAnsi="宋体" w:eastAsia="宋体" w:cs="宋体"/>
          <w:spacing w:val="-1"/>
          <w:sz w:val="24"/>
          <w:szCs w:val="24"/>
        </w:rPr>
        <w:t>4-2-1。</w:t>
      </w:r>
    </w:p>
    <w:p w14:paraId="76BD54DA">
      <w:pPr>
        <w:spacing w:before="183" w:line="213" w:lineRule="auto"/>
        <w:jc w:val="center"/>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5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4-2-1</w:t>
      </w:r>
      <w:r>
        <w:rPr>
          <w:rFonts w:ascii="宋体" w:hAnsi="宋体" w:eastAsia="宋体" w:cs="宋体"/>
          <w:spacing w:val="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区域空气质量现状评价表</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712"/>
        <w:gridCol w:w="1235"/>
        <w:gridCol w:w="1169"/>
        <w:gridCol w:w="1106"/>
        <w:gridCol w:w="952"/>
      </w:tblGrid>
      <w:tr w14:paraId="014D3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noWrap w:val="0"/>
            <w:vAlign w:val="center"/>
          </w:tcPr>
          <w:p w14:paraId="236B6231">
            <w:pPr>
              <w:pStyle w:val="9"/>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4"/>
                <w:kern w:val="2"/>
                <w:sz w:val="21"/>
                <w:szCs w:val="21"/>
                <w:lang w:val="en-US" w:eastAsia="zh-CN" w:bidi="ar"/>
                <w14:textFill>
                  <w14:solidFill>
                    <w14:schemeClr w14:val="tx1"/>
                  </w14:solidFill>
                </w14:textFill>
              </w:rPr>
              <w:t>污染物</w:t>
            </w:r>
          </w:p>
        </w:tc>
        <w:tc>
          <w:tcPr>
            <w:tcW w:w="1981" w:type="pct"/>
            <w:tcBorders>
              <w:tl2br w:val="nil"/>
              <w:tr2bl w:val="nil"/>
            </w:tcBorders>
            <w:noWrap w:val="0"/>
            <w:vAlign w:val="center"/>
          </w:tcPr>
          <w:p w14:paraId="04F9207A">
            <w:pPr>
              <w:pStyle w:val="9"/>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4"/>
                <w:kern w:val="2"/>
                <w:sz w:val="21"/>
                <w:szCs w:val="21"/>
                <w:lang w:val="en-US" w:eastAsia="zh-CN" w:bidi="ar"/>
                <w14:textFill>
                  <w14:solidFill>
                    <w14:schemeClr w14:val="tx1"/>
                  </w14:solidFill>
                </w14:textFill>
              </w:rPr>
              <w:t>年评价指标</w:t>
            </w:r>
          </w:p>
        </w:tc>
        <w:tc>
          <w:tcPr>
            <w:tcW w:w="659" w:type="pct"/>
            <w:tcBorders>
              <w:tl2br w:val="nil"/>
              <w:tr2bl w:val="nil"/>
            </w:tcBorders>
            <w:noWrap w:val="0"/>
            <w:vAlign w:val="center"/>
          </w:tcPr>
          <w:p w14:paraId="31E36180">
            <w:pPr>
              <w:pStyle w:val="9"/>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4"/>
                <w:kern w:val="2"/>
                <w:sz w:val="21"/>
                <w:szCs w:val="21"/>
                <w:lang w:val="en-US" w:eastAsia="zh-CN" w:bidi="ar"/>
                <w14:textFill>
                  <w14:solidFill>
                    <w14:schemeClr w14:val="tx1"/>
                  </w14:solidFill>
                </w14:textFill>
              </w:rPr>
              <w:t>现状浓度</w:t>
            </w: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µg/m</w:t>
            </w:r>
            <w:r>
              <w:rPr>
                <w:rFonts w:hint="default" w:ascii="Times New Roman" w:hAnsi="Times New Roman" w:eastAsia="宋体" w:cs="Times New Roman"/>
                <w:b/>
                <w:bCs/>
                <w:color w:val="000000" w:themeColor="text1"/>
                <w:kern w:val="2"/>
                <w:sz w:val="21"/>
                <w:szCs w:val="21"/>
                <w:vertAlign w:val="superscript"/>
                <w:lang w:val="en-US" w:eastAsia="zh-CN" w:bidi="ar"/>
                <w14:textFill>
                  <w14:solidFill>
                    <w14:schemeClr w14:val="tx1"/>
                  </w14:solidFill>
                </w14:textFill>
              </w:rPr>
              <w:t>3</w:t>
            </w:r>
          </w:p>
        </w:tc>
        <w:tc>
          <w:tcPr>
            <w:tcW w:w="624" w:type="pct"/>
            <w:tcBorders>
              <w:tl2br w:val="nil"/>
              <w:tr2bl w:val="nil"/>
            </w:tcBorders>
            <w:noWrap w:val="0"/>
            <w:vAlign w:val="center"/>
          </w:tcPr>
          <w:p w14:paraId="2DDE1308">
            <w:pPr>
              <w:pStyle w:val="9"/>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标准值µg/m</w:t>
            </w:r>
            <w:r>
              <w:rPr>
                <w:rFonts w:hint="default" w:ascii="Times New Roman" w:hAnsi="Times New Roman" w:eastAsia="宋体" w:cs="Times New Roman"/>
                <w:b/>
                <w:bCs/>
                <w:color w:val="000000" w:themeColor="text1"/>
                <w:kern w:val="2"/>
                <w:sz w:val="21"/>
                <w:szCs w:val="21"/>
                <w:vertAlign w:val="superscript"/>
                <w:lang w:val="en-US" w:eastAsia="zh-CN" w:bidi="ar"/>
                <w14:textFill>
                  <w14:solidFill>
                    <w14:schemeClr w14:val="tx1"/>
                  </w14:solidFill>
                </w14:textFill>
              </w:rPr>
              <w:t>3</w:t>
            </w:r>
          </w:p>
        </w:tc>
        <w:tc>
          <w:tcPr>
            <w:tcW w:w="590" w:type="pct"/>
            <w:tcBorders>
              <w:tl2br w:val="nil"/>
              <w:tr2bl w:val="nil"/>
            </w:tcBorders>
            <w:noWrap w:val="0"/>
            <w:vAlign w:val="center"/>
          </w:tcPr>
          <w:p w14:paraId="69593AEB">
            <w:pPr>
              <w:pStyle w:val="9"/>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占标率%</w:t>
            </w:r>
          </w:p>
        </w:tc>
        <w:tc>
          <w:tcPr>
            <w:tcW w:w="508" w:type="pct"/>
            <w:tcBorders>
              <w:tl2br w:val="nil"/>
              <w:tr2bl w:val="nil"/>
            </w:tcBorders>
            <w:noWrap w:val="0"/>
            <w:vAlign w:val="center"/>
          </w:tcPr>
          <w:p w14:paraId="3B5B60EC">
            <w:pPr>
              <w:pStyle w:val="9"/>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达标情况</w:t>
            </w:r>
          </w:p>
        </w:tc>
      </w:tr>
      <w:tr w14:paraId="6E169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35" w:type="pct"/>
            <w:tcBorders>
              <w:tl2br w:val="nil"/>
              <w:tr2bl w:val="nil"/>
            </w:tcBorders>
            <w:noWrap w:val="0"/>
            <w:vAlign w:val="center"/>
          </w:tcPr>
          <w:p w14:paraId="2A686AED">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2</w:t>
            </w:r>
          </w:p>
        </w:tc>
        <w:tc>
          <w:tcPr>
            <w:tcW w:w="1981" w:type="pct"/>
            <w:tcBorders>
              <w:tl2br w:val="nil"/>
              <w:tr2bl w:val="nil"/>
            </w:tcBorders>
            <w:noWrap w:val="0"/>
            <w:vAlign w:val="center"/>
          </w:tcPr>
          <w:p w14:paraId="2503C545">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659" w:type="pct"/>
            <w:tcBorders>
              <w:tl2br w:val="nil"/>
              <w:tr2bl w:val="nil"/>
            </w:tcBorders>
            <w:noWrap w:val="0"/>
            <w:vAlign w:val="center"/>
          </w:tcPr>
          <w:p w14:paraId="59F8422B">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6</w:t>
            </w:r>
          </w:p>
        </w:tc>
        <w:tc>
          <w:tcPr>
            <w:tcW w:w="624" w:type="pct"/>
            <w:tcBorders>
              <w:tl2br w:val="nil"/>
              <w:tr2bl w:val="nil"/>
            </w:tcBorders>
            <w:noWrap w:val="0"/>
            <w:vAlign w:val="center"/>
          </w:tcPr>
          <w:p w14:paraId="002860FD">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rPr>
            </w:pPr>
            <w:r>
              <w:rPr>
                <w:rFonts w:hint="default" w:ascii="Times New Roman" w:hAnsi="Times New Roman" w:eastAsia="宋体" w:cs="Times New Roman"/>
                <w:color w:val="auto"/>
                <w:spacing w:val="-4"/>
                <w:kern w:val="2"/>
                <w:sz w:val="21"/>
                <w:szCs w:val="21"/>
                <w:lang w:val="en-US" w:eastAsia="zh-CN" w:bidi="ar"/>
              </w:rPr>
              <w:t>60</w:t>
            </w:r>
          </w:p>
        </w:tc>
        <w:tc>
          <w:tcPr>
            <w:tcW w:w="590" w:type="pct"/>
            <w:tcBorders>
              <w:tl2br w:val="nil"/>
              <w:tr2bl w:val="nil"/>
            </w:tcBorders>
            <w:noWrap w:val="0"/>
            <w:vAlign w:val="center"/>
          </w:tcPr>
          <w:p w14:paraId="598A82FA">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10</w:t>
            </w:r>
          </w:p>
        </w:tc>
        <w:tc>
          <w:tcPr>
            <w:tcW w:w="508" w:type="pct"/>
            <w:tcBorders>
              <w:tl2br w:val="nil"/>
              <w:tr2bl w:val="nil"/>
            </w:tcBorders>
            <w:noWrap w:val="0"/>
            <w:vAlign w:val="center"/>
          </w:tcPr>
          <w:p w14:paraId="32DCAC1B">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r w14:paraId="4C2F7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noWrap w:val="0"/>
            <w:vAlign w:val="center"/>
          </w:tcPr>
          <w:p w14:paraId="7C18E0DC">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NO</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2</w:t>
            </w:r>
          </w:p>
        </w:tc>
        <w:tc>
          <w:tcPr>
            <w:tcW w:w="1981" w:type="pct"/>
            <w:tcBorders>
              <w:tl2br w:val="nil"/>
              <w:tr2bl w:val="nil"/>
            </w:tcBorders>
            <w:noWrap w:val="0"/>
            <w:vAlign w:val="center"/>
          </w:tcPr>
          <w:p w14:paraId="78AB3ABD">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659" w:type="pct"/>
            <w:tcBorders>
              <w:tl2br w:val="nil"/>
              <w:tr2bl w:val="nil"/>
            </w:tcBorders>
            <w:noWrap w:val="0"/>
            <w:vAlign w:val="center"/>
          </w:tcPr>
          <w:p w14:paraId="1913083E">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32</w:t>
            </w:r>
          </w:p>
        </w:tc>
        <w:tc>
          <w:tcPr>
            <w:tcW w:w="624" w:type="pct"/>
            <w:tcBorders>
              <w:tl2br w:val="nil"/>
              <w:tr2bl w:val="nil"/>
            </w:tcBorders>
            <w:noWrap w:val="0"/>
            <w:vAlign w:val="center"/>
          </w:tcPr>
          <w:p w14:paraId="1FE795D7">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rPr>
            </w:pPr>
            <w:r>
              <w:rPr>
                <w:rFonts w:hint="default" w:ascii="Times New Roman" w:hAnsi="Times New Roman" w:eastAsia="宋体" w:cs="Times New Roman"/>
                <w:color w:val="auto"/>
                <w:spacing w:val="-4"/>
                <w:kern w:val="2"/>
                <w:sz w:val="21"/>
                <w:szCs w:val="21"/>
                <w:lang w:val="en-US" w:eastAsia="zh-CN" w:bidi="ar"/>
              </w:rPr>
              <w:t>40</w:t>
            </w:r>
          </w:p>
        </w:tc>
        <w:tc>
          <w:tcPr>
            <w:tcW w:w="590" w:type="pct"/>
            <w:tcBorders>
              <w:tl2br w:val="nil"/>
              <w:tr2bl w:val="nil"/>
            </w:tcBorders>
            <w:noWrap w:val="0"/>
            <w:vAlign w:val="center"/>
          </w:tcPr>
          <w:p w14:paraId="03AFED8E">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80</w:t>
            </w:r>
          </w:p>
        </w:tc>
        <w:tc>
          <w:tcPr>
            <w:tcW w:w="508" w:type="pct"/>
            <w:tcBorders>
              <w:tl2br w:val="nil"/>
              <w:tr2bl w:val="nil"/>
            </w:tcBorders>
            <w:noWrap w:val="0"/>
            <w:vAlign w:val="center"/>
          </w:tcPr>
          <w:p w14:paraId="57046754">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r w14:paraId="354E4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noWrap w:val="0"/>
            <w:vAlign w:val="center"/>
          </w:tcPr>
          <w:p w14:paraId="74733FED">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10</w:t>
            </w:r>
          </w:p>
        </w:tc>
        <w:tc>
          <w:tcPr>
            <w:tcW w:w="1981" w:type="pct"/>
            <w:tcBorders>
              <w:tl2br w:val="nil"/>
              <w:tr2bl w:val="nil"/>
            </w:tcBorders>
            <w:noWrap w:val="0"/>
            <w:vAlign w:val="center"/>
          </w:tcPr>
          <w:p w14:paraId="3547C1E1">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659" w:type="pct"/>
            <w:tcBorders>
              <w:tl2br w:val="nil"/>
              <w:tr2bl w:val="nil"/>
            </w:tcBorders>
            <w:noWrap w:val="0"/>
            <w:vAlign w:val="center"/>
          </w:tcPr>
          <w:p w14:paraId="57934547">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default" w:ascii="Times New Roman" w:hAnsi="Times New Roman" w:eastAsia="宋体" w:cs="Times New Roman"/>
                <w:color w:val="auto"/>
                <w:spacing w:val="-4"/>
                <w:kern w:val="2"/>
                <w:sz w:val="21"/>
                <w:szCs w:val="21"/>
                <w:lang w:val="en-US" w:eastAsia="zh-CN"/>
              </w:rPr>
              <w:t>1</w:t>
            </w:r>
            <w:r>
              <w:rPr>
                <w:rFonts w:hint="eastAsia" w:ascii="Times New Roman" w:hAnsi="Times New Roman" w:cs="Times New Roman"/>
                <w:color w:val="auto"/>
                <w:spacing w:val="-4"/>
                <w:kern w:val="2"/>
                <w:sz w:val="21"/>
                <w:szCs w:val="21"/>
                <w:lang w:val="en-US" w:eastAsia="zh-CN"/>
              </w:rPr>
              <w:t>47</w:t>
            </w:r>
          </w:p>
        </w:tc>
        <w:tc>
          <w:tcPr>
            <w:tcW w:w="624" w:type="pct"/>
            <w:tcBorders>
              <w:tl2br w:val="nil"/>
              <w:tr2bl w:val="nil"/>
            </w:tcBorders>
            <w:noWrap w:val="0"/>
            <w:vAlign w:val="center"/>
          </w:tcPr>
          <w:p w14:paraId="7A3310BA">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rPr>
            </w:pPr>
            <w:r>
              <w:rPr>
                <w:rFonts w:hint="default" w:ascii="Times New Roman" w:hAnsi="Times New Roman" w:eastAsia="宋体" w:cs="Times New Roman"/>
                <w:color w:val="auto"/>
                <w:spacing w:val="-4"/>
                <w:kern w:val="2"/>
                <w:sz w:val="21"/>
                <w:szCs w:val="21"/>
                <w:lang w:val="en-US" w:eastAsia="zh-CN" w:bidi="ar"/>
              </w:rPr>
              <w:t>70</w:t>
            </w:r>
          </w:p>
        </w:tc>
        <w:tc>
          <w:tcPr>
            <w:tcW w:w="590" w:type="pct"/>
            <w:tcBorders>
              <w:tl2br w:val="nil"/>
              <w:tr2bl w:val="nil"/>
            </w:tcBorders>
            <w:noWrap w:val="0"/>
            <w:vAlign w:val="center"/>
          </w:tcPr>
          <w:p w14:paraId="1337B6B5">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210</w:t>
            </w:r>
          </w:p>
        </w:tc>
        <w:tc>
          <w:tcPr>
            <w:tcW w:w="508" w:type="pct"/>
            <w:tcBorders>
              <w:tl2br w:val="nil"/>
              <w:tr2bl w:val="nil"/>
            </w:tcBorders>
            <w:noWrap w:val="0"/>
            <w:vAlign w:val="center"/>
          </w:tcPr>
          <w:p w14:paraId="4FB7D9E1">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超标</w:t>
            </w:r>
          </w:p>
        </w:tc>
      </w:tr>
      <w:tr w14:paraId="5C924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pct"/>
            <w:tcBorders>
              <w:tl2br w:val="nil"/>
              <w:tr2bl w:val="nil"/>
            </w:tcBorders>
            <w:noWrap w:val="0"/>
            <w:vAlign w:val="center"/>
          </w:tcPr>
          <w:p w14:paraId="2EF11BBB">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2.5</w:t>
            </w:r>
          </w:p>
        </w:tc>
        <w:tc>
          <w:tcPr>
            <w:tcW w:w="1981" w:type="pct"/>
            <w:tcBorders>
              <w:tl2br w:val="nil"/>
              <w:tr2bl w:val="nil"/>
            </w:tcBorders>
            <w:noWrap w:val="0"/>
            <w:vAlign w:val="center"/>
          </w:tcPr>
          <w:p w14:paraId="188F4A59">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659" w:type="pct"/>
            <w:tcBorders>
              <w:tl2br w:val="nil"/>
              <w:tr2bl w:val="nil"/>
            </w:tcBorders>
            <w:noWrap w:val="0"/>
            <w:vAlign w:val="center"/>
          </w:tcPr>
          <w:p w14:paraId="640A58B0">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46</w:t>
            </w:r>
          </w:p>
        </w:tc>
        <w:tc>
          <w:tcPr>
            <w:tcW w:w="624" w:type="pct"/>
            <w:tcBorders>
              <w:tl2br w:val="nil"/>
              <w:tr2bl w:val="nil"/>
            </w:tcBorders>
            <w:noWrap w:val="0"/>
            <w:vAlign w:val="center"/>
          </w:tcPr>
          <w:p w14:paraId="3F25481A">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rPr>
            </w:pPr>
            <w:r>
              <w:rPr>
                <w:rFonts w:hint="default" w:ascii="Times New Roman" w:hAnsi="Times New Roman" w:eastAsia="宋体" w:cs="Times New Roman"/>
                <w:color w:val="auto"/>
                <w:spacing w:val="-4"/>
                <w:kern w:val="2"/>
                <w:sz w:val="21"/>
                <w:szCs w:val="21"/>
                <w:lang w:val="en-US" w:eastAsia="zh-CN" w:bidi="ar"/>
              </w:rPr>
              <w:t>35</w:t>
            </w:r>
          </w:p>
        </w:tc>
        <w:tc>
          <w:tcPr>
            <w:tcW w:w="590" w:type="pct"/>
            <w:tcBorders>
              <w:tl2br w:val="nil"/>
              <w:tr2bl w:val="nil"/>
            </w:tcBorders>
            <w:noWrap w:val="0"/>
            <w:vAlign w:val="center"/>
          </w:tcPr>
          <w:p w14:paraId="2CF5F109">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131</w:t>
            </w:r>
          </w:p>
        </w:tc>
        <w:tc>
          <w:tcPr>
            <w:tcW w:w="508" w:type="pct"/>
            <w:tcBorders>
              <w:tl2br w:val="nil"/>
              <w:tr2bl w:val="nil"/>
            </w:tcBorders>
            <w:noWrap w:val="0"/>
            <w:vAlign w:val="center"/>
          </w:tcPr>
          <w:p w14:paraId="5D53254E">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超标</w:t>
            </w:r>
          </w:p>
        </w:tc>
      </w:tr>
      <w:tr w14:paraId="1CE45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noWrap w:val="0"/>
            <w:vAlign w:val="center"/>
          </w:tcPr>
          <w:p w14:paraId="2511D49B">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CO</w:t>
            </w:r>
          </w:p>
        </w:tc>
        <w:tc>
          <w:tcPr>
            <w:tcW w:w="1981" w:type="pct"/>
            <w:tcBorders>
              <w:tl2br w:val="nil"/>
              <w:tr2bl w:val="nil"/>
            </w:tcBorders>
            <w:noWrap w:val="0"/>
            <w:vAlign w:val="center"/>
          </w:tcPr>
          <w:p w14:paraId="1530421D">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24小时平均第95百分位数</w:t>
            </w:r>
          </w:p>
        </w:tc>
        <w:tc>
          <w:tcPr>
            <w:tcW w:w="659" w:type="pct"/>
            <w:tcBorders>
              <w:tl2br w:val="nil"/>
              <w:tr2bl w:val="nil"/>
            </w:tcBorders>
            <w:noWrap w:val="0"/>
            <w:vAlign w:val="center"/>
          </w:tcPr>
          <w:p w14:paraId="4B7E128F">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84</w:t>
            </w:r>
            <w:r>
              <w:rPr>
                <w:rFonts w:hint="default" w:ascii="Times New Roman" w:hAnsi="Times New Roman" w:eastAsia="宋体" w:cs="Times New Roman"/>
                <w:color w:val="auto"/>
                <w:spacing w:val="-4"/>
                <w:kern w:val="2"/>
                <w:sz w:val="21"/>
                <w:szCs w:val="21"/>
                <w:lang w:val="en-US" w:eastAsia="zh-CN"/>
              </w:rPr>
              <w:t>0</w:t>
            </w:r>
          </w:p>
        </w:tc>
        <w:tc>
          <w:tcPr>
            <w:tcW w:w="624" w:type="pct"/>
            <w:tcBorders>
              <w:tl2br w:val="nil"/>
              <w:tr2bl w:val="nil"/>
            </w:tcBorders>
            <w:noWrap w:val="0"/>
            <w:vAlign w:val="center"/>
          </w:tcPr>
          <w:p w14:paraId="55C9AC2A">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rPr>
            </w:pPr>
            <w:r>
              <w:rPr>
                <w:rFonts w:hint="default" w:ascii="Times New Roman" w:hAnsi="Times New Roman" w:eastAsia="宋体" w:cs="Times New Roman"/>
                <w:color w:val="auto"/>
                <w:spacing w:val="-4"/>
                <w:kern w:val="2"/>
                <w:sz w:val="21"/>
                <w:szCs w:val="21"/>
                <w:lang w:val="en-US" w:eastAsia="zh-CN" w:bidi="ar"/>
              </w:rPr>
              <w:t>4000</w:t>
            </w:r>
          </w:p>
        </w:tc>
        <w:tc>
          <w:tcPr>
            <w:tcW w:w="590" w:type="pct"/>
            <w:tcBorders>
              <w:tl2br w:val="nil"/>
              <w:tr2bl w:val="nil"/>
            </w:tcBorders>
            <w:noWrap w:val="0"/>
            <w:vAlign w:val="center"/>
          </w:tcPr>
          <w:p w14:paraId="32767C9E">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21</w:t>
            </w:r>
          </w:p>
        </w:tc>
        <w:tc>
          <w:tcPr>
            <w:tcW w:w="508" w:type="pct"/>
            <w:tcBorders>
              <w:tl2br w:val="nil"/>
              <w:tr2bl w:val="nil"/>
            </w:tcBorders>
            <w:noWrap w:val="0"/>
            <w:vAlign w:val="center"/>
          </w:tcPr>
          <w:p w14:paraId="6DE72D1A">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r w14:paraId="7C3FE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tcBorders>
              <w:tl2br w:val="nil"/>
              <w:tr2bl w:val="nil"/>
            </w:tcBorders>
            <w:noWrap w:val="0"/>
            <w:vAlign w:val="center"/>
          </w:tcPr>
          <w:p w14:paraId="064E6506">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O3</w:t>
            </w:r>
          </w:p>
        </w:tc>
        <w:tc>
          <w:tcPr>
            <w:tcW w:w="1981" w:type="pct"/>
            <w:tcBorders>
              <w:tl2br w:val="nil"/>
              <w:tr2bl w:val="nil"/>
            </w:tcBorders>
            <w:noWrap w:val="0"/>
            <w:vAlign w:val="center"/>
          </w:tcPr>
          <w:p w14:paraId="5304F861">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日最大8小时平均第90百分位数</w:t>
            </w:r>
          </w:p>
        </w:tc>
        <w:tc>
          <w:tcPr>
            <w:tcW w:w="659" w:type="pct"/>
            <w:tcBorders>
              <w:tl2br w:val="nil"/>
              <w:tr2bl w:val="nil"/>
            </w:tcBorders>
            <w:noWrap w:val="0"/>
            <w:vAlign w:val="center"/>
          </w:tcPr>
          <w:p w14:paraId="7F29ED26">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95</w:t>
            </w:r>
          </w:p>
        </w:tc>
        <w:tc>
          <w:tcPr>
            <w:tcW w:w="624" w:type="pct"/>
            <w:tcBorders>
              <w:tl2br w:val="nil"/>
              <w:tr2bl w:val="nil"/>
            </w:tcBorders>
            <w:noWrap w:val="0"/>
            <w:vAlign w:val="center"/>
          </w:tcPr>
          <w:p w14:paraId="09D0D664">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rPr>
            </w:pPr>
            <w:r>
              <w:rPr>
                <w:rFonts w:hint="default" w:ascii="Times New Roman" w:hAnsi="Times New Roman" w:eastAsia="宋体" w:cs="Times New Roman"/>
                <w:color w:val="auto"/>
                <w:spacing w:val="-4"/>
                <w:kern w:val="2"/>
                <w:sz w:val="21"/>
                <w:szCs w:val="21"/>
                <w:lang w:val="en-US" w:eastAsia="zh-CN" w:bidi="ar"/>
              </w:rPr>
              <w:t>160</w:t>
            </w:r>
          </w:p>
        </w:tc>
        <w:tc>
          <w:tcPr>
            <w:tcW w:w="590" w:type="pct"/>
            <w:tcBorders>
              <w:tl2br w:val="nil"/>
              <w:tr2bl w:val="nil"/>
            </w:tcBorders>
            <w:noWrap w:val="0"/>
            <w:vAlign w:val="center"/>
          </w:tcPr>
          <w:p w14:paraId="374E8A94">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4"/>
                <w:kern w:val="2"/>
                <w:sz w:val="21"/>
                <w:szCs w:val="21"/>
                <w:lang w:val="en-US" w:eastAsia="zh-CN"/>
              </w:rPr>
            </w:pPr>
            <w:r>
              <w:rPr>
                <w:rFonts w:hint="eastAsia" w:ascii="Times New Roman" w:hAnsi="Times New Roman" w:cs="Times New Roman"/>
                <w:color w:val="auto"/>
                <w:spacing w:val="-4"/>
                <w:kern w:val="2"/>
                <w:sz w:val="21"/>
                <w:szCs w:val="21"/>
                <w:lang w:val="en-US" w:eastAsia="zh-CN"/>
              </w:rPr>
              <w:t>59</w:t>
            </w:r>
          </w:p>
        </w:tc>
        <w:tc>
          <w:tcPr>
            <w:tcW w:w="508" w:type="pct"/>
            <w:tcBorders>
              <w:tl2br w:val="nil"/>
              <w:tr2bl w:val="nil"/>
            </w:tcBorders>
            <w:noWrap w:val="0"/>
            <w:vAlign w:val="center"/>
          </w:tcPr>
          <w:p w14:paraId="4620FFFD">
            <w:pPr>
              <w:pStyle w:val="9"/>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bl>
    <w:p w14:paraId="09D247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z w:val="24"/>
          <w:szCs w:val="24"/>
        </w:rPr>
      </w:pPr>
      <w:r>
        <w:rPr>
          <w:rFonts w:hint="eastAsia" w:ascii="宋体" w:hAnsi="宋体" w:eastAsia="宋体" w:cs="宋体"/>
          <w:spacing w:val="-2"/>
          <w:sz w:val="24"/>
          <w:szCs w:val="24"/>
        </w:rPr>
        <w:t>吐鲁番地区202</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rPr>
        <w:t>年SO</w:t>
      </w:r>
      <w:r>
        <w:rPr>
          <w:rFonts w:hint="eastAsia" w:ascii="宋体" w:hAnsi="宋体" w:eastAsia="宋体" w:cs="宋体"/>
          <w:spacing w:val="-2"/>
          <w:sz w:val="24"/>
          <w:szCs w:val="24"/>
          <w:vertAlign w:val="subscript"/>
        </w:rPr>
        <w:t>2</w:t>
      </w:r>
      <w:r>
        <w:rPr>
          <w:rFonts w:hint="eastAsia" w:ascii="宋体" w:hAnsi="宋体" w:eastAsia="宋体" w:cs="宋体"/>
          <w:spacing w:val="-2"/>
          <w:sz w:val="24"/>
          <w:szCs w:val="24"/>
        </w:rPr>
        <w:t>、NO</w:t>
      </w:r>
      <w:r>
        <w:rPr>
          <w:rFonts w:hint="eastAsia" w:ascii="宋体" w:hAnsi="宋体" w:eastAsia="宋体" w:cs="宋体"/>
          <w:spacing w:val="-2"/>
          <w:sz w:val="24"/>
          <w:szCs w:val="24"/>
          <w:vertAlign w:val="subscript"/>
        </w:rPr>
        <w:t>2</w:t>
      </w:r>
      <w:r>
        <w:rPr>
          <w:rFonts w:hint="eastAsia" w:ascii="宋体" w:hAnsi="宋体" w:eastAsia="宋体" w:cs="宋体"/>
          <w:spacing w:val="-2"/>
          <w:sz w:val="24"/>
          <w:szCs w:val="24"/>
        </w:rPr>
        <w:t>年平均，CO的95百分位24小时平均、O3的90百分位8小时平均浓度值均满足《环境空气质量标准》（GB3095-2012）的二级标准，PM</w:t>
      </w:r>
      <w:r>
        <w:rPr>
          <w:rFonts w:hint="eastAsia" w:ascii="宋体" w:hAnsi="宋体" w:eastAsia="宋体" w:cs="宋体"/>
          <w:spacing w:val="-2"/>
          <w:sz w:val="24"/>
          <w:szCs w:val="24"/>
          <w:vertAlign w:val="subscript"/>
        </w:rPr>
        <w:t>10</w:t>
      </w:r>
      <w:r>
        <w:rPr>
          <w:rFonts w:hint="eastAsia" w:ascii="宋体" w:hAnsi="宋体" w:eastAsia="宋体" w:cs="宋体"/>
          <w:spacing w:val="-2"/>
          <w:sz w:val="24"/>
          <w:szCs w:val="24"/>
        </w:rPr>
        <w:t>、PM</w:t>
      </w:r>
      <w:r>
        <w:rPr>
          <w:rFonts w:hint="eastAsia" w:ascii="宋体" w:hAnsi="宋体" w:eastAsia="宋体" w:cs="宋体"/>
          <w:spacing w:val="-2"/>
          <w:sz w:val="24"/>
          <w:szCs w:val="24"/>
          <w:vertAlign w:val="subscript"/>
        </w:rPr>
        <w:t>2.5</w:t>
      </w:r>
      <w:r>
        <w:rPr>
          <w:rFonts w:hint="eastAsia" w:ascii="宋体" w:hAnsi="宋体" w:eastAsia="宋体" w:cs="宋体"/>
          <w:spacing w:val="-2"/>
          <w:sz w:val="24"/>
          <w:szCs w:val="24"/>
        </w:rPr>
        <w:t>年平均浓度超过《环境空气质量标准》（GB3095-2012）及修改单中二级标准限值，属于不达标区。超标的主要原因为项目所在区域气候干燥，沙尘天气影响导致PM2.5、PM10年平均浓度超标。</w:t>
      </w:r>
    </w:p>
    <w:p w14:paraId="00E1B4B7">
      <w:pPr>
        <w:pStyle w:val="3"/>
        <w:spacing w:line="262" w:lineRule="auto"/>
      </w:pPr>
    </w:p>
    <w:p w14:paraId="2986A541">
      <w:pPr>
        <w:spacing w:before="98" w:line="218" w:lineRule="auto"/>
        <w:ind w:left="10"/>
        <w:outlineLvl w:val="1"/>
        <w:rPr>
          <w:rFonts w:hint="eastAsia" w:ascii="黑体" w:hAnsi="黑体" w:eastAsia="黑体" w:cs="黑体"/>
          <w:sz w:val="30"/>
          <w:szCs w:val="30"/>
        </w:rPr>
      </w:pPr>
      <w:bookmarkStart w:id="26" w:name="bookmark22"/>
      <w:bookmarkEnd w:id="26"/>
      <w:r>
        <w:rPr>
          <w:rFonts w:hint="eastAsia" w:ascii="黑体" w:hAnsi="黑体" w:eastAsia="黑体" w:cs="黑体"/>
          <w:spacing w:val="2"/>
          <w:sz w:val="30"/>
          <w:szCs w:val="30"/>
          <w14:textOutline w14:w="5448" w14:cap="sq" w14:cmpd="sng">
            <w14:solidFill>
              <w14:srgbClr w14:val="000000"/>
            </w14:solidFill>
            <w14:prstDash w14:val="solid"/>
            <w14:bevel/>
          </w14:textOutline>
        </w:rPr>
        <w:t>4.3</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地表水环境现状评价</w:t>
      </w:r>
    </w:p>
    <w:p w14:paraId="64E61F3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sz w:val="24"/>
          <w:szCs w:val="24"/>
          <w:lang w:eastAsia="zh-CN"/>
        </w:rPr>
      </w:pPr>
      <w:r>
        <w:rPr>
          <w:rFonts w:ascii="宋体" w:hAnsi="宋体" w:eastAsia="宋体" w:cs="宋体"/>
          <w:spacing w:val="-5"/>
          <w:position w:val="17"/>
          <w:sz w:val="24"/>
          <w:szCs w:val="24"/>
        </w:rPr>
        <w:t>本工程地表水环境质量现状工作委托</w:t>
      </w:r>
      <w:r>
        <w:rPr>
          <w:rFonts w:hint="eastAsia" w:ascii="宋体" w:hAnsi="宋体" w:eastAsia="宋体" w:cs="宋体"/>
          <w:spacing w:val="-5"/>
          <w:position w:val="17"/>
          <w:sz w:val="24"/>
          <w:szCs w:val="24"/>
          <w:lang w:eastAsia="zh-CN"/>
        </w:rPr>
        <w:t>新疆国科检测有限公司</w:t>
      </w:r>
      <w:r>
        <w:rPr>
          <w:rFonts w:ascii="宋体" w:hAnsi="宋体" w:eastAsia="宋体" w:cs="宋体"/>
          <w:spacing w:val="-5"/>
          <w:position w:val="17"/>
          <w:sz w:val="24"/>
          <w:szCs w:val="24"/>
        </w:rPr>
        <w:t>(有限公司)进行监测</w:t>
      </w:r>
      <w:r>
        <w:rPr>
          <w:rFonts w:hint="eastAsia" w:ascii="宋体" w:hAnsi="宋体" w:eastAsia="宋体" w:cs="宋体"/>
          <w:spacing w:val="-5"/>
          <w:position w:val="17"/>
          <w:sz w:val="24"/>
          <w:szCs w:val="24"/>
          <w:lang w:eastAsia="zh-CN"/>
        </w:rPr>
        <w:t>，</w:t>
      </w:r>
      <w:r>
        <w:rPr>
          <w:rFonts w:hint="eastAsia" w:ascii="宋体" w:hAnsi="宋体" w:eastAsia="宋体" w:cs="宋体"/>
          <w:spacing w:val="-5"/>
          <w:position w:val="17"/>
          <w:sz w:val="24"/>
          <w:szCs w:val="24"/>
          <w:lang w:val="en-US" w:eastAsia="zh-CN"/>
        </w:rPr>
        <w:t>监测</w:t>
      </w:r>
      <w:r>
        <w:rPr>
          <w:rFonts w:ascii="宋体" w:hAnsi="宋体" w:eastAsia="宋体" w:cs="宋体"/>
          <w:spacing w:val="-5"/>
          <w:position w:val="17"/>
          <w:sz w:val="24"/>
          <w:szCs w:val="24"/>
        </w:rPr>
        <w:t>时间为 202</w:t>
      </w:r>
      <w:r>
        <w:rPr>
          <w:rFonts w:hint="eastAsia" w:ascii="宋体" w:hAnsi="宋体" w:eastAsia="宋体" w:cs="宋体"/>
          <w:spacing w:val="-5"/>
          <w:position w:val="17"/>
          <w:sz w:val="24"/>
          <w:szCs w:val="24"/>
          <w:lang w:val="en-US" w:eastAsia="zh-CN"/>
        </w:rPr>
        <w:t>4</w:t>
      </w:r>
      <w:r>
        <w:rPr>
          <w:rFonts w:ascii="宋体" w:hAnsi="宋体" w:eastAsia="宋体" w:cs="宋体"/>
          <w:spacing w:val="-5"/>
          <w:position w:val="17"/>
          <w:sz w:val="24"/>
          <w:szCs w:val="24"/>
        </w:rPr>
        <w:t>年</w:t>
      </w:r>
      <w:r>
        <w:rPr>
          <w:rFonts w:hint="eastAsia" w:ascii="宋体" w:hAnsi="宋体" w:eastAsia="宋体" w:cs="宋体"/>
          <w:spacing w:val="-5"/>
          <w:position w:val="17"/>
          <w:sz w:val="24"/>
          <w:szCs w:val="24"/>
          <w:lang w:val="en-US" w:eastAsia="zh-CN"/>
        </w:rPr>
        <w:t>2</w:t>
      </w:r>
      <w:r>
        <w:rPr>
          <w:rFonts w:ascii="宋体" w:hAnsi="宋体" w:eastAsia="宋体" w:cs="宋体"/>
          <w:spacing w:val="-5"/>
          <w:position w:val="17"/>
          <w:sz w:val="24"/>
          <w:szCs w:val="24"/>
        </w:rPr>
        <w:t>月</w:t>
      </w:r>
      <w:r>
        <w:rPr>
          <w:rFonts w:hint="eastAsia" w:ascii="宋体" w:hAnsi="宋体" w:eastAsia="宋体" w:cs="宋体"/>
          <w:spacing w:val="-5"/>
          <w:position w:val="17"/>
          <w:sz w:val="24"/>
          <w:szCs w:val="24"/>
          <w:lang w:eastAsia="zh-CN"/>
        </w:rPr>
        <w:t>。</w:t>
      </w:r>
    </w:p>
    <w:p w14:paraId="05F1107B">
      <w:pPr>
        <w:spacing w:before="186" w:line="221" w:lineRule="auto"/>
        <w:ind w:left="10"/>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4.3.1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监测点位</w:t>
      </w:r>
    </w:p>
    <w:p w14:paraId="5C6A703C">
      <w:pPr>
        <w:spacing w:before="204" w:line="360" w:lineRule="auto"/>
        <w:ind w:left="6" w:right="108" w:firstLine="483"/>
        <w:rPr>
          <w:rFonts w:ascii="宋体" w:hAnsi="宋体" w:eastAsia="宋体" w:cs="宋体"/>
          <w:spacing w:val="-1"/>
          <w:sz w:val="24"/>
          <w:szCs w:val="24"/>
        </w:rPr>
      </w:pPr>
      <w:r>
        <w:rPr>
          <w:rFonts w:ascii="宋体" w:hAnsi="宋体" w:eastAsia="宋体" w:cs="宋体"/>
          <w:spacing w:val="-5"/>
          <w:sz w:val="24"/>
          <w:szCs w:val="24"/>
        </w:rPr>
        <w:t>本次环评共布设</w:t>
      </w:r>
      <w:r>
        <w:rPr>
          <w:rFonts w:hint="eastAsia" w:ascii="宋体" w:hAnsi="宋体" w:eastAsia="宋体" w:cs="宋体"/>
          <w:spacing w:val="-39"/>
          <w:sz w:val="24"/>
          <w:szCs w:val="24"/>
          <w:lang w:val="en-US" w:eastAsia="zh-CN"/>
        </w:rPr>
        <w:t>1</w:t>
      </w:r>
      <w:r>
        <w:rPr>
          <w:rFonts w:ascii="宋体" w:hAnsi="宋体" w:eastAsia="宋体" w:cs="宋体"/>
          <w:spacing w:val="-5"/>
          <w:sz w:val="24"/>
          <w:szCs w:val="24"/>
        </w:rPr>
        <w:t>个水质监测点</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监测布点及监测项目见表4-3-1。</w:t>
      </w:r>
      <w:r>
        <w:rPr>
          <w:rFonts w:ascii="宋体" w:hAnsi="宋体" w:eastAsia="宋体" w:cs="宋体"/>
          <w:spacing w:val="-10"/>
          <w:sz w:val="24"/>
          <w:szCs w:val="24"/>
        </w:rPr>
        <w:t>本工程环</w:t>
      </w:r>
      <w:r>
        <w:rPr>
          <w:rFonts w:ascii="宋体" w:hAnsi="宋体" w:eastAsia="宋体" w:cs="宋体"/>
          <w:spacing w:val="-1"/>
          <w:sz w:val="24"/>
          <w:szCs w:val="24"/>
        </w:rPr>
        <w:t>境质量现状监测布点图，见图</w:t>
      </w:r>
      <w:r>
        <w:rPr>
          <w:rFonts w:ascii="宋体" w:hAnsi="宋体" w:eastAsia="宋体" w:cs="宋体"/>
          <w:spacing w:val="-42"/>
          <w:sz w:val="24"/>
          <w:szCs w:val="24"/>
        </w:rPr>
        <w:t xml:space="preserve"> </w:t>
      </w:r>
      <w:r>
        <w:rPr>
          <w:rFonts w:ascii="宋体" w:hAnsi="宋体" w:eastAsia="宋体" w:cs="宋体"/>
          <w:spacing w:val="-1"/>
          <w:sz w:val="24"/>
          <w:szCs w:val="24"/>
        </w:rPr>
        <w:t>4-3-1。本工程现状监测实景图，见图</w:t>
      </w:r>
      <w:r>
        <w:rPr>
          <w:rFonts w:ascii="宋体" w:hAnsi="宋体" w:eastAsia="宋体" w:cs="宋体"/>
          <w:spacing w:val="-52"/>
          <w:sz w:val="24"/>
          <w:szCs w:val="24"/>
        </w:rPr>
        <w:t xml:space="preserve"> </w:t>
      </w:r>
      <w:r>
        <w:rPr>
          <w:rFonts w:ascii="宋体" w:hAnsi="宋体" w:eastAsia="宋体" w:cs="宋体"/>
          <w:spacing w:val="-1"/>
          <w:sz w:val="24"/>
          <w:szCs w:val="24"/>
        </w:rPr>
        <w:t>4-3-2。</w:t>
      </w:r>
    </w:p>
    <w:p w14:paraId="321B1E07">
      <w:pPr>
        <w:kinsoku w:val="0"/>
        <w:overflowPunct w:val="0"/>
        <w:autoSpaceDE w:val="0"/>
        <w:autoSpaceDN w:val="0"/>
        <w:adjustRightInd w:val="0"/>
        <w:spacing w:before="75"/>
        <w:ind w:left="1822"/>
        <w:jc w:val="left"/>
        <w:rPr>
          <w:rFonts w:hint="eastAsia" w:ascii="宋体" w:cs="宋体"/>
          <w:b/>
          <w:bCs/>
          <w:color w:val="000000"/>
          <w:kern w:val="0"/>
          <w:sz w:val="24"/>
        </w:rPr>
      </w:pPr>
      <w:r>
        <w:rPr>
          <w:rFonts w:hint="eastAsia"/>
          <w:b/>
          <w:bCs/>
          <w:color w:val="000000"/>
          <w:lang w:val="en-US" w:bidi="zh-CN"/>
        </w:rPr>
        <w:t xml:space="preserve">表4-3-1 </w:t>
      </w:r>
      <w:r>
        <w:rPr>
          <w:rFonts w:hint="eastAsia"/>
          <w:b/>
          <w:bCs/>
          <w:color w:val="000000"/>
          <w:lang w:val="en-US" w:eastAsia="zh-CN" w:bidi="zh-CN"/>
        </w:rPr>
        <w:t xml:space="preserve">  </w:t>
      </w:r>
      <w:r>
        <w:rPr>
          <w:rFonts w:hint="eastAsia"/>
          <w:b/>
          <w:bCs/>
          <w:color w:val="000000"/>
          <w:lang w:val="en-US" w:bidi="zh-CN"/>
        </w:rPr>
        <w:t>地表水监测点位布设及监测项目一览表</w:t>
      </w:r>
    </w:p>
    <w:tbl>
      <w:tblPr>
        <w:tblStyle w:val="1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513"/>
        <w:gridCol w:w="1536"/>
        <w:gridCol w:w="1607"/>
        <w:gridCol w:w="3697"/>
      </w:tblGrid>
      <w:tr w14:paraId="7E539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36" w:type="dxa"/>
            <w:vMerge w:val="restart"/>
            <w:noWrap w:val="0"/>
            <w:vAlign w:val="center"/>
          </w:tcPr>
          <w:p w14:paraId="3882CD18">
            <w:pPr>
              <w:pStyle w:val="24"/>
              <w:spacing w:line="240" w:lineRule="auto"/>
              <w:rPr>
                <w:color w:val="000000"/>
              </w:rPr>
            </w:pPr>
            <w:r>
              <w:rPr>
                <w:color w:val="000000"/>
              </w:rPr>
              <w:t>序号</w:t>
            </w:r>
          </w:p>
        </w:tc>
        <w:tc>
          <w:tcPr>
            <w:tcW w:w="3049" w:type="dxa"/>
            <w:gridSpan w:val="2"/>
            <w:noWrap w:val="0"/>
            <w:vAlign w:val="center"/>
          </w:tcPr>
          <w:p w14:paraId="1EFD8C99">
            <w:pPr>
              <w:pStyle w:val="24"/>
              <w:spacing w:line="240" w:lineRule="auto"/>
              <w:rPr>
                <w:rFonts w:hint="eastAsia" w:eastAsia="宋体"/>
                <w:color w:val="000000"/>
                <w:lang w:eastAsia="zh-CN"/>
              </w:rPr>
            </w:pPr>
            <w:r>
              <w:rPr>
                <w:rFonts w:hint="eastAsia"/>
                <w:color w:val="000000"/>
                <w:lang w:val="en-US" w:eastAsia="zh-CN"/>
              </w:rPr>
              <w:t xml:space="preserve"> </w:t>
            </w:r>
          </w:p>
        </w:tc>
        <w:tc>
          <w:tcPr>
            <w:tcW w:w="1607" w:type="dxa"/>
            <w:vMerge w:val="restart"/>
            <w:noWrap w:val="0"/>
            <w:vAlign w:val="center"/>
          </w:tcPr>
          <w:p w14:paraId="79EB628E">
            <w:pPr>
              <w:pStyle w:val="24"/>
              <w:spacing w:line="240" w:lineRule="auto"/>
              <w:rPr>
                <w:color w:val="000000"/>
              </w:rPr>
            </w:pPr>
            <w:r>
              <w:rPr>
                <w:color w:val="000000"/>
              </w:rPr>
              <w:t>监测点位</w:t>
            </w:r>
          </w:p>
        </w:tc>
        <w:tc>
          <w:tcPr>
            <w:tcW w:w="3697" w:type="dxa"/>
            <w:vMerge w:val="restart"/>
            <w:noWrap w:val="0"/>
            <w:vAlign w:val="center"/>
          </w:tcPr>
          <w:p w14:paraId="5161FF57">
            <w:pPr>
              <w:pStyle w:val="24"/>
              <w:spacing w:line="240" w:lineRule="auto"/>
              <w:rPr>
                <w:color w:val="000000"/>
              </w:rPr>
            </w:pPr>
            <w:r>
              <w:rPr>
                <w:color w:val="000000"/>
              </w:rPr>
              <w:t>监测因子</w:t>
            </w:r>
          </w:p>
        </w:tc>
      </w:tr>
      <w:tr w14:paraId="0A8C3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dxa"/>
            <w:vMerge w:val="continue"/>
            <w:noWrap w:val="0"/>
            <w:vAlign w:val="center"/>
          </w:tcPr>
          <w:p w14:paraId="3B98EBED">
            <w:pPr>
              <w:pStyle w:val="24"/>
              <w:spacing w:line="240" w:lineRule="auto"/>
              <w:rPr>
                <w:color w:val="000000"/>
              </w:rPr>
            </w:pPr>
          </w:p>
        </w:tc>
        <w:tc>
          <w:tcPr>
            <w:tcW w:w="1513" w:type="dxa"/>
            <w:noWrap w:val="0"/>
            <w:vAlign w:val="center"/>
          </w:tcPr>
          <w:p w14:paraId="67350FCA">
            <w:pPr>
              <w:pStyle w:val="24"/>
              <w:spacing w:line="240" w:lineRule="auto"/>
              <w:rPr>
                <w:color w:val="000000"/>
              </w:rPr>
            </w:pPr>
            <w:r>
              <w:rPr>
                <w:rFonts w:hint="eastAsia"/>
                <w:color w:val="000000"/>
              </w:rPr>
              <w:t>纬度</w:t>
            </w:r>
          </w:p>
        </w:tc>
        <w:tc>
          <w:tcPr>
            <w:tcW w:w="1536" w:type="dxa"/>
            <w:noWrap w:val="0"/>
            <w:vAlign w:val="center"/>
          </w:tcPr>
          <w:p w14:paraId="402CE0B1">
            <w:pPr>
              <w:pStyle w:val="24"/>
              <w:spacing w:line="240" w:lineRule="auto"/>
              <w:rPr>
                <w:color w:val="000000"/>
              </w:rPr>
            </w:pPr>
            <w:r>
              <w:rPr>
                <w:rFonts w:hint="eastAsia"/>
                <w:color w:val="000000"/>
              </w:rPr>
              <w:t>经度</w:t>
            </w:r>
          </w:p>
        </w:tc>
        <w:tc>
          <w:tcPr>
            <w:tcW w:w="1607" w:type="dxa"/>
            <w:vMerge w:val="continue"/>
            <w:noWrap w:val="0"/>
            <w:vAlign w:val="center"/>
          </w:tcPr>
          <w:p w14:paraId="3185763A">
            <w:pPr>
              <w:pStyle w:val="24"/>
              <w:spacing w:line="240" w:lineRule="auto"/>
              <w:rPr>
                <w:color w:val="000000"/>
              </w:rPr>
            </w:pPr>
          </w:p>
        </w:tc>
        <w:tc>
          <w:tcPr>
            <w:tcW w:w="3697" w:type="dxa"/>
            <w:vMerge w:val="continue"/>
            <w:noWrap w:val="0"/>
            <w:vAlign w:val="center"/>
          </w:tcPr>
          <w:p w14:paraId="6FFA7283">
            <w:pPr>
              <w:pStyle w:val="24"/>
              <w:spacing w:line="240" w:lineRule="auto"/>
              <w:rPr>
                <w:color w:val="000000"/>
              </w:rPr>
            </w:pPr>
          </w:p>
        </w:tc>
      </w:tr>
      <w:tr w14:paraId="2397C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6" w:type="dxa"/>
            <w:noWrap w:val="0"/>
            <w:vAlign w:val="center"/>
          </w:tcPr>
          <w:p w14:paraId="608E28CD">
            <w:pPr>
              <w:pStyle w:val="24"/>
              <w:spacing w:line="240" w:lineRule="auto"/>
              <w:rPr>
                <w:color w:val="000000"/>
                <w:szCs w:val="21"/>
              </w:rPr>
            </w:pPr>
            <w:r>
              <w:rPr>
                <w:rFonts w:hint="eastAsia"/>
                <w:color w:val="000000"/>
                <w:szCs w:val="21"/>
              </w:rPr>
              <w:t>1</w:t>
            </w:r>
          </w:p>
        </w:tc>
        <w:tc>
          <w:tcPr>
            <w:tcW w:w="1513" w:type="dxa"/>
            <w:noWrap w:val="0"/>
            <w:vAlign w:val="center"/>
          </w:tcPr>
          <w:p w14:paraId="7DDB048A">
            <w:pPr>
              <w:pStyle w:val="24"/>
              <w:spacing w:line="240" w:lineRule="auto"/>
              <w:rPr>
                <w:rFonts w:hint="default" w:eastAsia="宋体"/>
                <w:color w:val="000000"/>
                <w:szCs w:val="21"/>
                <w:lang w:val="en-US" w:eastAsia="zh-CN"/>
              </w:rPr>
            </w:pPr>
            <w:r>
              <w:rPr>
                <w:rFonts w:hint="eastAsia"/>
                <w:color w:val="000000"/>
                <w:szCs w:val="21"/>
                <w:lang w:val="en-US" w:eastAsia="zh-CN"/>
              </w:rPr>
              <w:t xml:space="preserve"> </w:t>
            </w:r>
          </w:p>
        </w:tc>
        <w:tc>
          <w:tcPr>
            <w:tcW w:w="1536" w:type="dxa"/>
            <w:noWrap w:val="0"/>
            <w:vAlign w:val="center"/>
          </w:tcPr>
          <w:p w14:paraId="6788825F">
            <w:pPr>
              <w:pStyle w:val="24"/>
              <w:spacing w:line="240" w:lineRule="auto"/>
              <w:rPr>
                <w:rFonts w:hint="eastAsia" w:eastAsia="宋体"/>
                <w:color w:val="000000"/>
                <w:szCs w:val="21"/>
                <w:lang w:eastAsia="zh-CN"/>
              </w:rPr>
            </w:pPr>
            <w:r>
              <w:rPr>
                <w:rFonts w:hint="eastAsia"/>
                <w:color w:val="000000"/>
                <w:szCs w:val="21"/>
                <w:lang w:val="en-US" w:eastAsia="zh-CN"/>
              </w:rPr>
              <w:t xml:space="preserve"> </w:t>
            </w:r>
          </w:p>
        </w:tc>
        <w:tc>
          <w:tcPr>
            <w:tcW w:w="1607" w:type="dxa"/>
            <w:noWrap w:val="0"/>
            <w:vAlign w:val="center"/>
          </w:tcPr>
          <w:p w14:paraId="11D96F35">
            <w:pPr>
              <w:pStyle w:val="24"/>
              <w:spacing w:line="240" w:lineRule="auto"/>
              <w:rPr>
                <w:rFonts w:hint="eastAsia" w:eastAsia="宋体"/>
                <w:color w:val="000000"/>
                <w:szCs w:val="21"/>
                <w:lang w:eastAsia="zh-CN"/>
              </w:rPr>
            </w:pPr>
            <w:r>
              <w:rPr>
                <w:rFonts w:hint="eastAsia"/>
                <w:color w:val="000000"/>
                <w:szCs w:val="21"/>
                <w:lang w:val="en-US" w:eastAsia="zh-CN"/>
              </w:rPr>
              <w:t>艾丁湖</w:t>
            </w:r>
          </w:p>
        </w:tc>
        <w:tc>
          <w:tcPr>
            <w:tcW w:w="3697" w:type="dxa"/>
            <w:noWrap w:val="0"/>
            <w:vAlign w:val="center"/>
          </w:tcPr>
          <w:p w14:paraId="30A6EFA3">
            <w:pPr>
              <w:pStyle w:val="24"/>
              <w:spacing w:line="240" w:lineRule="auto"/>
              <w:jc w:val="both"/>
              <w:rPr>
                <w:color w:val="000000"/>
                <w:spacing w:val="-20"/>
                <w:lang w:bidi="en-US"/>
              </w:rPr>
            </w:pPr>
            <w:r>
              <w:rPr>
                <w:rFonts w:hint="eastAsia" w:cs="Times New Roman"/>
                <w:color w:val="000000"/>
                <w:szCs w:val="21"/>
              </w:rPr>
              <w:t>PH值、水温、溶解氧、生化需氧量、化学需氧量、高锰酸盐指数、氨氮、总磷、总氮、砷、汞、铜、锌、铅、硒、镉、阴离子表面活性剂、石油类、粪大肠菌群、氟化物、氰化物、挥发酚、硫化物、六价铬等24项。</w:t>
            </w:r>
          </w:p>
        </w:tc>
      </w:tr>
    </w:tbl>
    <w:p w14:paraId="19F5DB56">
      <w:pPr>
        <w:pStyle w:val="3"/>
      </w:pPr>
    </w:p>
    <w:p w14:paraId="63730BE0">
      <w:pPr>
        <w:spacing w:before="305" w:line="219" w:lineRule="auto"/>
        <w:ind w:left="10"/>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4.3.2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评价因子</w:t>
      </w:r>
    </w:p>
    <w:p w14:paraId="5B08EFD3">
      <w:pPr>
        <w:spacing w:before="207" w:line="360" w:lineRule="auto"/>
        <w:ind w:left="51" w:right="110" w:firstLine="438"/>
        <w:rPr>
          <w:rFonts w:ascii="宋体" w:hAnsi="宋体" w:eastAsia="宋体" w:cs="宋体"/>
          <w:sz w:val="24"/>
          <w:szCs w:val="24"/>
        </w:rPr>
      </w:pPr>
      <w:r>
        <w:rPr>
          <w:rFonts w:ascii="宋体" w:hAnsi="宋体" w:eastAsia="宋体" w:cs="宋体"/>
          <w:sz w:val="24"/>
          <w:szCs w:val="24"/>
        </w:rPr>
        <w:t>地表水水质评价因子有：pH</w:t>
      </w:r>
      <w:r>
        <w:rPr>
          <w:rFonts w:ascii="宋体" w:hAnsi="宋体" w:eastAsia="宋体" w:cs="宋体"/>
          <w:spacing w:val="-49"/>
          <w:sz w:val="24"/>
          <w:szCs w:val="24"/>
        </w:rPr>
        <w:t xml:space="preserve"> </w:t>
      </w:r>
      <w:r>
        <w:rPr>
          <w:rFonts w:ascii="宋体" w:hAnsi="宋体" w:eastAsia="宋体" w:cs="宋体"/>
          <w:sz w:val="24"/>
          <w:szCs w:val="24"/>
        </w:rPr>
        <w:t>值、水温、溶解氧、高锰酸盐指数、化学需氧</w:t>
      </w:r>
      <w:r>
        <w:rPr>
          <w:rFonts w:ascii="宋体" w:hAnsi="宋体" w:eastAsia="宋体" w:cs="宋体"/>
          <w:spacing w:val="-1"/>
          <w:sz w:val="24"/>
          <w:szCs w:val="24"/>
        </w:rPr>
        <w:t>量、五</w:t>
      </w:r>
      <w:r>
        <w:rPr>
          <w:rFonts w:ascii="宋体" w:hAnsi="宋体" w:eastAsia="宋体" w:cs="宋体"/>
          <w:sz w:val="24"/>
          <w:szCs w:val="24"/>
        </w:rPr>
        <w:t xml:space="preserve"> </w:t>
      </w:r>
      <w:r>
        <w:rPr>
          <w:rFonts w:ascii="宋体" w:hAnsi="宋体" w:eastAsia="宋体" w:cs="宋体"/>
          <w:spacing w:val="1"/>
          <w:sz w:val="24"/>
          <w:szCs w:val="24"/>
        </w:rPr>
        <w:t>日生化需氧量、氯化物、总磷、铅、氨氮、汞、镉、六价铬、</w:t>
      </w:r>
      <w:r>
        <w:rPr>
          <w:rFonts w:ascii="宋体" w:hAnsi="宋体" w:eastAsia="宋体" w:cs="宋体"/>
          <w:sz w:val="24"/>
          <w:szCs w:val="24"/>
        </w:rPr>
        <w:t>砷、挥发酚、氟化物、</w:t>
      </w:r>
    </w:p>
    <w:p w14:paraId="3FACB190">
      <w:pPr>
        <w:spacing w:line="360" w:lineRule="auto"/>
        <w:ind w:left="8"/>
        <w:rPr>
          <w:rFonts w:ascii="宋体" w:hAnsi="宋体" w:eastAsia="宋体" w:cs="宋体"/>
          <w:sz w:val="24"/>
          <w:szCs w:val="24"/>
        </w:rPr>
      </w:pPr>
      <w:r>
        <w:rPr>
          <w:rFonts w:ascii="宋体" w:hAnsi="宋体" w:eastAsia="宋体" w:cs="宋体"/>
          <w:spacing w:val="-3"/>
          <w:sz w:val="24"/>
          <w:szCs w:val="24"/>
        </w:rPr>
        <w:t>氰化物</w:t>
      </w:r>
      <w:r>
        <w:rPr>
          <w:rFonts w:hint="eastAsia" w:ascii="宋体" w:hAnsi="宋体" w:eastAsia="宋体" w:cs="宋体"/>
          <w:spacing w:val="-3"/>
          <w:sz w:val="24"/>
          <w:szCs w:val="24"/>
          <w:lang w:val="en-US" w:eastAsia="zh-CN"/>
        </w:rPr>
        <w:t>等</w:t>
      </w:r>
      <w:r>
        <w:rPr>
          <w:rFonts w:ascii="宋体" w:hAnsi="宋体" w:eastAsia="宋体" w:cs="宋体"/>
          <w:spacing w:val="-3"/>
          <w:sz w:val="24"/>
          <w:szCs w:val="24"/>
        </w:rPr>
        <w:t>。</w:t>
      </w:r>
    </w:p>
    <w:p w14:paraId="0AB97B38">
      <w:pPr>
        <w:pStyle w:val="3"/>
        <w:spacing w:line="287" w:lineRule="auto"/>
      </w:pPr>
    </w:p>
    <w:p w14:paraId="5FCD041C">
      <w:pPr>
        <w:spacing w:before="91" w:line="219" w:lineRule="auto"/>
        <w:ind w:left="10"/>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4.3.3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评价标准</w:t>
      </w:r>
    </w:p>
    <w:p w14:paraId="70E857B6">
      <w:pPr>
        <w:spacing w:before="208" w:line="218" w:lineRule="auto"/>
        <w:ind w:left="490"/>
        <w:rPr>
          <w:rFonts w:ascii="宋体" w:hAnsi="宋体" w:eastAsia="宋体" w:cs="宋体"/>
          <w:sz w:val="24"/>
          <w:szCs w:val="24"/>
        </w:rPr>
      </w:pPr>
      <w:r>
        <w:rPr>
          <w:rFonts w:ascii="宋体" w:hAnsi="宋体" w:eastAsia="宋体" w:cs="宋体"/>
          <w:spacing w:val="-2"/>
          <w:sz w:val="24"/>
          <w:szCs w:val="24"/>
        </w:rPr>
        <w:t>本次评价采用《地表水环境质量标准》</w:t>
      </w:r>
      <w:r>
        <w:rPr>
          <w:rFonts w:ascii="宋体" w:hAnsi="宋体" w:eastAsia="宋体" w:cs="宋体"/>
          <w:spacing w:val="-58"/>
          <w:sz w:val="24"/>
          <w:szCs w:val="24"/>
        </w:rPr>
        <w:t xml:space="preserve"> </w:t>
      </w:r>
      <w:r>
        <w:rPr>
          <w:rFonts w:ascii="宋体" w:hAnsi="宋体" w:eastAsia="宋体" w:cs="宋体"/>
          <w:spacing w:val="-2"/>
          <w:sz w:val="24"/>
          <w:szCs w:val="24"/>
        </w:rPr>
        <w:t>(GB3838-2002)中的</w:t>
      </w:r>
      <w:r>
        <w:rPr>
          <w:rFonts w:hint="eastAsia" w:ascii="宋体" w:hAnsi="宋体" w:eastAsia="宋体" w:cs="宋体"/>
          <w:spacing w:val="-2"/>
          <w:sz w:val="24"/>
          <w:szCs w:val="24"/>
          <w:lang w:val="en-US" w:eastAsia="zh-CN"/>
        </w:rPr>
        <w:t>Ⅲ</w:t>
      </w:r>
      <w:r>
        <w:rPr>
          <w:rFonts w:ascii="宋体" w:hAnsi="宋体" w:eastAsia="宋体" w:cs="宋体"/>
          <w:spacing w:val="-2"/>
          <w:sz w:val="24"/>
          <w:szCs w:val="24"/>
        </w:rPr>
        <w:t>类标准。</w:t>
      </w:r>
    </w:p>
    <w:p w14:paraId="44CE51D4">
      <w:pPr>
        <w:pStyle w:val="3"/>
        <w:spacing w:line="287" w:lineRule="auto"/>
      </w:pPr>
    </w:p>
    <w:p w14:paraId="080BE9E5">
      <w:pPr>
        <w:spacing w:before="91" w:line="219" w:lineRule="auto"/>
        <w:ind w:left="10"/>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4.3.4</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评价方法</w:t>
      </w:r>
    </w:p>
    <w:p w14:paraId="2EEE931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地表水污染现状评价采用标准指数法进行评价，标准指数＞1，表明该水质因子已超过了规定的水质标准，指数值越大，超标越严重，标准指数计算公式如下：</w:t>
      </w:r>
    </w:p>
    <w:p w14:paraId="0AE18E2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对于评价标准为定值的水质因子，标准指数的计算公式如下：</w:t>
      </w:r>
    </w:p>
    <w:p w14:paraId="0B6FDF6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drawing>
          <wp:inline distT="0" distB="0" distL="0" distR="0">
            <wp:extent cx="533400" cy="31305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6"/>
                    <a:stretch>
                      <a:fillRect/>
                    </a:stretch>
                  </pic:blipFill>
                  <pic:spPr>
                    <a:xfrm>
                      <a:off x="0" y="0"/>
                      <a:ext cx="533400" cy="313134"/>
                    </a:xfrm>
                    <a:prstGeom prst="rect">
                      <a:avLst/>
                    </a:prstGeom>
                  </pic:spPr>
                </pic:pic>
              </a:graphicData>
            </a:graphic>
          </wp:inline>
        </w:drawing>
      </w:r>
    </w:p>
    <w:p w14:paraId="4B03C9F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式中：Pi—第 i 个水质因子的标准指数,量纲为一；</w:t>
      </w:r>
    </w:p>
    <w:p w14:paraId="055A6E5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Ci—第 i 个水质因子的监测质量浓度值，mg/L；</w:t>
      </w:r>
    </w:p>
    <w:p w14:paraId="287AF4E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Csi—第 i 个水质因子的标准质量浓度值，mg/L。</w:t>
      </w:r>
    </w:p>
    <w:p w14:paraId="1921B6D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对于pH 值，标准指数的计算公式如下：</w:t>
      </w:r>
    </w:p>
    <w:p w14:paraId="3ACFB9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drawing>
          <wp:inline distT="0" distB="0" distL="0" distR="0">
            <wp:extent cx="1066800" cy="4006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7"/>
                    <a:stretch>
                      <a:fillRect/>
                    </a:stretch>
                  </pic:blipFill>
                  <pic:spPr>
                    <a:xfrm>
                      <a:off x="0" y="0"/>
                      <a:ext cx="1066800" cy="400811"/>
                    </a:xfrm>
                    <a:prstGeom prst="rect">
                      <a:avLst/>
                    </a:prstGeom>
                  </pic:spPr>
                </pic:pic>
              </a:graphicData>
            </a:graphic>
          </wp:inline>
        </w:drawing>
      </w:r>
      <w:r>
        <w:rPr>
          <w:rFonts w:ascii="宋体" w:hAnsi="宋体" w:eastAsia="宋体" w:cs="宋体"/>
          <w:spacing w:val="-1"/>
          <w:sz w:val="24"/>
          <w:szCs w:val="24"/>
        </w:rPr>
        <w:t xml:space="preserve">        pH≤7 时</w:t>
      </w:r>
    </w:p>
    <w:p w14:paraId="24F83D8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drawing>
          <wp:inline distT="0" distB="0" distL="0" distR="0">
            <wp:extent cx="1066800" cy="4006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8"/>
                    <a:stretch>
                      <a:fillRect/>
                    </a:stretch>
                  </pic:blipFill>
                  <pic:spPr>
                    <a:xfrm>
                      <a:off x="0" y="0"/>
                      <a:ext cx="1066800" cy="400811"/>
                    </a:xfrm>
                    <a:prstGeom prst="rect">
                      <a:avLst/>
                    </a:prstGeom>
                  </pic:spPr>
                </pic:pic>
              </a:graphicData>
            </a:graphic>
          </wp:inline>
        </w:drawing>
      </w:r>
      <w:r>
        <w:rPr>
          <w:rFonts w:ascii="宋体" w:hAnsi="宋体" w:eastAsia="宋体" w:cs="宋体"/>
          <w:spacing w:val="-1"/>
          <w:sz w:val="24"/>
          <w:szCs w:val="24"/>
        </w:rPr>
        <w:t xml:space="preserve">        pH＞7 时</w:t>
      </w:r>
    </w:p>
    <w:p w14:paraId="62D9F3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式中：PpH—pH 的标准指数，量纲为一；</w:t>
      </w:r>
    </w:p>
    <w:p w14:paraId="0BB7F4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pH—pH 监测值；</w:t>
      </w:r>
    </w:p>
    <w:p w14:paraId="784D621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pHsu—标准中 pH 的上限值；</w:t>
      </w:r>
    </w:p>
    <w:p w14:paraId="101B76F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pHsd—标准中 pH 的下限值。</w:t>
      </w:r>
    </w:p>
    <w:p w14:paraId="0A31963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溶解氧(DO)的标准指数计算公式：</w:t>
      </w:r>
    </w:p>
    <w:p w14:paraId="327EC4B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drawing>
          <wp:inline distT="0" distB="0" distL="0" distR="0">
            <wp:extent cx="2903220" cy="10191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9"/>
                    <a:stretch>
                      <a:fillRect/>
                    </a:stretch>
                  </pic:blipFill>
                  <pic:spPr>
                    <a:xfrm>
                      <a:off x="0" y="0"/>
                      <a:ext cx="2903220" cy="1019555"/>
                    </a:xfrm>
                    <a:prstGeom prst="rect">
                      <a:avLst/>
                    </a:prstGeom>
                  </pic:spPr>
                </pic:pic>
              </a:graphicData>
            </a:graphic>
          </wp:inline>
        </w:drawing>
      </w:r>
    </w:p>
    <w:p w14:paraId="120C295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式中：S D0.j——溶解氧的标准指数，大于 1 表明该水质因子超标；</w:t>
      </w:r>
    </w:p>
    <w:p w14:paraId="41AF5E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DOj——溶解氧在 j 点的实测统计代表值，mg/L；</w:t>
      </w:r>
    </w:p>
    <w:p w14:paraId="7002637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DOs——溶解氧的水质评价标准限值，mg/L；</w:t>
      </w:r>
    </w:p>
    <w:p w14:paraId="182F5CD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DOf——饱和溶解氧浓度，mg/L，对于河流，DOf=468/(31.6+T)；对于盐度比较</w:t>
      </w:r>
    </w:p>
    <w:p w14:paraId="12E5C3B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高的湖泊、水库及入海河口、近岸海域，DOf= (491-2.65S)/(33.5+T)；</w:t>
      </w:r>
    </w:p>
    <w:p w14:paraId="4FEBE68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S——实用盐度符号，量纲一；</w:t>
      </w:r>
    </w:p>
    <w:p w14:paraId="7BE4E27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T——水温， ℃。</w:t>
      </w:r>
    </w:p>
    <w:p w14:paraId="00ACDD4C">
      <w:pPr>
        <w:pStyle w:val="3"/>
        <w:spacing w:line="358" w:lineRule="auto"/>
      </w:pPr>
    </w:p>
    <w:p w14:paraId="16DB4ED6">
      <w:pPr>
        <w:spacing w:before="91" w:line="219" w:lineRule="auto"/>
        <w:ind w:left="14"/>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4.3.5</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评价结论</w:t>
      </w:r>
    </w:p>
    <w:p w14:paraId="0E13F76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根据水样实测值及与对照值(《地表水环境质量标准》(GB3838-2002 中的</w:t>
      </w:r>
      <w:r>
        <w:rPr>
          <w:rFonts w:hint="eastAsia" w:ascii="宋体" w:hAnsi="宋体" w:eastAsia="宋体" w:cs="宋体"/>
          <w:sz w:val="24"/>
          <w:szCs w:val="24"/>
          <w:lang w:val="en-US" w:eastAsia="zh-CN"/>
        </w:rPr>
        <w:t>Ⅲ</w:t>
      </w:r>
      <w:r>
        <w:rPr>
          <w:rFonts w:ascii="宋体" w:hAnsi="宋体" w:eastAsia="宋体" w:cs="宋体"/>
          <w:sz w:val="24"/>
          <w:szCs w:val="24"/>
        </w:rPr>
        <w:t>类标准)相比较，按照评价方法计算标准指数，计算结果列于表 4-3-</w:t>
      </w:r>
      <w:r>
        <w:rPr>
          <w:rFonts w:hint="eastAsia" w:ascii="宋体" w:hAnsi="宋体" w:eastAsia="宋体" w:cs="宋体"/>
          <w:sz w:val="24"/>
          <w:szCs w:val="24"/>
          <w:lang w:val="en-US" w:eastAsia="zh-CN"/>
        </w:rPr>
        <w:t>2</w:t>
      </w:r>
      <w:r>
        <w:rPr>
          <w:rFonts w:ascii="宋体" w:hAnsi="宋体" w:eastAsia="宋体" w:cs="宋体"/>
          <w:sz w:val="24"/>
          <w:szCs w:val="24"/>
        </w:rPr>
        <w:t>。</w:t>
      </w:r>
    </w:p>
    <w:p w14:paraId="2A8F357F">
      <w:pPr>
        <w:pStyle w:val="3"/>
        <w:jc w:val="center"/>
        <w:rPr>
          <w:rFonts w:hint="eastAsia" w:eastAsia="宋体"/>
          <w:lang w:val="en-US" w:eastAsia="zh-CN"/>
        </w:rPr>
      </w:pPr>
      <w:r>
        <w:rPr>
          <w:rFonts w:hint="eastAsia"/>
          <w:b/>
          <w:bCs/>
          <w:color w:val="000000"/>
          <w:lang w:val="en-US" w:bidi="zh-CN"/>
        </w:rPr>
        <w:t>表4-3-2       地表水水质监测结果一览表</w:t>
      </w:r>
    </w:p>
    <w:tbl>
      <w:tblPr>
        <w:tblStyle w:val="1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680"/>
        <w:gridCol w:w="1680"/>
        <w:gridCol w:w="1680"/>
        <w:gridCol w:w="2642"/>
      </w:tblGrid>
      <w:tr w14:paraId="1C4B0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460527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897" w:type="pct"/>
            <w:tcBorders>
              <w:tl2br w:val="nil"/>
              <w:tr2bl w:val="nil"/>
            </w:tcBorders>
            <w:vAlign w:val="center"/>
          </w:tcPr>
          <w:p w14:paraId="2FE81B7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项目</w:t>
            </w:r>
          </w:p>
        </w:tc>
        <w:tc>
          <w:tcPr>
            <w:tcW w:w="897" w:type="pct"/>
            <w:tcBorders>
              <w:tl2br w:val="nil"/>
              <w:tr2bl w:val="nil"/>
            </w:tcBorders>
            <w:vAlign w:val="center"/>
          </w:tcPr>
          <w:p w14:paraId="7A9763B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897" w:type="pct"/>
            <w:tcBorders>
              <w:tl2br w:val="nil"/>
              <w:tr2bl w:val="nil"/>
            </w:tcBorders>
            <w:vAlign w:val="center"/>
          </w:tcPr>
          <w:p w14:paraId="1805953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检测结果</w:t>
            </w:r>
          </w:p>
        </w:tc>
        <w:tc>
          <w:tcPr>
            <w:tcW w:w="1411" w:type="pct"/>
            <w:tcBorders>
              <w:tl2br w:val="nil"/>
              <w:tr2bl w:val="nil"/>
            </w:tcBorders>
            <w:vAlign w:val="center"/>
          </w:tcPr>
          <w:p w14:paraId="21802B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标准限制</w:t>
            </w:r>
          </w:p>
          <w:p w14:paraId="55D22D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（GB3838-2002</w:t>
            </w:r>
            <w:r>
              <w:rPr>
                <w:rFonts w:hint="eastAsia" w:ascii="微软雅黑" w:hAnsi="微软雅黑" w:eastAsia="微软雅黑" w:cs="微软雅黑"/>
                <w:sz w:val="24"/>
                <w:szCs w:val="24"/>
                <w:vertAlign w:val="baseline"/>
                <w:lang w:val="en-US" w:eastAsia="zh-CN"/>
              </w:rPr>
              <w:t>Ⅲ</w:t>
            </w:r>
            <w:r>
              <w:rPr>
                <w:rFonts w:hint="eastAsia" w:ascii="宋体" w:hAnsi="宋体" w:eastAsia="宋体" w:cs="宋体"/>
                <w:sz w:val="24"/>
                <w:szCs w:val="24"/>
                <w:vertAlign w:val="baseline"/>
                <w:lang w:val="en-US" w:eastAsia="zh-CN"/>
              </w:rPr>
              <w:t>类）</w:t>
            </w:r>
          </w:p>
        </w:tc>
      </w:tr>
      <w:tr w14:paraId="7C63F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1432B80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897" w:type="pct"/>
            <w:tcBorders>
              <w:tl2br w:val="nil"/>
              <w:tr2bl w:val="nil"/>
            </w:tcBorders>
            <w:vAlign w:val="center"/>
          </w:tcPr>
          <w:p w14:paraId="3A0DBDE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水温</w:t>
            </w:r>
          </w:p>
        </w:tc>
        <w:tc>
          <w:tcPr>
            <w:tcW w:w="897" w:type="pct"/>
            <w:tcBorders>
              <w:tl2br w:val="nil"/>
              <w:tr2bl w:val="nil"/>
            </w:tcBorders>
            <w:vAlign w:val="center"/>
          </w:tcPr>
          <w:p w14:paraId="67C41BE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97" w:type="pct"/>
            <w:tcBorders>
              <w:tl2br w:val="nil"/>
              <w:tr2bl w:val="nil"/>
            </w:tcBorders>
            <w:vAlign w:val="center"/>
          </w:tcPr>
          <w:p w14:paraId="62AC52F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4.5</w:t>
            </w:r>
          </w:p>
        </w:tc>
        <w:tc>
          <w:tcPr>
            <w:tcW w:w="1411" w:type="pct"/>
            <w:tcBorders>
              <w:tl2br w:val="nil"/>
              <w:tr2bl w:val="nil"/>
            </w:tcBorders>
            <w:vAlign w:val="center"/>
          </w:tcPr>
          <w:p w14:paraId="25EC2D5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r w14:paraId="5139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0D45EAE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897" w:type="pct"/>
            <w:tcBorders>
              <w:tl2br w:val="nil"/>
              <w:tr2bl w:val="nil"/>
            </w:tcBorders>
            <w:vAlign w:val="center"/>
          </w:tcPr>
          <w:p w14:paraId="7C0E620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pH</w:t>
            </w:r>
          </w:p>
        </w:tc>
        <w:tc>
          <w:tcPr>
            <w:tcW w:w="897" w:type="pct"/>
            <w:tcBorders>
              <w:tl2br w:val="nil"/>
              <w:tr2bl w:val="nil"/>
            </w:tcBorders>
            <w:vAlign w:val="center"/>
          </w:tcPr>
          <w:p w14:paraId="3FE5C95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97" w:type="pct"/>
            <w:tcBorders>
              <w:tl2br w:val="nil"/>
              <w:tr2bl w:val="nil"/>
            </w:tcBorders>
            <w:vAlign w:val="center"/>
          </w:tcPr>
          <w:p w14:paraId="5873399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6.8</w:t>
            </w:r>
          </w:p>
        </w:tc>
        <w:tc>
          <w:tcPr>
            <w:tcW w:w="1411" w:type="pct"/>
            <w:tcBorders>
              <w:tl2br w:val="nil"/>
              <w:tr2bl w:val="nil"/>
            </w:tcBorders>
            <w:vAlign w:val="center"/>
          </w:tcPr>
          <w:p w14:paraId="045CFE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6-9</w:t>
            </w:r>
          </w:p>
        </w:tc>
      </w:tr>
      <w:tr w14:paraId="63068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6C7833F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897" w:type="pct"/>
            <w:tcBorders>
              <w:tl2br w:val="nil"/>
              <w:tr2bl w:val="nil"/>
            </w:tcBorders>
            <w:vAlign w:val="center"/>
          </w:tcPr>
          <w:p w14:paraId="4FCAD2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溶解氧</w:t>
            </w:r>
          </w:p>
        </w:tc>
        <w:tc>
          <w:tcPr>
            <w:tcW w:w="897" w:type="pct"/>
            <w:tcBorders>
              <w:tl2br w:val="nil"/>
              <w:tr2bl w:val="nil"/>
            </w:tcBorders>
            <w:vAlign w:val="center"/>
          </w:tcPr>
          <w:p w14:paraId="0980DB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5246146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12.31</w:t>
            </w:r>
          </w:p>
        </w:tc>
        <w:tc>
          <w:tcPr>
            <w:tcW w:w="1411" w:type="pct"/>
            <w:tcBorders>
              <w:tl2br w:val="nil"/>
              <w:tr2bl w:val="nil"/>
            </w:tcBorders>
            <w:vAlign w:val="center"/>
          </w:tcPr>
          <w:p w14:paraId="4C3795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r>
      <w:tr w14:paraId="48E1D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64F57BB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897" w:type="pct"/>
            <w:tcBorders>
              <w:tl2br w:val="nil"/>
              <w:tr2bl w:val="nil"/>
            </w:tcBorders>
            <w:vAlign w:val="center"/>
          </w:tcPr>
          <w:p w14:paraId="215D2C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高锰酸盐指数</w:t>
            </w:r>
          </w:p>
        </w:tc>
        <w:tc>
          <w:tcPr>
            <w:tcW w:w="897" w:type="pct"/>
            <w:tcBorders>
              <w:tl2br w:val="nil"/>
              <w:tr2bl w:val="nil"/>
            </w:tcBorders>
            <w:vAlign w:val="center"/>
          </w:tcPr>
          <w:p w14:paraId="45A9676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2F97F5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w:t>
            </w:r>
          </w:p>
        </w:tc>
        <w:tc>
          <w:tcPr>
            <w:tcW w:w="1411" w:type="pct"/>
            <w:tcBorders>
              <w:tl2br w:val="nil"/>
              <w:tr2bl w:val="nil"/>
            </w:tcBorders>
            <w:vAlign w:val="center"/>
          </w:tcPr>
          <w:p w14:paraId="6F0B29D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r>
      <w:tr w14:paraId="0B54B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4351CE8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897" w:type="pct"/>
            <w:tcBorders>
              <w:tl2br w:val="nil"/>
              <w:tr2bl w:val="nil"/>
            </w:tcBorders>
            <w:vAlign w:val="center"/>
          </w:tcPr>
          <w:p w14:paraId="4743D67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五日生化需氧量</w:t>
            </w:r>
          </w:p>
        </w:tc>
        <w:tc>
          <w:tcPr>
            <w:tcW w:w="897" w:type="pct"/>
            <w:tcBorders>
              <w:tl2br w:val="nil"/>
              <w:tr2bl w:val="nil"/>
            </w:tcBorders>
            <w:vAlign w:val="center"/>
          </w:tcPr>
          <w:p w14:paraId="52E75D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55DFBD7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3.3</w:t>
            </w:r>
          </w:p>
        </w:tc>
        <w:tc>
          <w:tcPr>
            <w:tcW w:w="1411" w:type="pct"/>
            <w:tcBorders>
              <w:tl2br w:val="nil"/>
              <w:tr2bl w:val="nil"/>
            </w:tcBorders>
            <w:vAlign w:val="center"/>
          </w:tcPr>
          <w:p w14:paraId="2A92696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r>
      <w:tr w14:paraId="257F1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7596C2E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897" w:type="pct"/>
            <w:tcBorders>
              <w:tl2br w:val="nil"/>
              <w:tr2bl w:val="nil"/>
            </w:tcBorders>
            <w:vAlign w:val="center"/>
          </w:tcPr>
          <w:p w14:paraId="2B1994C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化学需氧量</w:t>
            </w:r>
          </w:p>
        </w:tc>
        <w:tc>
          <w:tcPr>
            <w:tcW w:w="897" w:type="pct"/>
            <w:tcBorders>
              <w:tl2br w:val="nil"/>
              <w:tr2bl w:val="nil"/>
            </w:tcBorders>
            <w:vAlign w:val="center"/>
          </w:tcPr>
          <w:p w14:paraId="68C8F66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22241C9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1411" w:type="pct"/>
            <w:tcBorders>
              <w:tl2br w:val="nil"/>
              <w:tr2bl w:val="nil"/>
            </w:tcBorders>
            <w:vAlign w:val="center"/>
          </w:tcPr>
          <w:p w14:paraId="1C789D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r>
      <w:tr w14:paraId="74B83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1A7587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897" w:type="pct"/>
            <w:tcBorders>
              <w:tl2br w:val="nil"/>
              <w:tr2bl w:val="nil"/>
            </w:tcBorders>
            <w:vAlign w:val="center"/>
          </w:tcPr>
          <w:p w14:paraId="5493A09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氨氮</w:t>
            </w:r>
          </w:p>
        </w:tc>
        <w:tc>
          <w:tcPr>
            <w:tcW w:w="897" w:type="pct"/>
            <w:tcBorders>
              <w:tl2br w:val="nil"/>
              <w:tr2bl w:val="nil"/>
            </w:tcBorders>
            <w:vAlign w:val="center"/>
          </w:tcPr>
          <w:p w14:paraId="2F177ED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08E6DF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0.369</w:t>
            </w:r>
          </w:p>
        </w:tc>
        <w:tc>
          <w:tcPr>
            <w:tcW w:w="1411" w:type="pct"/>
            <w:tcBorders>
              <w:tl2br w:val="nil"/>
              <w:tr2bl w:val="nil"/>
            </w:tcBorders>
            <w:vAlign w:val="center"/>
          </w:tcPr>
          <w:p w14:paraId="39AE8D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≤1.0</w:t>
            </w:r>
          </w:p>
        </w:tc>
      </w:tr>
      <w:tr w14:paraId="317D7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510FD31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897" w:type="pct"/>
            <w:tcBorders>
              <w:tl2br w:val="nil"/>
              <w:tr2bl w:val="nil"/>
            </w:tcBorders>
            <w:vAlign w:val="center"/>
          </w:tcPr>
          <w:p w14:paraId="382FD33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总磷</w:t>
            </w:r>
          </w:p>
        </w:tc>
        <w:tc>
          <w:tcPr>
            <w:tcW w:w="897" w:type="pct"/>
            <w:tcBorders>
              <w:tl2br w:val="nil"/>
              <w:tr2bl w:val="nil"/>
            </w:tcBorders>
            <w:vAlign w:val="center"/>
          </w:tcPr>
          <w:p w14:paraId="38B6E34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4385780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0.01</w:t>
            </w:r>
          </w:p>
        </w:tc>
        <w:tc>
          <w:tcPr>
            <w:tcW w:w="1411" w:type="pct"/>
            <w:tcBorders>
              <w:tl2br w:val="nil"/>
              <w:tr2bl w:val="nil"/>
            </w:tcBorders>
            <w:vAlign w:val="center"/>
          </w:tcPr>
          <w:p w14:paraId="55FE51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≤0.05</w:t>
            </w:r>
          </w:p>
        </w:tc>
      </w:tr>
      <w:tr w14:paraId="18D8F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418F5C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897" w:type="pct"/>
            <w:tcBorders>
              <w:tl2br w:val="nil"/>
              <w:tr2bl w:val="nil"/>
            </w:tcBorders>
            <w:vAlign w:val="center"/>
          </w:tcPr>
          <w:p w14:paraId="3BB768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总氮</w:t>
            </w:r>
          </w:p>
        </w:tc>
        <w:tc>
          <w:tcPr>
            <w:tcW w:w="897" w:type="pct"/>
            <w:tcBorders>
              <w:tl2br w:val="nil"/>
              <w:tr2bl w:val="nil"/>
            </w:tcBorders>
            <w:vAlign w:val="center"/>
          </w:tcPr>
          <w:p w14:paraId="422556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143B9C7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0.48</w:t>
            </w:r>
          </w:p>
        </w:tc>
        <w:tc>
          <w:tcPr>
            <w:tcW w:w="1411" w:type="pct"/>
            <w:tcBorders>
              <w:tl2br w:val="nil"/>
              <w:tr2bl w:val="nil"/>
            </w:tcBorders>
            <w:vAlign w:val="center"/>
          </w:tcPr>
          <w:p w14:paraId="573C59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≤1.0</w:t>
            </w:r>
          </w:p>
        </w:tc>
      </w:tr>
      <w:tr w14:paraId="629C7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753821A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897" w:type="pct"/>
            <w:tcBorders>
              <w:tl2br w:val="nil"/>
              <w:tr2bl w:val="nil"/>
            </w:tcBorders>
            <w:vAlign w:val="center"/>
          </w:tcPr>
          <w:p w14:paraId="38C40FE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铜</w:t>
            </w:r>
          </w:p>
        </w:tc>
        <w:tc>
          <w:tcPr>
            <w:tcW w:w="897" w:type="pct"/>
            <w:tcBorders>
              <w:tl2br w:val="nil"/>
              <w:tr2bl w:val="nil"/>
            </w:tcBorders>
            <w:vAlign w:val="center"/>
          </w:tcPr>
          <w:p w14:paraId="74F3FA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019C13B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0.08</w:t>
            </w:r>
          </w:p>
        </w:tc>
        <w:tc>
          <w:tcPr>
            <w:tcW w:w="1411" w:type="pct"/>
            <w:tcBorders>
              <w:tl2br w:val="nil"/>
              <w:tr2bl w:val="nil"/>
            </w:tcBorders>
            <w:vAlign w:val="center"/>
          </w:tcPr>
          <w:p w14:paraId="23E4AE4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≤1.0</w:t>
            </w:r>
          </w:p>
        </w:tc>
      </w:tr>
      <w:tr w14:paraId="6420D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33CB77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897" w:type="pct"/>
            <w:tcBorders>
              <w:tl2br w:val="nil"/>
              <w:tr2bl w:val="nil"/>
            </w:tcBorders>
            <w:vAlign w:val="center"/>
          </w:tcPr>
          <w:p w14:paraId="71310E3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锌</w:t>
            </w:r>
          </w:p>
        </w:tc>
        <w:tc>
          <w:tcPr>
            <w:tcW w:w="897" w:type="pct"/>
            <w:tcBorders>
              <w:tl2br w:val="nil"/>
              <w:tr2bl w:val="nil"/>
            </w:tcBorders>
            <w:vAlign w:val="center"/>
          </w:tcPr>
          <w:p w14:paraId="2808EB3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710292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＜0.009</w:t>
            </w:r>
          </w:p>
        </w:tc>
        <w:tc>
          <w:tcPr>
            <w:tcW w:w="1411" w:type="pct"/>
            <w:tcBorders>
              <w:tl2br w:val="nil"/>
              <w:tr2bl w:val="nil"/>
            </w:tcBorders>
            <w:vAlign w:val="center"/>
          </w:tcPr>
          <w:p w14:paraId="19CEA9D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≤1.0</w:t>
            </w:r>
          </w:p>
        </w:tc>
      </w:tr>
      <w:tr w14:paraId="1CE27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0FDAB91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897" w:type="pct"/>
            <w:tcBorders>
              <w:tl2br w:val="nil"/>
              <w:tr2bl w:val="nil"/>
            </w:tcBorders>
            <w:vAlign w:val="center"/>
          </w:tcPr>
          <w:p w14:paraId="6FB586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氟化物</w:t>
            </w:r>
          </w:p>
        </w:tc>
        <w:tc>
          <w:tcPr>
            <w:tcW w:w="897" w:type="pct"/>
            <w:tcBorders>
              <w:tl2br w:val="nil"/>
              <w:tr2bl w:val="nil"/>
            </w:tcBorders>
            <w:vAlign w:val="center"/>
          </w:tcPr>
          <w:p w14:paraId="26162C3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08CE4C8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0.86</w:t>
            </w:r>
          </w:p>
        </w:tc>
        <w:tc>
          <w:tcPr>
            <w:tcW w:w="1411" w:type="pct"/>
            <w:tcBorders>
              <w:tl2br w:val="nil"/>
              <w:tr2bl w:val="nil"/>
            </w:tcBorders>
            <w:vAlign w:val="center"/>
          </w:tcPr>
          <w:p w14:paraId="7420872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≤1.0</w:t>
            </w:r>
          </w:p>
        </w:tc>
      </w:tr>
      <w:tr w14:paraId="09929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516DC73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897" w:type="pct"/>
            <w:tcBorders>
              <w:tl2br w:val="nil"/>
              <w:tr2bl w:val="nil"/>
            </w:tcBorders>
            <w:vAlign w:val="center"/>
          </w:tcPr>
          <w:p w14:paraId="514E9B66">
            <w:pPr>
              <w:jc w:val="center"/>
              <w:rPr>
                <w:rFonts w:hint="eastAsia" w:ascii="宋体" w:hAnsi="宋体" w:eastAsia="宋体" w:cs="宋体"/>
                <w:sz w:val="24"/>
                <w:szCs w:val="24"/>
                <w:vertAlign w:val="baseline"/>
                <w:lang w:val="en-US" w:eastAsia="zh-CN"/>
              </w:rPr>
            </w:pPr>
            <w:r>
              <w:rPr>
                <w:rFonts w:hint="eastAsia" w:cs="Times New Roman"/>
                <w:bCs/>
                <w:color w:val="000000"/>
                <w:kern w:val="0"/>
                <w:szCs w:val="21"/>
              </w:rPr>
              <w:t>硒</w:t>
            </w:r>
          </w:p>
        </w:tc>
        <w:tc>
          <w:tcPr>
            <w:tcW w:w="897" w:type="pct"/>
            <w:tcBorders>
              <w:tl2br w:val="nil"/>
              <w:tr2bl w:val="nil"/>
            </w:tcBorders>
            <w:vAlign w:val="center"/>
          </w:tcPr>
          <w:p w14:paraId="38BEBB6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712113D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＜0.01</w:t>
            </w:r>
          </w:p>
        </w:tc>
        <w:tc>
          <w:tcPr>
            <w:tcW w:w="1411" w:type="pct"/>
            <w:tcBorders>
              <w:tl2br w:val="nil"/>
              <w:tr2bl w:val="nil"/>
            </w:tcBorders>
            <w:vAlign w:val="center"/>
          </w:tcPr>
          <w:p w14:paraId="073D033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≤0.01</w:t>
            </w:r>
          </w:p>
        </w:tc>
      </w:tr>
      <w:tr w14:paraId="3759A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6247A55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897" w:type="pct"/>
            <w:tcBorders>
              <w:tl2br w:val="nil"/>
              <w:tr2bl w:val="nil"/>
            </w:tcBorders>
            <w:vAlign w:val="center"/>
          </w:tcPr>
          <w:p w14:paraId="531D90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砷</w:t>
            </w:r>
          </w:p>
        </w:tc>
        <w:tc>
          <w:tcPr>
            <w:tcW w:w="897" w:type="pct"/>
            <w:tcBorders>
              <w:tl2br w:val="nil"/>
              <w:tr2bl w:val="nil"/>
            </w:tcBorders>
            <w:vAlign w:val="center"/>
          </w:tcPr>
          <w:p w14:paraId="278BFA0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Times New Roman" w:hAnsi="Times New Roman" w:cs="Times New Roman"/>
                <w:color w:val="000000"/>
                <w:szCs w:val="21"/>
              </w:rPr>
              <w:t>mg/L</w:t>
            </w:r>
          </w:p>
        </w:tc>
        <w:tc>
          <w:tcPr>
            <w:tcW w:w="897" w:type="pct"/>
            <w:tcBorders>
              <w:tl2br w:val="nil"/>
              <w:tr2bl w:val="nil"/>
            </w:tcBorders>
            <w:vAlign w:val="center"/>
          </w:tcPr>
          <w:p w14:paraId="06A5912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＜0.0003</w:t>
            </w:r>
          </w:p>
        </w:tc>
        <w:tc>
          <w:tcPr>
            <w:tcW w:w="1411" w:type="pct"/>
            <w:tcBorders>
              <w:tl2br w:val="nil"/>
              <w:tr2bl w:val="nil"/>
            </w:tcBorders>
            <w:vAlign w:val="center"/>
          </w:tcPr>
          <w:p w14:paraId="329DD5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≤0.05</w:t>
            </w:r>
          </w:p>
        </w:tc>
      </w:tr>
      <w:tr w14:paraId="7D583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114FF96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c>
          <w:tcPr>
            <w:tcW w:w="897" w:type="pct"/>
            <w:tcBorders>
              <w:tl2br w:val="nil"/>
              <w:tr2bl w:val="nil"/>
            </w:tcBorders>
            <w:vAlign w:val="center"/>
          </w:tcPr>
          <w:p w14:paraId="4668ADA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汞</w:t>
            </w:r>
          </w:p>
        </w:tc>
        <w:tc>
          <w:tcPr>
            <w:tcW w:w="897" w:type="pct"/>
            <w:tcBorders>
              <w:tl2br w:val="nil"/>
              <w:tr2bl w:val="nil"/>
            </w:tcBorders>
            <w:vAlign w:val="center"/>
          </w:tcPr>
          <w:p w14:paraId="1123E9B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2E3FF71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＜0.00004</w:t>
            </w:r>
          </w:p>
        </w:tc>
        <w:tc>
          <w:tcPr>
            <w:tcW w:w="1411" w:type="pct"/>
            <w:tcBorders>
              <w:tl2br w:val="nil"/>
              <w:tr2bl w:val="nil"/>
            </w:tcBorders>
            <w:vAlign w:val="center"/>
          </w:tcPr>
          <w:p w14:paraId="16F8EDC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≤0.0001</w:t>
            </w:r>
          </w:p>
        </w:tc>
      </w:tr>
      <w:tr w14:paraId="69C34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64E0859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16</w:t>
            </w:r>
          </w:p>
        </w:tc>
        <w:tc>
          <w:tcPr>
            <w:tcW w:w="897" w:type="pct"/>
            <w:tcBorders>
              <w:tl2br w:val="nil"/>
              <w:tr2bl w:val="nil"/>
            </w:tcBorders>
            <w:vAlign w:val="center"/>
          </w:tcPr>
          <w:p w14:paraId="76AFEC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镉</w:t>
            </w:r>
          </w:p>
        </w:tc>
        <w:tc>
          <w:tcPr>
            <w:tcW w:w="897" w:type="pct"/>
            <w:tcBorders>
              <w:tl2br w:val="nil"/>
              <w:tr2bl w:val="nil"/>
            </w:tcBorders>
            <w:vAlign w:val="center"/>
          </w:tcPr>
          <w:p w14:paraId="4FBCFDA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1FC59C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＜0.005</w:t>
            </w:r>
          </w:p>
        </w:tc>
        <w:tc>
          <w:tcPr>
            <w:tcW w:w="1411" w:type="pct"/>
            <w:tcBorders>
              <w:tl2br w:val="nil"/>
              <w:tr2bl w:val="nil"/>
            </w:tcBorders>
            <w:vAlign w:val="center"/>
          </w:tcPr>
          <w:p w14:paraId="0B453E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≤0.005</w:t>
            </w:r>
          </w:p>
        </w:tc>
      </w:tr>
      <w:tr w14:paraId="60625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1A85E34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897" w:type="pct"/>
            <w:tcBorders>
              <w:tl2br w:val="nil"/>
              <w:tr2bl w:val="nil"/>
            </w:tcBorders>
            <w:vAlign w:val="center"/>
          </w:tcPr>
          <w:p w14:paraId="6970F8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铬（六价）</w:t>
            </w:r>
          </w:p>
        </w:tc>
        <w:tc>
          <w:tcPr>
            <w:tcW w:w="897" w:type="pct"/>
            <w:tcBorders>
              <w:tl2br w:val="nil"/>
              <w:tr2bl w:val="nil"/>
            </w:tcBorders>
            <w:vAlign w:val="center"/>
          </w:tcPr>
          <w:p w14:paraId="0E05987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7AD310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＜0.004</w:t>
            </w:r>
          </w:p>
        </w:tc>
        <w:tc>
          <w:tcPr>
            <w:tcW w:w="1411" w:type="pct"/>
            <w:tcBorders>
              <w:tl2br w:val="nil"/>
              <w:tr2bl w:val="nil"/>
            </w:tcBorders>
            <w:vAlign w:val="center"/>
          </w:tcPr>
          <w:p w14:paraId="162703A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≤0.05</w:t>
            </w:r>
          </w:p>
        </w:tc>
      </w:tr>
      <w:tr w14:paraId="66944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4AACCA2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w:t>
            </w:r>
          </w:p>
        </w:tc>
        <w:tc>
          <w:tcPr>
            <w:tcW w:w="897" w:type="pct"/>
            <w:tcBorders>
              <w:tl2br w:val="nil"/>
              <w:tr2bl w:val="nil"/>
            </w:tcBorders>
            <w:vAlign w:val="center"/>
          </w:tcPr>
          <w:p w14:paraId="4CB84E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氰化物</w:t>
            </w:r>
          </w:p>
        </w:tc>
        <w:tc>
          <w:tcPr>
            <w:tcW w:w="897" w:type="pct"/>
            <w:tcBorders>
              <w:tl2br w:val="nil"/>
              <w:tr2bl w:val="nil"/>
            </w:tcBorders>
            <w:vAlign w:val="center"/>
          </w:tcPr>
          <w:p w14:paraId="231FA48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726D394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＜0.004</w:t>
            </w:r>
          </w:p>
        </w:tc>
        <w:tc>
          <w:tcPr>
            <w:tcW w:w="1411" w:type="pct"/>
            <w:tcBorders>
              <w:tl2br w:val="nil"/>
              <w:tr2bl w:val="nil"/>
            </w:tcBorders>
            <w:vAlign w:val="center"/>
          </w:tcPr>
          <w:p w14:paraId="772B0FE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rPr>
            </w:pPr>
            <w:r>
              <w:rPr>
                <w:rFonts w:hint="eastAsia" w:ascii="宋体" w:hAnsi="宋体" w:eastAsia="宋体" w:cs="宋体"/>
                <w:sz w:val="24"/>
                <w:szCs w:val="24"/>
                <w:vertAlign w:val="baseline"/>
                <w:lang w:val="en-US" w:eastAsia="zh-CN"/>
              </w:rPr>
              <w:t>≤0.2</w:t>
            </w:r>
          </w:p>
        </w:tc>
      </w:tr>
      <w:tr w14:paraId="303AC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06310C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w:t>
            </w:r>
          </w:p>
        </w:tc>
        <w:tc>
          <w:tcPr>
            <w:tcW w:w="897" w:type="pct"/>
            <w:tcBorders>
              <w:tl2br w:val="nil"/>
              <w:tr2bl w:val="nil"/>
            </w:tcBorders>
            <w:vAlign w:val="center"/>
          </w:tcPr>
          <w:p w14:paraId="5A59FC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挥发酚</w:t>
            </w:r>
          </w:p>
        </w:tc>
        <w:tc>
          <w:tcPr>
            <w:tcW w:w="897" w:type="pct"/>
            <w:tcBorders>
              <w:tl2br w:val="nil"/>
              <w:tr2bl w:val="nil"/>
            </w:tcBorders>
            <w:vAlign w:val="center"/>
          </w:tcPr>
          <w:p w14:paraId="56C6B7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1B87E8E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＜0.0003</w:t>
            </w:r>
          </w:p>
        </w:tc>
        <w:tc>
          <w:tcPr>
            <w:tcW w:w="1411" w:type="pct"/>
            <w:tcBorders>
              <w:tl2br w:val="nil"/>
              <w:tr2bl w:val="nil"/>
            </w:tcBorders>
            <w:vAlign w:val="center"/>
          </w:tcPr>
          <w:p w14:paraId="060E237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≤0.005</w:t>
            </w:r>
          </w:p>
        </w:tc>
      </w:tr>
      <w:tr w14:paraId="4CB31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55CA82A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897" w:type="pct"/>
            <w:tcBorders>
              <w:tl2br w:val="nil"/>
              <w:tr2bl w:val="nil"/>
            </w:tcBorders>
            <w:vAlign w:val="center"/>
          </w:tcPr>
          <w:p w14:paraId="197460E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石油类</w:t>
            </w:r>
          </w:p>
        </w:tc>
        <w:tc>
          <w:tcPr>
            <w:tcW w:w="897" w:type="pct"/>
            <w:tcBorders>
              <w:tl2br w:val="nil"/>
              <w:tr2bl w:val="nil"/>
            </w:tcBorders>
            <w:vAlign w:val="center"/>
          </w:tcPr>
          <w:p w14:paraId="5DBC17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7562E6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＜0.01</w:t>
            </w:r>
          </w:p>
        </w:tc>
        <w:tc>
          <w:tcPr>
            <w:tcW w:w="1411" w:type="pct"/>
            <w:tcBorders>
              <w:tl2br w:val="nil"/>
              <w:tr2bl w:val="nil"/>
            </w:tcBorders>
            <w:vAlign w:val="center"/>
          </w:tcPr>
          <w:p w14:paraId="55AEB95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≤0.05</w:t>
            </w:r>
          </w:p>
        </w:tc>
      </w:tr>
      <w:tr w14:paraId="2B681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0CDCED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w:t>
            </w:r>
          </w:p>
        </w:tc>
        <w:tc>
          <w:tcPr>
            <w:tcW w:w="897" w:type="pct"/>
            <w:tcBorders>
              <w:tl2br w:val="nil"/>
              <w:tr2bl w:val="nil"/>
            </w:tcBorders>
            <w:vAlign w:val="center"/>
          </w:tcPr>
          <w:p w14:paraId="147901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阴离子表面活性剂</w:t>
            </w:r>
          </w:p>
        </w:tc>
        <w:tc>
          <w:tcPr>
            <w:tcW w:w="897" w:type="pct"/>
            <w:tcBorders>
              <w:tl2br w:val="nil"/>
              <w:tr2bl w:val="nil"/>
            </w:tcBorders>
            <w:vAlign w:val="center"/>
          </w:tcPr>
          <w:p w14:paraId="6A6566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5087167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＜0.05</w:t>
            </w:r>
          </w:p>
        </w:tc>
        <w:tc>
          <w:tcPr>
            <w:tcW w:w="1411" w:type="pct"/>
            <w:tcBorders>
              <w:tl2br w:val="nil"/>
              <w:tr2bl w:val="nil"/>
            </w:tcBorders>
            <w:vAlign w:val="center"/>
          </w:tcPr>
          <w:p w14:paraId="43685F5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≤0.2</w:t>
            </w:r>
          </w:p>
        </w:tc>
      </w:tr>
      <w:tr w14:paraId="358DE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5AF61C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22</w:t>
            </w:r>
          </w:p>
        </w:tc>
        <w:tc>
          <w:tcPr>
            <w:tcW w:w="897" w:type="pct"/>
            <w:tcBorders>
              <w:tl2br w:val="nil"/>
              <w:tr2bl w:val="nil"/>
            </w:tcBorders>
            <w:vAlign w:val="center"/>
          </w:tcPr>
          <w:p w14:paraId="109CDA8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硫化物</w:t>
            </w:r>
          </w:p>
        </w:tc>
        <w:tc>
          <w:tcPr>
            <w:tcW w:w="897" w:type="pct"/>
            <w:tcBorders>
              <w:tl2br w:val="nil"/>
              <w:tr2bl w:val="nil"/>
            </w:tcBorders>
            <w:vAlign w:val="center"/>
          </w:tcPr>
          <w:p w14:paraId="05709E4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0BEA783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＜0.01</w:t>
            </w:r>
          </w:p>
        </w:tc>
        <w:tc>
          <w:tcPr>
            <w:tcW w:w="1411" w:type="pct"/>
            <w:tcBorders>
              <w:tl2br w:val="nil"/>
              <w:tr2bl w:val="nil"/>
            </w:tcBorders>
            <w:vAlign w:val="center"/>
          </w:tcPr>
          <w:p w14:paraId="2F84395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≤0.2</w:t>
            </w:r>
          </w:p>
        </w:tc>
      </w:tr>
      <w:tr w14:paraId="02DD2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23722D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23</w:t>
            </w:r>
          </w:p>
        </w:tc>
        <w:tc>
          <w:tcPr>
            <w:tcW w:w="897" w:type="pct"/>
            <w:tcBorders>
              <w:tl2br w:val="nil"/>
              <w:tr2bl w:val="nil"/>
            </w:tcBorders>
            <w:vAlign w:val="center"/>
          </w:tcPr>
          <w:p w14:paraId="6E7F210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粪大肠菌群</w:t>
            </w:r>
          </w:p>
        </w:tc>
        <w:tc>
          <w:tcPr>
            <w:tcW w:w="897" w:type="pct"/>
            <w:tcBorders>
              <w:tl2br w:val="nil"/>
              <w:tr2bl w:val="nil"/>
            </w:tcBorders>
            <w:vAlign w:val="center"/>
          </w:tcPr>
          <w:p w14:paraId="23905C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MPN/L</w:t>
            </w:r>
          </w:p>
        </w:tc>
        <w:tc>
          <w:tcPr>
            <w:tcW w:w="897" w:type="pct"/>
            <w:tcBorders>
              <w:tl2br w:val="nil"/>
              <w:tr2bl w:val="nil"/>
            </w:tcBorders>
            <w:vAlign w:val="center"/>
          </w:tcPr>
          <w:p w14:paraId="258C6F2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140</w:t>
            </w:r>
          </w:p>
        </w:tc>
        <w:tc>
          <w:tcPr>
            <w:tcW w:w="1411" w:type="pct"/>
            <w:tcBorders>
              <w:tl2br w:val="nil"/>
              <w:tr2bl w:val="nil"/>
            </w:tcBorders>
            <w:vAlign w:val="center"/>
          </w:tcPr>
          <w:p w14:paraId="69182B0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≤10000</w:t>
            </w:r>
          </w:p>
        </w:tc>
      </w:tr>
      <w:tr w14:paraId="63C4F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tcBorders>
              <w:tl2br w:val="nil"/>
              <w:tr2bl w:val="nil"/>
            </w:tcBorders>
            <w:vAlign w:val="center"/>
          </w:tcPr>
          <w:p w14:paraId="737326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24</w:t>
            </w:r>
          </w:p>
        </w:tc>
        <w:tc>
          <w:tcPr>
            <w:tcW w:w="897" w:type="pct"/>
            <w:tcBorders>
              <w:tl2br w:val="nil"/>
              <w:tr2bl w:val="nil"/>
            </w:tcBorders>
            <w:vAlign w:val="center"/>
          </w:tcPr>
          <w:p w14:paraId="0A9B51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铅</w:t>
            </w:r>
          </w:p>
        </w:tc>
        <w:tc>
          <w:tcPr>
            <w:tcW w:w="897" w:type="pct"/>
            <w:tcBorders>
              <w:tl2br w:val="nil"/>
              <w:tr2bl w:val="nil"/>
            </w:tcBorders>
            <w:vAlign w:val="center"/>
          </w:tcPr>
          <w:p w14:paraId="1636D0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Times New Roman" w:hAnsi="Times New Roman" w:cs="Times New Roman"/>
                <w:color w:val="000000"/>
                <w:szCs w:val="21"/>
              </w:rPr>
              <w:t>mg/L</w:t>
            </w:r>
          </w:p>
        </w:tc>
        <w:tc>
          <w:tcPr>
            <w:tcW w:w="897" w:type="pct"/>
            <w:tcBorders>
              <w:tl2br w:val="nil"/>
              <w:tr2bl w:val="nil"/>
            </w:tcBorders>
            <w:vAlign w:val="center"/>
          </w:tcPr>
          <w:p w14:paraId="10B0FF3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＜0.01</w:t>
            </w:r>
          </w:p>
        </w:tc>
        <w:tc>
          <w:tcPr>
            <w:tcW w:w="1411" w:type="pct"/>
            <w:tcBorders>
              <w:tl2br w:val="nil"/>
              <w:tr2bl w:val="nil"/>
            </w:tcBorders>
            <w:vAlign w:val="center"/>
          </w:tcPr>
          <w:p w14:paraId="28D58CD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vertAlign w:val="baseline"/>
              </w:rPr>
            </w:pPr>
            <w:r>
              <w:rPr>
                <w:rFonts w:hint="eastAsia" w:ascii="宋体" w:hAnsi="宋体" w:eastAsia="宋体" w:cs="宋体"/>
                <w:sz w:val="24"/>
                <w:szCs w:val="24"/>
                <w:vertAlign w:val="baseline"/>
                <w:lang w:val="en-US" w:eastAsia="zh-CN"/>
              </w:rPr>
              <w:t>≤0.05</w:t>
            </w:r>
          </w:p>
        </w:tc>
      </w:tr>
    </w:tbl>
    <w:p w14:paraId="4956592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4"/>
          <w:szCs w:val="24"/>
        </w:rPr>
      </w:pPr>
    </w:p>
    <w:p w14:paraId="08517EF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z w:val="24"/>
          <w:szCs w:val="24"/>
        </w:rPr>
      </w:pPr>
      <w:r>
        <w:rPr>
          <w:rFonts w:ascii="宋体" w:hAnsi="宋体" w:eastAsia="宋体" w:cs="宋体"/>
          <w:spacing w:val="-2"/>
          <w:sz w:val="24"/>
          <w:szCs w:val="24"/>
        </w:rPr>
        <w:t xml:space="preserve">由表 </w:t>
      </w:r>
      <w:r>
        <w:rPr>
          <w:rFonts w:ascii="宋体" w:hAnsi="宋体" w:eastAsia="宋体" w:cs="宋体"/>
          <w:sz w:val="24"/>
          <w:szCs w:val="24"/>
        </w:rPr>
        <w:t>4-3-</w:t>
      </w:r>
      <w:r>
        <w:rPr>
          <w:rFonts w:hint="eastAsia" w:ascii="宋体" w:hAnsi="宋体" w:eastAsia="宋体" w:cs="宋体"/>
          <w:sz w:val="24"/>
          <w:szCs w:val="24"/>
          <w:lang w:val="en-US" w:eastAsia="zh-CN"/>
        </w:rPr>
        <w:t>2</w:t>
      </w:r>
      <w:r>
        <w:rPr>
          <w:rFonts w:ascii="宋体" w:hAnsi="宋体" w:eastAsia="宋体" w:cs="宋体"/>
          <w:sz w:val="24"/>
          <w:szCs w:val="24"/>
        </w:rPr>
        <w:t xml:space="preserve"> 可知，项目所在区域地表水各项监测因子均满足《地表水环境质量标准》(GB3838-2002)中</w:t>
      </w:r>
      <w:r>
        <w:rPr>
          <w:rFonts w:hint="eastAsia" w:ascii="宋体" w:hAnsi="宋体" w:eastAsia="宋体" w:cs="宋体"/>
          <w:sz w:val="24"/>
          <w:szCs w:val="24"/>
          <w:lang w:val="en-US" w:eastAsia="zh-CN"/>
        </w:rPr>
        <w:t>Ⅲ</w:t>
      </w:r>
      <w:r>
        <w:rPr>
          <w:rFonts w:ascii="宋体" w:hAnsi="宋体" w:eastAsia="宋体" w:cs="宋体"/>
          <w:sz w:val="24"/>
          <w:szCs w:val="24"/>
        </w:rPr>
        <w:t>类标准限值的要求，地表水环境质量较好。</w:t>
      </w:r>
    </w:p>
    <w:p w14:paraId="1A2973C9">
      <w:pPr>
        <w:pStyle w:val="3"/>
        <w:spacing w:line="279" w:lineRule="auto"/>
      </w:pPr>
    </w:p>
    <w:p w14:paraId="443356CB">
      <w:pPr>
        <w:spacing w:before="98" w:line="218" w:lineRule="auto"/>
        <w:ind w:left="14"/>
        <w:outlineLvl w:val="1"/>
        <w:rPr>
          <w:rFonts w:ascii="宋体" w:hAnsi="宋体" w:eastAsia="宋体" w:cs="宋体"/>
          <w:sz w:val="30"/>
          <w:szCs w:val="30"/>
        </w:rPr>
      </w:pPr>
      <w:bookmarkStart w:id="27" w:name="bookmark23"/>
      <w:bookmarkEnd w:id="27"/>
      <w:r>
        <w:rPr>
          <w:rFonts w:hint="eastAsia" w:ascii="黑体" w:hAnsi="黑体" w:eastAsia="黑体" w:cs="黑体"/>
          <w:spacing w:val="2"/>
          <w:sz w:val="30"/>
          <w:szCs w:val="30"/>
          <w14:textOutline w14:w="5448" w14:cap="sq" w14:cmpd="sng">
            <w14:solidFill>
              <w14:srgbClr w14:val="000000"/>
            </w14:solidFill>
            <w14:prstDash w14:val="solid"/>
            <w14:bevel/>
          </w14:textOutline>
        </w:rPr>
        <w:t>4.4</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声环境现状评价</w:t>
      </w:r>
    </w:p>
    <w:p w14:paraId="4EA664EF">
      <w:pPr>
        <w:spacing w:before="226" w:line="221" w:lineRule="auto"/>
        <w:ind w:left="14"/>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4.4.1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监测因子</w:t>
      </w:r>
    </w:p>
    <w:p w14:paraId="5C5AE6F7">
      <w:pPr>
        <w:spacing w:before="204" w:line="219" w:lineRule="auto"/>
        <w:ind w:left="497"/>
        <w:rPr>
          <w:rFonts w:ascii="宋体" w:hAnsi="宋体" w:eastAsia="宋体" w:cs="宋体"/>
          <w:sz w:val="24"/>
          <w:szCs w:val="24"/>
        </w:rPr>
      </w:pPr>
      <w:r>
        <w:rPr>
          <w:rFonts w:ascii="宋体" w:hAnsi="宋体" w:eastAsia="宋体" w:cs="宋体"/>
          <w:spacing w:val="-4"/>
          <w:sz w:val="24"/>
          <w:szCs w:val="24"/>
        </w:rPr>
        <w:t>等效连续</w:t>
      </w:r>
      <w:r>
        <w:rPr>
          <w:rFonts w:ascii="宋体" w:hAnsi="宋体" w:eastAsia="宋体" w:cs="宋体"/>
          <w:spacing w:val="-59"/>
          <w:sz w:val="24"/>
          <w:szCs w:val="24"/>
        </w:rPr>
        <w:t xml:space="preserve"> </w:t>
      </w:r>
      <w:r>
        <w:rPr>
          <w:rFonts w:ascii="宋体" w:hAnsi="宋体" w:eastAsia="宋体" w:cs="宋体"/>
          <w:spacing w:val="-4"/>
          <w:sz w:val="24"/>
          <w:szCs w:val="24"/>
        </w:rPr>
        <w:t>A</w:t>
      </w:r>
      <w:r>
        <w:rPr>
          <w:rFonts w:ascii="宋体" w:hAnsi="宋体" w:eastAsia="宋体" w:cs="宋体"/>
          <w:spacing w:val="-46"/>
          <w:sz w:val="24"/>
          <w:szCs w:val="24"/>
        </w:rPr>
        <w:t xml:space="preserve"> </w:t>
      </w:r>
      <w:r>
        <w:rPr>
          <w:rFonts w:ascii="宋体" w:hAnsi="宋体" w:eastAsia="宋体" w:cs="宋体"/>
          <w:spacing w:val="-4"/>
          <w:sz w:val="24"/>
          <w:szCs w:val="24"/>
        </w:rPr>
        <w:t>声级</w:t>
      </w:r>
    </w:p>
    <w:p w14:paraId="246FBB49">
      <w:pPr>
        <w:spacing w:before="92" w:line="219" w:lineRule="auto"/>
        <w:ind w:left="14"/>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4.4.2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监测点位及布点方法</w:t>
      </w:r>
    </w:p>
    <w:p w14:paraId="050E89E6">
      <w:pPr>
        <w:spacing w:before="207" w:line="360" w:lineRule="auto"/>
        <w:ind w:left="17" w:firstLine="478"/>
        <w:jc w:val="both"/>
        <w:rPr>
          <w:rFonts w:ascii="宋体" w:hAnsi="宋体" w:eastAsia="宋体" w:cs="宋体"/>
          <w:spacing w:val="-2"/>
          <w:sz w:val="24"/>
          <w:szCs w:val="24"/>
        </w:rPr>
      </w:pPr>
      <w:r>
        <w:rPr>
          <w:rFonts w:ascii="宋体" w:hAnsi="宋体" w:eastAsia="宋体" w:cs="宋体"/>
          <w:sz w:val="24"/>
          <w:szCs w:val="24"/>
        </w:rPr>
        <w:t>根据《环境影响评价技术导则 声环境》</w:t>
      </w:r>
      <w:r>
        <w:rPr>
          <w:rFonts w:ascii="宋体" w:hAnsi="宋体" w:eastAsia="宋体" w:cs="宋体"/>
          <w:spacing w:val="-64"/>
          <w:sz w:val="24"/>
          <w:szCs w:val="24"/>
        </w:rPr>
        <w:t xml:space="preserve"> </w:t>
      </w:r>
      <w:r>
        <w:rPr>
          <w:rFonts w:ascii="宋体" w:hAnsi="宋体" w:eastAsia="宋体" w:cs="宋体"/>
          <w:sz w:val="24"/>
          <w:szCs w:val="24"/>
        </w:rPr>
        <w:t xml:space="preserve">(HJ2.4-2021)，结合项目周围环境现状及 </w:t>
      </w:r>
      <w:r>
        <w:rPr>
          <w:rFonts w:ascii="宋体" w:hAnsi="宋体" w:eastAsia="宋体" w:cs="宋体"/>
          <w:spacing w:val="-2"/>
          <w:sz w:val="24"/>
          <w:szCs w:val="24"/>
        </w:rPr>
        <w:t>项目特点，</w:t>
      </w:r>
      <w:r>
        <w:rPr>
          <w:rFonts w:hint="eastAsia" w:ascii="宋体" w:hAnsi="宋体" w:eastAsia="宋体" w:cs="宋体"/>
          <w:spacing w:val="-2"/>
          <w:sz w:val="24"/>
          <w:szCs w:val="24"/>
          <w:lang w:val="en-US" w:eastAsia="zh-CN"/>
        </w:rPr>
        <w:t>在</w:t>
      </w:r>
      <w:r>
        <w:rPr>
          <w:rFonts w:hint="eastAsia" w:ascii="宋体" w:hAnsi="宋体" w:eastAsia="宋体" w:cs="宋体"/>
          <w:spacing w:val="-2"/>
          <w:sz w:val="24"/>
          <w:szCs w:val="24"/>
        </w:rPr>
        <w:t>高昌区、托克逊县、鄯善县项目沿线分别设4个监测点位，共计十二个监测点位</w:t>
      </w:r>
      <w:r>
        <w:rPr>
          <w:rFonts w:hint="eastAsia" w:ascii="宋体" w:hAnsi="宋体" w:eastAsia="宋体" w:cs="宋体"/>
          <w:spacing w:val="-2"/>
          <w:sz w:val="24"/>
          <w:szCs w:val="24"/>
          <w:lang w:eastAsia="zh-CN"/>
        </w:rPr>
        <w:t>，</w:t>
      </w:r>
      <w:r>
        <w:rPr>
          <w:rFonts w:hint="eastAsia" w:ascii="宋体" w:hAnsi="宋体" w:eastAsia="宋体" w:cs="宋体"/>
          <w:spacing w:val="-5"/>
          <w:sz w:val="24"/>
          <w:szCs w:val="24"/>
          <w:lang w:val="en-US" w:eastAsia="zh-CN"/>
        </w:rPr>
        <w:t>监测布点及监测项目见表4-4-1</w:t>
      </w:r>
      <w:r>
        <w:rPr>
          <w:rFonts w:ascii="宋体" w:hAnsi="宋体" w:eastAsia="宋体" w:cs="宋体"/>
          <w:spacing w:val="-2"/>
          <w:sz w:val="24"/>
          <w:szCs w:val="24"/>
        </w:rPr>
        <w:t>。</w:t>
      </w:r>
    </w:p>
    <w:p w14:paraId="3EFD54F9">
      <w:pPr>
        <w:kinsoku w:val="0"/>
        <w:overflowPunct w:val="0"/>
        <w:autoSpaceDE w:val="0"/>
        <w:autoSpaceDN w:val="0"/>
        <w:adjustRightInd w:val="0"/>
        <w:spacing w:before="75"/>
        <w:jc w:val="center"/>
        <w:rPr>
          <w:rFonts w:hint="eastAsia" w:ascii="宋体" w:cs="宋体"/>
          <w:b/>
          <w:bCs/>
          <w:color w:val="000000"/>
          <w:kern w:val="0"/>
          <w:sz w:val="24"/>
        </w:rPr>
      </w:pPr>
      <w:r>
        <w:rPr>
          <w:rFonts w:hint="eastAsia"/>
          <w:b/>
          <w:bCs/>
          <w:color w:val="000000"/>
          <w:lang w:val="en-US" w:bidi="zh-CN"/>
        </w:rPr>
        <w:t xml:space="preserve">表4-4-1 </w:t>
      </w:r>
      <w:r>
        <w:rPr>
          <w:rFonts w:hint="eastAsia"/>
          <w:b/>
          <w:bCs/>
          <w:color w:val="000000"/>
          <w:lang w:val="en-US" w:eastAsia="zh-CN" w:bidi="zh-CN"/>
        </w:rPr>
        <w:t xml:space="preserve">  </w:t>
      </w:r>
      <w:r>
        <w:rPr>
          <w:rFonts w:hint="eastAsia"/>
          <w:b/>
          <w:bCs/>
          <w:color w:val="000000"/>
          <w:lang w:val="en-US" w:bidi="zh-CN"/>
        </w:rPr>
        <w:t>噪声监测点位布设及监测项目一览表</w:t>
      </w:r>
    </w:p>
    <w:tbl>
      <w:tblPr>
        <w:tblStyle w:val="1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4328"/>
        <w:gridCol w:w="4187"/>
      </w:tblGrid>
      <w:tr w14:paraId="5E99D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53" w:type="pct"/>
            <w:noWrap w:val="0"/>
            <w:vAlign w:val="center"/>
          </w:tcPr>
          <w:p w14:paraId="5983D1CC">
            <w:pPr>
              <w:pStyle w:val="24"/>
              <w:jc w:val="center"/>
              <w:rPr>
                <w:color w:val="000000"/>
              </w:rPr>
            </w:pPr>
            <w:r>
              <w:rPr>
                <w:color w:val="000000"/>
              </w:rPr>
              <w:t>序号</w:t>
            </w:r>
          </w:p>
        </w:tc>
        <w:tc>
          <w:tcPr>
            <w:tcW w:w="2310" w:type="pct"/>
            <w:noWrap w:val="0"/>
            <w:vAlign w:val="center"/>
          </w:tcPr>
          <w:p w14:paraId="0084A41C">
            <w:pPr>
              <w:pStyle w:val="24"/>
              <w:jc w:val="center"/>
              <w:rPr>
                <w:color w:val="000000"/>
              </w:rPr>
            </w:pPr>
            <w:r>
              <w:rPr>
                <w:color w:val="000000"/>
              </w:rPr>
              <w:t>监测点位</w:t>
            </w:r>
          </w:p>
        </w:tc>
        <w:tc>
          <w:tcPr>
            <w:tcW w:w="2235" w:type="pct"/>
            <w:noWrap w:val="0"/>
            <w:vAlign w:val="center"/>
          </w:tcPr>
          <w:p w14:paraId="51E72478">
            <w:pPr>
              <w:pStyle w:val="24"/>
              <w:jc w:val="center"/>
              <w:rPr>
                <w:rFonts w:hint="default" w:eastAsia="宋体"/>
                <w:color w:val="000000"/>
                <w:lang w:val="en-US" w:eastAsia="zh-CN"/>
              </w:rPr>
            </w:pPr>
            <w:r>
              <w:rPr>
                <w:rFonts w:hint="eastAsia"/>
                <w:color w:val="000000"/>
                <w:lang w:val="en-US" w:eastAsia="zh-CN"/>
              </w:rPr>
              <w:t>检测项目及频次</w:t>
            </w:r>
          </w:p>
        </w:tc>
      </w:tr>
      <w:tr w14:paraId="0AA5B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53" w:type="pct"/>
            <w:noWrap w:val="0"/>
            <w:vAlign w:val="center"/>
          </w:tcPr>
          <w:p w14:paraId="4699CC14">
            <w:pPr>
              <w:pStyle w:val="24"/>
              <w:spacing w:line="240" w:lineRule="auto"/>
              <w:jc w:val="center"/>
              <w:rPr>
                <w:color w:val="000000"/>
                <w:szCs w:val="21"/>
              </w:rPr>
            </w:pPr>
            <w:r>
              <w:rPr>
                <w:rFonts w:hint="eastAsia"/>
                <w:color w:val="000000"/>
                <w:szCs w:val="21"/>
              </w:rPr>
              <w:t>1</w:t>
            </w:r>
          </w:p>
        </w:tc>
        <w:tc>
          <w:tcPr>
            <w:tcW w:w="2310" w:type="pct"/>
            <w:noWrap w:val="0"/>
            <w:vAlign w:val="center"/>
          </w:tcPr>
          <w:p w14:paraId="34B39469">
            <w:pPr>
              <w:jc w:val="center"/>
              <w:rPr>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restart"/>
            <w:noWrap w:val="0"/>
            <w:vAlign w:val="center"/>
          </w:tcPr>
          <w:p w14:paraId="52C41599">
            <w:pPr>
              <w:pStyle w:val="24"/>
              <w:spacing w:line="240" w:lineRule="auto"/>
              <w:jc w:val="center"/>
              <w:rPr>
                <w:color w:val="000000"/>
                <w:spacing w:val="-20"/>
                <w:lang w:bidi="en-US"/>
              </w:rPr>
            </w:pPr>
            <w:r>
              <w:rPr>
                <w:rFonts w:hint="eastAsia" w:cs="Times New Roman"/>
                <w:color w:val="000000"/>
                <w:szCs w:val="21"/>
              </w:rPr>
              <w:t>等效A声级，监测一天，昼夜各一次</w:t>
            </w:r>
          </w:p>
        </w:tc>
      </w:tr>
      <w:tr w14:paraId="7FA79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53" w:type="pct"/>
            <w:noWrap w:val="0"/>
            <w:vAlign w:val="center"/>
          </w:tcPr>
          <w:p w14:paraId="090BDDB7">
            <w:pPr>
              <w:pStyle w:val="24"/>
              <w:jc w:val="center"/>
              <w:rPr>
                <w:rFonts w:hint="eastAsia" w:eastAsia="宋体"/>
                <w:color w:val="000000"/>
                <w:szCs w:val="21"/>
                <w:lang w:val="en-US" w:eastAsia="zh-CN"/>
              </w:rPr>
            </w:pPr>
            <w:r>
              <w:rPr>
                <w:rFonts w:hint="eastAsia"/>
                <w:color w:val="000000"/>
                <w:szCs w:val="21"/>
                <w:lang w:val="en-US" w:eastAsia="zh-CN"/>
              </w:rPr>
              <w:t>2</w:t>
            </w:r>
          </w:p>
        </w:tc>
        <w:tc>
          <w:tcPr>
            <w:tcW w:w="2310" w:type="pct"/>
            <w:noWrap w:val="0"/>
            <w:vAlign w:val="center"/>
          </w:tcPr>
          <w:p w14:paraId="34FC395A">
            <w:pPr>
              <w:pStyle w:val="24"/>
              <w:jc w:val="center"/>
              <w:rPr>
                <w:rFonts w:hint="default"/>
                <w:color w:val="000000"/>
                <w:szCs w:val="21"/>
                <w:lang w:val="en-US"/>
              </w:rPr>
            </w:pPr>
            <w:r>
              <w:rPr>
                <w:rFonts w:hint="eastAsia"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4844FD14">
            <w:pPr>
              <w:pStyle w:val="24"/>
              <w:jc w:val="center"/>
              <w:rPr>
                <w:rFonts w:hint="eastAsia" w:cs="Times New Roman"/>
                <w:color w:val="000000"/>
                <w:szCs w:val="21"/>
              </w:rPr>
            </w:pPr>
          </w:p>
        </w:tc>
      </w:tr>
      <w:tr w14:paraId="0903F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168E2783">
            <w:pPr>
              <w:pStyle w:val="24"/>
              <w:jc w:val="center"/>
              <w:rPr>
                <w:rFonts w:hint="eastAsia" w:eastAsia="宋体"/>
                <w:color w:val="000000"/>
                <w:szCs w:val="21"/>
                <w:lang w:val="en-US" w:eastAsia="zh-CN"/>
              </w:rPr>
            </w:pPr>
            <w:r>
              <w:rPr>
                <w:rFonts w:hint="eastAsia"/>
                <w:color w:val="000000"/>
                <w:szCs w:val="21"/>
                <w:lang w:val="en-US" w:eastAsia="zh-CN"/>
              </w:rPr>
              <w:t>3</w:t>
            </w:r>
          </w:p>
        </w:tc>
        <w:tc>
          <w:tcPr>
            <w:tcW w:w="2310" w:type="pct"/>
            <w:noWrap w:val="0"/>
            <w:vAlign w:val="center"/>
          </w:tcPr>
          <w:p w14:paraId="70B8DDF3">
            <w:pPr>
              <w:pStyle w:val="24"/>
              <w:jc w:val="center"/>
              <w:rPr>
                <w:rFonts w:hint="eastAsia"/>
                <w:color w:val="000000"/>
                <w:szCs w:val="21"/>
              </w:rPr>
            </w:pPr>
            <w:r>
              <w:rPr>
                <w:rFonts w:hint="eastAsia"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488E5764">
            <w:pPr>
              <w:pStyle w:val="24"/>
              <w:jc w:val="center"/>
              <w:rPr>
                <w:rFonts w:hint="eastAsia" w:cs="Times New Roman"/>
                <w:color w:val="000000"/>
                <w:szCs w:val="21"/>
              </w:rPr>
            </w:pPr>
          </w:p>
        </w:tc>
      </w:tr>
      <w:tr w14:paraId="0E3C3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08E67D7F">
            <w:pPr>
              <w:pStyle w:val="24"/>
              <w:jc w:val="center"/>
              <w:rPr>
                <w:rFonts w:hint="eastAsia" w:eastAsia="宋体"/>
                <w:color w:val="000000"/>
                <w:szCs w:val="21"/>
                <w:lang w:val="en-US" w:eastAsia="zh-CN"/>
              </w:rPr>
            </w:pPr>
            <w:r>
              <w:rPr>
                <w:rFonts w:hint="eastAsia"/>
                <w:color w:val="000000"/>
                <w:szCs w:val="21"/>
                <w:lang w:val="en-US" w:eastAsia="zh-CN"/>
              </w:rPr>
              <w:t>4</w:t>
            </w:r>
          </w:p>
        </w:tc>
        <w:tc>
          <w:tcPr>
            <w:tcW w:w="2310" w:type="pct"/>
            <w:noWrap w:val="0"/>
            <w:vAlign w:val="center"/>
          </w:tcPr>
          <w:p w14:paraId="3716837B">
            <w:pPr>
              <w:pStyle w:val="24"/>
              <w:jc w:val="center"/>
              <w:rPr>
                <w:rFonts w:hint="eastAsia"/>
                <w:color w:val="000000"/>
                <w:szCs w:val="21"/>
              </w:rPr>
            </w:pPr>
            <w:r>
              <w:rPr>
                <w:rFonts w:hint="eastAsia"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64CEF0F4">
            <w:pPr>
              <w:pStyle w:val="24"/>
              <w:jc w:val="center"/>
              <w:rPr>
                <w:rFonts w:hint="eastAsia" w:cs="Times New Roman"/>
                <w:color w:val="000000"/>
                <w:szCs w:val="21"/>
              </w:rPr>
            </w:pPr>
          </w:p>
        </w:tc>
      </w:tr>
      <w:tr w14:paraId="0CC01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453" w:type="pct"/>
            <w:noWrap w:val="0"/>
            <w:vAlign w:val="center"/>
          </w:tcPr>
          <w:p w14:paraId="2E3D1A87">
            <w:pPr>
              <w:pStyle w:val="24"/>
              <w:jc w:val="center"/>
              <w:rPr>
                <w:rFonts w:hint="eastAsia" w:eastAsia="宋体"/>
                <w:color w:val="000000"/>
                <w:szCs w:val="21"/>
                <w:lang w:val="en-US" w:eastAsia="zh-CN"/>
              </w:rPr>
            </w:pPr>
            <w:r>
              <w:rPr>
                <w:rFonts w:hint="eastAsia"/>
                <w:color w:val="000000"/>
                <w:szCs w:val="21"/>
                <w:lang w:val="en-US" w:eastAsia="zh-CN"/>
              </w:rPr>
              <w:t>5</w:t>
            </w:r>
          </w:p>
        </w:tc>
        <w:tc>
          <w:tcPr>
            <w:tcW w:w="2310" w:type="pct"/>
            <w:noWrap w:val="0"/>
            <w:vAlign w:val="center"/>
          </w:tcPr>
          <w:p w14:paraId="64D14D32">
            <w:pPr>
              <w:pStyle w:val="24"/>
              <w:jc w:val="center"/>
              <w:rPr>
                <w:rFonts w:hint="eastAsia"/>
                <w:color w:val="000000"/>
                <w:szCs w:val="21"/>
              </w:rPr>
            </w:pPr>
            <w:r>
              <w:rPr>
                <w:rFonts w:hint="eastAsia"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0CF98E3F">
            <w:pPr>
              <w:pStyle w:val="24"/>
              <w:jc w:val="center"/>
              <w:rPr>
                <w:rFonts w:hint="eastAsia" w:cs="Times New Roman"/>
                <w:color w:val="000000"/>
                <w:szCs w:val="21"/>
              </w:rPr>
            </w:pPr>
          </w:p>
        </w:tc>
      </w:tr>
      <w:tr w14:paraId="0D029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53" w:type="pct"/>
            <w:noWrap w:val="0"/>
            <w:vAlign w:val="center"/>
          </w:tcPr>
          <w:p w14:paraId="34C2DAF5">
            <w:pPr>
              <w:pStyle w:val="24"/>
              <w:jc w:val="center"/>
              <w:rPr>
                <w:rFonts w:hint="eastAsia" w:eastAsia="宋体"/>
                <w:color w:val="000000"/>
                <w:szCs w:val="21"/>
                <w:lang w:val="en-US" w:eastAsia="zh-CN"/>
              </w:rPr>
            </w:pPr>
            <w:r>
              <w:rPr>
                <w:rFonts w:hint="eastAsia"/>
                <w:color w:val="000000"/>
                <w:szCs w:val="21"/>
                <w:lang w:val="en-US" w:eastAsia="zh-CN"/>
              </w:rPr>
              <w:t>6</w:t>
            </w:r>
          </w:p>
        </w:tc>
        <w:tc>
          <w:tcPr>
            <w:tcW w:w="2310" w:type="pct"/>
            <w:noWrap w:val="0"/>
            <w:vAlign w:val="center"/>
          </w:tcPr>
          <w:p w14:paraId="36C88245">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785FA249">
            <w:pPr>
              <w:pStyle w:val="24"/>
              <w:jc w:val="center"/>
              <w:rPr>
                <w:rFonts w:hint="eastAsia" w:cs="Times New Roman"/>
                <w:color w:val="000000"/>
                <w:szCs w:val="21"/>
              </w:rPr>
            </w:pPr>
          </w:p>
        </w:tc>
      </w:tr>
      <w:tr w14:paraId="56E55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2E052D24">
            <w:pPr>
              <w:pStyle w:val="24"/>
              <w:jc w:val="center"/>
              <w:rPr>
                <w:rFonts w:hint="default"/>
                <w:color w:val="000000"/>
                <w:szCs w:val="21"/>
                <w:lang w:val="en-US" w:eastAsia="zh-CN"/>
              </w:rPr>
            </w:pPr>
            <w:r>
              <w:rPr>
                <w:rFonts w:hint="eastAsia"/>
                <w:color w:val="000000"/>
                <w:szCs w:val="21"/>
                <w:lang w:val="en-US" w:eastAsia="zh-CN"/>
              </w:rPr>
              <w:t>7</w:t>
            </w:r>
          </w:p>
        </w:tc>
        <w:tc>
          <w:tcPr>
            <w:tcW w:w="2310" w:type="pct"/>
            <w:noWrap w:val="0"/>
            <w:vAlign w:val="center"/>
          </w:tcPr>
          <w:p w14:paraId="5F7414B3">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4ED8DD96">
            <w:pPr>
              <w:pStyle w:val="24"/>
              <w:jc w:val="center"/>
              <w:rPr>
                <w:rFonts w:hint="eastAsia" w:cs="Times New Roman"/>
                <w:color w:val="000000"/>
                <w:szCs w:val="21"/>
              </w:rPr>
            </w:pPr>
          </w:p>
        </w:tc>
      </w:tr>
      <w:tr w14:paraId="61AC3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53" w:type="pct"/>
            <w:noWrap w:val="0"/>
            <w:vAlign w:val="center"/>
          </w:tcPr>
          <w:p w14:paraId="0821141F">
            <w:pPr>
              <w:pStyle w:val="24"/>
              <w:jc w:val="center"/>
              <w:rPr>
                <w:rFonts w:hint="default"/>
                <w:color w:val="000000"/>
                <w:szCs w:val="21"/>
                <w:lang w:val="en-US" w:eastAsia="zh-CN"/>
              </w:rPr>
            </w:pPr>
            <w:r>
              <w:rPr>
                <w:rFonts w:hint="eastAsia"/>
                <w:color w:val="000000"/>
                <w:szCs w:val="21"/>
                <w:lang w:val="en-US" w:eastAsia="zh-CN"/>
              </w:rPr>
              <w:t>8</w:t>
            </w:r>
          </w:p>
        </w:tc>
        <w:tc>
          <w:tcPr>
            <w:tcW w:w="2310" w:type="pct"/>
            <w:noWrap w:val="0"/>
            <w:vAlign w:val="center"/>
          </w:tcPr>
          <w:p w14:paraId="25D667D6">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5BD8309D">
            <w:pPr>
              <w:pStyle w:val="24"/>
              <w:jc w:val="center"/>
              <w:rPr>
                <w:rFonts w:hint="eastAsia" w:cs="Times New Roman"/>
                <w:color w:val="000000"/>
                <w:szCs w:val="21"/>
              </w:rPr>
            </w:pPr>
          </w:p>
        </w:tc>
      </w:tr>
      <w:tr w14:paraId="00250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53" w:type="pct"/>
            <w:noWrap w:val="0"/>
            <w:vAlign w:val="center"/>
          </w:tcPr>
          <w:p w14:paraId="56BA9030">
            <w:pPr>
              <w:pStyle w:val="24"/>
              <w:jc w:val="center"/>
              <w:rPr>
                <w:rFonts w:hint="default"/>
                <w:color w:val="000000"/>
                <w:szCs w:val="21"/>
                <w:lang w:val="en-US" w:eastAsia="zh-CN"/>
              </w:rPr>
            </w:pPr>
            <w:r>
              <w:rPr>
                <w:rFonts w:hint="eastAsia"/>
                <w:color w:val="000000"/>
                <w:szCs w:val="21"/>
                <w:lang w:val="en-US" w:eastAsia="zh-CN"/>
              </w:rPr>
              <w:t>9</w:t>
            </w:r>
          </w:p>
        </w:tc>
        <w:tc>
          <w:tcPr>
            <w:tcW w:w="2310" w:type="pct"/>
            <w:noWrap w:val="0"/>
            <w:vAlign w:val="center"/>
          </w:tcPr>
          <w:p w14:paraId="68DB2B7A">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528B8CE9">
            <w:pPr>
              <w:pStyle w:val="24"/>
              <w:jc w:val="center"/>
              <w:rPr>
                <w:rFonts w:hint="eastAsia" w:cs="Times New Roman"/>
                <w:color w:val="000000"/>
                <w:szCs w:val="21"/>
              </w:rPr>
            </w:pPr>
          </w:p>
        </w:tc>
      </w:tr>
      <w:tr w14:paraId="00D8B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53" w:type="pct"/>
            <w:noWrap w:val="0"/>
            <w:vAlign w:val="center"/>
          </w:tcPr>
          <w:p w14:paraId="4BA05F37">
            <w:pPr>
              <w:pStyle w:val="24"/>
              <w:jc w:val="center"/>
              <w:rPr>
                <w:rFonts w:hint="default"/>
                <w:color w:val="000000"/>
                <w:szCs w:val="21"/>
                <w:lang w:val="en-US" w:eastAsia="zh-CN"/>
              </w:rPr>
            </w:pPr>
            <w:r>
              <w:rPr>
                <w:rFonts w:hint="eastAsia"/>
                <w:color w:val="000000"/>
                <w:szCs w:val="21"/>
                <w:lang w:val="en-US" w:eastAsia="zh-CN"/>
              </w:rPr>
              <w:t>10</w:t>
            </w:r>
          </w:p>
        </w:tc>
        <w:tc>
          <w:tcPr>
            <w:tcW w:w="2310" w:type="pct"/>
            <w:noWrap w:val="0"/>
            <w:vAlign w:val="center"/>
          </w:tcPr>
          <w:p w14:paraId="6A5A33E2">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4FE6F709">
            <w:pPr>
              <w:pStyle w:val="24"/>
              <w:jc w:val="center"/>
              <w:rPr>
                <w:rFonts w:hint="eastAsia" w:cs="Times New Roman"/>
                <w:color w:val="000000"/>
                <w:szCs w:val="21"/>
              </w:rPr>
            </w:pPr>
          </w:p>
        </w:tc>
      </w:tr>
      <w:tr w14:paraId="43AEB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53" w:type="pct"/>
            <w:noWrap w:val="0"/>
            <w:vAlign w:val="center"/>
          </w:tcPr>
          <w:p w14:paraId="409FE8F5">
            <w:pPr>
              <w:pStyle w:val="24"/>
              <w:jc w:val="center"/>
              <w:rPr>
                <w:rFonts w:hint="default"/>
                <w:color w:val="000000"/>
                <w:szCs w:val="21"/>
                <w:lang w:val="en-US" w:eastAsia="zh-CN"/>
              </w:rPr>
            </w:pPr>
            <w:r>
              <w:rPr>
                <w:rFonts w:hint="eastAsia"/>
                <w:color w:val="000000"/>
                <w:szCs w:val="21"/>
                <w:lang w:val="en-US" w:eastAsia="zh-CN"/>
              </w:rPr>
              <w:t>11</w:t>
            </w:r>
          </w:p>
        </w:tc>
        <w:tc>
          <w:tcPr>
            <w:tcW w:w="2310" w:type="pct"/>
            <w:noWrap w:val="0"/>
            <w:vAlign w:val="center"/>
          </w:tcPr>
          <w:p w14:paraId="788EE3D1">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56EADC4F">
            <w:pPr>
              <w:pStyle w:val="24"/>
              <w:jc w:val="center"/>
              <w:rPr>
                <w:rFonts w:hint="eastAsia" w:cs="Times New Roman"/>
                <w:color w:val="000000"/>
                <w:szCs w:val="21"/>
              </w:rPr>
            </w:pPr>
          </w:p>
        </w:tc>
      </w:tr>
      <w:tr w14:paraId="1A6CE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53" w:type="pct"/>
            <w:noWrap w:val="0"/>
            <w:vAlign w:val="center"/>
          </w:tcPr>
          <w:p w14:paraId="2A5F86A2">
            <w:pPr>
              <w:pStyle w:val="24"/>
              <w:jc w:val="center"/>
              <w:rPr>
                <w:rFonts w:hint="default"/>
                <w:color w:val="000000"/>
                <w:szCs w:val="21"/>
                <w:lang w:val="en-US" w:eastAsia="zh-CN"/>
              </w:rPr>
            </w:pPr>
            <w:r>
              <w:rPr>
                <w:rFonts w:hint="eastAsia"/>
                <w:color w:val="000000"/>
                <w:szCs w:val="21"/>
                <w:lang w:val="en-US" w:eastAsia="zh-CN"/>
              </w:rPr>
              <w:t>12</w:t>
            </w:r>
          </w:p>
        </w:tc>
        <w:tc>
          <w:tcPr>
            <w:tcW w:w="2310" w:type="pct"/>
            <w:noWrap w:val="0"/>
            <w:vAlign w:val="center"/>
          </w:tcPr>
          <w:p w14:paraId="4EAEB924">
            <w:pPr>
              <w:jc w:val="center"/>
              <w:rPr>
                <w:rFonts w:hint="eastAsia"/>
                <w:color w:val="000000"/>
                <w:szCs w:val="21"/>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p>
        </w:tc>
        <w:tc>
          <w:tcPr>
            <w:tcW w:w="2235" w:type="pct"/>
            <w:vMerge w:val="continue"/>
            <w:noWrap w:val="0"/>
            <w:vAlign w:val="center"/>
          </w:tcPr>
          <w:p w14:paraId="3B5BCB01">
            <w:pPr>
              <w:pStyle w:val="24"/>
              <w:jc w:val="center"/>
              <w:rPr>
                <w:rFonts w:hint="eastAsia" w:cs="Times New Roman"/>
                <w:color w:val="000000"/>
                <w:szCs w:val="21"/>
              </w:rPr>
            </w:pPr>
          </w:p>
        </w:tc>
      </w:tr>
    </w:tbl>
    <w:p w14:paraId="2A747230">
      <w:pPr>
        <w:pStyle w:val="3"/>
      </w:pPr>
    </w:p>
    <w:p w14:paraId="7317AD7C">
      <w:pPr>
        <w:spacing w:before="306" w:line="220" w:lineRule="auto"/>
        <w:ind w:left="14"/>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4.4.3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监测时间及监测频次</w:t>
      </w:r>
    </w:p>
    <w:p w14:paraId="1D1C48B5">
      <w:pPr>
        <w:spacing w:before="205" w:line="219" w:lineRule="auto"/>
        <w:ind w:left="497"/>
        <w:rPr>
          <w:rFonts w:ascii="宋体" w:hAnsi="宋体" w:eastAsia="宋体" w:cs="宋体"/>
          <w:sz w:val="24"/>
          <w:szCs w:val="24"/>
        </w:rPr>
      </w:pPr>
      <w:r>
        <w:rPr>
          <w:rFonts w:ascii="宋体" w:hAnsi="宋体" w:eastAsia="宋体" w:cs="宋体"/>
          <w:spacing w:val="-6"/>
          <w:sz w:val="24"/>
          <w:szCs w:val="24"/>
        </w:rPr>
        <w:t>监测时间为</w:t>
      </w:r>
      <w:r>
        <w:rPr>
          <w:rFonts w:ascii="宋体" w:hAnsi="宋体" w:eastAsia="宋体" w:cs="宋体"/>
          <w:spacing w:val="-46"/>
          <w:sz w:val="24"/>
          <w:szCs w:val="24"/>
        </w:rPr>
        <w:t xml:space="preserve"> </w:t>
      </w:r>
      <w:r>
        <w:rPr>
          <w:rFonts w:ascii="宋体" w:hAnsi="宋体" w:eastAsia="宋体" w:cs="宋体"/>
          <w:spacing w:val="-6"/>
          <w:sz w:val="24"/>
          <w:szCs w:val="24"/>
        </w:rPr>
        <w:t>202</w:t>
      </w:r>
      <w:r>
        <w:rPr>
          <w:rFonts w:hint="eastAsia" w:ascii="宋体" w:hAnsi="宋体" w:eastAsia="宋体" w:cs="宋体"/>
          <w:spacing w:val="-6"/>
          <w:sz w:val="24"/>
          <w:szCs w:val="24"/>
          <w:lang w:val="en-US" w:eastAsia="zh-CN"/>
        </w:rPr>
        <w:t>4</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46"/>
          <w:sz w:val="24"/>
          <w:szCs w:val="24"/>
        </w:rPr>
        <w:t xml:space="preserve"> </w:t>
      </w:r>
      <w:r>
        <w:rPr>
          <w:rFonts w:hint="eastAsia" w:ascii="宋体" w:hAnsi="宋体" w:eastAsia="宋体" w:cs="宋体"/>
          <w:spacing w:val="-6"/>
          <w:sz w:val="24"/>
          <w:szCs w:val="24"/>
          <w:lang w:val="en-US" w:eastAsia="zh-CN"/>
        </w:rPr>
        <w:t>2</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48"/>
          <w:sz w:val="24"/>
          <w:szCs w:val="24"/>
        </w:rPr>
        <w:t xml:space="preserve"> </w:t>
      </w:r>
      <w:r>
        <w:rPr>
          <w:rFonts w:hint="eastAsia" w:ascii="宋体" w:hAnsi="宋体" w:eastAsia="宋体" w:cs="宋体"/>
          <w:spacing w:val="-6"/>
          <w:sz w:val="24"/>
          <w:szCs w:val="24"/>
          <w:lang w:val="en-US" w:eastAsia="zh-CN"/>
        </w:rPr>
        <w:t>3</w:t>
      </w:r>
      <w:r>
        <w:rPr>
          <w:rFonts w:ascii="宋体" w:hAnsi="宋体" w:eastAsia="宋体" w:cs="宋体"/>
          <w:spacing w:val="-6"/>
          <w:sz w:val="24"/>
          <w:szCs w:val="24"/>
        </w:rPr>
        <w:t>日～</w:t>
      </w:r>
      <w:r>
        <w:rPr>
          <w:rFonts w:hint="eastAsia" w:ascii="宋体" w:hAnsi="宋体" w:eastAsia="宋体" w:cs="宋体"/>
          <w:spacing w:val="-6"/>
          <w:sz w:val="24"/>
          <w:szCs w:val="24"/>
          <w:lang w:val="en-US" w:eastAsia="zh-CN"/>
        </w:rPr>
        <w:t>2</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hint="eastAsia" w:ascii="宋体" w:hAnsi="宋体" w:eastAsia="宋体" w:cs="宋体"/>
          <w:spacing w:val="-50"/>
          <w:sz w:val="24"/>
          <w:szCs w:val="24"/>
          <w:lang w:val="en-US" w:eastAsia="zh-CN"/>
        </w:rPr>
        <w:t>4</w:t>
      </w:r>
      <w:r>
        <w:rPr>
          <w:rFonts w:ascii="宋体" w:hAnsi="宋体" w:eastAsia="宋体" w:cs="宋体"/>
          <w:spacing w:val="-6"/>
          <w:sz w:val="24"/>
          <w:szCs w:val="24"/>
        </w:rPr>
        <w:t xml:space="preserve"> 日，每个监测点昼、夜间各监测一次。</w:t>
      </w:r>
    </w:p>
    <w:p w14:paraId="1E2EE17A">
      <w:pPr>
        <w:pStyle w:val="3"/>
        <w:spacing w:line="407" w:lineRule="auto"/>
      </w:pPr>
    </w:p>
    <w:p w14:paraId="158C206F">
      <w:pPr>
        <w:spacing w:before="91" w:line="221" w:lineRule="auto"/>
        <w:ind w:left="14"/>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4.4.4</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监测方法</w:t>
      </w:r>
    </w:p>
    <w:p w14:paraId="5B31CD8E">
      <w:pPr>
        <w:spacing w:before="203" w:line="219" w:lineRule="auto"/>
        <w:ind w:left="497"/>
        <w:rPr>
          <w:rFonts w:ascii="宋体" w:hAnsi="宋体" w:eastAsia="宋体" w:cs="宋体"/>
          <w:sz w:val="24"/>
          <w:szCs w:val="24"/>
        </w:rPr>
      </w:pPr>
      <w:r>
        <w:rPr>
          <w:rFonts w:ascii="宋体" w:hAnsi="宋体" w:eastAsia="宋体" w:cs="宋体"/>
          <w:spacing w:val="-2"/>
          <w:sz w:val="24"/>
          <w:szCs w:val="24"/>
        </w:rPr>
        <w:t>按《声环境质量标准》</w:t>
      </w:r>
      <w:r>
        <w:rPr>
          <w:rFonts w:ascii="宋体" w:hAnsi="宋体" w:eastAsia="宋体" w:cs="宋体"/>
          <w:spacing w:val="-69"/>
          <w:sz w:val="24"/>
          <w:szCs w:val="24"/>
        </w:rPr>
        <w:t xml:space="preserve"> </w:t>
      </w:r>
      <w:r>
        <w:rPr>
          <w:rFonts w:ascii="宋体" w:hAnsi="宋体" w:eastAsia="宋体" w:cs="宋体"/>
          <w:spacing w:val="-2"/>
          <w:sz w:val="24"/>
          <w:szCs w:val="24"/>
        </w:rPr>
        <w:t>(GB3096-2008)中的监测方法进行。</w:t>
      </w:r>
    </w:p>
    <w:p w14:paraId="47FDA4A0">
      <w:pPr>
        <w:pStyle w:val="3"/>
        <w:spacing w:line="404" w:lineRule="auto"/>
      </w:pPr>
    </w:p>
    <w:p w14:paraId="49CFE16A">
      <w:pPr>
        <w:spacing w:before="91" w:line="221" w:lineRule="auto"/>
        <w:ind w:left="14"/>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4.4.5</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监测结果</w:t>
      </w:r>
    </w:p>
    <w:p w14:paraId="469F35E0">
      <w:pPr>
        <w:spacing w:before="205" w:line="219" w:lineRule="auto"/>
        <w:ind w:left="496"/>
        <w:rPr>
          <w:rFonts w:ascii="宋体" w:hAnsi="宋体" w:eastAsia="宋体" w:cs="宋体"/>
          <w:spacing w:val="-2"/>
          <w:sz w:val="24"/>
          <w:szCs w:val="24"/>
        </w:rPr>
      </w:pPr>
      <w:r>
        <w:rPr>
          <w:rFonts w:ascii="宋体" w:hAnsi="宋体" w:eastAsia="宋体" w:cs="宋体"/>
          <w:spacing w:val="-2"/>
          <w:sz w:val="24"/>
          <w:szCs w:val="24"/>
        </w:rPr>
        <w:t>各测点声环境现状监测结果见表</w:t>
      </w:r>
      <w:r>
        <w:rPr>
          <w:rFonts w:ascii="宋体" w:hAnsi="宋体" w:eastAsia="宋体" w:cs="宋体"/>
          <w:spacing w:val="-34"/>
          <w:sz w:val="24"/>
          <w:szCs w:val="24"/>
        </w:rPr>
        <w:t xml:space="preserve"> </w:t>
      </w:r>
      <w:r>
        <w:rPr>
          <w:rFonts w:ascii="宋体" w:hAnsi="宋体" w:eastAsia="宋体" w:cs="宋体"/>
          <w:spacing w:val="-2"/>
          <w:sz w:val="24"/>
          <w:szCs w:val="24"/>
        </w:rPr>
        <w:t>4-4-</w:t>
      </w: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w:t>
      </w:r>
    </w:p>
    <w:p w14:paraId="2B9054E3">
      <w:pPr>
        <w:spacing w:line="360" w:lineRule="auto"/>
        <w:jc w:val="center"/>
        <w:outlineLvl w:val="4"/>
        <w:rPr>
          <w:rFonts w:eastAsia="黑体"/>
          <w:color w:val="000000"/>
          <w:sz w:val="24"/>
          <w:szCs w:val="22"/>
        </w:rPr>
      </w:pPr>
      <w:r>
        <w:rPr>
          <w:rFonts w:hint="eastAsia"/>
          <w:b/>
          <w:bCs/>
          <w:color w:val="000000"/>
          <w:lang w:val="en-US" w:bidi="zh-CN"/>
        </w:rPr>
        <w:t>表4-4-2     声环境质量现状监测结果一览表</w:t>
      </w:r>
    </w:p>
    <w:p w14:paraId="499CDDCD">
      <w:pPr>
        <w:pStyle w:val="3"/>
        <w:spacing w:line="305" w:lineRule="auto"/>
      </w:pPr>
    </w:p>
    <w:p w14:paraId="7DF3B541">
      <w:pPr>
        <w:spacing w:before="92" w:line="219" w:lineRule="auto"/>
        <w:ind w:left="14"/>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4.4.6</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声环境现状评价结论</w:t>
      </w:r>
    </w:p>
    <w:p w14:paraId="083B1FEC">
      <w:pPr>
        <w:spacing w:before="208" w:line="360" w:lineRule="auto"/>
        <w:ind w:left="13" w:right="108" w:firstLine="483"/>
        <w:jc w:val="both"/>
      </w:pPr>
      <w:r>
        <w:rPr>
          <w:rFonts w:ascii="宋体" w:hAnsi="宋体" w:eastAsia="宋体" w:cs="宋体"/>
          <w:spacing w:val="-3"/>
          <w:sz w:val="24"/>
          <w:szCs w:val="24"/>
        </w:rPr>
        <w:t>本工程评价区域声环境现状：</w:t>
      </w:r>
      <w:r>
        <w:rPr>
          <w:rFonts w:hint="eastAsia" w:ascii="宋体" w:hAnsi="宋体" w:eastAsia="宋体" w:cs="宋体"/>
          <w:spacing w:val="-3"/>
          <w:sz w:val="24"/>
          <w:szCs w:val="24"/>
          <w:lang w:val="en-US" w:eastAsia="zh-CN"/>
        </w:rPr>
        <w:t>项目</w:t>
      </w:r>
      <w:r>
        <w:rPr>
          <w:rFonts w:ascii="宋体" w:hAnsi="宋体" w:eastAsia="宋体" w:cs="宋体"/>
          <w:spacing w:val="-3"/>
          <w:sz w:val="24"/>
          <w:szCs w:val="24"/>
        </w:rPr>
        <w:t>各监</w:t>
      </w:r>
      <w:r>
        <w:rPr>
          <w:rFonts w:ascii="宋体" w:hAnsi="宋体" w:eastAsia="宋体" w:cs="宋体"/>
          <w:spacing w:val="-4"/>
          <w:sz w:val="24"/>
          <w:szCs w:val="24"/>
        </w:rPr>
        <w:t>测点昼间、</w:t>
      </w:r>
      <w:r>
        <w:rPr>
          <w:rFonts w:ascii="宋体" w:hAnsi="宋体" w:eastAsia="宋体" w:cs="宋体"/>
          <w:spacing w:val="-2"/>
          <w:sz w:val="24"/>
          <w:szCs w:val="24"/>
        </w:rPr>
        <w:t>夜间环境噪声监测值均满足《声环境质量标准》</w:t>
      </w:r>
      <w:r>
        <w:rPr>
          <w:rFonts w:ascii="宋体" w:hAnsi="宋体" w:eastAsia="宋体" w:cs="宋体"/>
          <w:spacing w:val="-68"/>
          <w:sz w:val="24"/>
          <w:szCs w:val="24"/>
        </w:rPr>
        <w:t xml:space="preserve"> </w:t>
      </w:r>
      <w:r>
        <w:rPr>
          <w:rFonts w:ascii="宋体" w:hAnsi="宋体" w:eastAsia="宋体" w:cs="宋体"/>
          <w:spacing w:val="-2"/>
          <w:sz w:val="24"/>
          <w:szCs w:val="24"/>
        </w:rPr>
        <w:t>(GB3096-2008)中</w:t>
      </w:r>
      <w:r>
        <w:rPr>
          <w:rFonts w:ascii="宋体" w:hAnsi="宋体" w:eastAsia="宋体" w:cs="宋体"/>
          <w:spacing w:val="-48"/>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类标准限值要求。</w:t>
      </w:r>
    </w:p>
    <w:p w14:paraId="44C34EB1">
      <w:pPr>
        <w:pStyle w:val="3"/>
        <w:spacing w:line="278" w:lineRule="auto"/>
      </w:pPr>
    </w:p>
    <w:p w14:paraId="38BDBC57">
      <w:pPr>
        <w:spacing w:before="99" w:line="218" w:lineRule="auto"/>
        <w:ind w:left="14"/>
        <w:outlineLvl w:val="1"/>
        <w:rPr>
          <w:rFonts w:hint="eastAsia" w:ascii="黑体" w:hAnsi="黑体" w:eastAsia="黑体" w:cs="黑体"/>
          <w:sz w:val="30"/>
          <w:szCs w:val="30"/>
        </w:rPr>
      </w:pPr>
      <w:bookmarkStart w:id="28" w:name="bookmark24"/>
      <w:bookmarkEnd w:id="28"/>
      <w:r>
        <w:rPr>
          <w:rFonts w:hint="eastAsia" w:ascii="黑体" w:hAnsi="黑体" w:eastAsia="黑体" w:cs="黑体"/>
          <w:spacing w:val="2"/>
          <w:sz w:val="30"/>
          <w:szCs w:val="30"/>
          <w14:textOutline w14:w="5448" w14:cap="sq" w14:cmpd="sng">
            <w14:solidFill>
              <w14:srgbClr w14:val="000000"/>
            </w14:solidFill>
            <w14:prstDash w14:val="solid"/>
            <w14:bevel/>
          </w14:textOutline>
        </w:rPr>
        <w:t>4.5</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土壤环境现状评价</w:t>
      </w:r>
    </w:p>
    <w:p w14:paraId="638AF7EE">
      <w:pPr>
        <w:spacing w:before="221" w:line="360" w:lineRule="auto"/>
        <w:ind w:left="13" w:right="108" w:firstLine="480"/>
        <w:jc w:val="both"/>
        <w:rPr>
          <w:rFonts w:ascii="宋体" w:hAnsi="宋体" w:eastAsia="宋体" w:cs="宋体"/>
          <w:spacing w:val="-1"/>
          <w:sz w:val="24"/>
          <w:szCs w:val="24"/>
        </w:rPr>
      </w:pPr>
      <w:r>
        <w:rPr>
          <w:rFonts w:ascii="宋体" w:hAnsi="宋体" w:eastAsia="宋体" w:cs="宋体"/>
          <w:spacing w:val="2"/>
          <w:sz w:val="24"/>
          <w:szCs w:val="24"/>
        </w:rPr>
        <w:t>根据项目区域土壤类型及工程特点，参照《环境影响评价技术导则-土壤环境(试</w:t>
      </w:r>
      <w:r>
        <w:rPr>
          <w:rFonts w:ascii="宋体" w:hAnsi="宋体" w:eastAsia="宋体" w:cs="宋体"/>
          <w:sz w:val="24"/>
          <w:szCs w:val="24"/>
        </w:rPr>
        <w:t xml:space="preserve"> </w:t>
      </w:r>
      <w:r>
        <w:rPr>
          <w:rFonts w:ascii="宋体" w:hAnsi="宋体" w:eastAsia="宋体" w:cs="宋体"/>
          <w:spacing w:val="-2"/>
          <w:sz w:val="24"/>
          <w:szCs w:val="24"/>
        </w:rPr>
        <w:t>行)》(HJ964-2018)要求，本次评价在拟建项目场址区域布设</w:t>
      </w:r>
      <w:r>
        <w:rPr>
          <w:rFonts w:ascii="宋体" w:hAnsi="宋体" w:eastAsia="宋体" w:cs="宋体"/>
          <w:spacing w:val="-31"/>
          <w:sz w:val="24"/>
          <w:szCs w:val="24"/>
        </w:rPr>
        <w:t xml:space="preserve"> </w:t>
      </w:r>
      <w:r>
        <w:rPr>
          <w:rFonts w:ascii="宋体" w:hAnsi="宋体" w:eastAsia="宋体" w:cs="宋体"/>
          <w:spacing w:val="-2"/>
          <w:sz w:val="24"/>
          <w:szCs w:val="24"/>
        </w:rPr>
        <w:t>3</w:t>
      </w:r>
      <w:r>
        <w:rPr>
          <w:rFonts w:ascii="宋体" w:hAnsi="宋体" w:eastAsia="宋体" w:cs="宋体"/>
          <w:spacing w:val="-50"/>
          <w:sz w:val="24"/>
          <w:szCs w:val="24"/>
        </w:rPr>
        <w:t xml:space="preserve"> </w:t>
      </w:r>
      <w:r>
        <w:rPr>
          <w:rFonts w:ascii="宋体" w:hAnsi="宋体" w:eastAsia="宋体" w:cs="宋体"/>
          <w:spacing w:val="-2"/>
          <w:sz w:val="24"/>
          <w:szCs w:val="24"/>
        </w:rPr>
        <w:t>个土壤监测点，说明土</w:t>
      </w:r>
      <w:r>
        <w:rPr>
          <w:rFonts w:ascii="宋体" w:hAnsi="宋体" w:eastAsia="宋体" w:cs="宋体"/>
          <w:sz w:val="24"/>
          <w:szCs w:val="24"/>
        </w:rPr>
        <w:t xml:space="preserve"> </w:t>
      </w:r>
      <w:r>
        <w:rPr>
          <w:rFonts w:ascii="宋体" w:hAnsi="宋体" w:eastAsia="宋体" w:cs="宋体"/>
          <w:spacing w:val="-2"/>
          <w:sz w:val="24"/>
          <w:szCs w:val="24"/>
        </w:rPr>
        <w:t>壤环境的状况，监测单位为</w:t>
      </w:r>
      <w:r>
        <w:rPr>
          <w:rFonts w:hint="eastAsia" w:ascii="宋体" w:hAnsi="宋体" w:eastAsia="宋体" w:cs="宋体"/>
          <w:spacing w:val="-2"/>
          <w:sz w:val="24"/>
          <w:szCs w:val="24"/>
          <w:lang w:eastAsia="zh-CN"/>
        </w:rPr>
        <w:t>新疆国科检测有限公司</w:t>
      </w:r>
      <w:r>
        <w:rPr>
          <w:rFonts w:ascii="宋体" w:hAnsi="宋体" w:eastAsia="宋体" w:cs="宋体"/>
          <w:spacing w:val="-2"/>
          <w:sz w:val="24"/>
          <w:szCs w:val="24"/>
        </w:rPr>
        <w:t>(有限公司)。监测点位及采样情况详见表</w:t>
      </w:r>
      <w:r>
        <w:rPr>
          <w:rFonts w:ascii="宋体" w:hAnsi="宋体" w:eastAsia="宋体" w:cs="宋体"/>
          <w:spacing w:val="-52"/>
          <w:sz w:val="24"/>
          <w:szCs w:val="24"/>
        </w:rPr>
        <w:t xml:space="preserve"> </w:t>
      </w:r>
      <w:r>
        <w:rPr>
          <w:rFonts w:ascii="宋体" w:hAnsi="宋体" w:eastAsia="宋体" w:cs="宋体"/>
          <w:spacing w:val="-2"/>
          <w:sz w:val="24"/>
          <w:szCs w:val="24"/>
        </w:rPr>
        <w:t>4-5-1</w:t>
      </w:r>
      <w:r>
        <w:rPr>
          <w:rFonts w:ascii="宋体" w:hAnsi="宋体" w:eastAsia="宋体" w:cs="宋体"/>
          <w:spacing w:val="-3"/>
          <w:sz w:val="24"/>
          <w:szCs w:val="24"/>
        </w:rPr>
        <w:t>，监测结</w:t>
      </w:r>
      <w:r>
        <w:rPr>
          <w:rFonts w:ascii="宋体" w:hAnsi="宋体" w:eastAsia="宋体" w:cs="宋体"/>
          <w:spacing w:val="-1"/>
          <w:sz w:val="24"/>
          <w:szCs w:val="24"/>
        </w:rPr>
        <w:t>果见表</w:t>
      </w:r>
      <w:r>
        <w:rPr>
          <w:rFonts w:ascii="宋体" w:hAnsi="宋体" w:eastAsia="宋体" w:cs="宋体"/>
          <w:spacing w:val="-52"/>
          <w:sz w:val="24"/>
          <w:szCs w:val="24"/>
        </w:rPr>
        <w:t xml:space="preserve"> </w:t>
      </w:r>
      <w:r>
        <w:rPr>
          <w:rFonts w:ascii="宋体" w:hAnsi="宋体" w:eastAsia="宋体" w:cs="宋体"/>
          <w:spacing w:val="-1"/>
          <w:sz w:val="24"/>
          <w:szCs w:val="24"/>
        </w:rPr>
        <w:t>4-5-3。</w:t>
      </w:r>
    </w:p>
    <w:p w14:paraId="6D754660">
      <w:pPr>
        <w:kinsoku w:val="0"/>
        <w:overflowPunct w:val="0"/>
        <w:autoSpaceDE w:val="0"/>
        <w:autoSpaceDN w:val="0"/>
        <w:adjustRightInd w:val="0"/>
        <w:spacing w:before="75"/>
        <w:jc w:val="center"/>
        <w:rPr>
          <w:rFonts w:hint="eastAsia" w:ascii="宋体" w:cs="宋体"/>
          <w:b/>
          <w:bCs/>
          <w:color w:val="000000"/>
          <w:kern w:val="0"/>
          <w:sz w:val="24"/>
        </w:rPr>
      </w:pPr>
      <w:r>
        <w:rPr>
          <w:rFonts w:hint="eastAsia"/>
          <w:b/>
          <w:bCs/>
          <w:color w:val="000000"/>
          <w:lang w:val="en-US" w:bidi="zh-CN"/>
        </w:rPr>
        <w:t xml:space="preserve">表4-5-1 </w:t>
      </w:r>
      <w:r>
        <w:rPr>
          <w:rFonts w:hint="eastAsia"/>
          <w:b/>
          <w:bCs/>
          <w:color w:val="000000"/>
          <w:lang w:val="en-US" w:eastAsia="zh-CN" w:bidi="zh-CN"/>
        </w:rPr>
        <w:t xml:space="preserve">  土壤</w:t>
      </w:r>
      <w:r>
        <w:rPr>
          <w:rFonts w:hint="eastAsia"/>
          <w:b/>
          <w:bCs/>
          <w:color w:val="000000"/>
          <w:lang w:val="en-US" w:bidi="zh-CN"/>
        </w:rPr>
        <w:t>监测点位布设及监测项目一览表</w:t>
      </w:r>
    </w:p>
    <w:p w14:paraId="6EE11F43">
      <w:pPr>
        <w:kinsoku w:val="0"/>
        <w:overflowPunct w:val="0"/>
        <w:autoSpaceDE w:val="0"/>
        <w:autoSpaceDN w:val="0"/>
        <w:adjustRightInd w:val="0"/>
        <w:spacing w:before="75"/>
        <w:jc w:val="center"/>
        <w:rPr>
          <w:rFonts w:hint="eastAsia"/>
          <w:b/>
          <w:bCs/>
          <w:color w:val="000000"/>
          <w:lang w:val="en-US" w:bidi="zh-CN"/>
        </w:rPr>
      </w:pPr>
    </w:p>
    <w:p w14:paraId="0D86E40D">
      <w:pPr>
        <w:kinsoku w:val="0"/>
        <w:overflowPunct w:val="0"/>
        <w:autoSpaceDE w:val="0"/>
        <w:autoSpaceDN w:val="0"/>
        <w:adjustRightInd w:val="0"/>
        <w:spacing w:before="75"/>
        <w:jc w:val="center"/>
        <w:rPr>
          <w:rFonts w:hint="eastAsia" w:ascii="宋体" w:cs="宋体"/>
          <w:b/>
          <w:bCs/>
          <w:color w:val="000000"/>
          <w:kern w:val="0"/>
          <w:sz w:val="24"/>
        </w:rPr>
      </w:pPr>
      <w:r>
        <w:rPr>
          <w:rFonts w:hint="eastAsia"/>
          <w:b/>
          <w:bCs/>
          <w:color w:val="000000"/>
          <w:lang w:val="en-US" w:bidi="zh-CN"/>
        </w:rPr>
        <w:t>表4-5-2</w:t>
      </w:r>
      <w:r>
        <w:rPr>
          <w:rFonts w:hint="eastAsia"/>
          <w:b/>
          <w:bCs/>
          <w:color w:val="000000"/>
          <w:lang w:val="en-US" w:eastAsia="zh-CN" w:bidi="zh-CN"/>
        </w:rPr>
        <w:t xml:space="preserve">  土壤</w:t>
      </w:r>
      <w:r>
        <w:rPr>
          <w:rFonts w:hint="eastAsia"/>
          <w:b/>
          <w:bCs/>
          <w:color w:val="000000"/>
          <w:lang w:val="en-US" w:bidi="zh-CN"/>
        </w:rPr>
        <w:t>环境现状监测结果一览表</w:t>
      </w:r>
    </w:p>
    <w:tbl>
      <w:tblPr>
        <w:tblStyle w:val="1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281"/>
        <w:gridCol w:w="853"/>
        <w:gridCol w:w="853"/>
        <w:gridCol w:w="853"/>
        <w:gridCol w:w="828"/>
        <w:gridCol w:w="828"/>
        <w:gridCol w:w="828"/>
        <w:gridCol w:w="837"/>
        <w:gridCol w:w="837"/>
        <w:gridCol w:w="838"/>
      </w:tblGrid>
      <w:tr w14:paraId="25B45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9" w:type="pct"/>
            <w:noWrap w:val="0"/>
            <w:vAlign w:val="center"/>
          </w:tcPr>
          <w:p w14:paraId="78BC3C13">
            <w:pPr>
              <w:pStyle w:val="24"/>
              <w:rPr>
                <w:rFonts w:hint="default" w:eastAsia="宋体"/>
                <w:color w:val="000000"/>
                <w:lang w:val="en-US" w:eastAsia="zh-CN"/>
              </w:rPr>
            </w:pPr>
          </w:p>
        </w:tc>
        <w:tc>
          <w:tcPr>
            <w:tcW w:w="684" w:type="pct"/>
            <w:noWrap w:val="0"/>
            <w:vAlign w:val="center"/>
          </w:tcPr>
          <w:p w14:paraId="457633F5">
            <w:pPr>
              <w:pStyle w:val="24"/>
              <w:rPr>
                <w:rFonts w:hint="default"/>
                <w:color w:val="000000"/>
                <w:lang w:val="en-US" w:eastAsia="zh-CN"/>
              </w:rPr>
            </w:pPr>
          </w:p>
        </w:tc>
        <w:tc>
          <w:tcPr>
            <w:tcW w:w="4035" w:type="pct"/>
            <w:gridSpan w:val="9"/>
            <w:noWrap w:val="0"/>
            <w:vAlign w:val="center"/>
          </w:tcPr>
          <w:p w14:paraId="7BBEB316">
            <w:pPr>
              <w:pStyle w:val="24"/>
              <w:rPr>
                <w:rFonts w:hint="eastAsia"/>
                <w:color w:val="000000"/>
                <w:lang w:val="en-US" w:eastAsia="zh-CN"/>
              </w:rPr>
            </w:pPr>
            <w:r>
              <w:rPr>
                <w:rFonts w:hint="eastAsia"/>
                <w:color w:val="000000"/>
                <w:lang w:val="en-US" w:eastAsia="zh-CN"/>
              </w:rPr>
              <w:t>监测点位及结果</w:t>
            </w:r>
          </w:p>
        </w:tc>
      </w:tr>
      <w:tr w14:paraId="38EAB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9" w:type="pct"/>
            <w:noWrap w:val="0"/>
            <w:vAlign w:val="center"/>
          </w:tcPr>
          <w:p w14:paraId="36E9EFEC">
            <w:pPr>
              <w:pStyle w:val="24"/>
              <w:rPr>
                <w:color w:val="000000"/>
              </w:rPr>
            </w:pPr>
          </w:p>
        </w:tc>
        <w:tc>
          <w:tcPr>
            <w:tcW w:w="684" w:type="pct"/>
            <w:noWrap w:val="0"/>
            <w:vAlign w:val="center"/>
          </w:tcPr>
          <w:p w14:paraId="14BB5EDF">
            <w:pPr>
              <w:pStyle w:val="24"/>
              <w:rPr>
                <w:rFonts w:hint="eastAsia"/>
                <w:color w:val="000000"/>
                <w:lang w:val="en-US" w:eastAsia="zh-CN"/>
              </w:rPr>
            </w:pPr>
          </w:p>
        </w:tc>
        <w:tc>
          <w:tcPr>
            <w:tcW w:w="1366" w:type="pct"/>
            <w:gridSpan w:val="3"/>
            <w:noWrap w:val="0"/>
            <w:vAlign w:val="center"/>
          </w:tcPr>
          <w:p w14:paraId="13BA3574">
            <w:pPr>
              <w:pStyle w:val="24"/>
              <w:rPr>
                <w:rFonts w:hint="eastAsia" w:eastAsia="宋体"/>
                <w:color w:val="000000"/>
                <w:lang w:val="en-US" w:eastAsia="zh-CN"/>
              </w:rPr>
            </w:pPr>
            <w:r>
              <w:rPr>
                <w:rFonts w:hint="eastAsia" w:eastAsia="宋体"/>
                <w:color w:val="000000"/>
                <w:szCs w:val="21"/>
                <w:lang w:val="en-US" w:eastAsia="zh-CN"/>
              </w:rPr>
              <w:t>托克逊县</w:t>
            </w:r>
          </w:p>
        </w:tc>
        <w:tc>
          <w:tcPr>
            <w:tcW w:w="1326" w:type="pct"/>
            <w:gridSpan w:val="3"/>
            <w:noWrap w:val="0"/>
            <w:vAlign w:val="center"/>
          </w:tcPr>
          <w:p w14:paraId="3363FACC">
            <w:pPr>
              <w:pStyle w:val="24"/>
              <w:rPr>
                <w:color w:val="000000"/>
              </w:rPr>
            </w:pPr>
            <w:r>
              <w:rPr>
                <w:rFonts w:hint="eastAsia"/>
                <w:color w:val="000000"/>
                <w:szCs w:val="21"/>
                <w:lang w:val="en-US" w:eastAsia="zh-CN"/>
              </w:rPr>
              <w:t>高昌区</w:t>
            </w:r>
          </w:p>
        </w:tc>
        <w:tc>
          <w:tcPr>
            <w:tcW w:w="1341" w:type="pct"/>
            <w:gridSpan w:val="3"/>
            <w:noWrap w:val="0"/>
            <w:vAlign w:val="center"/>
          </w:tcPr>
          <w:p w14:paraId="5F12A3EB">
            <w:pPr>
              <w:pStyle w:val="24"/>
              <w:rPr>
                <w:rFonts w:hint="eastAsia" w:eastAsia="宋体"/>
                <w:color w:val="000000"/>
                <w:lang w:val="en-US" w:eastAsia="zh-CN"/>
              </w:rPr>
            </w:pPr>
            <w:r>
              <w:rPr>
                <w:rFonts w:hint="eastAsia"/>
                <w:color w:val="000000"/>
                <w:szCs w:val="21"/>
                <w:lang w:val="en-US" w:eastAsia="zh-CN"/>
              </w:rPr>
              <w:t>鄯善县</w:t>
            </w:r>
          </w:p>
        </w:tc>
      </w:tr>
      <w:tr w14:paraId="582B5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79" w:type="pct"/>
            <w:noWrap w:val="0"/>
            <w:vAlign w:val="center"/>
          </w:tcPr>
          <w:p w14:paraId="15FBEAD2">
            <w:pPr>
              <w:pStyle w:val="24"/>
              <w:rPr>
                <w:rFonts w:hint="eastAsia" w:eastAsia="宋体"/>
                <w:color w:val="000000"/>
                <w:lang w:val="en-US" w:eastAsia="zh-CN"/>
              </w:rPr>
            </w:pPr>
            <w:r>
              <w:rPr>
                <w:color w:val="000000"/>
              </w:rPr>
              <w:t>序号</w:t>
            </w:r>
          </w:p>
        </w:tc>
        <w:tc>
          <w:tcPr>
            <w:tcW w:w="684" w:type="pct"/>
            <w:noWrap w:val="0"/>
            <w:vAlign w:val="center"/>
          </w:tcPr>
          <w:p w14:paraId="7A3987FB">
            <w:pPr>
              <w:pStyle w:val="24"/>
              <w:rPr>
                <w:rFonts w:hint="default"/>
                <w:color w:val="000000"/>
                <w:lang w:val="en-US" w:eastAsia="zh-CN"/>
              </w:rPr>
            </w:pPr>
            <w:r>
              <w:rPr>
                <w:rFonts w:hint="eastAsia"/>
                <w:color w:val="000000"/>
                <w:lang w:val="en-US" w:eastAsia="zh-CN"/>
              </w:rPr>
              <w:t>检测项目</w:t>
            </w:r>
          </w:p>
        </w:tc>
        <w:tc>
          <w:tcPr>
            <w:tcW w:w="455" w:type="pct"/>
            <w:noWrap w:val="0"/>
            <w:vAlign w:val="center"/>
          </w:tcPr>
          <w:p w14:paraId="06C27E72">
            <w:pPr>
              <w:pStyle w:val="24"/>
              <w:rPr>
                <w:rFonts w:hint="default"/>
                <w:color w:val="000000"/>
                <w:lang w:val="en-US" w:eastAsia="zh-CN"/>
              </w:rPr>
            </w:pPr>
            <w:r>
              <w:rPr>
                <w:rFonts w:hint="eastAsia"/>
                <w:color w:val="000000"/>
                <w:lang w:val="en-US" w:eastAsia="zh-CN"/>
              </w:rPr>
              <w:t>1#</w:t>
            </w:r>
          </w:p>
        </w:tc>
        <w:tc>
          <w:tcPr>
            <w:tcW w:w="455" w:type="pct"/>
            <w:noWrap w:val="0"/>
            <w:vAlign w:val="center"/>
          </w:tcPr>
          <w:p w14:paraId="3889BC3D">
            <w:pPr>
              <w:pStyle w:val="24"/>
              <w:rPr>
                <w:rFonts w:hint="default"/>
                <w:color w:val="000000"/>
                <w:lang w:val="en-US" w:eastAsia="zh-CN"/>
              </w:rPr>
            </w:pPr>
            <w:r>
              <w:rPr>
                <w:rFonts w:hint="eastAsia"/>
                <w:color w:val="000000"/>
                <w:lang w:val="en-US" w:eastAsia="zh-CN"/>
              </w:rPr>
              <w:t>2#</w:t>
            </w:r>
          </w:p>
        </w:tc>
        <w:tc>
          <w:tcPr>
            <w:tcW w:w="455" w:type="pct"/>
            <w:noWrap w:val="0"/>
            <w:vAlign w:val="center"/>
          </w:tcPr>
          <w:p w14:paraId="49633E59">
            <w:pPr>
              <w:pStyle w:val="24"/>
              <w:rPr>
                <w:rFonts w:hint="default"/>
                <w:color w:val="000000"/>
                <w:lang w:val="en-US" w:eastAsia="zh-CN"/>
              </w:rPr>
            </w:pPr>
            <w:r>
              <w:rPr>
                <w:rFonts w:hint="eastAsia"/>
                <w:color w:val="000000"/>
                <w:lang w:val="en-US" w:eastAsia="zh-CN"/>
              </w:rPr>
              <w:t>3#</w:t>
            </w:r>
          </w:p>
        </w:tc>
        <w:tc>
          <w:tcPr>
            <w:tcW w:w="442" w:type="pct"/>
            <w:noWrap w:val="0"/>
            <w:vAlign w:val="center"/>
          </w:tcPr>
          <w:p w14:paraId="3287AF6F">
            <w:pPr>
              <w:pStyle w:val="24"/>
              <w:rPr>
                <w:rFonts w:hint="eastAsia" w:eastAsia="宋体"/>
                <w:color w:val="000000"/>
                <w:lang w:val="en-US" w:eastAsia="zh-CN"/>
              </w:rPr>
            </w:pPr>
            <w:r>
              <w:rPr>
                <w:rFonts w:hint="eastAsia"/>
                <w:color w:val="000000"/>
                <w:lang w:val="en-US" w:eastAsia="zh-CN"/>
              </w:rPr>
              <w:t>4#</w:t>
            </w:r>
          </w:p>
        </w:tc>
        <w:tc>
          <w:tcPr>
            <w:tcW w:w="442" w:type="pct"/>
            <w:noWrap w:val="0"/>
            <w:vAlign w:val="center"/>
          </w:tcPr>
          <w:p w14:paraId="6EFF6B66">
            <w:pPr>
              <w:pStyle w:val="24"/>
              <w:rPr>
                <w:rFonts w:hint="eastAsia" w:eastAsia="宋体"/>
                <w:color w:val="000000"/>
                <w:lang w:val="en-US" w:eastAsia="zh-CN"/>
              </w:rPr>
            </w:pPr>
            <w:r>
              <w:rPr>
                <w:rFonts w:hint="eastAsia"/>
                <w:color w:val="000000"/>
                <w:lang w:val="en-US" w:eastAsia="zh-CN"/>
              </w:rPr>
              <w:t>5#</w:t>
            </w:r>
          </w:p>
        </w:tc>
        <w:tc>
          <w:tcPr>
            <w:tcW w:w="442" w:type="pct"/>
            <w:noWrap w:val="0"/>
            <w:vAlign w:val="center"/>
          </w:tcPr>
          <w:p w14:paraId="5BFC72D4">
            <w:pPr>
              <w:pStyle w:val="24"/>
              <w:rPr>
                <w:rFonts w:hint="eastAsia" w:eastAsia="宋体"/>
                <w:color w:val="000000"/>
                <w:lang w:val="en-US" w:eastAsia="zh-CN"/>
              </w:rPr>
            </w:pPr>
            <w:r>
              <w:rPr>
                <w:rFonts w:hint="eastAsia"/>
                <w:color w:val="000000"/>
                <w:lang w:val="en-US" w:eastAsia="zh-CN"/>
              </w:rPr>
              <w:t>6#</w:t>
            </w:r>
          </w:p>
        </w:tc>
        <w:tc>
          <w:tcPr>
            <w:tcW w:w="447" w:type="pct"/>
            <w:noWrap w:val="0"/>
            <w:vAlign w:val="center"/>
          </w:tcPr>
          <w:p w14:paraId="1ABA5F0D">
            <w:pPr>
              <w:pStyle w:val="24"/>
              <w:rPr>
                <w:rFonts w:hint="default" w:eastAsia="宋体"/>
                <w:color w:val="000000"/>
                <w:lang w:val="en-US" w:eastAsia="zh-CN"/>
              </w:rPr>
            </w:pPr>
            <w:r>
              <w:rPr>
                <w:rFonts w:hint="eastAsia" w:eastAsia="宋体"/>
                <w:color w:val="000000"/>
                <w:lang w:val="en-US" w:eastAsia="zh-CN"/>
              </w:rPr>
              <w:t>7</w:t>
            </w:r>
            <w:r>
              <w:rPr>
                <w:rFonts w:hint="eastAsia"/>
                <w:color w:val="000000"/>
                <w:lang w:val="en-US" w:eastAsia="zh-CN"/>
              </w:rPr>
              <w:t>#</w:t>
            </w:r>
          </w:p>
        </w:tc>
        <w:tc>
          <w:tcPr>
            <w:tcW w:w="447" w:type="pct"/>
            <w:noWrap w:val="0"/>
            <w:vAlign w:val="center"/>
          </w:tcPr>
          <w:p w14:paraId="188F15B6">
            <w:pPr>
              <w:pStyle w:val="24"/>
              <w:rPr>
                <w:rFonts w:hint="default" w:eastAsia="宋体"/>
                <w:color w:val="000000"/>
                <w:lang w:val="en-US" w:eastAsia="zh-CN"/>
              </w:rPr>
            </w:pPr>
            <w:r>
              <w:rPr>
                <w:rFonts w:hint="eastAsia" w:eastAsia="宋体"/>
                <w:color w:val="000000"/>
                <w:lang w:val="en-US" w:eastAsia="zh-CN"/>
              </w:rPr>
              <w:t>8</w:t>
            </w:r>
            <w:r>
              <w:rPr>
                <w:rFonts w:hint="eastAsia"/>
                <w:color w:val="000000"/>
                <w:lang w:val="en-US" w:eastAsia="zh-CN"/>
              </w:rPr>
              <w:t>#</w:t>
            </w:r>
          </w:p>
        </w:tc>
        <w:tc>
          <w:tcPr>
            <w:tcW w:w="447" w:type="pct"/>
            <w:noWrap w:val="0"/>
            <w:vAlign w:val="center"/>
          </w:tcPr>
          <w:p w14:paraId="714F5EF4">
            <w:pPr>
              <w:pStyle w:val="24"/>
              <w:rPr>
                <w:rFonts w:hint="default" w:eastAsia="宋体"/>
                <w:color w:val="000000"/>
                <w:lang w:val="en-US" w:eastAsia="zh-CN"/>
              </w:rPr>
            </w:pPr>
            <w:r>
              <w:rPr>
                <w:rFonts w:hint="eastAsia" w:eastAsia="宋体"/>
                <w:color w:val="000000"/>
                <w:lang w:val="en-US" w:eastAsia="zh-CN"/>
              </w:rPr>
              <w:t>9</w:t>
            </w:r>
            <w:r>
              <w:rPr>
                <w:rFonts w:hint="eastAsia"/>
                <w:color w:val="000000"/>
                <w:lang w:val="en-US" w:eastAsia="zh-CN"/>
              </w:rPr>
              <w:t>#</w:t>
            </w:r>
          </w:p>
        </w:tc>
      </w:tr>
      <w:tr w14:paraId="45399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79" w:type="pct"/>
            <w:noWrap w:val="0"/>
            <w:vAlign w:val="center"/>
          </w:tcPr>
          <w:p w14:paraId="4199BA33">
            <w:pPr>
              <w:pStyle w:val="24"/>
              <w:spacing w:line="240" w:lineRule="auto"/>
              <w:rPr>
                <w:color w:val="000000"/>
                <w:szCs w:val="21"/>
              </w:rPr>
            </w:pPr>
            <w:r>
              <w:rPr>
                <w:rFonts w:hint="eastAsia"/>
                <w:color w:val="000000"/>
                <w:szCs w:val="21"/>
              </w:rPr>
              <w:t>1</w:t>
            </w:r>
          </w:p>
        </w:tc>
        <w:tc>
          <w:tcPr>
            <w:tcW w:w="684" w:type="pct"/>
            <w:noWrap w:val="0"/>
            <w:vAlign w:val="center"/>
          </w:tcPr>
          <w:p w14:paraId="7AB5AE90">
            <w:pPr>
              <w:pStyle w:val="24"/>
              <w:spacing w:line="240" w:lineRule="auto"/>
              <w:rPr>
                <w:rFonts w:hint="default" w:eastAsia="宋体"/>
                <w:color w:val="000000"/>
                <w:szCs w:val="21"/>
                <w:lang w:val="en-US" w:eastAsia="zh-CN"/>
              </w:rPr>
            </w:pPr>
            <w:r>
              <w:rPr>
                <w:rFonts w:hint="eastAsia"/>
                <w:color w:val="000000"/>
                <w:szCs w:val="21"/>
                <w:lang w:val="en-US" w:eastAsia="zh-CN"/>
              </w:rPr>
              <w:t>pH</w:t>
            </w:r>
          </w:p>
        </w:tc>
        <w:tc>
          <w:tcPr>
            <w:tcW w:w="455" w:type="pct"/>
            <w:noWrap w:val="0"/>
            <w:vAlign w:val="center"/>
          </w:tcPr>
          <w:p w14:paraId="0DBEF450">
            <w:pPr>
              <w:jc w:val="center"/>
              <w:rPr>
                <w:rFonts w:hint="default" w:eastAsia="宋体"/>
                <w:color w:val="000000"/>
                <w:szCs w:val="21"/>
                <w:lang w:val="en-US" w:eastAsia="zh-CN"/>
              </w:rPr>
            </w:pPr>
            <w:r>
              <w:rPr>
                <w:rFonts w:hint="eastAsia" w:eastAsia="宋体"/>
                <w:color w:val="000000"/>
                <w:szCs w:val="21"/>
                <w:lang w:val="en-US" w:eastAsia="zh-CN"/>
              </w:rPr>
              <w:t>8.14</w:t>
            </w:r>
          </w:p>
        </w:tc>
        <w:tc>
          <w:tcPr>
            <w:tcW w:w="455" w:type="pct"/>
            <w:noWrap w:val="0"/>
            <w:vAlign w:val="center"/>
          </w:tcPr>
          <w:p w14:paraId="085ABEC0">
            <w:pPr>
              <w:jc w:val="center"/>
              <w:rPr>
                <w:rFonts w:hint="default" w:eastAsia="宋体"/>
                <w:b w:val="0"/>
                <w:bCs w:val="0"/>
                <w:color w:val="000000"/>
                <w:szCs w:val="21"/>
                <w:lang w:val="en-US" w:eastAsia="zh-CN"/>
              </w:rPr>
            </w:pPr>
            <w:r>
              <w:rPr>
                <w:rFonts w:hint="eastAsia" w:eastAsia="宋体"/>
                <w:b w:val="0"/>
                <w:bCs w:val="0"/>
                <w:color w:val="000000"/>
                <w:szCs w:val="21"/>
                <w:lang w:val="en-US" w:eastAsia="zh-CN"/>
              </w:rPr>
              <w:t>8.19</w:t>
            </w:r>
          </w:p>
        </w:tc>
        <w:tc>
          <w:tcPr>
            <w:tcW w:w="455" w:type="pct"/>
            <w:noWrap w:val="0"/>
            <w:vAlign w:val="center"/>
          </w:tcPr>
          <w:p w14:paraId="331B41AB">
            <w:pPr>
              <w:jc w:val="center"/>
              <w:rPr>
                <w:rFonts w:hint="default" w:eastAsia="宋体"/>
                <w:color w:val="000000"/>
                <w:sz w:val="21"/>
                <w:szCs w:val="21"/>
                <w:lang w:val="en-US" w:eastAsia="zh-CN"/>
              </w:rPr>
            </w:pPr>
            <w:r>
              <w:rPr>
                <w:rFonts w:hint="eastAsia" w:eastAsia="宋体"/>
                <w:color w:val="000000"/>
                <w:sz w:val="21"/>
                <w:szCs w:val="21"/>
                <w:lang w:val="en-US" w:eastAsia="zh-CN"/>
              </w:rPr>
              <w:t>8.06</w:t>
            </w:r>
          </w:p>
        </w:tc>
        <w:tc>
          <w:tcPr>
            <w:tcW w:w="442" w:type="pct"/>
            <w:noWrap w:val="0"/>
            <w:vAlign w:val="center"/>
          </w:tcPr>
          <w:p w14:paraId="5D075955">
            <w:pPr>
              <w:pStyle w:val="24"/>
              <w:spacing w:line="240" w:lineRule="auto"/>
              <w:rPr>
                <w:rFonts w:hint="default" w:eastAsia="宋体"/>
                <w:color w:val="000000"/>
                <w:szCs w:val="21"/>
                <w:lang w:val="en-US" w:eastAsia="zh-CN"/>
              </w:rPr>
            </w:pPr>
            <w:r>
              <w:rPr>
                <w:rFonts w:hint="eastAsia" w:eastAsia="宋体"/>
                <w:color w:val="000000"/>
                <w:szCs w:val="21"/>
                <w:lang w:val="en-US" w:eastAsia="zh-CN"/>
              </w:rPr>
              <w:t>8.12</w:t>
            </w:r>
          </w:p>
        </w:tc>
        <w:tc>
          <w:tcPr>
            <w:tcW w:w="442" w:type="pct"/>
            <w:noWrap w:val="0"/>
            <w:vAlign w:val="center"/>
          </w:tcPr>
          <w:p w14:paraId="79E07BCA">
            <w:pPr>
              <w:pStyle w:val="24"/>
              <w:spacing w:line="240" w:lineRule="auto"/>
              <w:rPr>
                <w:rFonts w:hint="default" w:eastAsia="宋体"/>
                <w:color w:val="000000"/>
                <w:szCs w:val="21"/>
                <w:lang w:val="en-US" w:eastAsia="zh-CN"/>
              </w:rPr>
            </w:pPr>
            <w:r>
              <w:rPr>
                <w:rFonts w:hint="eastAsia" w:eastAsia="宋体"/>
                <w:color w:val="000000"/>
                <w:szCs w:val="21"/>
                <w:lang w:val="en-US" w:eastAsia="zh-CN"/>
              </w:rPr>
              <w:t>8.20</w:t>
            </w:r>
          </w:p>
        </w:tc>
        <w:tc>
          <w:tcPr>
            <w:tcW w:w="442" w:type="pct"/>
            <w:noWrap w:val="0"/>
            <w:vAlign w:val="center"/>
          </w:tcPr>
          <w:p w14:paraId="274B7EEB">
            <w:pPr>
              <w:pStyle w:val="24"/>
              <w:spacing w:line="240" w:lineRule="auto"/>
              <w:rPr>
                <w:rFonts w:hint="default" w:eastAsia="宋体"/>
                <w:color w:val="000000"/>
                <w:szCs w:val="21"/>
                <w:lang w:val="en-US" w:eastAsia="zh-CN"/>
              </w:rPr>
            </w:pPr>
            <w:r>
              <w:rPr>
                <w:rFonts w:hint="eastAsia" w:eastAsia="宋体"/>
                <w:color w:val="000000"/>
                <w:szCs w:val="21"/>
                <w:lang w:val="en-US" w:eastAsia="zh-CN"/>
              </w:rPr>
              <w:t>8.12</w:t>
            </w:r>
          </w:p>
        </w:tc>
        <w:tc>
          <w:tcPr>
            <w:tcW w:w="447" w:type="pct"/>
            <w:noWrap w:val="0"/>
            <w:vAlign w:val="center"/>
          </w:tcPr>
          <w:p w14:paraId="784648AF">
            <w:pPr>
              <w:pStyle w:val="24"/>
              <w:spacing w:line="240" w:lineRule="auto"/>
              <w:jc w:val="center"/>
              <w:rPr>
                <w:rFonts w:hint="default" w:eastAsia="宋体"/>
                <w:color w:val="000000"/>
                <w:spacing w:val="-20"/>
                <w:lang w:val="en-US" w:eastAsia="zh-CN" w:bidi="en-US"/>
              </w:rPr>
            </w:pPr>
            <w:r>
              <w:rPr>
                <w:rFonts w:hint="eastAsia"/>
                <w:color w:val="000000"/>
                <w:spacing w:val="-20"/>
                <w:lang w:val="en-US" w:eastAsia="zh-CN" w:bidi="en-US"/>
              </w:rPr>
              <w:t>8.17</w:t>
            </w:r>
          </w:p>
        </w:tc>
        <w:tc>
          <w:tcPr>
            <w:tcW w:w="447" w:type="pct"/>
            <w:noWrap w:val="0"/>
            <w:vAlign w:val="center"/>
          </w:tcPr>
          <w:p w14:paraId="59124E5E">
            <w:pPr>
              <w:pStyle w:val="24"/>
              <w:spacing w:line="240" w:lineRule="auto"/>
              <w:jc w:val="center"/>
              <w:rPr>
                <w:rFonts w:hint="default" w:eastAsia="宋体"/>
                <w:color w:val="000000"/>
                <w:spacing w:val="-20"/>
                <w:lang w:val="en-US" w:eastAsia="zh-CN" w:bidi="en-US"/>
              </w:rPr>
            </w:pPr>
            <w:r>
              <w:rPr>
                <w:rFonts w:hint="eastAsia"/>
                <w:color w:val="000000"/>
                <w:spacing w:val="-20"/>
                <w:lang w:val="en-US" w:eastAsia="zh-CN" w:bidi="en-US"/>
              </w:rPr>
              <w:t>8.05</w:t>
            </w:r>
          </w:p>
        </w:tc>
        <w:tc>
          <w:tcPr>
            <w:tcW w:w="447" w:type="pct"/>
            <w:noWrap w:val="0"/>
            <w:vAlign w:val="center"/>
          </w:tcPr>
          <w:p w14:paraId="46A5A32F">
            <w:pPr>
              <w:pStyle w:val="24"/>
              <w:spacing w:line="240" w:lineRule="auto"/>
              <w:jc w:val="center"/>
              <w:rPr>
                <w:rFonts w:hint="default" w:eastAsia="宋体"/>
                <w:color w:val="000000"/>
                <w:spacing w:val="-20"/>
                <w:lang w:val="en-US" w:eastAsia="zh-CN" w:bidi="en-US"/>
              </w:rPr>
            </w:pPr>
            <w:r>
              <w:rPr>
                <w:rFonts w:hint="eastAsia"/>
                <w:color w:val="000000"/>
                <w:spacing w:val="-20"/>
                <w:lang w:val="en-US" w:eastAsia="zh-CN" w:bidi="en-US"/>
              </w:rPr>
              <w:t>8.12</w:t>
            </w:r>
          </w:p>
        </w:tc>
      </w:tr>
      <w:tr w14:paraId="4614A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79" w:type="pct"/>
            <w:noWrap w:val="0"/>
            <w:vAlign w:val="center"/>
          </w:tcPr>
          <w:p w14:paraId="12F7B82B">
            <w:pPr>
              <w:pStyle w:val="24"/>
              <w:rPr>
                <w:rFonts w:hint="eastAsia" w:eastAsia="宋体"/>
                <w:color w:val="000000"/>
                <w:szCs w:val="21"/>
                <w:lang w:val="en-US" w:eastAsia="zh-CN"/>
              </w:rPr>
            </w:pPr>
            <w:r>
              <w:rPr>
                <w:rFonts w:hint="eastAsia"/>
                <w:color w:val="000000"/>
                <w:szCs w:val="21"/>
                <w:lang w:val="en-US" w:eastAsia="zh-CN"/>
              </w:rPr>
              <w:t>2</w:t>
            </w:r>
          </w:p>
        </w:tc>
        <w:tc>
          <w:tcPr>
            <w:tcW w:w="684" w:type="pct"/>
            <w:noWrap w:val="0"/>
            <w:vAlign w:val="center"/>
          </w:tcPr>
          <w:p w14:paraId="4E4E0A86">
            <w:pPr>
              <w:pStyle w:val="24"/>
              <w:rPr>
                <w:rFonts w:hint="default"/>
                <w:color w:val="000000"/>
                <w:szCs w:val="21"/>
                <w:lang w:val="en-US" w:eastAsia="zh-CN"/>
              </w:rPr>
            </w:pPr>
            <w:r>
              <w:rPr>
                <w:rFonts w:hint="eastAsia"/>
                <w:color w:val="000000"/>
                <w:szCs w:val="21"/>
                <w:lang w:val="en-US" w:eastAsia="zh-CN"/>
              </w:rPr>
              <w:t>锌mg/kg</w:t>
            </w:r>
          </w:p>
        </w:tc>
        <w:tc>
          <w:tcPr>
            <w:tcW w:w="455" w:type="pct"/>
            <w:noWrap w:val="0"/>
            <w:vAlign w:val="center"/>
          </w:tcPr>
          <w:p w14:paraId="2445D2EB">
            <w:pPr>
              <w:pStyle w:val="24"/>
              <w:jc w:val="center"/>
              <w:rPr>
                <w:rFonts w:hint="default" w:eastAsia="宋体"/>
                <w:color w:val="000000"/>
                <w:szCs w:val="21"/>
                <w:lang w:val="en-US" w:eastAsia="zh-CN"/>
              </w:rPr>
            </w:pPr>
            <w:r>
              <w:rPr>
                <w:rFonts w:hint="eastAsia"/>
                <w:color w:val="000000"/>
                <w:szCs w:val="21"/>
                <w:lang w:val="en-US" w:eastAsia="zh-CN"/>
              </w:rPr>
              <w:t>87</w:t>
            </w:r>
          </w:p>
        </w:tc>
        <w:tc>
          <w:tcPr>
            <w:tcW w:w="455" w:type="pct"/>
            <w:noWrap w:val="0"/>
            <w:vAlign w:val="center"/>
          </w:tcPr>
          <w:p w14:paraId="467C826F">
            <w:pPr>
              <w:pStyle w:val="24"/>
              <w:jc w:val="center"/>
              <w:rPr>
                <w:rFonts w:hint="default" w:eastAsia="宋体"/>
                <w:b w:val="0"/>
                <w:bCs w:val="0"/>
                <w:color w:val="000000"/>
                <w:szCs w:val="21"/>
                <w:lang w:val="en-US" w:eastAsia="zh-CN"/>
              </w:rPr>
            </w:pPr>
            <w:r>
              <w:rPr>
                <w:rFonts w:hint="eastAsia"/>
                <w:b w:val="0"/>
                <w:bCs w:val="0"/>
                <w:color w:val="000000"/>
                <w:szCs w:val="21"/>
                <w:lang w:val="en-US" w:eastAsia="zh-CN"/>
              </w:rPr>
              <w:t>85</w:t>
            </w:r>
          </w:p>
        </w:tc>
        <w:tc>
          <w:tcPr>
            <w:tcW w:w="455" w:type="pct"/>
            <w:noWrap w:val="0"/>
            <w:vAlign w:val="center"/>
          </w:tcPr>
          <w:p w14:paraId="0A1398AF">
            <w:pPr>
              <w:pStyle w:val="24"/>
              <w:jc w:val="center"/>
              <w:rPr>
                <w:rFonts w:hint="default" w:eastAsia="宋体"/>
                <w:color w:val="000000"/>
                <w:sz w:val="21"/>
                <w:szCs w:val="21"/>
                <w:lang w:val="en-US" w:eastAsia="zh-CN"/>
              </w:rPr>
            </w:pPr>
            <w:r>
              <w:rPr>
                <w:rFonts w:hint="eastAsia"/>
                <w:color w:val="000000"/>
                <w:sz w:val="21"/>
                <w:szCs w:val="21"/>
                <w:lang w:val="en-US" w:eastAsia="zh-CN"/>
              </w:rPr>
              <w:t>83</w:t>
            </w:r>
          </w:p>
        </w:tc>
        <w:tc>
          <w:tcPr>
            <w:tcW w:w="442" w:type="pct"/>
            <w:noWrap w:val="0"/>
            <w:vAlign w:val="center"/>
          </w:tcPr>
          <w:p w14:paraId="2BBCEBC0">
            <w:pPr>
              <w:pStyle w:val="24"/>
              <w:rPr>
                <w:rFonts w:hint="default"/>
                <w:color w:val="000000"/>
                <w:szCs w:val="21"/>
                <w:lang w:val="en-US" w:eastAsia="zh-CN"/>
              </w:rPr>
            </w:pPr>
            <w:r>
              <w:rPr>
                <w:rFonts w:hint="eastAsia"/>
                <w:color w:val="000000"/>
                <w:szCs w:val="21"/>
                <w:lang w:val="en-US" w:eastAsia="zh-CN"/>
              </w:rPr>
              <w:t>82</w:t>
            </w:r>
          </w:p>
        </w:tc>
        <w:tc>
          <w:tcPr>
            <w:tcW w:w="442" w:type="pct"/>
            <w:noWrap w:val="0"/>
            <w:vAlign w:val="center"/>
          </w:tcPr>
          <w:p w14:paraId="6C2B822F">
            <w:pPr>
              <w:pStyle w:val="24"/>
              <w:rPr>
                <w:rFonts w:hint="default"/>
                <w:color w:val="000000"/>
                <w:szCs w:val="21"/>
                <w:lang w:val="en-US" w:eastAsia="zh-CN"/>
              </w:rPr>
            </w:pPr>
            <w:r>
              <w:rPr>
                <w:rFonts w:hint="eastAsia"/>
                <w:color w:val="000000"/>
                <w:szCs w:val="21"/>
                <w:lang w:val="en-US" w:eastAsia="zh-CN"/>
              </w:rPr>
              <w:t>85</w:t>
            </w:r>
          </w:p>
        </w:tc>
        <w:tc>
          <w:tcPr>
            <w:tcW w:w="442" w:type="pct"/>
            <w:noWrap w:val="0"/>
            <w:vAlign w:val="center"/>
          </w:tcPr>
          <w:p w14:paraId="70B156E5">
            <w:pPr>
              <w:pStyle w:val="24"/>
              <w:rPr>
                <w:rFonts w:hint="default"/>
                <w:color w:val="000000"/>
                <w:szCs w:val="21"/>
                <w:lang w:val="en-US" w:eastAsia="zh-CN"/>
              </w:rPr>
            </w:pPr>
            <w:r>
              <w:rPr>
                <w:rFonts w:hint="eastAsia"/>
                <w:color w:val="000000"/>
                <w:szCs w:val="21"/>
                <w:lang w:val="en-US" w:eastAsia="zh-CN"/>
              </w:rPr>
              <w:t>83</w:t>
            </w:r>
          </w:p>
        </w:tc>
        <w:tc>
          <w:tcPr>
            <w:tcW w:w="447" w:type="pct"/>
            <w:noWrap w:val="0"/>
            <w:vAlign w:val="center"/>
          </w:tcPr>
          <w:p w14:paraId="1722448A">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84</w:t>
            </w:r>
          </w:p>
        </w:tc>
        <w:tc>
          <w:tcPr>
            <w:tcW w:w="447" w:type="pct"/>
            <w:noWrap w:val="0"/>
            <w:vAlign w:val="center"/>
          </w:tcPr>
          <w:p w14:paraId="55970198">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85</w:t>
            </w:r>
          </w:p>
        </w:tc>
        <w:tc>
          <w:tcPr>
            <w:tcW w:w="447" w:type="pct"/>
            <w:noWrap w:val="0"/>
            <w:vAlign w:val="center"/>
          </w:tcPr>
          <w:p w14:paraId="58BBE8FA">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84</w:t>
            </w:r>
          </w:p>
        </w:tc>
      </w:tr>
      <w:tr w14:paraId="14EB1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noWrap w:val="0"/>
            <w:vAlign w:val="center"/>
          </w:tcPr>
          <w:p w14:paraId="7C82D45D">
            <w:pPr>
              <w:pStyle w:val="24"/>
              <w:rPr>
                <w:rFonts w:hint="eastAsia" w:eastAsia="宋体"/>
                <w:color w:val="000000"/>
                <w:szCs w:val="21"/>
                <w:lang w:val="en-US" w:eastAsia="zh-CN"/>
              </w:rPr>
            </w:pPr>
            <w:r>
              <w:rPr>
                <w:rFonts w:hint="eastAsia"/>
                <w:color w:val="000000"/>
                <w:szCs w:val="21"/>
                <w:lang w:val="en-US" w:eastAsia="zh-CN"/>
              </w:rPr>
              <w:t>3</w:t>
            </w:r>
          </w:p>
        </w:tc>
        <w:tc>
          <w:tcPr>
            <w:tcW w:w="684" w:type="pct"/>
            <w:noWrap w:val="0"/>
            <w:vAlign w:val="center"/>
          </w:tcPr>
          <w:p w14:paraId="15A7735F">
            <w:pPr>
              <w:pStyle w:val="24"/>
              <w:rPr>
                <w:rFonts w:hint="default"/>
                <w:color w:val="000000"/>
                <w:szCs w:val="21"/>
                <w:lang w:val="en-US" w:eastAsia="zh-CN"/>
              </w:rPr>
            </w:pPr>
            <w:r>
              <w:rPr>
                <w:rFonts w:hint="eastAsia"/>
                <w:color w:val="000000"/>
                <w:szCs w:val="21"/>
                <w:lang w:val="en-US" w:eastAsia="zh-CN"/>
              </w:rPr>
              <w:t>砷mg/kg</w:t>
            </w:r>
          </w:p>
        </w:tc>
        <w:tc>
          <w:tcPr>
            <w:tcW w:w="455" w:type="pct"/>
            <w:noWrap w:val="0"/>
            <w:vAlign w:val="center"/>
          </w:tcPr>
          <w:p w14:paraId="470C2D0B">
            <w:pPr>
              <w:pStyle w:val="24"/>
              <w:jc w:val="center"/>
              <w:rPr>
                <w:rFonts w:hint="default" w:eastAsia="宋体"/>
                <w:color w:val="000000"/>
                <w:szCs w:val="21"/>
                <w:lang w:val="en-US" w:eastAsia="zh-CN"/>
              </w:rPr>
            </w:pPr>
            <w:r>
              <w:rPr>
                <w:rFonts w:hint="eastAsia"/>
                <w:color w:val="000000"/>
                <w:szCs w:val="21"/>
                <w:lang w:val="en-US" w:eastAsia="zh-CN"/>
              </w:rPr>
              <w:t>9.19</w:t>
            </w:r>
          </w:p>
        </w:tc>
        <w:tc>
          <w:tcPr>
            <w:tcW w:w="455" w:type="pct"/>
            <w:noWrap w:val="0"/>
            <w:vAlign w:val="center"/>
          </w:tcPr>
          <w:p w14:paraId="13BAEE34">
            <w:pPr>
              <w:pStyle w:val="24"/>
              <w:jc w:val="center"/>
              <w:rPr>
                <w:rFonts w:hint="default" w:eastAsia="宋体"/>
                <w:b w:val="0"/>
                <w:bCs w:val="0"/>
                <w:color w:val="000000"/>
                <w:szCs w:val="21"/>
                <w:lang w:val="en-US" w:eastAsia="zh-CN"/>
              </w:rPr>
            </w:pPr>
            <w:r>
              <w:rPr>
                <w:rFonts w:hint="eastAsia"/>
                <w:b w:val="0"/>
                <w:bCs w:val="0"/>
                <w:color w:val="000000"/>
                <w:szCs w:val="21"/>
                <w:lang w:val="en-US" w:eastAsia="zh-CN"/>
              </w:rPr>
              <w:t>8.82</w:t>
            </w:r>
          </w:p>
        </w:tc>
        <w:tc>
          <w:tcPr>
            <w:tcW w:w="455" w:type="pct"/>
            <w:noWrap w:val="0"/>
            <w:vAlign w:val="center"/>
          </w:tcPr>
          <w:p w14:paraId="5D25694D">
            <w:pPr>
              <w:pStyle w:val="24"/>
              <w:jc w:val="center"/>
              <w:rPr>
                <w:rFonts w:hint="default" w:eastAsia="宋体"/>
                <w:color w:val="000000"/>
                <w:sz w:val="21"/>
                <w:szCs w:val="21"/>
                <w:lang w:val="en-US" w:eastAsia="zh-CN"/>
              </w:rPr>
            </w:pPr>
            <w:r>
              <w:rPr>
                <w:rFonts w:hint="eastAsia"/>
                <w:color w:val="000000"/>
                <w:sz w:val="21"/>
                <w:szCs w:val="21"/>
                <w:lang w:val="en-US" w:eastAsia="zh-CN"/>
              </w:rPr>
              <w:t>8.77</w:t>
            </w:r>
          </w:p>
        </w:tc>
        <w:tc>
          <w:tcPr>
            <w:tcW w:w="442" w:type="pct"/>
            <w:noWrap w:val="0"/>
            <w:vAlign w:val="center"/>
          </w:tcPr>
          <w:p w14:paraId="1194D420">
            <w:pPr>
              <w:pStyle w:val="24"/>
              <w:rPr>
                <w:rFonts w:hint="default"/>
                <w:color w:val="000000"/>
                <w:szCs w:val="21"/>
                <w:lang w:val="en-US" w:eastAsia="zh-CN"/>
              </w:rPr>
            </w:pPr>
            <w:r>
              <w:rPr>
                <w:rFonts w:hint="eastAsia"/>
                <w:color w:val="000000"/>
                <w:szCs w:val="21"/>
                <w:lang w:val="en-US" w:eastAsia="zh-CN"/>
              </w:rPr>
              <w:t>8.59</w:t>
            </w:r>
          </w:p>
        </w:tc>
        <w:tc>
          <w:tcPr>
            <w:tcW w:w="442" w:type="pct"/>
            <w:noWrap w:val="0"/>
            <w:vAlign w:val="center"/>
          </w:tcPr>
          <w:p w14:paraId="0076B0F4">
            <w:pPr>
              <w:pStyle w:val="24"/>
              <w:rPr>
                <w:rFonts w:hint="default"/>
                <w:color w:val="000000"/>
                <w:szCs w:val="21"/>
                <w:lang w:val="en-US" w:eastAsia="zh-CN"/>
              </w:rPr>
            </w:pPr>
            <w:r>
              <w:rPr>
                <w:rFonts w:hint="eastAsia"/>
                <w:color w:val="000000"/>
                <w:szCs w:val="21"/>
                <w:lang w:val="en-US" w:eastAsia="zh-CN"/>
              </w:rPr>
              <w:t>12.5</w:t>
            </w:r>
          </w:p>
        </w:tc>
        <w:tc>
          <w:tcPr>
            <w:tcW w:w="442" w:type="pct"/>
            <w:noWrap w:val="0"/>
            <w:vAlign w:val="center"/>
          </w:tcPr>
          <w:p w14:paraId="6185E2BB">
            <w:pPr>
              <w:pStyle w:val="24"/>
              <w:rPr>
                <w:rFonts w:hint="default"/>
                <w:color w:val="000000"/>
                <w:szCs w:val="21"/>
                <w:lang w:val="en-US" w:eastAsia="zh-CN"/>
              </w:rPr>
            </w:pPr>
            <w:r>
              <w:rPr>
                <w:rFonts w:hint="eastAsia"/>
                <w:color w:val="000000"/>
                <w:szCs w:val="21"/>
                <w:lang w:val="en-US" w:eastAsia="zh-CN"/>
              </w:rPr>
              <w:t>11.7</w:t>
            </w:r>
          </w:p>
        </w:tc>
        <w:tc>
          <w:tcPr>
            <w:tcW w:w="447" w:type="pct"/>
            <w:noWrap w:val="0"/>
            <w:vAlign w:val="center"/>
          </w:tcPr>
          <w:p w14:paraId="0D697CA5">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10.2</w:t>
            </w:r>
          </w:p>
        </w:tc>
        <w:tc>
          <w:tcPr>
            <w:tcW w:w="447" w:type="pct"/>
            <w:noWrap w:val="0"/>
            <w:vAlign w:val="center"/>
          </w:tcPr>
          <w:p w14:paraId="24A2A5EA">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9.88</w:t>
            </w:r>
          </w:p>
        </w:tc>
        <w:tc>
          <w:tcPr>
            <w:tcW w:w="447" w:type="pct"/>
            <w:noWrap w:val="0"/>
            <w:vAlign w:val="center"/>
          </w:tcPr>
          <w:p w14:paraId="5C2B2199">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8.20</w:t>
            </w:r>
          </w:p>
        </w:tc>
      </w:tr>
      <w:tr w14:paraId="4DF3D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noWrap w:val="0"/>
            <w:vAlign w:val="center"/>
          </w:tcPr>
          <w:p w14:paraId="68B3AD3D">
            <w:pPr>
              <w:pStyle w:val="24"/>
              <w:rPr>
                <w:rFonts w:hint="eastAsia" w:eastAsia="宋体"/>
                <w:color w:val="000000"/>
                <w:szCs w:val="21"/>
                <w:lang w:val="en-US" w:eastAsia="zh-CN"/>
              </w:rPr>
            </w:pPr>
            <w:r>
              <w:rPr>
                <w:rFonts w:hint="eastAsia"/>
                <w:color w:val="000000"/>
                <w:szCs w:val="21"/>
                <w:lang w:val="en-US" w:eastAsia="zh-CN"/>
              </w:rPr>
              <w:t>4</w:t>
            </w:r>
          </w:p>
        </w:tc>
        <w:tc>
          <w:tcPr>
            <w:tcW w:w="684" w:type="pct"/>
            <w:noWrap w:val="0"/>
            <w:vAlign w:val="center"/>
          </w:tcPr>
          <w:p w14:paraId="6980889B">
            <w:pPr>
              <w:pStyle w:val="24"/>
              <w:rPr>
                <w:rFonts w:hint="default"/>
                <w:color w:val="000000"/>
                <w:szCs w:val="21"/>
                <w:lang w:val="en-US" w:eastAsia="zh-CN"/>
              </w:rPr>
            </w:pPr>
            <w:r>
              <w:rPr>
                <w:rFonts w:hint="eastAsia"/>
                <w:color w:val="000000"/>
                <w:szCs w:val="21"/>
                <w:lang w:val="en-US" w:eastAsia="zh-CN"/>
              </w:rPr>
              <w:t>铅mg/kg</w:t>
            </w:r>
          </w:p>
        </w:tc>
        <w:tc>
          <w:tcPr>
            <w:tcW w:w="455" w:type="pct"/>
            <w:noWrap w:val="0"/>
            <w:vAlign w:val="center"/>
          </w:tcPr>
          <w:p w14:paraId="110E7D7B">
            <w:pPr>
              <w:pStyle w:val="24"/>
              <w:jc w:val="center"/>
              <w:rPr>
                <w:rFonts w:hint="default" w:eastAsia="宋体"/>
                <w:color w:val="000000"/>
                <w:szCs w:val="21"/>
                <w:lang w:val="en-US" w:eastAsia="zh-CN"/>
              </w:rPr>
            </w:pPr>
            <w:r>
              <w:rPr>
                <w:rFonts w:hint="eastAsia"/>
                <w:color w:val="000000"/>
                <w:szCs w:val="21"/>
                <w:lang w:val="en-US" w:eastAsia="zh-CN"/>
              </w:rPr>
              <w:t>22</w:t>
            </w:r>
          </w:p>
        </w:tc>
        <w:tc>
          <w:tcPr>
            <w:tcW w:w="455" w:type="pct"/>
            <w:noWrap w:val="0"/>
            <w:vAlign w:val="center"/>
          </w:tcPr>
          <w:p w14:paraId="40BCDA78">
            <w:pPr>
              <w:pStyle w:val="24"/>
              <w:jc w:val="center"/>
              <w:rPr>
                <w:rFonts w:hint="default" w:eastAsia="宋体"/>
                <w:b w:val="0"/>
                <w:bCs w:val="0"/>
                <w:color w:val="000000"/>
                <w:szCs w:val="21"/>
                <w:lang w:val="en-US" w:eastAsia="zh-CN"/>
              </w:rPr>
            </w:pPr>
            <w:r>
              <w:rPr>
                <w:rFonts w:hint="eastAsia"/>
                <w:b w:val="0"/>
                <w:bCs w:val="0"/>
                <w:color w:val="000000"/>
                <w:szCs w:val="21"/>
                <w:lang w:val="en-US" w:eastAsia="zh-CN"/>
              </w:rPr>
              <w:t>15</w:t>
            </w:r>
          </w:p>
        </w:tc>
        <w:tc>
          <w:tcPr>
            <w:tcW w:w="455" w:type="pct"/>
            <w:noWrap w:val="0"/>
            <w:vAlign w:val="center"/>
          </w:tcPr>
          <w:p w14:paraId="1C8D913B">
            <w:pPr>
              <w:pStyle w:val="24"/>
              <w:jc w:val="center"/>
              <w:rPr>
                <w:rFonts w:hint="default" w:eastAsia="宋体"/>
                <w:color w:val="000000"/>
                <w:sz w:val="21"/>
                <w:szCs w:val="21"/>
                <w:lang w:val="en-US" w:eastAsia="zh-CN"/>
              </w:rPr>
            </w:pPr>
            <w:r>
              <w:rPr>
                <w:rFonts w:hint="eastAsia"/>
                <w:color w:val="000000"/>
                <w:sz w:val="21"/>
                <w:szCs w:val="21"/>
                <w:lang w:val="en-US" w:eastAsia="zh-CN"/>
              </w:rPr>
              <w:t>11</w:t>
            </w:r>
          </w:p>
        </w:tc>
        <w:tc>
          <w:tcPr>
            <w:tcW w:w="442" w:type="pct"/>
            <w:noWrap w:val="0"/>
            <w:vAlign w:val="center"/>
          </w:tcPr>
          <w:p w14:paraId="3B451D69">
            <w:pPr>
              <w:pStyle w:val="24"/>
              <w:rPr>
                <w:rFonts w:hint="default"/>
                <w:color w:val="000000"/>
                <w:szCs w:val="21"/>
                <w:lang w:val="en-US" w:eastAsia="zh-CN"/>
              </w:rPr>
            </w:pPr>
            <w:r>
              <w:rPr>
                <w:rFonts w:hint="eastAsia"/>
                <w:color w:val="000000"/>
                <w:szCs w:val="21"/>
                <w:lang w:val="en-US" w:eastAsia="zh-CN"/>
              </w:rPr>
              <w:t>14</w:t>
            </w:r>
          </w:p>
        </w:tc>
        <w:tc>
          <w:tcPr>
            <w:tcW w:w="442" w:type="pct"/>
            <w:noWrap w:val="0"/>
            <w:vAlign w:val="center"/>
          </w:tcPr>
          <w:p w14:paraId="592B7773">
            <w:pPr>
              <w:pStyle w:val="24"/>
              <w:rPr>
                <w:rFonts w:hint="default"/>
                <w:color w:val="000000"/>
                <w:szCs w:val="21"/>
                <w:lang w:val="en-US" w:eastAsia="zh-CN"/>
              </w:rPr>
            </w:pPr>
            <w:r>
              <w:rPr>
                <w:rFonts w:hint="eastAsia"/>
                <w:color w:val="000000"/>
                <w:szCs w:val="21"/>
                <w:lang w:val="en-US" w:eastAsia="zh-CN"/>
              </w:rPr>
              <w:t>17</w:t>
            </w:r>
          </w:p>
        </w:tc>
        <w:tc>
          <w:tcPr>
            <w:tcW w:w="442" w:type="pct"/>
            <w:noWrap w:val="0"/>
            <w:vAlign w:val="center"/>
          </w:tcPr>
          <w:p w14:paraId="0621EB3A">
            <w:pPr>
              <w:pStyle w:val="24"/>
              <w:rPr>
                <w:rFonts w:hint="default"/>
                <w:color w:val="000000"/>
                <w:szCs w:val="21"/>
                <w:lang w:val="en-US" w:eastAsia="zh-CN"/>
              </w:rPr>
            </w:pPr>
            <w:r>
              <w:rPr>
                <w:rFonts w:hint="eastAsia"/>
                <w:color w:val="000000"/>
                <w:szCs w:val="21"/>
                <w:lang w:val="en-US" w:eastAsia="zh-CN"/>
              </w:rPr>
              <w:t>14</w:t>
            </w:r>
          </w:p>
        </w:tc>
        <w:tc>
          <w:tcPr>
            <w:tcW w:w="447" w:type="pct"/>
            <w:noWrap w:val="0"/>
            <w:vAlign w:val="center"/>
          </w:tcPr>
          <w:p w14:paraId="6E83606D">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12</w:t>
            </w:r>
          </w:p>
        </w:tc>
        <w:tc>
          <w:tcPr>
            <w:tcW w:w="447" w:type="pct"/>
            <w:noWrap w:val="0"/>
            <w:vAlign w:val="center"/>
          </w:tcPr>
          <w:p w14:paraId="1D5DC0D9">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14</w:t>
            </w:r>
          </w:p>
        </w:tc>
        <w:tc>
          <w:tcPr>
            <w:tcW w:w="447" w:type="pct"/>
            <w:noWrap w:val="0"/>
            <w:vAlign w:val="center"/>
          </w:tcPr>
          <w:p w14:paraId="3ABB601C">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16</w:t>
            </w:r>
          </w:p>
        </w:tc>
      </w:tr>
      <w:tr w14:paraId="7D7E1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279" w:type="pct"/>
            <w:noWrap w:val="0"/>
            <w:vAlign w:val="center"/>
          </w:tcPr>
          <w:p w14:paraId="273A6EA5">
            <w:pPr>
              <w:pStyle w:val="24"/>
              <w:rPr>
                <w:rFonts w:hint="eastAsia" w:eastAsia="宋体"/>
                <w:color w:val="000000"/>
                <w:szCs w:val="21"/>
                <w:lang w:val="en-US" w:eastAsia="zh-CN"/>
              </w:rPr>
            </w:pPr>
            <w:r>
              <w:rPr>
                <w:rFonts w:hint="eastAsia"/>
                <w:color w:val="000000"/>
                <w:szCs w:val="21"/>
                <w:lang w:val="en-US" w:eastAsia="zh-CN"/>
              </w:rPr>
              <w:t>5</w:t>
            </w:r>
          </w:p>
        </w:tc>
        <w:tc>
          <w:tcPr>
            <w:tcW w:w="684" w:type="pct"/>
            <w:noWrap w:val="0"/>
            <w:vAlign w:val="center"/>
          </w:tcPr>
          <w:p w14:paraId="0153B6C6">
            <w:pPr>
              <w:pStyle w:val="24"/>
              <w:rPr>
                <w:rFonts w:hint="default"/>
                <w:color w:val="000000"/>
                <w:szCs w:val="21"/>
                <w:lang w:val="en-US" w:eastAsia="zh-CN"/>
              </w:rPr>
            </w:pPr>
            <w:r>
              <w:rPr>
                <w:rFonts w:hint="eastAsia"/>
                <w:color w:val="000000"/>
                <w:szCs w:val="21"/>
                <w:lang w:val="en-US" w:eastAsia="zh-CN"/>
              </w:rPr>
              <w:t>汞mg/kg</w:t>
            </w:r>
          </w:p>
        </w:tc>
        <w:tc>
          <w:tcPr>
            <w:tcW w:w="455" w:type="pct"/>
            <w:noWrap w:val="0"/>
            <w:vAlign w:val="center"/>
          </w:tcPr>
          <w:p w14:paraId="6148D29B">
            <w:pPr>
              <w:pStyle w:val="24"/>
              <w:jc w:val="center"/>
              <w:rPr>
                <w:rFonts w:hint="default" w:eastAsia="宋体"/>
                <w:color w:val="000000"/>
                <w:szCs w:val="21"/>
                <w:lang w:val="en-US" w:eastAsia="zh-CN"/>
              </w:rPr>
            </w:pPr>
            <w:r>
              <w:rPr>
                <w:rFonts w:hint="eastAsia"/>
                <w:color w:val="000000"/>
                <w:szCs w:val="21"/>
                <w:lang w:val="en-US" w:eastAsia="zh-CN"/>
              </w:rPr>
              <w:t>0.244</w:t>
            </w:r>
          </w:p>
        </w:tc>
        <w:tc>
          <w:tcPr>
            <w:tcW w:w="455" w:type="pct"/>
            <w:noWrap w:val="0"/>
            <w:vAlign w:val="center"/>
          </w:tcPr>
          <w:p w14:paraId="73BA6F7C">
            <w:pPr>
              <w:pStyle w:val="24"/>
              <w:jc w:val="center"/>
              <w:rPr>
                <w:rFonts w:hint="default" w:eastAsia="宋体"/>
                <w:b w:val="0"/>
                <w:bCs w:val="0"/>
                <w:color w:val="000000"/>
                <w:szCs w:val="21"/>
                <w:lang w:val="en-US" w:eastAsia="zh-CN"/>
              </w:rPr>
            </w:pPr>
            <w:r>
              <w:rPr>
                <w:rFonts w:hint="eastAsia"/>
                <w:b w:val="0"/>
                <w:bCs w:val="0"/>
                <w:color w:val="000000"/>
                <w:szCs w:val="21"/>
                <w:lang w:val="en-US" w:eastAsia="zh-CN"/>
              </w:rPr>
              <w:t>0.251</w:t>
            </w:r>
          </w:p>
        </w:tc>
        <w:tc>
          <w:tcPr>
            <w:tcW w:w="455" w:type="pct"/>
            <w:noWrap w:val="0"/>
            <w:vAlign w:val="center"/>
          </w:tcPr>
          <w:p w14:paraId="0E65E749">
            <w:pPr>
              <w:pStyle w:val="24"/>
              <w:jc w:val="center"/>
              <w:rPr>
                <w:rFonts w:hint="default" w:eastAsia="宋体"/>
                <w:color w:val="000000"/>
                <w:sz w:val="21"/>
                <w:szCs w:val="21"/>
                <w:lang w:val="en-US" w:eastAsia="zh-CN"/>
              </w:rPr>
            </w:pPr>
            <w:r>
              <w:rPr>
                <w:rFonts w:hint="eastAsia"/>
                <w:color w:val="000000"/>
                <w:sz w:val="21"/>
                <w:szCs w:val="21"/>
                <w:lang w:val="en-US" w:eastAsia="zh-CN"/>
              </w:rPr>
              <w:t>0.196</w:t>
            </w:r>
          </w:p>
        </w:tc>
        <w:tc>
          <w:tcPr>
            <w:tcW w:w="442" w:type="pct"/>
            <w:noWrap w:val="0"/>
            <w:vAlign w:val="center"/>
          </w:tcPr>
          <w:p w14:paraId="0E4CD4B2">
            <w:pPr>
              <w:pStyle w:val="24"/>
              <w:rPr>
                <w:rFonts w:hint="default"/>
                <w:color w:val="000000"/>
                <w:szCs w:val="21"/>
                <w:lang w:val="en-US" w:eastAsia="zh-CN"/>
              </w:rPr>
            </w:pPr>
            <w:r>
              <w:rPr>
                <w:rFonts w:hint="eastAsia"/>
                <w:color w:val="000000"/>
                <w:szCs w:val="21"/>
                <w:lang w:val="en-US" w:eastAsia="zh-CN"/>
              </w:rPr>
              <w:t>0.193</w:t>
            </w:r>
          </w:p>
        </w:tc>
        <w:tc>
          <w:tcPr>
            <w:tcW w:w="442" w:type="pct"/>
            <w:noWrap w:val="0"/>
            <w:vAlign w:val="center"/>
          </w:tcPr>
          <w:p w14:paraId="3AFF2349">
            <w:pPr>
              <w:pStyle w:val="24"/>
              <w:rPr>
                <w:rFonts w:hint="default"/>
                <w:color w:val="000000"/>
                <w:szCs w:val="21"/>
                <w:lang w:val="en-US" w:eastAsia="zh-CN"/>
              </w:rPr>
            </w:pPr>
            <w:r>
              <w:rPr>
                <w:rFonts w:hint="eastAsia"/>
                <w:color w:val="000000"/>
                <w:szCs w:val="21"/>
                <w:lang w:val="en-US" w:eastAsia="zh-CN"/>
              </w:rPr>
              <w:t>0.189</w:t>
            </w:r>
          </w:p>
        </w:tc>
        <w:tc>
          <w:tcPr>
            <w:tcW w:w="442" w:type="pct"/>
            <w:noWrap w:val="0"/>
            <w:vAlign w:val="center"/>
          </w:tcPr>
          <w:p w14:paraId="1209F0F9">
            <w:pPr>
              <w:pStyle w:val="24"/>
              <w:rPr>
                <w:rFonts w:hint="default"/>
                <w:color w:val="000000"/>
                <w:szCs w:val="21"/>
                <w:lang w:val="en-US" w:eastAsia="zh-CN"/>
              </w:rPr>
            </w:pPr>
            <w:r>
              <w:rPr>
                <w:rFonts w:hint="eastAsia"/>
                <w:color w:val="000000"/>
                <w:szCs w:val="21"/>
                <w:lang w:val="en-US" w:eastAsia="zh-CN"/>
              </w:rPr>
              <w:t>0.180</w:t>
            </w:r>
          </w:p>
        </w:tc>
        <w:tc>
          <w:tcPr>
            <w:tcW w:w="447" w:type="pct"/>
            <w:noWrap w:val="0"/>
            <w:vAlign w:val="center"/>
          </w:tcPr>
          <w:p w14:paraId="0E3AE3D2">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0.181</w:t>
            </w:r>
          </w:p>
        </w:tc>
        <w:tc>
          <w:tcPr>
            <w:tcW w:w="447" w:type="pct"/>
            <w:noWrap w:val="0"/>
            <w:vAlign w:val="center"/>
          </w:tcPr>
          <w:p w14:paraId="79BF7C90">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0.182</w:t>
            </w:r>
          </w:p>
        </w:tc>
        <w:tc>
          <w:tcPr>
            <w:tcW w:w="447" w:type="pct"/>
            <w:noWrap w:val="0"/>
            <w:vAlign w:val="center"/>
          </w:tcPr>
          <w:p w14:paraId="32A58628">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0.198</w:t>
            </w:r>
          </w:p>
        </w:tc>
      </w:tr>
      <w:tr w14:paraId="1CC0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79" w:type="pct"/>
            <w:noWrap w:val="0"/>
            <w:vAlign w:val="center"/>
          </w:tcPr>
          <w:p w14:paraId="39034E01">
            <w:pPr>
              <w:pStyle w:val="24"/>
              <w:rPr>
                <w:rFonts w:hint="eastAsia" w:eastAsia="宋体"/>
                <w:color w:val="000000"/>
                <w:szCs w:val="21"/>
                <w:lang w:val="en-US" w:eastAsia="zh-CN"/>
              </w:rPr>
            </w:pPr>
            <w:r>
              <w:rPr>
                <w:rFonts w:hint="eastAsia"/>
                <w:color w:val="000000"/>
                <w:szCs w:val="21"/>
                <w:lang w:val="en-US" w:eastAsia="zh-CN"/>
              </w:rPr>
              <w:t>6</w:t>
            </w:r>
          </w:p>
        </w:tc>
        <w:tc>
          <w:tcPr>
            <w:tcW w:w="684" w:type="pct"/>
            <w:noWrap w:val="0"/>
            <w:vAlign w:val="center"/>
          </w:tcPr>
          <w:p w14:paraId="1C5E83C2">
            <w:pPr>
              <w:pStyle w:val="24"/>
              <w:rPr>
                <w:rFonts w:hint="default"/>
                <w:color w:val="000000"/>
                <w:szCs w:val="21"/>
                <w:lang w:val="en-US" w:eastAsia="zh-CN"/>
              </w:rPr>
            </w:pPr>
            <w:r>
              <w:rPr>
                <w:rFonts w:hint="eastAsia"/>
                <w:color w:val="000000"/>
                <w:szCs w:val="21"/>
                <w:lang w:val="en-US" w:eastAsia="zh-CN"/>
              </w:rPr>
              <w:t>镉mg/kg</w:t>
            </w:r>
          </w:p>
        </w:tc>
        <w:tc>
          <w:tcPr>
            <w:tcW w:w="455" w:type="pct"/>
            <w:noWrap w:val="0"/>
            <w:vAlign w:val="center"/>
          </w:tcPr>
          <w:p w14:paraId="3CA788E8">
            <w:pPr>
              <w:jc w:val="center"/>
              <w:rPr>
                <w:rFonts w:hint="default" w:eastAsia="宋体"/>
                <w:color w:val="000000"/>
                <w:szCs w:val="21"/>
                <w:lang w:val="en-US" w:eastAsia="zh-CN"/>
              </w:rPr>
            </w:pPr>
            <w:r>
              <w:rPr>
                <w:rFonts w:hint="eastAsia" w:eastAsia="宋体"/>
                <w:color w:val="000000"/>
                <w:szCs w:val="21"/>
                <w:lang w:val="en-US" w:eastAsia="zh-CN"/>
              </w:rPr>
              <w:t>0.45</w:t>
            </w:r>
          </w:p>
        </w:tc>
        <w:tc>
          <w:tcPr>
            <w:tcW w:w="455" w:type="pct"/>
            <w:noWrap w:val="0"/>
            <w:vAlign w:val="center"/>
          </w:tcPr>
          <w:p w14:paraId="7BFDA758">
            <w:pPr>
              <w:jc w:val="center"/>
              <w:rPr>
                <w:rFonts w:hint="default" w:eastAsia="宋体"/>
                <w:b w:val="0"/>
                <w:bCs w:val="0"/>
                <w:color w:val="000000"/>
                <w:szCs w:val="21"/>
                <w:lang w:val="en-US" w:eastAsia="zh-CN"/>
              </w:rPr>
            </w:pPr>
            <w:r>
              <w:rPr>
                <w:rFonts w:hint="eastAsia" w:eastAsia="宋体"/>
                <w:b w:val="0"/>
                <w:bCs w:val="0"/>
                <w:color w:val="000000"/>
                <w:szCs w:val="21"/>
                <w:lang w:val="en-US" w:eastAsia="zh-CN"/>
              </w:rPr>
              <w:t>0.49</w:t>
            </w:r>
          </w:p>
        </w:tc>
        <w:tc>
          <w:tcPr>
            <w:tcW w:w="455" w:type="pct"/>
            <w:noWrap w:val="0"/>
            <w:vAlign w:val="center"/>
          </w:tcPr>
          <w:p w14:paraId="3A830FFC">
            <w:pPr>
              <w:jc w:val="center"/>
              <w:rPr>
                <w:rFonts w:hint="default" w:eastAsia="宋体"/>
                <w:color w:val="000000"/>
                <w:sz w:val="21"/>
                <w:szCs w:val="21"/>
                <w:lang w:val="en-US" w:eastAsia="zh-CN"/>
              </w:rPr>
            </w:pPr>
            <w:r>
              <w:rPr>
                <w:rFonts w:hint="eastAsia" w:eastAsia="宋体"/>
                <w:color w:val="000000"/>
                <w:sz w:val="21"/>
                <w:szCs w:val="21"/>
                <w:lang w:val="en-US" w:eastAsia="zh-CN"/>
              </w:rPr>
              <w:t>0.38</w:t>
            </w:r>
          </w:p>
        </w:tc>
        <w:tc>
          <w:tcPr>
            <w:tcW w:w="442" w:type="pct"/>
            <w:noWrap w:val="0"/>
            <w:vAlign w:val="center"/>
          </w:tcPr>
          <w:p w14:paraId="2A0744EE">
            <w:pPr>
              <w:pStyle w:val="24"/>
              <w:rPr>
                <w:rFonts w:hint="default"/>
                <w:color w:val="000000"/>
                <w:szCs w:val="21"/>
                <w:lang w:val="en-US" w:eastAsia="zh-CN"/>
              </w:rPr>
            </w:pPr>
            <w:r>
              <w:rPr>
                <w:rFonts w:hint="eastAsia"/>
                <w:color w:val="000000"/>
                <w:szCs w:val="21"/>
                <w:lang w:val="en-US" w:eastAsia="zh-CN"/>
              </w:rPr>
              <w:t>0.40</w:t>
            </w:r>
          </w:p>
        </w:tc>
        <w:tc>
          <w:tcPr>
            <w:tcW w:w="442" w:type="pct"/>
            <w:noWrap w:val="0"/>
            <w:vAlign w:val="center"/>
          </w:tcPr>
          <w:p w14:paraId="6AFC6DEC">
            <w:pPr>
              <w:pStyle w:val="24"/>
              <w:rPr>
                <w:rFonts w:hint="default"/>
                <w:color w:val="000000"/>
                <w:szCs w:val="21"/>
                <w:lang w:val="en-US" w:eastAsia="zh-CN"/>
              </w:rPr>
            </w:pPr>
            <w:r>
              <w:rPr>
                <w:rFonts w:hint="eastAsia"/>
                <w:color w:val="000000"/>
                <w:szCs w:val="21"/>
                <w:lang w:val="en-US" w:eastAsia="zh-CN"/>
              </w:rPr>
              <w:t>0.31</w:t>
            </w:r>
          </w:p>
        </w:tc>
        <w:tc>
          <w:tcPr>
            <w:tcW w:w="442" w:type="pct"/>
            <w:noWrap w:val="0"/>
            <w:vAlign w:val="center"/>
          </w:tcPr>
          <w:p w14:paraId="60346F53">
            <w:pPr>
              <w:pStyle w:val="24"/>
              <w:rPr>
                <w:rFonts w:hint="default"/>
                <w:color w:val="000000"/>
                <w:szCs w:val="21"/>
                <w:lang w:val="en-US" w:eastAsia="zh-CN"/>
              </w:rPr>
            </w:pPr>
            <w:r>
              <w:rPr>
                <w:rFonts w:hint="eastAsia"/>
                <w:color w:val="000000"/>
                <w:szCs w:val="21"/>
                <w:lang w:val="en-US" w:eastAsia="zh-CN"/>
              </w:rPr>
              <w:t>0.31</w:t>
            </w:r>
          </w:p>
        </w:tc>
        <w:tc>
          <w:tcPr>
            <w:tcW w:w="447" w:type="pct"/>
            <w:noWrap w:val="0"/>
            <w:vAlign w:val="center"/>
          </w:tcPr>
          <w:p w14:paraId="6EED3687">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0.23</w:t>
            </w:r>
          </w:p>
        </w:tc>
        <w:tc>
          <w:tcPr>
            <w:tcW w:w="447" w:type="pct"/>
            <w:noWrap w:val="0"/>
            <w:vAlign w:val="center"/>
          </w:tcPr>
          <w:p w14:paraId="7742D11B">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0.41</w:t>
            </w:r>
          </w:p>
        </w:tc>
        <w:tc>
          <w:tcPr>
            <w:tcW w:w="447" w:type="pct"/>
            <w:noWrap w:val="0"/>
            <w:vAlign w:val="center"/>
          </w:tcPr>
          <w:p w14:paraId="24C81FDB">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0.47</w:t>
            </w:r>
          </w:p>
        </w:tc>
      </w:tr>
      <w:tr w14:paraId="106AD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noWrap w:val="0"/>
            <w:vAlign w:val="center"/>
          </w:tcPr>
          <w:p w14:paraId="6059085E">
            <w:pPr>
              <w:pStyle w:val="24"/>
              <w:rPr>
                <w:rFonts w:hint="default"/>
                <w:color w:val="000000"/>
                <w:szCs w:val="21"/>
                <w:lang w:val="en-US" w:eastAsia="zh-CN"/>
              </w:rPr>
            </w:pPr>
            <w:r>
              <w:rPr>
                <w:rFonts w:hint="eastAsia"/>
                <w:color w:val="000000"/>
                <w:szCs w:val="21"/>
                <w:lang w:val="en-US" w:eastAsia="zh-CN"/>
              </w:rPr>
              <w:t>7</w:t>
            </w:r>
          </w:p>
        </w:tc>
        <w:tc>
          <w:tcPr>
            <w:tcW w:w="684" w:type="pct"/>
            <w:noWrap w:val="0"/>
            <w:vAlign w:val="center"/>
          </w:tcPr>
          <w:p w14:paraId="0029F453">
            <w:pPr>
              <w:pStyle w:val="24"/>
              <w:rPr>
                <w:rFonts w:hint="default"/>
                <w:color w:val="000000"/>
                <w:szCs w:val="21"/>
                <w:lang w:val="en-US" w:eastAsia="zh-CN"/>
              </w:rPr>
            </w:pPr>
            <w:r>
              <w:rPr>
                <w:rFonts w:hint="eastAsia"/>
                <w:color w:val="000000"/>
                <w:szCs w:val="21"/>
                <w:lang w:val="en-US" w:eastAsia="zh-CN"/>
              </w:rPr>
              <w:t>铜mg/kg</w:t>
            </w:r>
          </w:p>
        </w:tc>
        <w:tc>
          <w:tcPr>
            <w:tcW w:w="455" w:type="pct"/>
            <w:noWrap w:val="0"/>
            <w:vAlign w:val="center"/>
          </w:tcPr>
          <w:p w14:paraId="6DD37CF3">
            <w:pPr>
              <w:jc w:val="center"/>
              <w:rPr>
                <w:rFonts w:hint="default" w:eastAsia="宋体"/>
                <w:color w:val="000000"/>
                <w:szCs w:val="21"/>
                <w:lang w:val="en-US" w:eastAsia="zh-CN"/>
              </w:rPr>
            </w:pPr>
            <w:r>
              <w:rPr>
                <w:rFonts w:hint="eastAsia" w:eastAsia="宋体"/>
                <w:color w:val="000000"/>
                <w:szCs w:val="21"/>
                <w:lang w:val="en-US" w:eastAsia="zh-CN"/>
              </w:rPr>
              <w:t>22</w:t>
            </w:r>
          </w:p>
        </w:tc>
        <w:tc>
          <w:tcPr>
            <w:tcW w:w="455" w:type="pct"/>
            <w:noWrap w:val="0"/>
            <w:vAlign w:val="center"/>
          </w:tcPr>
          <w:p w14:paraId="296A85AC">
            <w:pPr>
              <w:jc w:val="center"/>
              <w:rPr>
                <w:rFonts w:hint="default" w:eastAsia="宋体"/>
                <w:b w:val="0"/>
                <w:bCs w:val="0"/>
                <w:color w:val="000000"/>
                <w:szCs w:val="21"/>
                <w:lang w:val="en-US" w:eastAsia="zh-CN"/>
              </w:rPr>
            </w:pPr>
            <w:r>
              <w:rPr>
                <w:rFonts w:hint="eastAsia" w:eastAsia="宋体"/>
                <w:b w:val="0"/>
                <w:bCs w:val="0"/>
                <w:color w:val="000000"/>
                <w:szCs w:val="21"/>
                <w:lang w:val="en-US" w:eastAsia="zh-CN"/>
              </w:rPr>
              <w:t>22</w:t>
            </w:r>
          </w:p>
        </w:tc>
        <w:tc>
          <w:tcPr>
            <w:tcW w:w="455" w:type="pct"/>
            <w:noWrap w:val="0"/>
            <w:vAlign w:val="center"/>
          </w:tcPr>
          <w:p w14:paraId="2E749401">
            <w:pPr>
              <w:jc w:val="center"/>
              <w:rPr>
                <w:rFonts w:hint="default" w:eastAsia="宋体"/>
                <w:color w:val="000000"/>
                <w:sz w:val="21"/>
                <w:szCs w:val="21"/>
                <w:lang w:val="en-US" w:eastAsia="zh-CN"/>
              </w:rPr>
            </w:pPr>
            <w:r>
              <w:rPr>
                <w:rFonts w:hint="eastAsia" w:eastAsia="宋体"/>
                <w:color w:val="000000"/>
                <w:sz w:val="21"/>
                <w:szCs w:val="21"/>
                <w:lang w:val="en-US" w:eastAsia="zh-CN"/>
              </w:rPr>
              <w:t>22</w:t>
            </w:r>
          </w:p>
        </w:tc>
        <w:tc>
          <w:tcPr>
            <w:tcW w:w="442" w:type="pct"/>
            <w:noWrap w:val="0"/>
            <w:vAlign w:val="center"/>
          </w:tcPr>
          <w:p w14:paraId="77FCCA14">
            <w:pPr>
              <w:pStyle w:val="24"/>
              <w:rPr>
                <w:rFonts w:hint="default"/>
                <w:color w:val="000000"/>
                <w:szCs w:val="21"/>
                <w:lang w:val="en-US" w:eastAsia="zh-CN"/>
              </w:rPr>
            </w:pPr>
            <w:r>
              <w:rPr>
                <w:rFonts w:hint="eastAsia"/>
                <w:color w:val="000000"/>
                <w:szCs w:val="21"/>
                <w:lang w:val="en-US" w:eastAsia="zh-CN"/>
              </w:rPr>
              <w:t>22</w:t>
            </w:r>
          </w:p>
        </w:tc>
        <w:tc>
          <w:tcPr>
            <w:tcW w:w="442" w:type="pct"/>
            <w:noWrap w:val="0"/>
            <w:vAlign w:val="center"/>
          </w:tcPr>
          <w:p w14:paraId="2ED31E28">
            <w:pPr>
              <w:pStyle w:val="24"/>
              <w:rPr>
                <w:rFonts w:hint="default"/>
                <w:color w:val="000000"/>
                <w:szCs w:val="21"/>
                <w:lang w:val="en-US" w:eastAsia="zh-CN"/>
              </w:rPr>
            </w:pPr>
            <w:r>
              <w:rPr>
                <w:rFonts w:hint="eastAsia"/>
                <w:color w:val="000000"/>
                <w:szCs w:val="21"/>
                <w:lang w:val="en-US" w:eastAsia="zh-CN"/>
              </w:rPr>
              <w:t>23</w:t>
            </w:r>
          </w:p>
        </w:tc>
        <w:tc>
          <w:tcPr>
            <w:tcW w:w="442" w:type="pct"/>
            <w:noWrap w:val="0"/>
            <w:vAlign w:val="center"/>
          </w:tcPr>
          <w:p w14:paraId="0562AE14">
            <w:pPr>
              <w:pStyle w:val="24"/>
              <w:rPr>
                <w:rFonts w:hint="default"/>
                <w:color w:val="000000"/>
                <w:szCs w:val="21"/>
                <w:lang w:val="en-US" w:eastAsia="zh-CN"/>
              </w:rPr>
            </w:pPr>
            <w:r>
              <w:rPr>
                <w:rFonts w:hint="eastAsia"/>
                <w:color w:val="000000"/>
                <w:szCs w:val="21"/>
                <w:lang w:val="en-US" w:eastAsia="zh-CN"/>
              </w:rPr>
              <w:t>24</w:t>
            </w:r>
          </w:p>
        </w:tc>
        <w:tc>
          <w:tcPr>
            <w:tcW w:w="447" w:type="pct"/>
            <w:noWrap w:val="0"/>
            <w:vAlign w:val="center"/>
          </w:tcPr>
          <w:p w14:paraId="5BC198F8">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22</w:t>
            </w:r>
          </w:p>
        </w:tc>
        <w:tc>
          <w:tcPr>
            <w:tcW w:w="447" w:type="pct"/>
            <w:noWrap w:val="0"/>
            <w:vAlign w:val="center"/>
          </w:tcPr>
          <w:p w14:paraId="08761227">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21</w:t>
            </w:r>
          </w:p>
        </w:tc>
        <w:tc>
          <w:tcPr>
            <w:tcW w:w="447" w:type="pct"/>
            <w:noWrap w:val="0"/>
            <w:vAlign w:val="center"/>
          </w:tcPr>
          <w:p w14:paraId="77562DD6">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22</w:t>
            </w:r>
          </w:p>
        </w:tc>
      </w:tr>
      <w:tr w14:paraId="78965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79" w:type="pct"/>
            <w:noWrap w:val="0"/>
            <w:vAlign w:val="center"/>
          </w:tcPr>
          <w:p w14:paraId="4204147E">
            <w:pPr>
              <w:pStyle w:val="24"/>
              <w:rPr>
                <w:rFonts w:hint="default"/>
                <w:color w:val="000000"/>
                <w:szCs w:val="21"/>
                <w:lang w:val="en-US" w:eastAsia="zh-CN"/>
              </w:rPr>
            </w:pPr>
            <w:r>
              <w:rPr>
                <w:rFonts w:hint="eastAsia"/>
                <w:color w:val="000000"/>
                <w:szCs w:val="21"/>
                <w:lang w:val="en-US" w:eastAsia="zh-CN"/>
              </w:rPr>
              <w:t>8</w:t>
            </w:r>
          </w:p>
        </w:tc>
        <w:tc>
          <w:tcPr>
            <w:tcW w:w="684" w:type="pct"/>
            <w:noWrap w:val="0"/>
            <w:vAlign w:val="center"/>
          </w:tcPr>
          <w:p w14:paraId="41E5B296">
            <w:pPr>
              <w:pStyle w:val="24"/>
              <w:rPr>
                <w:rFonts w:hint="default"/>
                <w:color w:val="000000"/>
                <w:szCs w:val="21"/>
                <w:lang w:val="en-US" w:eastAsia="zh-CN"/>
              </w:rPr>
            </w:pPr>
            <w:r>
              <w:rPr>
                <w:rFonts w:hint="eastAsia"/>
                <w:color w:val="000000"/>
                <w:szCs w:val="21"/>
                <w:lang w:val="en-US" w:eastAsia="zh-CN"/>
              </w:rPr>
              <w:t>镍mg/kg</w:t>
            </w:r>
          </w:p>
        </w:tc>
        <w:tc>
          <w:tcPr>
            <w:tcW w:w="455" w:type="pct"/>
            <w:noWrap w:val="0"/>
            <w:vAlign w:val="center"/>
          </w:tcPr>
          <w:p w14:paraId="22429174">
            <w:pPr>
              <w:jc w:val="center"/>
              <w:rPr>
                <w:rFonts w:hint="default" w:eastAsia="宋体"/>
                <w:color w:val="000000"/>
                <w:szCs w:val="21"/>
                <w:lang w:val="en-US" w:eastAsia="zh-CN"/>
              </w:rPr>
            </w:pPr>
            <w:r>
              <w:rPr>
                <w:rFonts w:hint="eastAsia" w:eastAsia="宋体"/>
                <w:color w:val="000000"/>
                <w:szCs w:val="21"/>
                <w:lang w:val="en-US" w:eastAsia="zh-CN"/>
              </w:rPr>
              <w:t>63</w:t>
            </w:r>
          </w:p>
        </w:tc>
        <w:tc>
          <w:tcPr>
            <w:tcW w:w="455" w:type="pct"/>
            <w:noWrap w:val="0"/>
            <w:vAlign w:val="center"/>
          </w:tcPr>
          <w:p w14:paraId="1C6E06C1">
            <w:pPr>
              <w:jc w:val="center"/>
              <w:rPr>
                <w:rFonts w:hint="default" w:eastAsia="宋体"/>
                <w:b w:val="0"/>
                <w:bCs w:val="0"/>
                <w:color w:val="000000"/>
                <w:szCs w:val="21"/>
                <w:lang w:val="en-US" w:eastAsia="zh-CN"/>
              </w:rPr>
            </w:pPr>
            <w:r>
              <w:rPr>
                <w:rFonts w:hint="eastAsia" w:eastAsia="宋体"/>
                <w:b w:val="0"/>
                <w:bCs w:val="0"/>
                <w:color w:val="000000"/>
                <w:szCs w:val="21"/>
                <w:lang w:val="en-US" w:eastAsia="zh-CN"/>
              </w:rPr>
              <w:t>63</w:t>
            </w:r>
          </w:p>
        </w:tc>
        <w:tc>
          <w:tcPr>
            <w:tcW w:w="455" w:type="pct"/>
            <w:noWrap w:val="0"/>
            <w:vAlign w:val="center"/>
          </w:tcPr>
          <w:p w14:paraId="7F63295F">
            <w:pPr>
              <w:jc w:val="center"/>
              <w:rPr>
                <w:rFonts w:hint="default" w:eastAsia="宋体"/>
                <w:color w:val="000000"/>
                <w:sz w:val="21"/>
                <w:szCs w:val="21"/>
                <w:lang w:val="en-US" w:eastAsia="zh-CN"/>
              </w:rPr>
            </w:pPr>
            <w:r>
              <w:rPr>
                <w:rFonts w:hint="eastAsia" w:eastAsia="宋体"/>
                <w:color w:val="000000"/>
                <w:sz w:val="21"/>
                <w:szCs w:val="21"/>
                <w:lang w:val="en-US" w:eastAsia="zh-CN"/>
              </w:rPr>
              <w:t>64</w:t>
            </w:r>
          </w:p>
        </w:tc>
        <w:tc>
          <w:tcPr>
            <w:tcW w:w="442" w:type="pct"/>
            <w:noWrap w:val="0"/>
            <w:vAlign w:val="center"/>
          </w:tcPr>
          <w:p w14:paraId="6AE9B59E">
            <w:pPr>
              <w:pStyle w:val="24"/>
              <w:rPr>
                <w:rFonts w:hint="default"/>
                <w:color w:val="000000"/>
                <w:szCs w:val="21"/>
                <w:lang w:val="en-US" w:eastAsia="zh-CN"/>
              </w:rPr>
            </w:pPr>
            <w:r>
              <w:rPr>
                <w:rFonts w:hint="eastAsia"/>
                <w:color w:val="000000"/>
                <w:szCs w:val="21"/>
                <w:lang w:val="en-US" w:eastAsia="zh-CN"/>
              </w:rPr>
              <w:t>67</w:t>
            </w:r>
          </w:p>
        </w:tc>
        <w:tc>
          <w:tcPr>
            <w:tcW w:w="442" w:type="pct"/>
            <w:noWrap w:val="0"/>
            <w:vAlign w:val="center"/>
          </w:tcPr>
          <w:p w14:paraId="3964BB23">
            <w:pPr>
              <w:pStyle w:val="24"/>
              <w:rPr>
                <w:rFonts w:hint="default"/>
                <w:color w:val="000000"/>
                <w:szCs w:val="21"/>
                <w:lang w:val="en-US" w:eastAsia="zh-CN"/>
              </w:rPr>
            </w:pPr>
            <w:r>
              <w:rPr>
                <w:rFonts w:hint="eastAsia"/>
                <w:color w:val="000000"/>
                <w:szCs w:val="21"/>
                <w:lang w:val="en-US" w:eastAsia="zh-CN"/>
              </w:rPr>
              <w:t>61</w:t>
            </w:r>
          </w:p>
        </w:tc>
        <w:tc>
          <w:tcPr>
            <w:tcW w:w="442" w:type="pct"/>
            <w:noWrap w:val="0"/>
            <w:vAlign w:val="center"/>
          </w:tcPr>
          <w:p w14:paraId="101504AB">
            <w:pPr>
              <w:pStyle w:val="24"/>
              <w:rPr>
                <w:rFonts w:hint="default"/>
                <w:color w:val="000000"/>
                <w:szCs w:val="21"/>
                <w:lang w:val="en-US" w:eastAsia="zh-CN"/>
              </w:rPr>
            </w:pPr>
            <w:r>
              <w:rPr>
                <w:rFonts w:hint="eastAsia"/>
                <w:color w:val="000000"/>
                <w:szCs w:val="21"/>
                <w:lang w:val="en-US" w:eastAsia="zh-CN"/>
              </w:rPr>
              <w:t>60</w:t>
            </w:r>
          </w:p>
        </w:tc>
        <w:tc>
          <w:tcPr>
            <w:tcW w:w="447" w:type="pct"/>
            <w:noWrap w:val="0"/>
            <w:vAlign w:val="center"/>
          </w:tcPr>
          <w:p w14:paraId="0689BDDA">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65</w:t>
            </w:r>
          </w:p>
        </w:tc>
        <w:tc>
          <w:tcPr>
            <w:tcW w:w="447" w:type="pct"/>
            <w:noWrap w:val="0"/>
            <w:vAlign w:val="center"/>
          </w:tcPr>
          <w:p w14:paraId="34070CDD">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64</w:t>
            </w:r>
          </w:p>
        </w:tc>
        <w:tc>
          <w:tcPr>
            <w:tcW w:w="447" w:type="pct"/>
            <w:noWrap w:val="0"/>
            <w:vAlign w:val="center"/>
          </w:tcPr>
          <w:p w14:paraId="688B1AE8">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63</w:t>
            </w:r>
          </w:p>
        </w:tc>
      </w:tr>
      <w:tr w14:paraId="4503E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79" w:type="pct"/>
            <w:noWrap w:val="0"/>
            <w:vAlign w:val="center"/>
          </w:tcPr>
          <w:p w14:paraId="39379591">
            <w:pPr>
              <w:pStyle w:val="24"/>
              <w:rPr>
                <w:rFonts w:hint="default"/>
                <w:color w:val="000000"/>
                <w:szCs w:val="21"/>
                <w:lang w:val="en-US" w:eastAsia="zh-CN"/>
              </w:rPr>
            </w:pPr>
            <w:r>
              <w:rPr>
                <w:rFonts w:hint="eastAsia"/>
                <w:color w:val="000000"/>
                <w:szCs w:val="21"/>
                <w:lang w:val="en-US" w:eastAsia="zh-CN"/>
              </w:rPr>
              <w:t>9</w:t>
            </w:r>
          </w:p>
        </w:tc>
        <w:tc>
          <w:tcPr>
            <w:tcW w:w="684" w:type="pct"/>
            <w:noWrap w:val="0"/>
            <w:vAlign w:val="center"/>
          </w:tcPr>
          <w:p w14:paraId="03DFDB95">
            <w:pPr>
              <w:pStyle w:val="24"/>
              <w:rPr>
                <w:rFonts w:hint="default"/>
                <w:color w:val="000000"/>
                <w:szCs w:val="21"/>
                <w:lang w:val="en-US" w:eastAsia="zh-CN"/>
              </w:rPr>
            </w:pPr>
            <w:r>
              <w:rPr>
                <w:rFonts w:hint="eastAsia"/>
                <w:color w:val="000000"/>
                <w:szCs w:val="21"/>
                <w:lang w:val="en-US" w:eastAsia="zh-CN"/>
              </w:rPr>
              <w:t>铬mg/kg</w:t>
            </w:r>
          </w:p>
        </w:tc>
        <w:tc>
          <w:tcPr>
            <w:tcW w:w="455" w:type="pct"/>
            <w:noWrap w:val="0"/>
            <w:vAlign w:val="center"/>
          </w:tcPr>
          <w:p w14:paraId="16BC6543">
            <w:pPr>
              <w:jc w:val="center"/>
              <w:rPr>
                <w:rFonts w:hint="default" w:eastAsia="宋体"/>
                <w:color w:val="000000"/>
                <w:szCs w:val="21"/>
                <w:lang w:val="en-US" w:eastAsia="zh-CN"/>
              </w:rPr>
            </w:pPr>
            <w:r>
              <w:rPr>
                <w:rFonts w:hint="eastAsia" w:eastAsia="宋体"/>
                <w:color w:val="000000"/>
                <w:szCs w:val="21"/>
                <w:lang w:val="en-US" w:eastAsia="zh-CN"/>
              </w:rPr>
              <w:t>50</w:t>
            </w:r>
          </w:p>
        </w:tc>
        <w:tc>
          <w:tcPr>
            <w:tcW w:w="455" w:type="pct"/>
            <w:noWrap w:val="0"/>
            <w:vAlign w:val="center"/>
          </w:tcPr>
          <w:p w14:paraId="7E0B290C">
            <w:pPr>
              <w:jc w:val="center"/>
              <w:rPr>
                <w:rFonts w:hint="default" w:eastAsia="宋体"/>
                <w:b w:val="0"/>
                <w:bCs w:val="0"/>
                <w:color w:val="000000"/>
                <w:szCs w:val="21"/>
                <w:lang w:val="en-US" w:eastAsia="zh-CN"/>
              </w:rPr>
            </w:pPr>
            <w:r>
              <w:rPr>
                <w:rFonts w:hint="eastAsia" w:eastAsia="宋体"/>
                <w:b w:val="0"/>
                <w:bCs w:val="0"/>
                <w:color w:val="000000"/>
                <w:szCs w:val="21"/>
                <w:lang w:val="en-US" w:eastAsia="zh-CN"/>
              </w:rPr>
              <w:t>34</w:t>
            </w:r>
          </w:p>
        </w:tc>
        <w:tc>
          <w:tcPr>
            <w:tcW w:w="455" w:type="pct"/>
            <w:noWrap w:val="0"/>
            <w:vAlign w:val="center"/>
          </w:tcPr>
          <w:p w14:paraId="3C70D38D">
            <w:pPr>
              <w:jc w:val="center"/>
              <w:rPr>
                <w:rFonts w:hint="default" w:eastAsia="宋体"/>
                <w:color w:val="000000"/>
                <w:sz w:val="21"/>
                <w:szCs w:val="21"/>
                <w:lang w:val="en-US" w:eastAsia="zh-CN"/>
              </w:rPr>
            </w:pPr>
            <w:r>
              <w:rPr>
                <w:rFonts w:hint="eastAsia" w:eastAsia="宋体"/>
                <w:color w:val="000000"/>
                <w:sz w:val="21"/>
                <w:szCs w:val="21"/>
                <w:lang w:val="en-US" w:eastAsia="zh-CN"/>
              </w:rPr>
              <w:t>40</w:t>
            </w:r>
          </w:p>
        </w:tc>
        <w:tc>
          <w:tcPr>
            <w:tcW w:w="442" w:type="pct"/>
            <w:noWrap w:val="0"/>
            <w:vAlign w:val="center"/>
          </w:tcPr>
          <w:p w14:paraId="73FAD32D">
            <w:pPr>
              <w:pStyle w:val="24"/>
              <w:rPr>
                <w:rFonts w:hint="default"/>
                <w:color w:val="000000"/>
                <w:szCs w:val="21"/>
                <w:lang w:val="en-US" w:eastAsia="zh-CN"/>
              </w:rPr>
            </w:pPr>
            <w:r>
              <w:rPr>
                <w:rFonts w:hint="eastAsia"/>
                <w:color w:val="000000"/>
                <w:szCs w:val="21"/>
                <w:lang w:val="en-US" w:eastAsia="zh-CN"/>
              </w:rPr>
              <w:t>55</w:t>
            </w:r>
          </w:p>
        </w:tc>
        <w:tc>
          <w:tcPr>
            <w:tcW w:w="442" w:type="pct"/>
            <w:noWrap w:val="0"/>
            <w:vAlign w:val="center"/>
          </w:tcPr>
          <w:p w14:paraId="7148E4A5">
            <w:pPr>
              <w:pStyle w:val="24"/>
              <w:rPr>
                <w:rFonts w:hint="default"/>
                <w:color w:val="000000"/>
                <w:szCs w:val="21"/>
                <w:lang w:val="en-US" w:eastAsia="zh-CN"/>
              </w:rPr>
            </w:pPr>
            <w:r>
              <w:rPr>
                <w:rFonts w:hint="eastAsia"/>
                <w:color w:val="000000"/>
                <w:szCs w:val="21"/>
                <w:lang w:val="en-US" w:eastAsia="zh-CN"/>
              </w:rPr>
              <w:t>48</w:t>
            </w:r>
          </w:p>
        </w:tc>
        <w:tc>
          <w:tcPr>
            <w:tcW w:w="442" w:type="pct"/>
            <w:noWrap w:val="0"/>
            <w:vAlign w:val="center"/>
          </w:tcPr>
          <w:p w14:paraId="1C73F33B">
            <w:pPr>
              <w:pStyle w:val="24"/>
              <w:rPr>
                <w:rFonts w:hint="default"/>
                <w:color w:val="000000"/>
                <w:szCs w:val="21"/>
                <w:lang w:val="en-US" w:eastAsia="zh-CN"/>
              </w:rPr>
            </w:pPr>
            <w:r>
              <w:rPr>
                <w:rFonts w:hint="eastAsia"/>
                <w:color w:val="000000"/>
                <w:szCs w:val="21"/>
                <w:lang w:val="en-US" w:eastAsia="zh-CN"/>
              </w:rPr>
              <w:t>46</w:t>
            </w:r>
          </w:p>
        </w:tc>
        <w:tc>
          <w:tcPr>
            <w:tcW w:w="447" w:type="pct"/>
            <w:noWrap w:val="0"/>
            <w:vAlign w:val="center"/>
          </w:tcPr>
          <w:p w14:paraId="2934B41B">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54</w:t>
            </w:r>
          </w:p>
        </w:tc>
        <w:tc>
          <w:tcPr>
            <w:tcW w:w="447" w:type="pct"/>
            <w:noWrap w:val="0"/>
            <w:vAlign w:val="center"/>
          </w:tcPr>
          <w:p w14:paraId="67E49F0F">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74</w:t>
            </w:r>
          </w:p>
        </w:tc>
        <w:tc>
          <w:tcPr>
            <w:tcW w:w="447" w:type="pct"/>
            <w:noWrap w:val="0"/>
            <w:vAlign w:val="center"/>
          </w:tcPr>
          <w:p w14:paraId="7072A9A1">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70</w:t>
            </w:r>
          </w:p>
        </w:tc>
      </w:tr>
      <w:tr w14:paraId="2B1BD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79" w:type="pct"/>
            <w:noWrap w:val="0"/>
            <w:vAlign w:val="center"/>
          </w:tcPr>
          <w:p w14:paraId="51E1965B">
            <w:pPr>
              <w:pStyle w:val="24"/>
              <w:spacing w:line="240" w:lineRule="auto"/>
              <w:jc w:val="center"/>
              <w:rPr>
                <w:rFonts w:hint="default"/>
                <w:color w:val="000000"/>
                <w:szCs w:val="21"/>
                <w:lang w:val="en-US" w:eastAsia="zh-CN"/>
              </w:rPr>
            </w:pPr>
            <w:r>
              <w:rPr>
                <w:rFonts w:hint="eastAsia"/>
                <w:color w:val="000000"/>
                <w:szCs w:val="21"/>
                <w:lang w:val="en-US" w:eastAsia="zh-CN"/>
              </w:rPr>
              <w:t>10</w:t>
            </w:r>
          </w:p>
        </w:tc>
        <w:tc>
          <w:tcPr>
            <w:tcW w:w="684" w:type="pct"/>
            <w:noWrap w:val="0"/>
            <w:vAlign w:val="center"/>
          </w:tcPr>
          <w:p w14:paraId="4AEA51A2">
            <w:pPr>
              <w:pStyle w:val="24"/>
              <w:spacing w:line="240" w:lineRule="auto"/>
              <w:jc w:val="left"/>
              <w:rPr>
                <w:rFonts w:hint="default"/>
                <w:color w:val="000000"/>
                <w:szCs w:val="21"/>
                <w:lang w:val="en-US" w:eastAsia="zh-CN"/>
              </w:rPr>
            </w:pPr>
            <w:r>
              <w:rPr>
                <w:rFonts w:hint="eastAsia"/>
                <w:color w:val="000000"/>
                <w:szCs w:val="21"/>
                <w:lang w:val="en-US" w:eastAsia="zh-CN"/>
              </w:rPr>
              <w:t>含盐mg/kg</w:t>
            </w:r>
          </w:p>
        </w:tc>
        <w:tc>
          <w:tcPr>
            <w:tcW w:w="455" w:type="pct"/>
            <w:noWrap w:val="0"/>
            <w:vAlign w:val="center"/>
          </w:tcPr>
          <w:p w14:paraId="503D1CC2">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1.9</w:t>
            </w:r>
          </w:p>
        </w:tc>
        <w:tc>
          <w:tcPr>
            <w:tcW w:w="455" w:type="pct"/>
            <w:noWrap w:val="0"/>
            <w:vAlign w:val="center"/>
          </w:tcPr>
          <w:p w14:paraId="3A5B7FE2">
            <w:pPr>
              <w:jc w:val="center"/>
              <w:rPr>
                <w:rFonts w:hint="default" w:ascii="Times New Roman" w:hAnsi="Times New Roman" w:eastAsia="仿宋" w:cs="Times New Roman"/>
                <w:b w:val="0"/>
                <w:bCs w:val="0"/>
                <w:color w:val="000000" w:themeColor="text1"/>
                <w:lang w:val="en-US" w:eastAsia="zh-CN"/>
                <w14:textFill>
                  <w14:solidFill>
                    <w14:schemeClr w14:val="tx1"/>
                  </w14:solidFill>
                </w14:textFill>
              </w:rPr>
            </w:pPr>
            <w:r>
              <w:rPr>
                <w:rFonts w:hint="eastAsia" w:ascii="Times New Roman" w:hAnsi="Times New Roman" w:eastAsia="仿宋" w:cs="Times New Roman"/>
                <w:b w:val="0"/>
                <w:bCs w:val="0"/>
                <w:color w:val="000000" w:themeColor="text1"/>
                <w:lang w:val="en-US" w:eastAsia="zh-CN"/>
                <w14:textFill>
                  <w14:solidFill>
                    <w14:schemeClr w14:val="tx1"/>
                  </w14:solidFill>
                </w14:textFill>
              </w:rPr>
              <w:t>1.7</w:t>
            </w:r>
          </w:p>
        </w:tc>
        <w:tc>
          <w:tcPr>
            <w:tcW w:w="455" w:type="pct"/>
            <w:noWrap w:val="0"/>
            <w:vAlign w:val="center"/>
          </w:tcPr>
          <w:p w14:paraId="2D5F4268">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1.6</w:t>
            </w:r>
          </w:p>
        </w:tc>
        <w:tc>
          <w:tcPr>
            <w:tcW w:w="442" w:type="pct"/>
            <w:noWrap w:val="0"/>
            <w:vAlign w:val="center"/>
          </w:tcPr>
          <w:p w14:paraId="49F55264">
            <w:pPr>
              <w:pStyle w:val="24"/>
              <w:rPr>
                <w:rFonts w:hint="default"/>
                <w:color w:val="000000"/>
                <w:szCs w:val="21"/>
                <w:lang w:val="en-US" w:eastAsia="zh-CN"/>
              </w:rPr>
            </w:pPr>
            <w:r>
              <w:rPr>
                <w:rFonts w:hint="eastAsia"/>
                <w:color w:val="000000"/>
                <w:szCs w:val="21"/>
                <w:lang w:val="en-US" w:eastAsia="zh-CN"/>
              </w:rPr>
              <w:t>1.8</w:t>
            </w:r>
          </w:p>
        </w:tc>
        <w:tc>
          <w:tcPr>
            <w:tcW w:w="442" w:type="pct"/>
            <w:noWrap w:val="0"/>
            <w:vAlign w:val="center"/>
          </w:tcPr>
          <w:p w14:paraId="055C072E">
            <w:pPr>
              <w:pStyle w:val="24"/>
              <w:rPr>
                <w:rFonts w:hint="default"/>
                <w:color w:val="000000"/>
                <w:szCs w:val="21"/>
                <w:lang w:val="en-US" w:eastAsia="zh-CN"/>
              </w:rPr>
            </w:pPr>
            <w:r>
              <w:rPr>
                <w:rFonts w:hint="eastAsia"/>
                <w:color w:val="000000"/>
                <w:szCs w:val="21"/>
                <w:lang w:val="en-US" w:eastAsia="zh-CN"/>
              </w:rPr>
              <w:t>1.6</w:t>
            </w:r>
          </w:p>
        </w:tc>
        <w:tc>
          <w:tcPr>
            <w:tcW w:w="442" w:type="pct"/>
            <w:noWrap w:val="0"/>
            <w:vAlign w:val="center"/>
          </w:tcPr>
          <w:p w14:paraId="7DED6245">
            <w:pPr>
              <w:pStyle w:val="24"/>
              <w:rPr>
                <w:rFonts w:hint="default"/>
                <w:color w:val="000000"/>
                <w:szCs w:val="21"/>
                <w:lang w:val="en-US" w:eastAsia="zh-CN"/>
              </w:rPr>
            </w:pPr>
            <w:r>
              <w:rPr>
                <w:rFonts w:hint="eastAsia"/>
                <w:color w:val="000000"/>
                <w:szCs w:val="21"/>
                <w:lang w:val="en-US" w:eastAsia="zh-CN"/>
              </w:rPr>
              <w:t>1.7</w:t>
            </w:r>
          </w:p>
        </w:tc>
        <w:tc>
          <w:tcPr>
            <w:tcW w:w="447" w:type="pct"/>
            <w:noWrap w:val="0"/>
            <w:vAlign w:val="center"/>
          </w:tcPr>
          <w:p w14:paraId="097855D8">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1.8</w:t>
            </w:r>
          </w:p>
        </w:tc>
        <w:tc>
          <w:tcPr>
            <w:tcW w:w="447" w:type="pct"/>
            <w:noWrap w:val="0"/>
            <w:vAlign w:val="center"/>
          </w:tcPr>
          <w:p w14:paraId="54DF73AA">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1.7</w:t>
            </w:r>
          </w:p>
        </w:tc>
        <w:tc>
          <w:tcPr>
            <w:tcW w:w="447" w:type="pct"/>
            <w:noWrap w:val="0"/>
            <w:vAlign w:val="center"/>
          </w:tcPr>
          <w:p w14:paraId="30A16A7C">
            <w:pPr>
              <w:pStyle w:val="24"/>
              <w:jc w:val="center"/>
              <w:rPr>
                <w:rFonts w:hint="default" w:eastAsia="宋体" w:cs="Times New Roman"/>
                <w:color w:val="000000"/>
                <w:szCs w:val="21"/>
                <w:lang w:val="en-US" w:eastAsia="zh-CN"/>
              </w:rPr>
            </w:pPr>
            <w:r>
              <w:rPr>
                <w:rFonts w:hint="eastAsia" w:cs="Times New Roman"/>
                <w:color w:val="000000"/>
                <w:szCs w:val="21"/>
                <w:lang w:val="en-US" w:eastAsia="zh-CN"/>
              </w:rPr>
              <w:t>1.6</w:t>
            </w:r>
          </w:p>
        </w:tc>
      </w:tr>
    </w:tbl>
    <w:p w14:paraId="609BAC38">
      <w:pPr>
        <w:pStyle w:val="3"/>
        <w:rPr>
          <w:rFonts w:ascii="宋体" w:hAnsi="宋体" w:eastAsia="宋体" w:cs="宋体"/>
          <w:spacing w:val="-1"/>
          <w:sz w:val="24"/>
          <w:szCs w:val="24"/>
        </w:rPr>
      </w:pPr>
    </w:p>
    <w:p w14:paraId="3253E0B9">
      <w:pPr>
        <w:spacing w:before="79" w:line="359" w:lineRule="auto"/>
        <w:ind w:left="26" w:firstLine="495"/>
        <w:jc w:val="both"/>
        <w:rPr>
          <w:rFonts w:ascii="宋体" w:hAnsi="宋体" w:eastAsia="宋体" w:cs="宋体"/>
          <w:sz w:val="24"/>
          <w:szCs w:val="24"/>
        </w:rPr>
      </w:pPr>
      <w:r>
        <w:rPr>
          <w:rFonts w:ascii="宋体" w:hAnsi="宋体" w:eastAsia="宋体" w:cs="宋体"/>
          <w:spacing w:val="-2"/>
          <w:sz w:val="24"/>
          <w:szCs w:val="24"/>
        </w:rPr>
        <w:t>由上表可知，项目土壤各监测因子浓度均满足《</w:t>
      </w:r>
      <w:r>
        <w:rPr>
          <w:rFonts w:ascii="宋体" w:hAnsi="宋体" w:eastAsia="宋体" w:cs="宋体"/>
          <w:spacing w:val="-3"/>
          <w:sz w:val="24"/>
          <w:szCs w:val="24"/>
        </w:rPr>
        <w:t>土壤环境质量  农用地土壤污染风</w:t>
      </w:r>
      <w:r>
        <w:rPr>
          <w:rFonts w:ascii="宋体" w:hAnsi="宋体" w:eastAsia="宋体" w:cs="宋体"/>
          <w:sz w:val="24"/>
          <w:szCs w:val="24"/>
        </w:rPr>
        <w:t xml:space="preserve"> </w:t>
      </w:r>
      <w:r>
        <w:rPr>
          <w:rFonts w:ascii="宋体" w:hAnsi="宋体" w:eastAsia="宋体" w:cs="宋体"/>
          <w:spacing w:val="-1"/>
          <w:sz w:val="24"/>
          <w:szCs w:val="24"/>
        </w:rPr>
        <w:t>险管控标准(试行)》</w:t>
      </w:r>
      <w:r>
        <w:rPr>
          <w:rFonts w:ascii="宋体" w:hAnsi="宋体" w:eastAsia="宋体" w:cs="宋体"/>
          <w:spacing w:val="-63"/>
          <w:sz w:val="24"/>
          <w:szCs w:val="24"/>
        </w:rPr>
        <w:t xml:space="preserve"> </w:t>
      </w:r>
      <w:r>
        <w:rPr>
          <w:rFonts w:ascii="宋体" w:hAnsi="宋体" w:eastAsia="宋体" w:cs="宋体"/>
          <w:spacing w:val="-1"/>
          <w:sz w:val="24"/>
          <w:szCs w:val="24"/>
        </w:rPr>
        <w:t>(GB15618-2018)》中“其他</w:t>
      </w:r>
      <w:r>
        <w:rPr>
          <w:rFonts w:ascii="宋体" w:hAnsi="宋体" w:eastAsia="宋体" w:cs="宋体"/>
          <w:spacing w:val="-85"/>
          <w:sz w:val="24"/>
          <w:szCs w:val="24"/>
        </w:rPr>
        <w:t xml:space="preserve"> </w:t>
      </w:r>
      <w:r>
        <w:rPr>
          <w:rFonts w:ascii="宋体" w:hAnsi="宋体" w:eastAsia="宋体" w:cs="宋体"/>
          <w:spacing w:val="-1"/>
          <w:sz w:val="24"/>
          <w:szCs w:val="24"/>
        </w:rPr>
        <w:t>”农用地土壤污染风险筛选值(基本项</w:t>
      </w:r>
    </w:p>
    <w:p w14:paraId="3BDDCC0D">
      <w:pPr>
        <w:spacing w:line="219" w:lineRule="auto"/>
        <w:ind w:left="59"/>
        <w:rPr>
          <w:rFonts w:ascii="宋体" w:hAnsi="宋体" w:eastAsia="宋体" w:cs="宋体"/>
          <w:spacing w:val="-4"/>
          <w:sz w:val="24"/>
          <w:szCs w:val="24"/>
        </w:rPr>
      </w:pPr>
      <w:r>
        <w:rPr>
          <w:rFonts w:ascii="宋体" w:hAnsi="宋体" w:eastAsia="宋体" w:cs="宋体"/>
          <w:spacing w:val="-4"/>
          <w:sz w:val="24"/>
          <w:szCs w:val="24"/>
        </w:rPr>
        <w:t>目)，该区域土壤环境质量较好。</w:t>
      </w:r>
      <w:bookmarkStart w:id="29" w:name="bookmark25"/>
      <w:bookmarkEnd w:id="29"/>
    </w:p>
    <w:p w14:paraId="31F82CB1">
      <w:pPr>
        <w:spacing w:line="219" w:lineRule="auto"/>
        <w:ind w:left="59"/>
        <w:rPr>
          <w:rFonts w:ascii="宋体" w:hAnsi="宋体" w:eastAsia="宋体" w:cs="宋体"/>
          <w:spacing w:val="-4"/>
          <w:sz w:val="24"/>
          <w:szCs w:val="24"/>
        </w:rPr>
      </w:pPr>
    </w:p>
    <w:p w14:paraId="44846721">
      <w:pPr>
        <w:spacing w:line="219" w:lineRule="auto"/>
        <w:ind w:left="59"/>
        <w:rPr>
          <w:rFonts w:hint="eastAsia" w:ascii="黑体" w:hAnsi="黑体" w:eastAsia="黑体" w:cs="黑体"/>
          <w:sz w:val="30"/>
          <w:szCs w:val="30"/>
        </w:rPr>
      </w:pPr>
      <w:r>
        <w:rPr>
          <w:rFonts w:hint="eastAsia" w:ascii="黑体" w:hAnsi="黑体" w:eastAsia="黑体" w:cs="黑体"/>
          <w:spacing w:val="2"/>
          <w:sz w:val="30"/>
          <w:szCs w:val="30"/>
          <w14:textOutline w14:w="5448" w14:cap="sq" w14:cmpd="sng">
            <w14:solidFill>
              <w14:srgbClr w14:val="000000"/>
            </w14:solidFill>
            <w14:prstDash w14:val="solid"/>
            <w14:bevel/>
          </w14:textOutline>
        </w:rPr>
        <w:t>4.6</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生态环境现状评价</w:t>
      </w:r>
    </w:p>
    <w:p w14:paraId="3C940C88">
      <w:pPr>
        <w:spacing w:before="223" w:line="220" w:lineRule="auto"/>
        <w:ind w:left="10"/>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4.6.1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土地利用现状</w:t>
      </w:r>
    </w:p>
    <w:p w14:paraId="529E35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本次环评收集了项目区周边的土地利用及植被分布的相关资料。建设项目位于新疆</w:t>
      </w:r>
      <w:r>
        <w:rPr>
          <w:rFonts w:ascii="宋体" w:hAnsi="宋体" w:eastAsia="宋体" w:cs="宋体"/>
          <w:spacing w:val="10"/>
          <w:sz w:val="24"/>
          <w:szCs w:val="24"/>
        </w:rPr>
        <w:t xml:space="preserve"> </w:t>
      </w:r>
      <w:r>
        <w:rPr>
          <w:rFonts w:hint="eastAsia" w:ascii="宋体" w:hAnsi="宋体" w:eastAsia="宋体" w:cs="宋体"/>
          <w:spacing w:val="-2"/>
          <w:sz w:val="24"/>
          <w:szCs w:val="24"/>
          <w:lang w:eastAsia="zh-CN"/>
        </w:rPr>
        <w:t>吐鲁番市高昌区、鄯善县、托克逊县</w:t>
      </w:r>
      <w:r>
        <w:rPr>
          <w:rFonts w:ascii="宋体" w:hAnsi="宋体" w:eastAsia="宋体" w:cs="宋体"/>
          <w:spacing w:val="-2"/>
          <w:sz w:val="24"/>
          <w:szCs w:val="24"/>
        </w:rPr>
        <w:t>，建设项目涉及占地的土地利用类</w:t>
      </w:r>
      <w:r>
        <w:rPr>
          <w:rFonts w:ascii="宋体" w:hAnsi="宋体" w:eastAsia="宋体" w:cs="宋体"/>
          <w:spacing w:val="-3"/>
          <w:sz w:val="24"/>
          <w:szCs w:val="24"/>
        </w:rPr>
        <w:t>型为裸土地、水浇地、其</w:t>
      </w:r>
      <w:r>
        <w:rPr>
          <w:rFonts w:ascii="宋体" w:hAnsi="宋体" w:eastAsia="宋体" w:cs="宋体"/>
          <w:spacing w:val="-1"/>
          <w:sz w:val="24"/>
          <w:szCs w:val="24"/>
        </w:rPr>
        <w:t>他林地、沟渠、空闲地等。</w:t>
      </w:r>
    </w:p>
    <w:p w14:paraId="57F179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z w:val="24"/>
          <w:szCs w:val="24"/>
        </w:rPr>
      </w:pPr>
      <w:r>
        <w:rPr>
          <w:rFonts w:ascii="宋体" w:hAnsi="宋体" w:eastAsia="宋体" w:cs="宋体"/>
          <w:spacing w:val="-1"/>
          <w:sz w:val="24"/>
          <w:szCs w:val="24"/>
        </w:rPr>
        <w:t>本工程所在区域土地利用现状见</w:t>
      </w:r>
      <w:r>
        <w:rPr>
          <w:rFonts w:hint="eastAsia" w:ascii="宋体" w:hAnsi="宋体" w:eastAsia="宋体" w:cs="宋体"/>
          <w:spacing w:val="-1"/>
          <w:sz w:val="24"/>
          <w:szCs w:val="24"/>
          <w:lang w:val="en-US" w:eastAsia="zh-CN"/>
        </w:rPr>
        <w:t>附图8土地利用现状图</w:t>
      </w:r>
      <w:r>
        <w:rPr>
          <w:rFonts w:ascii="宋体" w:hAnsi="宋体" w:eastAsia="宋体" w:cs="宋体"/>
          <w:spacing w:val="-1"/>
          <w:sz w:val="24"/>
          <w:szCs w:val="24"/>
        </w:rPr>
        <w:t>。</w:t>
      </w:r>
    </w:p>
    <w:p w14:paraId="11AD26F4">
      <w:pPr>
        <w:spacing w:before="92" w:line="220" w:lineRule="auto"/>
        <w:ind w:left="10"/>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4.6.2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土壤环境现状</w:t>
      </w:r>
    </w:p>
    <w:p w14:paraId="0DC8E6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根据工程组成及工程特点，本次环评土壤现状调查范围主要为灌渠两</w:t>
      </w:r>
      <w:r>
        <w:rPr>
          <w:rFonts w:ascii="宋体" w:hAnsi="宋体" w:eastAsia="宋体" w:cs="宋体"/>
          <w:spacing w:val="-3"/>
          <w:sz w:val="24"/>
          <w:szCs w:val="24"/>
        </w:rPr>
        <w:t>侧及</w:t>
      </w:r>
      <w:r>
        <w:rPr>
          <w:rFonts w:hint="eastAsia" w:ascii="宋体" w:hAnsi="宋体" w:eastAsia="宋体" w:cs="宋体"/>
          <w:spacing w:val="-3"/>
          <w:sz w:val="24"/>
          <w:szCs w:val="24"/>
          <w:lang w:eastAsia="zh-CN"/>
        </w:rPr>
        <w:t>泵房</w:t>
      </w:r>
      <w:r>
        <w:rPr>
          <w:rFonts w:ascii="宋体" w:hAnsi="宋体" w:eastAsia="宋体" w:cs="宋体"/>
          <w:spacing w:val="-3"/>
          <w:sz w:val="24"/>
          <w:szCs w:val="24"/>
        </w:rPr>
        <w:t xml:space="preserve">附 </w:t>
      </w:r>
      <w:r>
        <w:rPr>
          <w:rFonts w:ascii="宋体" w:hAnsi="宋体" w:eastAsia="宋体" w:cs="宋体"/>
          <w:spacing w:val="-6"/>
          <w:sz w:val="24"/>
          <w:szCs w:val="24"/>
        </w:rPr>
        <w:t>近区域，适当涉及其周边。采用搜集资料与现状调查相结合的方法，调查土壤类型分布、</w:t>
      </w:r>
      <w:r>
        <w:rPr>
          <w:rFonts w:ascii="宋体" w:hAnsi="宋体" w:eastAsia="宋体" w:cs="宋体"/>
          <w:spacing w:val="14"/>
          <w:sz w:val="24"/>
          <w:szCs w:val="24"/>
        </w:rPr>
        <w:t xml:space="preserve"> </w:t>
      </w:r>
      <w:r>
        <w:rPr>
          <w:rFonts w:ascii="宋体" w:hAnsi="宋体" w:eastAsia="宋体" w:cs="宋体"/>
          <w:spacing w:val="-2"/>
          <w:sz w:val="24"/>
          <w:szCs w:val="24"/>
        </w:rPr>
        <w:t>理化性质、了解工程区土壤环境背景状况。根据调查，本工程改建支渠沿线及</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站</w:t>
      </w:r>
      <w:r>
        <w:rPr>
          <w:rFonts w:ascii="宋体" w:hAnsi="宋体" w:eastAsia="宋体" w:cs="宋体"/>
          <w:spacing w:val="-1"/>
          <w:sz w:val="24"/>
          <w:szCs w:val="24"/>
        </w:rPr>
        <w:t>址区土壤类型主要有潮土、灌淤土、沼泽土、草甸土等。</w:t>
      </w:r>
    </w:p>
    <w:p w14:paraId="05DB9DE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z w:val="24"/>
          <w:szCs w:val="24"/>
        </w:rPr>
      </w:pPr>
      <w:r>
        <w:rPr>
          <w:rFonts w:ascii="宋体" w:hAnsi="宋体" w:eastAsia="宋体" w:cs="宋体"/>
          <w:spacing w:val="-1"/>
          <w:sz w:val="24"/>
          <w:szCs w:val="24"/>
        </w:rPr>
        <w:t>本工程所在区域土壤类型现状图，见</w:t>
      </w:r>
      <w:r>
        <w:rPr>
          <w:rFonts w:hint="eastAsia" w:ascii="宋体" w:hAnsi="宋体" w:eastAsia="宋体" w:cs="宋体"/>
          <w:spacing w:val="-1"/>
          <w:sz w:val="24"/>
          <w:szCs w:val="24"/>
          <w:lang w:val="en-US" w:eastAsia="zh-CN"/>
        </w:rPr>
        <w:t>附</w:t>
      </w:r>
      <w:r>
        <w:rPr>
          <w:rFonts w:ascii="宋体" w:hAnsi="宋体" w:eastAsia="宋体" w:cs="宋体"/>
          <w:spacing w:val="-1"/>
          <w:sz w:val="24"/>
          <w:szCs w:val="24"/>
        </w:rPr>
        <w:t>图</w:t>
      </w:r>
      <w:r>
        <w:rPr>
          <w:rFonts w:ascii="宋体" w:hAnsi="宋体" w:eastAsia="宋体" w:cs="宋体"/>
          <w:spacing w:val="-49"/>
          <w:sz w:val="24"/>
          <w:szCs w:val="24"/>
        </w:rPr>
        <w:t xml:space="preserve"> </w:t>
      </w:r>
      <w:r>
        <w:rPr>
          <w:rFonts w:hint="eastAsia" w:ascii="宋体" w:hAnsi="宋体" w:eastAsia="宋体" w:cs="宋体"/>
          <w:spacing w:val="-1"/>
          <w:sz w:val="24"/>
          <w:szCs w:val="24"/>
          <w:lang w:val="en-US" w:eastAsia="zh-CN"/>
        </w:rPr>
        <w:t>9土壤类型图</w:t>
      </w:r>
      <w:r>
        <w:rPr>
          <w:rFonts w:ascii="宋体" w:hAnsi="宋体" w:eastAsia="宋体" w:cs="宋体"/>
          <w:spacing w:val="-1"/>
          <w:sz w:val="24"/>
          <w:szCs w:val="24"/>
        </w:rPr>
        <w:t>。</w:t>
      </w:r>
    </w:p>
    <w:p w14:paraId="1B8821C6">
      <w:pPr>
        <w:spacing w:before="92" w:line="220" w:lineRule="auto"/>
        <w:ind w:left="10"/>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4.6.3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植被类型现状</w:t>
      </w:r>
    </w:p>
    <w:p w14:paraId="7EA3E2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1</w:t>
      </w:r>
      <w:r>
        <w:rPr>
          <w:rFonts w:hint="eastAsia" w:ascii="宋体" w:hAnsi="宋体" w:eastAsia="宋体" w:cs="宋体"/>
          <w:spacing w:val="-6"/>
          <w:sz w:val="24"/>
          <w:szCs w:val="24"/>
          <w:lang w:eastAsia="zh-CN"/>
        </w:rPr>
        <w:t>）</w:t>
      </w:r>
      <w:r>
        <w:rPr>
          <w:rFonts w:ascii="宋体" w:hAnsi="宋体" w:eastAsia="宋体" w:cs="宋体"/>
          <w:spacing w:val="-6"/>
          <w:sz w:val="24"/>
          <w:szCs w:val="24"/>
        </w:rPr>
        <w:t>沿线植被类型</w:t>
      </w:r>
    </w:p>
    <w:p w14:paraId="4122C6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植被与其生存环境有着密切的联系，在本区特殊的暖温带大陆性极端</w:t>
      </w:r>
      <w:r>
        <w:rPr>
          <w:rFonts w:ascii="宋体" w:hAnsi="宋体" w:eastAsia="宋体" w:cs="宋体"/>
          <w:spacing w:val="1"/>
          <w:sz w:val="24"/>
          <w:szCs w:val="24"/>
        </w:rPr>
        <w:t>干旱荒漠气</w:t>
      </w:r>
      <w:r>
        <w:rPr>
          <w:rFonts w:ascii="宋体" w:hAnsi="宋体" w:eastAsia="宋体" w:cs="宋体"/>
          <w:spacing w:val="-2"/>
          <w:sz w:val="24"/>
          <w:szCs w:val="24"/>
        </w:rPr>
        <w:t>候条件下，又在当地特殊的地形地貌土壤等因素的作用下，具有独立的自然地理特征，</w:t>
      </w:r>
      <w:r>
        <w:rPr>
          <w:rFonts w:ascii="宋体" w:hAnsi="宋体" w:eastAsia="宋体" w:cs="宋体"/>
          <w:spacing w:val="-1"/>
          <w:sz w:val="24"/>
          <w:szCs w:val="24"/>
        </w:rPr>
        <w:t>为典型的亚洲中部植物成分。</w:t>
      </w:r>
    </w:p>
    <w:p w14:paraId="5B4720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流域上游源流区植被以山地荒漠草原为主，植被覆盖度不高，常见物种有芨芨草、 骆驼蓬、锦鸡儿、针茅等；在河谷区域分布少量河谷林草植被，宽度一般较窄，植物物种主要有白榆、柳树、沙棘、柽柳、白刺、骆驼刺、芦苇、针茅、蒲公英、蓝刺头、莲座蓟、萎陵菜、小花棘豆、麻黄等，覆盖度约 10%~30% ，生长水源主要依靠河漫滩较高的地下水及大气降水。出山口以下平原区域分布有一些河谷林草植被，主要依靠地下水或泉水出露补给；河谷林草区以河漫滩低地草甸为主，零星分布有少量河谷疏林、灌丛植被，分布植被  物种主要有柽柳、白刺、骆驼刺、芦苇、针茅、蒲公英、麻黄等，植被分布于河道两岸的河漫滩、低阶地以及灌区边缘，生长水源主要依靠河道两岸较高的地下水。</w:t>
      </w:r>
    </w:p>
    <w:p w14:paraId="4A00D3D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在灌区之间的荒地、扇缘分布着红柳、胡杨、沙棘、骆驼刺等建群种。在地下水位低，土壤含盐量较大的地区，土壤干旱贫瘠，严重荒漠化，植被类型多为耐寒耐盐建群种，主要种类有骆驼刺、盐穗木、胖姑娘、骆驼蓬、鹿角草、芦苇、木贼、麻黄、罗布麻、盐蒿等。砾石戈壁无常年地表径流地区有少许膜果麻黄、木霸王、沙拐枣等荒漠植物，植被总体覆盖度约 10～30% 。</w:t>
      </w:r>
    </w:p>
    <w:p w14:paraId="5635880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尾闾艾丁湖区域主要分布有芦苇、骆驼刺，狗牙根，盐节木，霸王，沙拐枣，柽</w:t>
      </w:r>
    </w:p>
    <w:p w14:paraId="11C8FCA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lang w:eastAsia="zh-CN"/>
        </w:rPr>
      </w:pPr>
      <w:r>
        <w:rPr>
          <w:rFonts w:ascii="宋体" w:hAnsi="宋体" w:eastAsia="宋体" w:cs="宋体"/>
          <w:sz w:val="24"/>
          <w:szCs w:val="24"/>
        </w:rPr>
        <w:t>柳、盐穗木、盐爪爪、盐角草、黑果枸杞等，植被总体覆盖度约 30～50%</w:t>
      </w:r>
      <w:r>
        <w:rPr>
          <w:rFonts w:hint="eastAsia" w:ascii="宋体" w:hAnsi="宋体" w:eastAsia="宋体" w:cs="宋体"/>
          <w:sz w:val="24"/>
          <w:szCs w:val="24"/>
          <w:lang w:eastAsia="zh-CN"/>
        </w:rPr>
        <w:t>。</w:t>
      </w:r>
    </w:p>
    <w:p w14:paraId="3643A301">
      <w:pPr>
        <w:spacing w:before="294" w:line="219"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4-6</w:t>
      </w:r>
      <w:r>
        <w:rPr>
          <w:rFonts w:hint="eastAsia" w:ascii="Times New Roman" w:hAnsi="Times New Roman" w:eastAsia="宋体" w:cs="Times New Roman"/>
          <w:b/>
          <w:bCs/>
          <w:sz w:val="24"/>
          <w:szCs w:val="24"/>
          <w:lang w:val="en-US" w:eastAsia="zh-CN"/>
        </w:rPr>
        <w:t>-1</w:t>
      </w:r>
      <w:r>
        <w:rPr>
          <w:rFonts w:ascii="Times New Roman" w:hAnsi="Times New Roman" w:eastAsia="Times New Roman" w:cs="Times New Roman"/>
          <w:b/>
          <w:bCs/>
          <w:sz w:val="24"/>
          <w:szCs w:val="24"/>
        </w:rPr>
        <w:t xml:space="preserve">        </w:t>
      </w:r>
      <w:r>
        <w:rPr>
          <w:rFonts w:hint="eastAsia" w:ascii="宋体" w:hAnsi="宋体" w:eastAsia="宋体" w:cs="宋体"/>
          <w:sz w:val="24"/>
          <w:szCs w:val="24"/>
          <w:lang w:val="en-US" w:eastAsia="zh-CN"/>
          <w14:textOutline w14:w="4358" w14:cap="sq" w14:cmpd="sng">
            <w14:solidFill>
              <w14:srgbClr w14:val="000000"/>
            </w14:solidFill>
            <w14:prstDash w14:val="solid"/>
            <w14:bevel/>
          </w14:textOutline>
        </w:rPr>
        <w:t>项目区</w:t>
      </w:r>
      <w:r>
        <w:rPr>
          <w:rFonts w:ascii="宋体" w:hAnsi="宋体" w:eastAsia="宋体" w:cs="宋体"/>
          <w:sz w:val="24"/>
          <w:szCs w:val="24"/>
          <w14:textOutline w14:w="4358" w14:cap="sq" w14:cmpd="sng">
            <w14:solidFill>
              <w14:srgbClr w14:val="000000"/>
            </w14:solidFill>
            <w14:prstDash w14:val="solid"/>
            <w14:bevel/>
          </w14:textOutline>
        </w:rPr>
        <w:t>植物分类名</w:t>
      </w:r>
      <w:r>
        <w:rPr>
          <w:rFonts w:ascii="宋体" w:hAnsi="宋体" w:eastAsia="宋体" w:cs="宋体"/>
          <w:spacing w:val="-1"/>
          <w:sz w:val="24"/>
          <w:szCs w:val="24"/>
          <w14:textOutline w14:w="4358" w14:cap="sq" w14:cmpd="sng">
            <w14:solidFill>
              <w14:srgbClr w14:val="000000"/>
            </w14:solidFill>
            <w14:prstDash w14:val="solid"/>
            <w14:bevel/>
          </w14:textOutline>
        </w:rPr>
        <w:t>录表</w:t>
      </w:r>
    </w:p>
    <w:tbl>
      <w:tblPr>
        <w:tblStyle w:val="14"/>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74"/>
        <w:gridCol w:w="2417"/>
        <w:gridCol w:w="1379"/>
        <w:gridCol w:w="1500"/>
        <w:gridCol w:w="780"/>
        <w:gridCol w:w="897"/>
        <w:gridCol w:w="899"/>
      </w:tblGrid>
      <w:tr w14:paraId="2591C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7" w:hRule="atLeast"/>
          <w:jc w:val="center"/>
        </w:trPr>
        <w:tc>
          <w:tcPr>
            <w:tcW w:w="696" w:type="pct"/>
            <w:tcBorders>
              <w:top w:val="single" w:color="000000" w:sz="10" w:space="0"/>
              <w:left w:val="nil"/>
            </w:tcBorders>
            <w:vAlign w:val="center"/>
          </w:tcPr>
          <w:p w14:paraId="0246009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植物名称</w:t>
            </w:r>
          </w:p>
        </w:tc>
        <w:tc>
          <w:tcPr>
            <w:tcW w:w="1320" w:type="pct"/>
            <w:tcBorders>
              <w:top w:val="single" w:color="000000" w:sz="10" w:space="0"/>
            </w:tcBorders>
            <w:vAlign w:val="center"/>
          </w:tcPr>
          <w:p w14:paraId="1544FC3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拉丁名</w:t>
            </w:r>
          </w:p>
        </w:tc>
        <w:tc>
          <w:tcPr>
            <w:tcW w:w="753" w:type="pct"/>
            <w:tcBorders>
              <w:top w:val="single" w:color="000000" w:sz="10" w:space="0"/>
            </w:tcBorders>
            <w:vAlign w:val="center"/>
          </w:tcPr>
          <w:p w14:paraId="2ED7946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门</w:t>
            </w:r>
          </w:p>
        </w:tc>
        <w:tc>
          <w:tcPr>
            <w:tcW w:w="819" w:type="pct"/>
            <w:tcBorders>
              <w:top w:val="single" w:color="000000" w:sz="10" w:space="0"/>
            </w:tcBorders>
            <w:vAlign w:val="center"/>
          </w:tcPr>
          <w:p w14:paraId="2169AE8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纲</w:t>
            </w:r>
          </w:p>
        </w:tc>
        <w:tc>
          <w:tcPr>
            <w:tcW w:w="426" w:type="pct"/>
            <w:tcBorders>
              <w:top w:val="single" w:color="000000" w:sz="10" w:space="0"/>
            </w:tcBorders>
            <w:vAlign w:val="center"/>
          </w:tcPr>
          <w:p w14:paraId="1CF949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科名</w:t>
            </w:r>
          </w:p>
        </w:tc>
        <w:tc>
          <w:tcPr>
            <w:tcW w:w="490" w:type="pct"/>
            <w:tcBorders>
              <w:top w:val="single" w:color="000000" w:sz="10" w:space="0"/>
            </w:tcBorders>
            <w:vAlign w:val="center"/>
          </w:tcPr>
          <w:p w14:paraId="2B75DFD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属</w:t>
            </w:r>
          </w:p>
        </w:tc>
        <w:tc>
          <w:tcPr>
            <w:tcW w:w="491" w:type="pct"/>
            <w:tcBorders>
              <w:top w:val="single" w:color="000000" w:sz="10" w:space="0"/>
              <w:right w:val="nil"/>
            </w:tcBorders>
            <w:vAlign w:val="center"/>
          </w:tcPr>
          <w:p w14:paraId="420FA18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保护级 别</w:t>
            </w:r>
          </w:p>
        </w:tc>
      </w:tr>
      <w:tr w14:paraId="7F2AA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5C1734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芦苇</w:t>
            </w:r>
          </w:p>
        </w:tc>
        <w:tc>
          <w:tcPr>
            <w:tcW w:w="1320" w:type="pct"/>
            <w:vAlign w:val="center"/>
          </w:tcPr>
          <w:p w14:paraId="72DE678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Phragmites australis (Cav.) Trin. ex Steu</w:t>
            </w:r>
          </w:p>
        </w:tc>
        <w:tc>
          <w:tcPr>
            <w:tcW w:w="753" w:type="pct"/>
            <w:vAlign w:val="center"/>
          </w:tcPr>
          <w:p w14:paraId="562C7DA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59D97F5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"https://upimg.baike.so.com/doc/6555694-6769445.html" </w:instrText>
            </w:r>
            <w:r>
              <w:rPr>
                <w:rFonts w:hint="eastAsia" w:ascii="宋体" w:hAnsi="宋体" w:eastAsia="宋体" w:cs="宋体"/>
                <w:sz w:val="20"/>
                <w:szCs w:val="20"/>
              </w:rPr>
              <w:fldChar w:fldCharType="separate"/>
            </w:r>
            <w:r>
              <w:rPr>
                <w:rFonts w:hint="eastAsia" w:ascii="宋体" w:hAnsi="宋体" w:eastAsia="宋体" w:cs="宋体"/>
                <w:sz w:val="20"/>
                <w:szCs w:val="20"/>
              </w:rPr>
              <w:t>单子叶植物纲</w:t>
            </w:r>
            <w:r>
              <w:rPr>
                <w:rFonts w:hint="eastAsia" w:ascii="宋体" w:hAnsi="宋体" w:eastAsia="宋体" w:cs="宋体"/>
                <w:sz w:val="20"/>
                <w:szCs w:val="20"/>
              </w:rPr>
              <w:fldChar w:fldCharType="end"/>
            </w:r>
          </w:p>
        </w:tc>
        <w:tc>
          <w:tcPr>
            <w:tcW w:w="426" w:type="pct"/>
            <w:vAlign w:val="center"/>
          </w:tcPr>
          <w:p w14:paraId="46CAE53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w:t>
            </w:r>
          </w:p>
          <w:p w14:paraId="07D710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3F2E78A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芦苇属</w:t>
            </w:r>
          </w:p>
        </w:tc>
        <w:tc>
          <w:tcPr>
            <w:tcW w:w="491" w:type="pct"/>
            <w:tcBorders>
              <w:right w:val="nil"/>
            </w:tcBorders>
            <w:vAlign w:val="center"/>
          </w:tcPr>
          <w:p w14:paraId="734A863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67EFE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0E6BFB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盐穗木</w:t>
            </w:r>
          </w:p>
        </w:tc>
        <w:tc>
          <w:tcPr>
            <w:tcW w:w="1320" w:type="pct"/>
            <w:vAlign w:val="center"/>
          </w:tcPr>
          <w:p w14:paraId="270ECBB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Halostachys caspica C. A. Mey. ex Schrenk</w:t>
            </w:r>
          </w:p>
        </w:tc>
        <w:tc>
          <w:tcPr>
            <w:tcW w:w="753" w:type="pct"/>
            <w:vAlign w:val="center"/>
          </w:tcPr>
          <w:p w14:paraId="3CA20C5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"https://upimg.baike.so.com/doc/5585381-5797975.html" </w:instrText>
            </w:r>
            <w:r>
              <w:rPr>
                <w:rFonts w:hint="eastAsia" w:ascii="宋体" w:hAnsi="宋体" w:eastAsia="宋体" w:cs="宋体"/>
                <w:sz w:val="20"/>
                <w:szCs w:val="20"/>
              </w:rPr>
              <w:fldChar w:fldCharType="separate"/>
            </w:r>
            <w:r>
              <w:rPr>
                <w:rFonts w:hint="eastAsia" w:ascii="宋体" w:hAnsi="宋体" w:eastAsia="宋体" w:cs="宋体"/>
                <w:sz w:val="20"/>
                <w:szCs w:val="20"/>
              </w:rPr>
              <w:t>被子植物门</w:t>
            </w:r>
            <w:r>
              <w:rPr>
                <w:rFonts w:hint="eastAsia" w:ascii="宋体" w:hAnsi="宋体" w:eastAsia="宋体" w:cs="宋体"/>
                <w:sz w:val="20"/>
                <w:szCs w:val="20"/>
              </w:rPr>
              <w:fldChar w:fldCharType="end"/>
            </w:r>
          </w:p>
        </w:tc>
        <w:tc>
          <w:tcPr>
            <w:tcW w:w="819" w:type="pct"/>
            <w:vAlign w:val="center"/>
          </w:tcPr>
          <w:p w14:paraId="30522D1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592F690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vAlign w:val="center"/>
          </w:tcPr>
          <w:p w14:paraId="5A6705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盐穗木 属</w:t>
            </w:r>
          </w:p>
        </w:tc>
        <w:tc>
          <w:tcPr>
            <w:tcW w:w="491" w:type="pct"/>
            <w:tcBorders>
              <w:right w:val="nil"/>
            </w:tcBorders>
            <w:vAlign w:val="center"/>
          </w:tcPr>
          <w:p w14:paraId="1F04760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60E62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5C5966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骆驼刺</w:t>
            </w:r>
          </w:p>
        </w:tc>
        <w:tc>
          <w:tcPr>
            <w:tcW w:w="1320" w:type="pct"/>
            <w:vAlign w:val="center"/>
          </w:tcPr>
          <w:p w14:paraId="5EA180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Alhagi camelorum Fisch.</w:t>
            </w:r>
          </w:p>
        </w:tc>
        <w:tc>
          <w:tcPr>
            <w:tcW w:w="753" w:type="pct"/>
            <w:vAlign w:val="center"/>
          </w:tcPr>
          <w:p w14:paraId="6B7347A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33F996A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木兰纲</w:t>
            </w:r>
          </w:p>
        </w:tc>
        <w:tc>
          <w:tcPr>
            <w:tcW w:w="426" w:type="pct"/>
            <w:vAlign w:val="center"/>
          </w:tcPr>
          <w:p w14:paraId="15EA26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豆科</w:t>
            </w:r>
          </w:p>
        </w:tc>
        <w:tc>
          <w:tcPr>
            <w:tcW w:w="490" w:type="pct"/>
            <w:vAlign w:val="center"/>
          </w:tcPr>
          <w:p w14:paraId="790A857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骆驼刺 属</w:t>
            </w:r>
          </w:p>
        </w:tc>
        <w:tc>
          <w:tcPr>
            <w:tcW w:w="491" w:type="pct"/>
            <w:tcBorders>
              <w:right w:val="nil"/>
            </w:tcBorders>
            <w:vAlign w:val="center"/>
          </w:tcPr>
          <w:p w14:paraId="53405AB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1DF6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2BD106B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狗牙根</w:t>
            </w:r>
          </w:p>
        </w:tc>
        <w:tc>
          <w:tcPr>
            <w:tcW w:w="1320" w:type="pct"/>
            <w:vAlign w:val="center"/>
          </w:tcPr>
          <w:p w14:paraId="767038C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Cynodondactylon(Linn.)P</w:t>
            </w:r>
          </w:p>
          <w:p w14:paraId="3E80C8D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ers.</w:t>
            </w:r>
          </w:p>
        </w:tc>
        <w:tc>
          <w:tcPr>
            <w:tcW w:w="753" w:type="pct"/>
            <w:vAlign w:val="center"/>
          </w:tcPr>
          <w:p w14:paraId="79E9428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5AD2837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单子叶植物纲</w:t>
            </w:r>
          </w:p>
        </w:tc>
        <w:tc>
          <w:tcPr>
            <w:tcW w:w="426" w:type="pct"/>
            <w:vAlign w:val="center"/>
          </w:tcPr>
          <w:p w14:paraId="46BA714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w:t>
            </w:r>
          </w:p>
          <w:p w14:paraId="4294812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6B195E5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狗牙根 属</w:t>
            </w:r>
          </w:p>
        </w:tc>
        <w:tc>
          <w:tcPr>
            <w:tcW w:w="491" w:type="pct"/>
            <w:tcBorders>
              <w:right w:val="nil"/>
            </w:tcBorders>
            <w:vAlign w:val="center"/>
          </w:tcPr>
          <w:p w14:paraId="0A79E67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23116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4E864AB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盐节木</w:t>
            </w:r>
          </w:p>
        </w:tc>
        <w:tc>
          <w:tcPr>
            <w:tcW w:w="1320" w:type="pct"/>
            <w:vAlign w:val="center"/>
          </w:tcPr>
          <w:p w14:paraId="4941AD6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Halocnemum</w:t>
            </w:r>
          </w:p>
          <w:p w14:paraId="576F36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strobilaceum (Pall.) Bieb.</w:t>
            </w:r>
          </w:p>
        </w:tc>
        <w:tc>
          <w:tcPr>
            <w:tcW w:w="753" w:type="pct"/>
            <w:vAlign w:val="center"/>
          </w:tcPr>
          <w:p w14:paraId="320F40E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76D818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3F1AA14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vAlign w:val="center"/>
          </w:tcPr>
          <w:p w14:paraId="5381FA9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盐节木 属</w:t>
            </w:r>
          </w:p>
        </w:tc>
        <w:tc>
          <w:tcPr>
            <w:tcW w:w="491" w:type="pct"/>
            <w:tcBorders>
              <w:right w:val="nil"/>
            </w:tcBorders>
            <w:vAlign w:val="center"/>
          </w:tcPr>
          <w:p w14:paraId="0FC2057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4478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4D84150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霸王</w:t>
            </w:r>
          </w:p>
        </w:tc>
        <w:tc>
          <w:tcPr>
            <w:tcW w:w="1320" w:type="pct"/>
            <w:vAlign w:val="center"/>
          </w:tcPr>
          <w:p w14:paraId="43EE619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p w14:paraId="32241B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Angiospermae</w:t>
            </w:r>
          </w:p>
        </w:tc>
        <w:tc>
          <w:tcPr>
            <w:tcW w:w="753" w:type="pct"/>
            <w:vAlign w:val="center"/>
          </w:tcPr>
          <w:p w14:paraId="213D641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513996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"https://baike.so.com/doc/6437008-6650688.html" </w:instrText>
            </w:r>
            <w:r>
              <w:rPr>
                <w:rFonts w:hint="eastAsia" w:ascii="宋体" w:hAnsi="宋体" w:eastAsia="宋体" w:cs="宋体"/>
                <w:sz w:val="20"/>
                <w:szCs w:val="20"/>
              </w:rPr>
              <w:fldChar w:fldCharType="separate"/>
            </w:r>
            <w:r>
              <w:rPr>
                <w:rFonts w:hint="eastAsia" w:ascii="宋体" w:hAnsi="宋体" w:eastAsia="宋体" w:cs="宋体"/>
                <w:sz w:val="20"/>
                <w:szCs w:val="20"/>
              </w:rPr>
              <w:t>木兰纲</w:t>
            </w:r>
            <w:r>
              <w:rPr>
                <w:rFonts w:hint="eastAsia" w:ascii="宋体" w:hAnsi="宋体" w:eastAsia="宋体" w:cs="宋体"/>
                <w:sz w:val="20"/>
                <w:szCs w:val="20"/>
              </w:rPr>
              <w:fldChar w:fldCharType="end"/>
            </w:r>
          </w:p>
        </w:tc>
        <w:tc>
          <w:tcPr>
            <w:tcW w:w="426" w:type="pct"/>
            <w:vAlign w:val="center"/>
          </w:tcPr>
          <w:p w14:paraId="61C08B6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蒺藜</w:t>
            </w:r>
          </w:p>
          <w:p w14:paraId="43B4743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3170548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驼蹄瓣 属</w:t>
            </w:r>
          </w:p>
        </w:tc>
        <w:tc>
          <w:tcPr>
            <w:tcW w:w="491" w:type="pct"/>
            <w:tcBorders>
              <w:right w:val="nil"/>
            </w:tcBorders>
            <w:vAlign w:val="center"/>
          </w:tcPr>
          <w:p w14:paraId="5DA8E27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62DC8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96" w:type="pct"/>
            <w:tcBorders>
              <w:left w:val="nil"/>
            </w:tcBorders>
            <w:vAlign w:val="center"/>
          </w:tcPr>
          <w:p w14:paraId="1754F0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w:t>
            </w:r>
          </w:p>
        </w:tc>
        <w:tc>
          <w:tcPr>
            <w:tcW w:w="1320" w:type="pct"/>
            <w:vAlign w:val="center"/>
          </w:tcPr>
          <w:p w14:paraId="0AC5AC6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Tamarix chinensis Lour.</w:t>
            </w:r>
          </w:p>
        </w:tc>
        <w:tc>
          <w:tcPr>
            <w:tcW w:w="753" w:type="pct"/>
            <w:vAlign w:val="center"/>
          </w:tcPr>
          <w:p w14:paraId="17EB9D6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1C1AC6E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2B0700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w:t>
            </w:r>
          </w:p>
          <w:p w14:paraId="5B8787D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361B200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柽柳属</w:t>
            </w:r>
          </w:p>
        </w:tc>
        <w:tc>
          <w:tcPr>
            <w:tcW w:w="491" w:type="pct"/>
            <w:tcBorders>
              <w:right w:val="nil"/>
            </w:tcBorders>
            <w:vAlign w:val="center"/>
          </w:tcPr>
          <w:p w14:paraId="494031B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0ED86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96" w:type="pct"/>
            <w:tcBorders>
              <w:left w:val="nil"/>
              <w:bottom w:val="single" w:color="000000" w:sz="10" w:space="0"/>
            </w:tcBorders>
            <w:vAlign w:val="center"/>
          </w:tcPr>
          <w:p w14:paraId="100177C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盐角草</w:t>
            </w:r>
          </w:p>
        </w:tc>
        <w:tc>
          <w:tcPr>
            <w:tcW w:w="1320" w:type="pct"/>
            <w:tcBorders>
              <w:bottom w:val="single" w:color="000000" w:sz="10" w:space="0"/>
            </w:tcBorders>
            <w:vAlign w:val="center"/>
          </w:tcPr>
          <w:p w14:paraId="7A42EBB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Salicornia europaea L.</w:t>
            </w:r>
          </w:p>
        </w:tc>
        <w:tc>
          <w:tcPr>
            <w:tcW w:w="753" w:type="pct"/>
            <w:tcBorders>
              <w:bottom w:val="single" w:color="000000" w:sz="10" w:space="0"/>
            </w:tcBorders>
            <w:vAlign w:val="center"/>
          </w:tcPr>
          <w:p w14:paraId="54E0E91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tcBorders>
              <w:bottom w:val="single" w:color="000000" w:sz="10" w:space="0"/>
            </w:tcBorders>
            <w:vAlign w:val="center"/>
          </w:tcPr>
          <w:p w14:paraId="3537DAC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tcBorders>
              <w:bottom w:val="single" w:color="000000" w:sz="10" w:space="0"/>
            </w:tcBorders>
            <w:vAlign w:val="center"/>
          </w:tcPr>
          <w:p w14:paraId="17533ED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tcBorders>
              <w:bottom w:val="single" w:color="000000" w:sz="10" w:space="0"/>
            </w:tcBorders>
            <w:vAlign w:val="center"/>
          </w:tcPr>
          <w:p w14:paraId="11D2C9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盐角草属</w:t>
            </w:r>
          </w:p>
        </w:tc>
        <w:tc>
          <w:tcPr>
            <w:tcW w:w="491" w:type="pct"/>
            <w:tcBorders>
              <w:bottom w:val="single" w:color="000000" w:sz="10" w:space="0"/>
              <w:right w:val="nil"/>
            </w:tcBorders>
            <w:vAlign w:val="center"/>
          </w:tcPr>
          <w:p w14:paraId="03954F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0AFE2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96" w:type="pct"/>
            <w:tcBorders>
              <w:left w:val="nil"/>
            </w:tcBorders>
            <w:vAlign w:val="center"/>
          </w:tcPr>
          <w:p w14:paraId="2FDF7A6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黑果枸杞</w:t>
            </w:r>
          </w:p>
        </w:tc>
        <w:tc>
          <w:tcPr>
            <w:tcW w:w="1320" w:type="pct"/>
            <w:vAlign w:val="center"/>
          </w:tcPr>
          <w:p w14:paraId="2B98779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Lycium ruthenicum Murr</w:t>
            </w:r>
          </w:p>
        </w:tc>
        <w:tc>
          <w:tcPr>
            <w:tcW w:w="753" w:type="pct"/>
            <w:vAlign w:val="center"/>
          </w:tcPr>
          <w:p w14:paraId="202B5E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0D3E590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单子叶植物纲</w:t>
            </w:r>
          </w:p>
        </w:tc>
        <w:tc>
          <w:tcPr>
            <w:tcW w:w="426" w:type="pct"/>
            <w:vAlign w:val="center"/>
          </w:tcPr>
          <w:p w14:paraId="0A2B3D3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茄科</w:t>
            </w:r>
          </w:p>
        </w:tc>
        <w:tc>
          <w:tcPr>
            <w:tcW w:w="490" w:type="pct"/>
            <w:vAlign w:val="center"/>
          </w:tcPr>
          <w:p w14:paraId="5AA56A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枸杞属</w:t>
            </w:r>
          </w:p>
        </w:tc>
        <w:tc>
          <w:tcPr>
            <w:tcW w:w="491" w:type="pct"/>
            <w:tcBorders>
              <w:right w:val="nil"/>
            </w:tcBorders>
            <w:vAlign w:val="center"/>
          </w:tcPr>
          <w:p w14:paraId="3545A3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国 II 级</w:t>
            </w:r>
          </w:p>
        </w:tc>
      </w:tr>
      <w:tr w14:paraId="7F908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696" w:type="pct"/>
            <w:tcBorders>
              <w:left w:val="nil"/>
            </w:tcBorders>
            <w:vAlign w:val="center"/>
          </w:tcPr>
          <w:p w14:paraId="703D87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盐爪爪</w:t>
            </w:r>
          </w:p>
        </w:tc>
        <w:tc>
          <w:tcPr>
            <w:tcW w:w="1320" w:type="pct"/>
            <w:vAlign w:val="center"/>
          </w:tcPr>
          <w:p w14:paraId="7AB576D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Kalidiumfoliatum (Pall.)</w:t>
            </w:r>
          </w:p>
          <w:p w14:paraId="171A8C1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Moq.</w:t>
            </w:r>
          </w:p>
        </w:tc>
        <w:tc>
          <w:tcPr>
            <w:tcW w:w="753" w:type="pct"/>
            <w:vAlign w:val="center"/>
          </w:tcPr>
          <w:p w14:paraId="46ABD08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5D74BB5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2DE6849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vAlign w:val="center"/>
          </w:tcPr>
          <w:p w14:paraId="18BE727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盐爪爪 属</w:t>
            </w:r>
          </w:p>
        </w:tc>
        <w:tc>
          <w:tcPr>
            <w:tcW w:w="491" w:type="pct"/>
            <w:tcBorders>
              <w:right w:val="nil"/>
            </w:tcBorders>
            <w:vAlign w:val="center"/>
          </w:tcPr>
          <w:p w14:paraId="1930AE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4B388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696" w:type="pct"/>
            <w:tcBorders>
              <w:left w:val="nil"/>
            </w:tcBorders>
            <w:vAlign w:val="center"/>
          </w:tcPr>
          <w:p w14:paraId="4ED1821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短叶假木贼</w:t>
            </w:r>
          </w:p>
        </w:tc>
        <w:tc>
          <w:tcPr>
            <w:tcW w:w="1320" w:type="pct"/>
            <w:vAlign w:val="center"/>
          </w:tcPr>
          <w:p w14:paraId="7FCC427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Anabasis brevifolia C. A.</w:t>
            </w:r>
          </w:p>
          <w:p w14:paraId="541B69E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Mey.</w:t>
            </w:r>
          </w:p>
        </w:tc>
        <w:tc>
          <w:tcPr>
            <w:tcW w:w="753" w:type="pct"/>
            <w:vAlign w:val="center"/>
          </w:tcPr>
          <w:p w14:paraId="538A3B7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5A17E4D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059CE2B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vAlign w:val="center"/>
          </w:tcPr>
          <w:p w14:paraId="183011C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假木贼 属</w:t>
            </w:r>
          </w:p>
        </w:tc>
        <w:tc>
          <w:tcPr>
            <w:tcW w:w="491" w:type="pct"/>
            <w:tcBorders>
              <w:right w:val="nil"/>
            </w:tcBorders>
            <w:vAlign w:val="center"/>
          </w:tcPr>
          <w:p w14:paraId="346E2FB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67CA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696" w:type="pct"/>
            <w:tcBorders>
              <w:left w:val="nil"/>
            </w:tcBorders>
            <w:vAlign w:val="center"/>
          </w:tcPr>
          <w:p w14:paraId="050FF2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线叶嵩草</w:t>
            </w:r>
          </w:p>
        </w:tc>
        <w:tc>
          <w:tcPr>
            <w:tcW w:w="1320" w:type="pct"/>
            <w:vAlign w:val="center"/>
          </w:tcPr>
          <w:p w14:paraId="3B31009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Kobresia capillifolia  (Decne.) C. B. Clarke</w:t>
            </w:r>
          </w:p>
        </w:tc>
        <w:tc>
          <w:tcPr>
            <w:tcW w:w="753" w:type="pct"/>
            <w:vAlign w:val="center"/>
          </w:tcPr>
          <w:p w14:paraId="648D733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3465BB5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单子叶植物纲</w:t>
            </w:r>
          </w:p>
        </w:tc>
        <w:tc>
          <w:tcPr>
            <w:tcW w:w="426" w:type="pct"/>
            <w:vAlign w:val="center"/>
          </w:tcPr>
          <w:p w14:paraId="06C1785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莎草</w:t>
            </w:r>
          </w:p>
          <w:p w14:paraId="32B51F8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53C6EA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薹草属</w:t>
            </w:r>
          </w:p>
        </w:tc>
        <w:tc>
          <w:tcPr>
            <w:tcW w:w="491" w:type="pct"/>
            <w:tcBorders>
              <w:right w:val="nil"/>
            </w:tcBorders>
            <w:vAlign w:val="center"/>
          </w:tcPr>
          <w:p w14:paraId="6DAB291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08ADA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696" w:type="pct"/>
            <w:tcBorders>
              <w:left w:val="nil"/>
            </w:tcBorders>
            <w:vAlign w:val="center"/>
          </w:tcPr>
          <w:p w14:paraId="49108C9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中麻黄</w:t>
            </w:r>
          </w:p>
        </w:tc>
        <w:tc>
          <w:tcPr>
            <w:tcW w:w="1320" w:type="pct"/>
            <w:vAlign w:val="center"/>
          </w:tcPr>
          <w:p w14:paraId="7A89483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Ephedra intermedia Schrenk ex Mey</w:t>
            </w:r>
          </w:p>
        </w:tc>
        <w:tc>
          <w:tcPr>
            <w:tcW w:w="753" w:type="pct"/>
            <w:vAlign w:val="center"/>
          </w:tcPr>
          <w:p w14:paraId="11BD3A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裸子植物门</w:t>
            </w:r>
          </w:p>
        </w:tc>
        <w:tc>
          <w:tcPr>
            <w:tcW w:w="819" w:type="pct"/>
            <w:vAlign w:val="center"/>
          </w:tcPr>
          <w:p w14:paraId="60FE56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松纲</w:t>
            </w:r>
          </w:p>
        </w:tc>
        <w:tc>
          <w:tcPr>
            <w:tcW w:w="426" w:type="pct"/>
            <w:vAlign w:val="center"/>
          </w:tcPr>
          <w:p w14:paraId="0D41F3B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麻黄</w:t>
            </w:r>
          </w:p>
          <w:p w14:paraId="2C2519D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1CEE4BA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麻黄属</w:t>
            </w:r>
          </w:p>
        </w:tc>
        <w:tc>
          <w:tcPr>
            <w:tcW w:w="491" w:type="pct"/>
            <w:tcBorders>
              <w:right w:val="nil"/>
            </w:tcBorders>
            <w:vAlign w:val="center"/>
          </w:tcPr>
          <w:p w14:paraId="6F851AC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自治区</w:t>
            </w:r>
          </w:p>
          <w:p w14:paraId="20A36B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I 级</w:t>
            </w:r>
          </w:p>
        </w:tc>
      </w:tr>
      <w:tr w14:paraId="3004F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jc w:val="center"/>
        </w:trPr>
        <w:tc>
          <w:tcPr>
            <w:tcW w:w="696" w:type="pct"/>
            <w:tcBorders>
              <w:left w:val="nil"/>
            </w:tcBorders>
            <w:vAlign w:val="center"/>
          </w:tcPr>
          <w:p w14:paraId="1128D92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p w14:paraId="42C5244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东方针茅草</w:t>
            </w:r>
          </w:p>
        </w:tc>
        <w:tc>
          <w:tcPr>
            <w:tcW w:w="1320" w:type="pct"/>
            <w:vAlign w:val="center"/>
          </w:tcPr>
          <w:p w14:paraId="361D3BA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Stipa tianschanica  Roshev. var. gobica (Roshev. )P. C. Kuo</w:t>
            </w:r>
          </w:p>
        </w:tc>
        <w:tc>
          <w:tcPr>
            <w:tcW w:w="753" w:type="pct"/>
            <w:vAlign w:val="center"/>
          </w:tcPr>
          <w:p w14:paraId="44C52BE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p w14:paraId="4425D0E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7372D6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p w14:paraId="452EA1F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单子叶植物纲</w:t>
            </w:r>
          </w:p>
        </w:tc>
        <w:tc>
          <w:tcPr>
            <w:tcW w:w="426" w:type="pct"/>
            <w:vAlign w:val="center"/>
          </w:tcPr>
          <w:p w14:paraId="3D5E93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w:t>
            </w:r>
          </w:p>
          <w:p w14:paraId="7BCA3EC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7918A1B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p w14:paraId="37F28E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禾本科</w:t>
            </w:r>
          </w:p>
        </w:tc>
        <w:tc>
          <w:tcPr>
            <w:tcW w:w="491" w:type="pct"/>
            <w:tcBorders>
              <w:right w:val="nil"/>
            </w:tcBorders>
            <w:vAlign w:val="center"/>
          </w:tcPr>
          <w:p w14:paraId="452D592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520DC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6909E3C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冰草</w:t>
            </w:r>
          </w:p>
        </w:tc>
        <w:tc>
          <w:tcPr>
            <w:tcW w:w="1320" w:type="pct"/>
            <w:vAlign w:val="center"/>
          </w:tcPr>
          <w:p w14:paraId="3480649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Agropyron cristatum</w:t>
            </w:r>
          </w:p>
          <w:p w14:paraId="433D644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(Linn.) Gaertn.</w:t>
            </w:r>
          </w:p>
        </w:tc>
        <w:tc>
          <w:tcPr>
            <w:tcW w:w="753" w:type="pct"/>
            <w:vAlign w:val="center"/>
          </w:tcPr>
          <w:p w14:paraId="50EEB40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56ABE04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单子叶植物纲</w:t>
            </w:r>
          </w:p>
        </w:tc>
        <w:tc>
          <w:tcPr>
            <w:tcW w:w="426" w:type="pct"/>
            <w:vAlign w:val="center"/>
          </w:tcPr>
          <w:p w14:paraId="39BED44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w:t>
            </w:r>
          </w:p>
          <w:p w14:paraId="45A6B7C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2F2B07F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冰草属</w:t>
            </w:r>
          </w:p>
        </w:tc>
        <w:tc>
          <w:tcPr>
            <w:tcW w:w="491" w:type="pct"/>
            <w:tcBorders>
              <w:right w:val="nil"/>
            </w:tcBorders>
            <w:vAlign w:val="center"/>
          </w:tcPr>
          <w:p w14:paraId="4586CAB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59317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0DB9F3B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合头草</w:t>
            </w:r>
          </w:p>
        </w:tc>
        <w:tc>
          <w:tcPr>
            <w:tcW w:w="1320" w:type="pct"/>
            <w:vAlign w:val="center"/>
          </w:tcPr>
          <w:p w14:paraId="0B05FBA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Sympegma regelii Bunge</w:t>
            </w:r>
          </w:p>
        </w:tc>
        <w:tc>
          <w:tcPr>
            <w:tcW w:w="753" w:type="pct"/>
            <w:vAlign w:val="center"/>
          </w:tcPr>
          <w:p w14:paraId="711B588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7D32D14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木兰纲</w:t>
            </w:r>
          </w:p>
        </w:tc>
        <w:tc>
          <w:tcPr>
            <w:tcW w:w="426" w:type="pct"/>
            <w:vAlign w:val="center"/>
          </w:tcPr>
          <w:p w14:paraId="782590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vAlign w:val="center"/>
          </w:tcPr>
          <w:p w14:paraId="7B8264C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合头草 属</w:t>
            </w:r>
          </w:p>
        </w:tc>
        <w:tc>
          <w:tcPr>
            <w:tcW w:w="491" w:type="pct"/>
            <w:tcBorders>
              <w:right w:val="nil"/>
            </w:tcBorders>
            <w:vAlign w:val="center"/>
          </w:tcPr>
          <w:p w14:paraId="23C5F58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262D5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1664723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沙拐枣</w:t>
            </w:r>
          </w:p>
        </w:tc>
        <w:tc>
          <w:tcPr>
            <w:tcW w:w="1320" w:type="pct"/>
            <w:vAlign w:val="center"/>
          </w:tcPr>
          <w:p w14:paraId="5A5969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Calligonum roborovskii</w:t>
            </w:r>
          </w:p>
          <w:p w14:paraId="4ED54CD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A. Los.</w:t>
            </w:r>
          </w:p>
        </w:tc>
        <w:tc>
          <w:tcPr>
            <w:tcW w:w="753" w:type="pct"/>
            <w:vAlign w:val="center"/>
          </w:tcPr>
          <w:p w14:paraId="411869C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447C012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木兰纲</w:t>
            </w:r>
          </w:p>
        </w:tc>
        <w:tc>
          <w:tcPr>
            <w:tcW w:w="426" w:type="pct"/>
            <w:vAlign w:val="center"/>
          </w:tcPr>
          <w:p w14:paraId="262BD9E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蓼科</w:t>
            </w:r>
          </w:p>
        </w:tc>
        <w:tc>
          <w:tcPr>
            <w:tcW w:w="490" w:type="pct"/>
            <w:vAlign w:val="center"/>
          </w:tcPr>
          <w:p w14:paraId="6FE94A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沙拐枣 属</w:t>
            </w:r>
          </w:p>
        </w:tc>
        <w:tc>
          <w:tcPr>
            <w:tcW w:w="491" w:type="pct"/>
            <w:tcBorders>
              <w:right w:val="nil"/>
            </w:tcBorders>
            <w:vAlign w:val="center"/>
          </w:tcPr>
          <w:p w14:paraId="4BF715B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26C33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448031E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多枝怪柳</w:t>
            </w:r>
          </w:p>
        </w:tc>
        <w:tc>
          <w:tcPr>
            <w:tcW w:w="1320" w:type="pct"/>
            <w:vAlign w:val="center"/>
          </w:tcPr>
          <w:p w14:paraId="419CEC4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Tamarix ramosissima</w:t>
            </w:r>
          </w:p>
          <w:p w14:paraId="2C37AF8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Lcdcb</w:t>
            </w:r>
          </w:p>
        </w:tc>
        <w:tc>
          <w:tcPr>
            <w:tcW w:w="753" w:type="pct"/>
            <w:vAlign w:val="center"/>
          </w:tcPr>
          <w:p w14:paraId="68040A1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A0C1D1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56FA432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w:t>
            </w:r>
          </w:p>
          <w:p w14:paraId="2109B62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01BF65F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柽柳属</w:t>
            </w:r>
          </w:p>
        </w:tc>
        <w:tc>
          <w:tcPr>
            <w:tcW w:w="491" w:type="pct"/>
            <w:tcBorders>
              <w:right w:val="nil"/>
            </w:tcBorders>
            <w:vAlign w:val="center"/>
          </w:tcPr>
          <w:p w14:paraId="057BAAB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5BC4C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696" w:type="pct"/>
            <w:tcBorders>
              <w:left w:val="nil"/>
            </w:tcBorders>
            <w:vAlign w:val="center"/>
          </w:tcPr>
          <w:p w14:paraId="58C7BAC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戈壁藜</w:t>
            </w:r>
          </w:p>
        </w:tc>
        <w:tc>
          <w:tcPr>
            <w:tcW w:w="1320" w:type="pct"/>
            <w:vAlign w:val="center"/>
          </w:tcPr>
          <w:p w14:paraId="2EF842B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Iljinia regelii (Bunge)</w:t>
            </w:r>
          </w:p>
          <w:p w14:paraId="72942BC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Korov.</w:t>
            </w:r>
          </w:p>
        </w:tc>
        <w:tc>
          <w:tcPr>
            <w:tcW w:w="753" w:type="pct"/>
            <w:vAlign w:val="center"/>
          </w:tcPr>
          <w:p w14:paraId="0BB7B46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0AB270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木兰纲</w:t>
            </w:r>
          </w:p>
        </w:tc>
        <w:tc>
          <w:tcPr>
            <w:tcW w:w="426" w:type="pct"/>
            <w:vAlign w:val="center"/>
          </w:tcPr>
          <w:p w14:paraId="20D2860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0" w:type="pct"/>
            <w:vAlign w:val="center"/>
          </w:tcPr>
          <w:p w14:paraId="102A10E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藜科</w:t>
            </w:r>
          </w:p>
        </w:tc>
        <w:tc>
          <w:tcPr>
            <w:tcW w:w="491" w:type="pct"/>
            <w:tcBorders>
              <w:right w:val="nil"/>
            </w:tcBorders>
            <w:vAlign w:val="center"/>
          </w:tcPr>
          <w:p w14:paraId="43889B6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69D90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3801212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芨芨草</w:t>
            </w:r>
          </w:p>
        </w:tc>
        <w:tc>
          <w:tcPr>
            <w:tcW w:w="1320" w:type="pct"/>
            <w:vAlign w:val="center"/>
          </w:tcPr>
          <w:p w14:paraId="1DD9D41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Achnatherum splendens</w:t>
            </w:r>
          </w:p>
        </w:tc>
        <w:tc>
          <w:tcPr>
            <w:tcW w:w="753" w:type="pct"/>
            <w:vAlign w:val="center"/>
          </w:tcPr>
          <w:p w14:paraId="04E0A65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797651C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单子叶植物纲</w:t>
            </w:r>
          </w:p>
        </w:tc>
        <w:tc>
          <w:tcPr>
            <w:tcW w:w="426" w:type="pct"/>
            <w:vAlign w:val="center"/>
          </w:tcPr>
          <w:p w14:paraId="1303C5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w:t>
            </w:r>
          </w:p>
          <w:p w14:paraId="2B66BC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66BC20C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禾本科</w:t>
            </w:r>
          </w:p>
        </w:tc>
        <w:tc>
          <w:tcPr>
            <w:tcW w:w="491" w:type="pct"/>
            <w:tcBorders>
              <w:right w:val="nil"/>
            </w:tcBorders>
            <w:vAlign w:val="center"/>
          </w:tcPr>
          <w:p w14:paraId="3AF4E68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1F11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394BD28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骆驼蓬</w:t>
            </w:r>
          </w:p>
        </w:tc>
        <w:tc>
          <w:tcPr>
            <w:tcW w:w="1320" w:type="pct"/>
            <w:vAlign w:val="center"/>
          </w:tcPr>
          <w:p w14:paraId="4ECBAB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Peganum harmala L.</w:t>
            </w:r>
          </w:p>
        </w:tc>
        <w:tc>
          <w:tcPr>
            <w:tcW w:w="753" w:type="pct"/>
            <w:vAlign w:val="center"/>
          </w:tcPr>
          <w:p w14:paraId="2731F4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AF900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00ECDEC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蒺藜</w:t>
            </w:r>
          </w:p>
          <w:p w14:paraId="0F09F2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510582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骆驼蓬 属</w:t>
            </w:r>
          </w:p>
        </w:tc>
        <w:tc>
          <w:tcPr>
            <w:tcW w:w="491" w:type="pct"/>
            <w:tcBorders>
              <w:right w:val="nil"/>
            </w:tcBorders>
            <w:vAlign w:val="center"/>
          </w:tcPr>
          <w:p w14:paraId="70EBAB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78B70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2012DD6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锦鸡儿</w:t>
            </w:r>
          </w:p>
        </w:tc>
        <w:tc>
          <w:tcPr>
            <w:tcW w:w="1320" w:type="pct"/>
            <w:vAlign w:val="center"/>
          </w:tcPr>
          <w:p w14:paraId="3FEA61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Caragana sinica  (Buc 'hoz) Rehder</w:t>
            </w:r>
          </w:p>
        </w:tc>
        <w:tc>
          <w:tcPr>
            <w:tcW w:w="753" w:type="pct"/>
            <w:vAlign w:val="center"/>
          </w:tcPr>
          <w:p w14:paraId="5840F20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85E64D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25A7B2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豆科</w:t>
            </w:r>
          </w:p>
        </w:tc>
        <w:tc>
          <w:tcPr>
            <w:tcW w:w="490" w:type="pct"/>
            <w:vAlign w:val="center"/>
          </w:tcPr>
          <w:p w14:paraId="355EF7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锦鸡儿 属</w:t>
            </w:r>
          </w:p>
        </w:tc>
        <w:tc>
          <w:tcPr>
            <w:tcW w:w="491" w:type="pct"/>
            <w:tcBorders>
              <w:right w:val="nil"/>
            </w:tcBorders>
            <w:vAlign w:val="center"/>
          </w:tcPr>
          <w:p w14:paraId="4EFCEA8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4E3AB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96" w:type="pct"/>
            <w:tcBorders>
              <w:left w:val="nil"/>
            </w:tcBorders>
            <w:vAlign w:val="center"/>
          </w:tcPr>
          <w:p w14:paraId="5AFF557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白榆</w:t>
            </w:r>
          </w:p>
        </w:tc>
        <w:tc>
          <w:tcPr>
            <w:tcW w:w="1320" w:type="pct"/>
            <w:vAlign w:val="center"/>
          </w:tcPr>
          <w:p w14:paraId="517768A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Ulmus pumila L.</w:t>
            </w:r>
          </w:p>
        </w:tc>
        <w:tc>
          <w:tcPr>
            <w:tcW w:w="753" w:type="pct"/>
            <w:vAlign w:val="center"/>
          </w:tcPr>
          <w:p w14:paraId="41E25F4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4BB8CBF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3F8C512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榆科</w:t>
            </w:r>
          </w:p>
        </w:tc>
        <w:tc>
          <w:tcPr>
            <w:tcW w:w="490" w:type="pct"/>
            <w:vAlign w:val="center"/>
          </w:tcPr>
          <w:p w14:paraId="1255A7B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榆属</w:t>
            </w:r>
          </w:p>
        </w:tc>
        <w:tc>
          <w:tcPr>
            <w:tcW w:w="491" w:type="pct"/>
            <w:tcBorders>
              <w:right w:val="nil"/>
            </w:tcBorders>
            <w:vAlign w:val="center"/>
          </w:tcPr>
          <w:p w14:paraId="29F2410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0645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56575D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柳树</w:t>
            </w:r>
          </w:p>
        </w:tc>
        <w:tc>
          <w:tcPr>
            <w:tcW w:w="1320" w:type="pct"/>
            <w:vAlign w:val="center"/>
          </w:tcPr>
          <w:p w14:paraId="793C8BF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Salix</w:t>
            </w:r>
          </w:p>
        </w:tc>
        <w:tc>
          <w:tcPr>
            <w:tcW w:w="753" w:type="pct"/>
            <w:vAlign w:val="center"/>
          </w:tcPr>
          <w:p w14:paraId="5C09C56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29122C3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 纲，木兰纲</w:t>
            </w:r>
          </w:p>
        </w:tc>
        <w:tc>
          <w:tcPr>
            <w:tcW w:w="426" w:type="pct"/>
            <w:vAlign w:val="center"/>
          </w:tcPr>
          <w:p w14:paraId="4E5FC38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杨柳</w:t>
            </w:r>
          </w:p>
          <w:p w14:paraId="3B22CF5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41631E7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柳属</w:t>
            </w:r>
          </w:p>
        </w:tc>
        <w:tc>
          <w:tcPr>
            <w:tcW w:w="491" w:type="pct"/>
            <w:tcBorders>
              <w:right w:val="nil"/>
            </w:tcBorders>
            <w:vAlign w:val="center"/>
          </w:tcPr>
          <w:p w14:paraId="44E810D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5F906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696" w:type="pct"/>
            <w:tcBorders>
              <w:left w:val="nil"/>
            </w:tcBorders>
            <w:vAlign w:val="center"/>
          </w:tcPr>
          <w:p w14:paraId="5BB85A2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沙棘</w:t>
            </w:r>
          </w:p>
        </w:tc>
        <w:tc>
          <w:tcPr>
            <w:tcW w:w="1320" w:type="pct"/>
            <w:vAlign w:val="center"/>
          </w:tcPr>
          <w:p w14:paraId="74CEA9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Hippophae rhamnoides</w:t>
            </w:r>
          </w:p>
          <w:p w14:paraId="0B77767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Linn.</w:t>
            </w:r>
          </w:p>
        </w:tc>
        <w:tc>
          <w:tcPr>
            <w:tcW w:w="753" w:type="pct"/>
            <w:vAlign w:val="center"/>
          </w:tcPr>
          <w:p w14:paraId="615259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0C0DD41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226BD96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胡颓</w:t>
            </w:r>
          </w:p>
          <w:p w14:paraId="4F17E25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子科</w:t>
            </w:r>
          </w:p>
        </w:tc>
        <w:tc>
          <w:tcPr>
            <w:tcW w:w="490" w:type="pct"/>
            <w:vAlign w:val="center"/>
          </w:tcPr>
          <w:p w14:paraId="4D064EA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沙棘属</w:t>
            </w:r>
          </w:p>
        </w:tc>
        <w:tc>
          <w:tcPr>
            <w:tcW w:w="491" w:type="pct"/>
            <w:tcBorders>
              <w:right w:val="nil"/>
            </w:tcBorders>
            <w:vAlign w:val="center"/>
          </w:tcPr>
          <w:p w14:paraId="67303A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1CC1D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jc w:val="center"/>
        </w:trPr>
        <w:tc>
          <w:tcPr>
            <w:tcW w:w="696" w:type="pct"/>
            <w:tcBorders>
              <w:left w:val="nil"/>
            </w:tcBorders>
            <w:vAlign w:val="center"/>
          </w:tcPr>
          <w:p w14:paraId="55AC16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怪柳</w:t>
            </w:r>
          </w:p>
        </w:tc>
        <w:tc>
          <w:tcPr>
            <w:tcW w:w="1320" w:type="pct"/>
            <w:vAlign w:val="center"/>
          </w:tcPr>
          <w:p w14:paraId="4AD98FF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Tamarix chinensis Lour.</w:t>
            </w:r>
          </w:p>
        </w:tc>
        <w:tc>
          <w:tcPr>
            <w:tcW w:w="753" w:type="pct"/>
            <w:vAlign w:val="center"/>
          </w:tcPr>
          <w:p w14:paraId="13E1A97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02D2FB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694ECC9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w:t>
            </w:r>
          </w:p>
          <w:p w14:paraId="331EEA3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4620276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柽柳属</w:t>
            </w:r>
          </w:p>
        </w:tc>
        <w:tc>
          <w:tcPr>
            <w:tcW w:w="491" w:type="pct"/>
            <w:tcBorders>
              <w:right w:val="nil"/>
            </w:tcBorders>
            <w:vAlign w:val="center"/>
          </w:tcPr>
          <w:p w14:paraId="4A70AFD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67B9A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jc w:val="center"/>
        </w:trPr>
        <w:tc>
          <w:tcPr>
            <w:tcW w:w="696" w:type="pct"/>
            <w:tcBorders>
              <w:left w:val="nil"/>
            </w:tcBorders>
            <w:vAlign w:val="center"/>
          </w:tcPr>
          <w:p w14:paraId="1E13C5D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白刺</w:t>
            </w:r>
          </w:p>
        </w:tc>
        <w:tc>
          <w:tcPr>
            <w:tcW w:w="1320" w:type="pct"/>
            <w:vAlign w:val="center"/>
          </w:tcPr>
          <w:p w14:paraId="000136C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Nitraria tangutorum Bobrov</w:t>
            </w:r>
          </w:p>
        </w:tc>
        <w:tc>
          <w:tcPr>
            <w:tcW w:w="753" w:type="pct"/>
            <w:vAlign w:val="center"/>
          </w:tcPr>
          <w:p w14:paraId="2E80846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1904032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木兰纲</w:t>
            </w:r>
          </w:p>
        </w:tc>
        <w:tc>
          <w:tcPr>
            <w:tcW w:w="426" w:type="pct"/>
            <w:vAlign w:val="center"/>
          </w:tcPr>
          <w:p w14:paraId="2F21A19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白刺</w:t>
            </w:r>
          </w:p>
          <w:p w14:paraId="17ED6C5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vAlign w:val="center"/>
          </w:tcPr>
          <w:p w14:paraId="3DAEEF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白刺属</w:t>
            </w:r>
          </w:p>
        </w:tc>
        <w:tc>
          <w:tcPr>
            <w:tcW w:w="491" w:type="pct"/>
            <w:tcBorders>
              <w:right w:val="nil"/>
            </w:tcBorders>
            <w:vAlign w:val="center"/>
          </w:tcPr>
          <w:p w14:paraId="1983B64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38094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jc w:val="center"/>
        </w:trPr>
        <w:tc>
          <w:tcPr>
            <w:tcW w:w="696" w:type="pct"/>
            <w:tcBorders>
              <w:left w:val="nil"/>
            </w:tcBorders>
            <w:vAlign w:val="center"/>
          </w:tcPr>
          <w:p w14:paraId="199CB5A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蒲公英</w:t>
            </w:r>
          </w:p>
        </w:tc>
        <w:tc>
          <w:tcPr>
            <w:tcW w:w="1320" w:type="pct"/>
            <w:vAlign w:val="center"/>
          </w:tcPr>
          <w:p w14:paraId="54AB7F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Taraxacum mongolicum Hand.-Mazz</w:t>
            </w:r>
          </w:p>
        </w:tc>
        <w:tc>
          <w:tcPr>
            <w:tcW w:w="753" w:type="pct"/>
            <w:vAlign w:val="center"/>
          </w:tcPr>
          <w:p w14:paraId="4AEE5C0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37499AA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2A0F116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菊科</w:t>
            </w:r>
          </w:p>
        </w:tc>
        <w:tc>
          <w:tcPr>
            <w:tcW w:w="490" w:type="pct"/>
            <w:vAlign w:val="center"/>
          </w:tcPr>
          <w:p w14:paraId="67DC2B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蒲公英 属</w:t>
            </w:r>
          </w:p>
        </w:tc>
        <w:tc>
          <w:tcPr>
            <w:tcW w:w="491" w:type="pct"/>
            <w:tcBorders>
              <w:right w:val="nil"/>
            </w:tcBorders>
            <w:vAlign w:val="center"/>
          </w:tcPr>
          <w:p w14:paraId="16A2D80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112D3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jc w:val="center"/>
        </w:trPr>
        <w:tc>
          <w:tcPr>
            <w:tcW w:w="696" w:type="pct"/>
            <w:tcBorders>
              <w:left w:val="nil"/>
            </w:tcBorders>
            <w:vAlign w:val="center"/>
          </w:tcPr>
          <w:p w14:paraId="50C6293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蓝刺头</w:t>
            </w:r>
          </w:p>
        </w:tc>
        <w:tc>
          <w:tcPr>
            <w:tcW w:w="1320" w:type="pct"/>
            <w:vAlign w:val="center"/>
          </w:tcPr>
          <w:p w14:paraId="1199934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Echinops</w:t>
            </w:r>
          </w:p>
          <w:p w14:paraId="601C0C1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sphaerocephalus L.</w:t>
            </w:r>
          </w:p>
        </w:tc>
        <w:tc>
          <w:tcPr>
            <w:tcW w:w="753" w:type="pct"/>
            <w:vAlign w:val="center"/>
          </w:tcPr>
          <w:p w14:paraId="58047AB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7F8F104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3EDF9BB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菊科</w:t>
            </w:r>
          </w:p>
        </w:tc>
        <w:tc>
          <w:tcPr>
            <w:tcW w:w="490" w:type="pct"/>
            <w:vAlign w:val="center"/>
          </w:tcPr>
          <w:p w14:paraId="50A56D1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蓝刺头 属</w:t>
            </w:r>
          </w:p>
        </w:tc>
        <w:tc>
          <w:tcPr>
            <w:tcW w:w="491" w:type="pct"/>
            <w:tcBorders>
              <w:right w:val="nil"/>
            </w:tcBorders>
            <w:vAlign w:val="center"/>
          </w:tcPr>
          <w:p w14:paraId="545BE27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25845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jc w:val="center"/>
        </w:trPr>
        <w:tc>
          <w:tcPr>
            <w:tcW w:w="696" w:type="pct"/>
            <w:tcBorders>
              <w:left w:val="nil"/>
            </w:tcBorders>
            <w:vAlign w:val="center"/>
          </w:tcPr>
          <w:p w14:paraId="3DD08E1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莲座蓟</w:t>
            </w:r>
          </w:p>
        </w:tc>
        <w:tc>
          <w:tcPr>
            <w:tcW w:w="1320" w:type="pct"/>
            <w:vAlign w:val="center"/>
          </w:tcPr>
          <w:p w14:paraId="6F6365D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Cirsium esculentum (Sievers) C.A.Mey.</w:t>
            </w:r>
          </w:p>
        </w:tc>
        <w:tc>
          <w:tcPr>
            <w:tcW w:w="753" w:type="pct"/>
            <w:vAlign w:val="center"/>
          </w:tcPr>
          <w:p w14:paraId="25D750F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vAlign w:val="center"/>
          </w:tcPr>
          <w:p w14:paraId="6E8BE6B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双子叶植物纲</w:t>
            </w:r>
          </w:p>
        </w:tc>
        <w:tc>
          <w:tcPr>
            <w:tcW w:w="426" w:type="pct"/>
            <w:vAlign w:val="center"/>
          </w:tcPr>
          <w:p w14:paraId="4DF4A52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菊科</w:t>
            </w:r>
          </w:p>
        </w:tc>
        <w:tc>
          <w:tcPr>
            <w:tcW w:w="490" w:type="pct"/>
            <w:vAlign w:val="center"/>
          </w:tcPr>
          <w:p w14:paraId="1AA152B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蓟属</w:t>
            </w:r>
          </w:p>
        </w:tc>
        <w:tc>
          <w:tcPr>
            <w:tcW w:w="491" w:type="pct"/>
            <w:tcBorders>
              <w:right w:val="nil"/>
            </w:tcBorders>
            <w:vAlign w:val="center"/>
          </w:tcPr>
          <w:p w14:paraId="75E6875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r w14:paraId="4E6A1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jc w:val="center"/>
        </w:trPr>
        <w:tc>
          <w:tcPr>
            <w:tcW w:w="696" w:type="pct"/>
            <w:tcBorders>
              <w:left w:val="nil"/>
              <w:bottom w:val="single" w:color="000000" w:sz="10" w:space="0"/>
            </w:tcBorders>
            <w:vAlign w:val="center"/>
          </w:tcPr>
          <w:p w14:paraId="26BE438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萎陵菜</w:t>
            </w:r>
          </w:p>
        </w:tc>
        <w:tc>
          <w:tcPr>
            <w:tcW w:w="1320" w:type="pct"/>
            <w:tcBorders>
              <w:bottom w:val="single" w:color="000000" w:sz="10" w:space="0"/>
            </w:tcBorders>
            <w:vAlign w:val="center"/>
          </w:tcPr>
          <w:p w14:paraId="587FCE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Potentilla chinensis Ser</w:t>
            </w:r>
          </w:p>
        </w:tc>
        <w:tc>
          <w:tcPr>
            <w:tcW w:w="753" w:type="pct"/>
            <w:tcBorders>
              <w:bottom w:val="single" w:color="000000" w:sz="10" w:space="0"/>
            </w:tcBorders>
            <w:vAlign w:val="center"/>
          </w:tcPr>
          <w:p w14:paraId="6128A7D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被子植物门</w:t>
            </w:r>
          </w:p>
        </w:tc>
        <w:tc>
          <w:tcPr>
            <w:tcW w:w="819" w:type="pct"/>
            <w:tcBorders>
              <w:bottom w:val="single" w:color="000000" w:sz="10" w:space="0"/>
            </w:tcBorders>
            <w:vAlign w:val="center"/>
          </w:tcPr>
          <w:p w14:paraId="1B56F27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木兰纲</w:t>
            </w:r>
          </w:p>
        </w:tc>
        <w:tc>
          <w:tcPr>
            <w:tcW w:w="426" w:type="pct"/>
            <w:tcBorders>
              <w:bottom w:val="single" w:color="000000" w:sz="10" w:space="0"/>
            </w:tcBorders>
            <w:vAlign w:val="center"/>
          </w:tcPr>
          <w:p w14:paraId="054FFBF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蔷薇</w:t>
            </w:r>
          </w:p>
          <w:p w14:paraId="477772D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科</w:t>
            </w:r>
          </w:p>
        </w:tc>
        <w:tc>
          <w:tcPr>
            <w:tcW w:w="490" w:type="pct"/>
            <w:tcBorders>
              <w:bottom w:val="single" w:color="000000" w:sz="10" w:space="0"/>
            </w:tcBorders>
            <w:vAlign w:val="center"/>
          </w:tcPr>
          <w:p w14:paraId="7B7B1F9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r>
              <w:rPr>
                <w:rFonts w:hint="eastAsia" w:ascii="宋体" w:hAnsi="宋体" w:eastAsia="宋体" w:cs="宋体"/>
                <w:sz w:val="20"/>
                <w:szCs w:val="20"/>
              </w:rPr>
              <w:t>委陵菜 属</w:t>
            </w:r>
          </w:p>
        </w:tc>
        <w:tc>
          <w:tcPr>
            <w:tcW w:w="491" w:type="pct"/>
            <w:tcBorders>
              <w:bottom w:val="single" w:color="000000" w:sz="10" w:space="0"/>
              <w:right w:val="nil"/>
            </w:tcBorders>
            <w:vAlign w:val="center"/>
          </w:tcPr>
          <w:p w14:paraId="49B0921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0"/>
                <w:szCs w:val="20"/>
              </w:rPr>
            </w:pPr>
          </w:p>
        </w:tc>
      </w:tr>
    </w:tbl>
    <w:p w14:paraId="01D291F1">
      <w:pPr>
        <w:pStyle w:val="8"/>
      </w:pPr>
    </w:p>
    <w:p w14:paraId="120F81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根据调查，本工程</w:t>
      </w:r>
      <w:r>
        <w:rPr>
          <w:rFonts w:hint="eastAsia" w:ascii="宋体" w:hAnsi="宋体" w:eastAsia="宋体" w:cs="宋体"/>
          <w:sz w:val="24"/>
          <w:szCs w:val="24"/>
          <w:lang w:val="en-US" w:eastAsia="zh-CN"/>
        </w:rPr>
        <w:t>建设地点</w:t>
      </w:r>
      <w:r>
        <w:rPr>
          <w:rFonts w:ascii="宋体" w:hAnsi="宋体" w:eastAsia="宋体" w:cs="宋体"/>
          <w:sz w:val="24"/>
          <w:szCs w:val="24"/>
        </w:rPr>
        <w:t>不涉及《国家重点保护野生植物名录》（2021版）和《新疆维吾尔自治区重点保护野生植物名录》（2022 版,第一批）中的保护植物。</w:t>
      </w:r>
    </w:p>
    <w:p w14:paraId="1BB2A3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本工程所在区域植被类型现状图，见</w:t>
      </w:r>
      <w:r>
        <w:rPr>
          <w:rFonts w:hint="eastAsia" w:ascii="宋体" w:hAnsi="宋体" w:eastAsia="宋体" w:cs="宋体"/>
          <w:sz w:val="24"/>
          <w:szCs w:val="24"/>
          <w:lang w:val="en-US" w:eastAsia="zh-CN"/>
        </w:rPr>
        <w:t>附</w:t>
      </w:r>
      <w:r>
        <w:rPr>
          <w:rFonts w:ascii="宋体" w:hAnsi="宋体" w:eastAsia="宋体" w:cs="宋体"/>
          <w:sz w:val="24"/>
          <w:szCs w:val="24"/>
        </w:rPr>
        <w:t>图</w:t>
      </w:r>
      <w:r>
        <w:rPr>
          <w:rFonts w:hint="eastAsia" w:ascii="宋体" w:hAnsi="宋体" w:eastAsia="宋体" w:cs="宋体"/>
          <w:sz w:val="24"/>
          <w:szCs w:val="24"/>
          <w:lang w:val="en-US" w:eastAsia="zh-CN"/>
        </w:rPr>
        <w:t>10植被类型图</w:t>
      </w:r>
      <w:r>
        <w:rPr>
          <w:rFonts w:ascii="宋体" w:hAnsi="宋体" w:eastAsia="宋体" w:cs="宋体"/>
          <w:sz w:val="24"/>
          <w:szCs w:val="24"/>
        </w:rPr>
        <w:t>。</w:t>
      </w:r>
    </w:p>
    <w:p w14:paraId="02A178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艾丁湖流域</w:t>
      </w:r>
      <w:r>
        <w:rPr>
          <w:rFonts w:ascii="宋体" w:hAnsi="宋体" w:eastAsia="宋体" w:cs="宋体"/>
          <w:sz w:val="24"/>
          <w:szCs w:val="24"/>
        </w:rPr>
        <w:t>保护植被</w:t>
      </w:r>
    </w:p>
    <w:p w14:paraId="777A26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①国家重点保护野生植物</w:t>
      </w:r>
    </w:p>
    <w:p w14:paraId="13D1402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按照《国家重点保护野生植物名录》（2021），流域记录到国家 II 级重点保护野生植物 1 种：黑果枸杞 Lycium ruthenicum。黑果枸杞为茄科枸杞属多棘刺灌木，高 20~50（~ 150）cm ，多分枝；小枝顶端渐 尖成棘刺状，叶 2~6 枚簇生于短枝上，在幼枝上则单叶互生，肥厚肉质，近无柄；花 冠漏斗状，浅紫色；浆果紫黑色，球状，有时顶端稍凹陷，花果期 5~ 10 月。在我国 分布于陕西北部、宁夏、甘肃、青海、新疆和西藏；中亚、高加索和欧洲亦有分布。耐干旱，常生于盐碱土荒地、沙地或路旁。</w:t>
      </w:r>
    </w:p>
    <w:p w14:paraId="65B6FE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②自治区重点保护野生植物</w:t>
      </w:r>
    </w:p>
    <w:p w14:paraId="2D584B0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sz w:val="24"/>
          <w:szCs w:val="24"/>
          <w:lang w:val="en-US" w:eastAsia="zh-CN"/>
        </w:rPr>
      </w:pPr>
      <w:r>
        <w:rPr>
          <w:rFonts w:ascii="宋体" w:hAnsi="宋体" w:eastAsia="宋体" w:cs="宋体"/>
          <w:sz w:val="24"/>
          <w:szCs w:val="24"/>
        </w:rPr>
        <w:t>按照《新疆维吾尔自治区重点保护野生植物名录（第一批）》（2007），经调查评价区发现新疆自治区重点保护野生植物 1 种，为自治区 I 级保护植物：中麻黄。中麻黄是麻黄科麻黄属灌木，高 20~ 100cm；茎直立或匍匐斜上，粗壮，基部分 枝多；绿色小枝常被白粉呈灰绿色；叶 3 裂及 2 裂混见，下部约 2/3 合生成鞘状，上 部裂片钝三角形或窄三角披针形。雄球花通常无梗，数个密集于节上成团状；雌球花 2-3 成簇，对生或轮生于节上，无梗或有短梗；种子包于肉质红色的苞片内，不外露， 3 粒或 2 粒，长 5-6 毫米，径约 3 毫米。花期 5-6 月，种子 7-8 月成熟。为我国分布最广的麻黄之一，产于辽宁、河北、山东、内蒙古、山西、陕西、甘肃、青海及新疆</w:t>
      </w:r>
      <w:r>
        <w:rPr>
          <w:rFonts w:hint="eastAsia" w:ascii="宋体" w:hAnsi="宋体" w:eastAsia="宋体" w:cs="宋体"/>
          <w:sz w:val="24"/>
          <w:szCs w:val="24"/>
          <w:lang w:val="en-US" w:eastAsia="zh-CN"/>
        </w:rPr>
        <w:t>等省区，以西北各省区最为常见。抗旱性强，生于干旱荒漠、沙滩地区及干旱的山坡或草地上。</w:t>
      </w:r>
    </w:p>
    <w:p w14:paraId="67BD888E">
      <w:pPr>
        <w:spacing w:before="92" w:line="220" w:lineRule="auto"/>
        <w:ind w:left="10"/>
        <w:outlineLvl w:val="2"/>
        <w:rPr>
          <w:rFonts w:ascii="宋体" w:hAnsi="宋体" w:eastAsia="宋体" w:cs="宋体"/>
          <w:b/>
          <w:bCs/>
          <w:spacing w:val="-1"/>
          <w:sz w:val="28"/>
          <w:szCs w:val="28"/>
          <w14:textOutline w14:w="5103" w14:cap="sq" w14:cmpd="sng">
            <w14:solidFill>
              <w14:srgbClr w14:val="000000"/>
            </w14:solidFill>
            <w14:prstDash w14:val="solid"/>
            <w14:bevel/>
          </w14:textOutline>
        </w:rPr>
      </w:pPr>
    </w:p>
    <w:p w14:paraId="2776CFD6">
      <w:pPr>
        <w:spacing w:before="92" w:line="220" w:lineRule="auto"/>
        <w:ind w:left="10"/>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4.6.4</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动物资源现状</w:t>
      </w:r>
    </w:p>
    <w:p w14:paraId="3387F2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（1）野生动物区划</w:t>
      </w:r>
    </w:p>
    <w:p w14:paraId="63EE77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根据《中国动物地理区划》的动物地理区划标准，</w:t>
      </w:r>
      <w:r>
        <w:rPr>
          <w:rFonts w:hint="eastAsia" w:ascii="宋体" w:hAnsi="宋体" w:eastAsia="宋体" w:cs="宋体"/>
          <w:spacing w:val="-2"/>
          <w:sz w:val="24"/>
          <w:szCs w:val="24"/>
          <w:lang w:val="en-US" w:eastAsia="zh-CN"/>
        </w:rPr>
        <w:t>艾丁湖</w:t>
      </w:r>
      <w:r>
        <w:rPr>
          <w:rFonts w:ascii="宋体" w:hAnsi="宋体" w:eastAsia="宋体" w:cs="宋体"/>
          <w:spacing w:val="-2"/>
          <w:sz w:val="24"/>
          <w:szCs w:val="24"/>
        </w:rPr>
        <w:t>流域属古北界、中亚亚界、蒙新区、西部荒漠/半荒漠亚区。</w:t>
      </w:r>
    </w:p>
    <w:p w14:paraId="090393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（2）样线调查情况</w:t>
      </w:r>
    </w:p>
    <w:p w14:paraId="63A6FE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按照《生物多样性观测技术导则 陆生哺乳动物（HJ710.3-2014）》《生物多样性 观测技术 导则 鸟类（HJ710.4-2014 ） 》 《 生物多样性观测技术导则 爬行动物 （HJ710.5-2014）》《生物多样性观测技术导则 两栖动物（HJ710.6-2014）》等确定的技术方法，对流域规划范围各类野生动物开展了调查。</w:t>
      </w:r>
    </w:p>
    <w:p w14:paraId="32EC06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流域内山区分布动物种类相对丰富，主要分布有雪豹、北山羊、盘羊等大型兽类， 此外还分布有草兔、鼠兔和灰旱獭等啮齿类动物及岭雀、雪雀、黄嘴山鸦等鸟类；在  出山口以下平原区主要分布荒漠动物（如叶城沙蜥、快步麻蜥等）和绿洲常见物种（如大耳猥、小家鼠、根田鼠等）及鸟类（如家麻雀、树麻雀、斑鸠、喜鹊等）。</w:t>
      </w:r>
    </w:p>
    <w:p w14:paraId="014A8A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野生动物调查主要采用样线法，样线法是指观测者在观测样地内沿着选定的一条 线路记录一定空间范围内出现的物种相关信息的方法。根据规划野生动物生境类型， 本次规划在河流道路沿线及艾丁湖区设置样线，针对一些不容易捕捉的哺乳动物及两 栖类动物，借助其遗留下的且易于鉴定的活动痕迹，推测动物的种类，估算其种类和 数量。本次调查发现了一些野生动物的粪便、毛发等痕迹及多处动物巢穴。本次调查使用 8 倍双筒望远镜，观测到的主要为野生鸟类和爬行类。</w:t>
      </w:r>
    </w:p>
    <w:p w14:paraId="48F77F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（3）野生动物种类及分布</w:t>
      </w:r>
    </w:p>
    <w:p w14:paraId="10488A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通过对流域山区及下游艾丁湖区域动物的实地调查和有关资料的查询，规划区域 陆生野生动物中，爬行类主要有密点麻蜥、快步麻蜥、捷蜥蜴、胎生蜥蜴等，鸟类主 要有斑鸠、环颈鸻、凤头百灵、岭雀、雪雀、黄嘴山鸦、麻雀、喜鹊等；哺乳类主要 有鹅喉羚、灰旱獭、草兔、鼠兔、小家鼠、根田鼠、北山羊、盘羊、狐狸、雪豹、刺猬、大耳猬等，活动范围小，且多为穴居。</w:t>
      </w:r>
    </w:p>
    <w:p w14:paraId="356A82C5">
      <w:pPr>
        <w:spacing w:before="293" w:line="219" w:lineRule="auto"/>
        <w:ind w:left="1846"/>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54"/>
          <w:sz w:val="24"/>
          <w:szCs w:val="24"/>
        </w:rPr>
        <w:t xml:space="preserve"> </w:t>
      </w:r>
      <w:r>
        <w:rPr>
          <w:rFonts w:hint="eastAsia" w:ascii="Times New Roman" w:hAnsi="Times New Roman" w:eastAsia="宋体" w:cs="Times New Roman"/>
          <w:b/>
          <w:bCs/>
          <w:sz w:val="24"/>
          <w:szCs w:val="24"/>
          <w:lang w:val="en-US" w:eastAsia="zh-CN"/>
        </w:rPr>
        <w:t>4-6-2</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流域范围主要陆生动物类型分类名录表</w:t>
      </w:r>
    </w:p>
    <w:p w14:paraId="305FD2E3">
      <w:pPr>
        <w:spacing w:line="164" w:lineRule="exact"/>
      </w:pP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248"/>
        <w:gridCol w:w="2335"/>
        <w:gridCol w:w="4075"/>
        <w:gridCol w:w="1489"/>
      </w:tblGrid>
      <w:tr w14:paraId="1AA1E7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82" w:type="pct"/>
            <w:tcBorders>
              <w:tl2br w:val="nil"/>
              <w:tr2bl w:val="nil"/>
            </w:tcBorders>
            <w:vAlign w:val="top"/>
          </w:tcPr>
          <w:p w14:paraId="7F052385">
            <w:pPr>
              <w:pStyle w:val="15"/>
              <w:spacing w:before="99" w:line="229" w:lineRule="auto"/>
              <w:ind w:left="422"/>
            </w:pPr>
            <w:r>
              <w:rPr>
                <w:spacing w:val="6"/>
                <w14:textOutline w14:w="3795" w14:cap="sq" w14:cmpd="sng">
                  <w14:solidFill>
                    <w14:srgbClr w14:val="000000"/>
                  </w14:solidFill>
                  <w14:prstDash w14:val="solid"/>
                  <w14:bevel/>
                </w14:textOutline>
              </w:rPr>
              <w:t>序号</w:t>
            </w:r>
          </w:p>
        </w:tc>
        <w:tc>
          <w:tcPr>
            <w:tcW w:w="1276" w:type="pct"/>
            <w:tcBorders>
              <w:tl2br w:val="nil"/>
              <w:tr2bl w:val="nil"/>
            </w:tcBorders>
            <w:vAlign w:val="top"/>
          </w:tcPr>
          <w:p w14:paraId="46487701">
            <w:pPr>
              <w:pStyle w:val="15"/>
              <w:spacing w:before="99" w:line="227" w:lineRule="auto"/>
              <w:ind w:left="975"/>
            </w:pPr>
            <w:r>
              <w:rPr>
                <w:spacing w:val="-9"/>
                <w14:textOutline w14:w="3795" w14:cap="sq" w14:cmpd="sng">
                  <w14:solidFill>
                    <w14:srgbClr w14:val="000000"/>
                  </w14:solidFill>
                  <w14:prstDash w14:val="solid"/>
                  <w14:bevel/>
                </w14:textOutline>
              </w:rPr>
              <w:t>目</w:t>
            </w:r>
            <w:r>
              <w:rPr>
                <w:rFonts w:ascii="Times New Roman" w:hAnsi="Times New Roman" w:eastAsia="Times New Roman" w:cs="Times New Roman"/>
                <w:b/>
                <w:bCs/>
                <w:spacing w:val="-9"/>
              </w:rPr>
              <w:t>/</w:t>
            </w:r>
            <w:r>
              <w:rPr>
                <w:spacing w:val="-9"/>
                <w14:textOutline w14:w="3795" w14:cap="sq" w14:cmpd="sng">
                  <w14:solidFill>
                    <w14:srgbClr w14:val="000000"/>
                  </w14:solidFill>
                  <w14:prstDash w14:val="solid"/>
                  <w14:bevel/>
                </w14:textOutline>
              </w:rPr>
              <w:t>科</w:t>
            </w:r>
          </w:p>
        </w:tc>
        <w:tc>
          <w:tcPr>
            <w:tcW w:w="2227" w:type="pct"/>
            <w:tcBorders>
              <w:tl2br w:val="nil"/>
              <w:tr2bl w:val="nil"/>
            </w:tcBorders>
            <w:vAlign w:val="top"/>
          </w:tcPr>
          <w:p w14:paraId="18182220">
            <w:pPr>
              <w:pStyle w:val="15"/>
              <w:spacing w:before="99" w:line="230" w:lineRule="auto"/>
              <w:ind w:left="1839"/>
            </w:pPr>
            <w:r>
              <w:rPr>
                <w:spacing w:val="4"/>
                <w14:textOutline w14:w="3795" w14:cap="sq" w14:cmpd="sng">
                  <w14:solidFill>
                    <w14:srgbClr w14:val="000000"/>
                  </w14:solidFill>
                  <w14:prstDash w14:val="solid"/>
                  <w14:bevel/>
                </w14:textOutline>
              </w:rPr>
              <w:t>名称</w:t>
            </w:r>
          </w:p>
        </w:tc>
        <w:tc>
          <w:tcPr>
            <w:tcW w:w="814" w:type="pct"/>
            <w:tcBorders>
              <w:tl2br w:val="nil"/>
              <w:tr2bl w:val="nil"/>
            </w:tcBorders>
            <w:vAlign w:val="top"/>
          </w:tcPr>
          <w:p w14:paraId="46167CA6">
            <w:pPr>
              <w:pStyle w:val="15"/>
              <w:spacing w:before="100" w:line="228" w:lineRule="auto"/>
              <w:ind w:left="333"/>
            </w:pPr>
            <w:r>
              <w:rPr>
                <w:spacing w:val="8"/>
                <w14:textOutline w14:w="3795" w14:cap="sq" w14:cmpd="sng">
                  <w14:solidFill>
                    <w14:srgbClr w14:val="000000"/>
                  </w14:solidFill>
                  <w14:prstDash w14:val="solid"/>
                  <w14:bevel/>
                </w14:textOutline>
              </w:rPr>
              <w:t>保护动物</w:t>
            </w:r>
          </w:p>
        </w:tc>
      </w:tr>
      <w:tr w14:paraId="14573B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36AC8ECC">
            <w:pPr>
              <w:rPr>
                <w:rFonts w:ascii="Arial"/>
                <w:sz w:val="21"/>
              </w:rPr>
            </w:pPr>
          </w:p>
        </w:tc>
        <w:tc>
          <w:tcPr>
            <w:tcW w:w="1276" w:type="pct"/>
            <w:tcBorders>
              <w:tl2br w:val="nil"/>
              <w:tr2bl w:val="nil"/>
            </w:tcBorders>
            <w:vAlign w:val="top"/>
          </w:tcPr>
          <w:p w14:paraId="3DEA91BE">
            <w:pPr>
              <w:pStyle w:val="15"/>
              <w:spacing w:before="96" w:line="228" w:lineRule="auto"/>
              <w:ind w:left="864"/>
            </w:pPr>
            <w:r>
              <w:rPr>
                <w:spacing w:val="5"/>
                <w14:textOutline w14:w="3795" w14:cap="sq" w14:cmpd="sng">
                  <w14:solidFill>
                    <w14:srgbClr w14:val="000000"/>
                  </w14:solidFill>
                  <w14:prstDash w14:val="solid"/>
                  <w14:bevel/>
                </w14:textOutline>
              </w:rPr>
              <w:t>哺乳纲</w:t>
            </w:r>
          </w:p>
        </w:tc>
        <w:tc>
          <w:tcPr>
            <w:tcW w:w="2227" w:type="pct"/>
            <w:tcBorders>
              <w:tl2br w:val="nil"/>
              <w:tr2bl w:val="nil"/>
            </w:tcBorders>
            <w:vAlign w:val="top"/>
          </w:tcPr>
          <w:p w14:paraId="637EA73E">
            <w:pPr>
              <w:rPr>
                <w:rFonts w:ascii="Arial"/>
                <w:sz w:val="21"/>
              </w:rPr>
            </w:pPr>
          </w:p>
        </w:tc>
        <w:tc>
          <w:tcPr>
            <w:tcW w:w="814" w:type="pct"/>
            <w:tcBorders>
              <w:tl2br w:val="nil"/>
              <w:tr2bl w:val="nil"/>
            </w:tcBorders>
            <w:vAlign w:val="top"/>
          </w:tcPr>
          <w:p w14:paraId="0F5440A6">
            <w:pPr>
              <w:rPr>
                <w:rFonts w:ascii="Arial"/>
                <w:sz w:val="21"/>
              </w:rPr>
            </w:pPr>
          </w:p>
        </w:tc>
      </w:tr>
      <w:tr w14:paraId="34D2CC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4E5B5DD">
            <w:pPr>
              <w:rPr>
                <w:rFonts w:ascii="Arial"/>
                <w:sz w:val="21"/>
              </w:rPr>
            </w:pPr>
          </w:p>
        </w:tc>
        <w:tc>
          <w:tcPr>
            <w:tcW w:w="1276" w:type="pct"/>
            <w:tcBorders>
              <w:tl2br w:val="nil"/>
              <w:tr2bl w:val="nil"/>
            </w:tcBorders>
            <w:vAlign w:val="top"/>
          </w:tcPr>
          <w:p w14:paraId="2659956B">
            <w:pPr>
              <w:pStyle w:val="15"/>
              <w:spacing w:before="97" w:line="227" w:lineRule="auto"/>
              <w:ind w:left="754"/>
            </w:pPr>
            <w:r>
              <w:rPr>
                <w:spacing w:val="8"/>
                <w14:textOutline w14:w="3795" w14:cap="sq" w14:cmpd="sng">
                  <w14:solidFill>
                    <w14:srgbClr w14:val="000000"/>
                  </w14:solidFill>
                  <w14:prstDash w14:val="solid"/>
                  <w14:bevel/>
                </w14:textOutline>
              </w:rPr>
              <w:t>鲸偶蹄目</w:t>
            </w:r>
          </w:p>
        </w:tc>
        <w:tc>
          <w:tcPr>
            <w:tcW w:w="2227" w:type="pct"/>
            <w:tcBorders>
              <w:tl2br w:val="nil"/>
              <w:tr2bl w:val="nil"/>
            </w:tcBorders>
            <w:vAlign w:val="top"/>
          </w:tcPr>
          <w:p w14:paraId="59EB4E2B">
            <w:pPr>
              <w:rPr>
                <w:rFonts w:ascii="Arial"/>
                <w:sz w:val="21"/>
              </w:rPr>
            </w:pPr>
          </w:p>
        </w:tc>
        <w:tc>
          <w:tcPr>
            <w:tcW w:w="814" w:type="pct"/>
            <w:tcBorders>
              <w:tl2br w:val="nil"/>
              <w:tr2bl w:val="nil"/>
            </w:tcBorders>
            <w:vAlign w:val="top"/>
          </w:tcPr>
          <w:p w14:paraId="2BF1C12B">
            <w:pPr>
              <w:rPr>
                <w:rFonts w:ascii="Arial"/>
                <w:sz w:val="21"/>
              </w:rPr>
            </w:pPr>
          </w:p>
        </w:tc>
      </w:tr>
      <w:tr w14:paraId="1608C6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4A2F7FD">
            <w:pPr>
              <w:spacing w:before="134"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6" w:type="pct"/>
            <w:tcBorders>
              <w:tl2br w:val="nil"/>
              <w:tr2bl w:val="nil"/>
            </w:tcBorders>
            <w:vAlign w:val="top"/>
          </w:tcPr>
          <w:p w14:paraId="06561494">
            <w:pPr>
              <w:pStyle w:val="15"/>
              <w:spacing w:before="98" w:line="227" w:lineRule="auto"/>
              <w:ind w:left="861"/>
            </w:pPr>
            <w:r>
              <w:rPr>
                <w:spacing w:val="6"/>
              </w:rPr>
              <w:t>鹅喉羚</w:t>
            </w:r>
          </w:p>
        </w:tc>
        <w:tc>
          <w:tcPr>
            <w:tcW w:w="2227" w:type="pct"/>
            <w:tcBorders>
              <w:tl2br w:val="nil"/>
              <w:tr2bl w:val="nil"/>
            </w:tcBorders>
            <w:vAlign w:val="top"/>
          </w:tcPr>
          <w:p w14:paraId="5E47AC19">
            <w:pPr>
              <w:spacing w:before="64" w:line="278" w:lineRule="exact"/>
              <w:ind w:left="1151"/>
              <w:rPr>
                <w:rFonts w:ascii="Times New Roman" w:hAnsi="Times New Roman" w:eastAsia="Times New Roman" w:cs="Times New Roman"/>
                <w:sz w:val="20"/>
                <w:szCs w:val="20"/>
              </w:rPr>
            </w:pPr>
            <w:r>
              <w:rPr>
                <w:rFonts w:ascii="Times New Roman" w:hAnsi="Times New Roman" w:eastAsia="Times New Roman" w:cs="Times New Roman"/>
                <w:i/>
                <w:iCs/>
                <w:spacing w:val="3"/>
                <w:position w:val="4"/>
                <w:sz w:val="20"/>
                <w:szCs w:val="20"/>
              </w:rPr>
              <w:t>Gazella subgutturosa</w:t>
            </w:r>
          </w:p>
        </w:tc>
        <w:tc>
          <w:tcPr>
            <w:tcW w:w="814" w:type="pct"/>
            <w:tcBorders>
              <w:tl2br w:val="nil"/>
              <w:tr2bl w:val="nil"/>
            </w:tcBorders>
            <w:vAlign w:val="top"/>
          </w:tcPr>
          <w:p w14:paraId="02DD8207">
            <w:pPr>
              <w:pStyle w:val="15"/>
              <w:spacing w:before="144" w:line="230" w:lineRule="auto"/>
              <w:ind w:left="446"/>
            </w:pPr>
            <w:r>
              <w:rPr>
                <w:spacing w:val="-5"/>
              </w:rPr>
              <w:t>国</w:t>
            </w:r>
            <w:r>
              <w:rPr>
                <w:spacing w:val="-43"/>
              </w:rPr>
              <w:t xml:space="preserve"> </w:t>
            </w:r>
            <w:r>
              <w:rPr>
                <w:rFonts w:ascii="Times New Roman" w:hAnsi="Times New Roman" w:eastAsia="Times New Roman" w:cs="Times New Roman"/>
                <w:spacing w:val="-5"/>
              </w:rPr>
              <w:t>II</w:t>
            </w:r>
            <w:r>
              <w:rPr>
                <w:rFonts w:ascii="Times New Roman" w:hAnsi="Times New Roman" w:eastAsia="Times New Roman" w:cs="Times New Roman"/>
                <w:spacing w:val="5"/>
              </w:rPr>
              <w:t xml:space="preserve"> </w:t>
            </w:r>
            <w:r>
              <w:rPr>
                <w:spacing w:val="-5"/>
              </w:rPr>
              <w:t>级</w:t>
            </w:r>
          </w:p>
        </w:tc>
      </w:tr>
      <w:tr w14:paraId="0BE754A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2D01D784">
            <w:pPr>
              <w:rPr>
                <w:rFonts w:ascii="Arial"/>
                <w:sz w:val="21"/>
              </w:rPr>
            </w:pPr>
          </w:p>
        </w:tc>
        <w:tc>
          <w:tcPr>
            <w:tcW w:w="1276" w:type="pct"/>
            <w:tcBorders>
              <w:tl2br w:val="nil"/>
              <w:tr2bl w:val="nil"/>
            </w:tcBorders>
            <w:vAlign w:val="top"/>
          </w:tcPr>
          <w:p w14:paraId="5CDD770E">
            <w:pPr>
              <w:pStyle w:val="15"/>
              <w:spacing w:before="99" w:line="231" w:lineRule="auto"/>
              <w:ind w:left="868"/>
            </w:pPr>
            <w:r>
              <w:rPr>
                <w:spacing w:val="4"/>
                <w14:textOutline w14:w="3795" w14:cap="sq" w14:cmpd="sng">
                  <w14:solidFill>
                    <w14:srgbClr w14:val="000000"/>
                  </w14:solidFill>
                  <w14:prstDash w14:val="solid"/>
                  <w14:bevel/>
                </w14:textOutline>
              </w:rPr>
              <w:t>啮齿目</w:t>
            </w:r>
          </w:p>
        </w:tc>
        <w:tc>
          <w:tcPr>
            <w:tcW w:w="2227" w:type="pct"/>
            <w:tcBorders>
              <w:tl2br w:val="nil"/>
              <w:tr2bl w:val="nil"/>
            </w:tcBorders>
            <w:vAlign w:val="top"/>
          </w:tcPr>
          <w:p w14:paraId="39411C0F">
            <w:pPr>
              <w:rPr>
                <w:rFonts w:ascii="Arial"/>
                <w:sz w:val="21"/>
              </w:rPr>
            </w:pPr>
          </w:p>
        </w:tc>
        <w:tc>
          <w:tcPr>
            <w:tcW w:w="814" w:type="pct"/>
            <w:tcBorders>
              <w:tl2br w:val="nil"/>
              <w:tr2bl w:val="nil"/>
            </w:tcBorders>
            <w:vAlign w:val="top"/>
          </w:tcPr>
          <w:p w14:paraId="3237B1D5">
            <w:pPr>
              <w:rPr>
                <w:rFonts w:ascii="Arial"/>
                <w:sz w:val="21"/>
              </w:rPr>
            </w:pPr>
          </w:p>
        </w:tc>
      </w:tr>
      <w:tr w14:paraId="3906D8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3F634266">
            <w:pPr>
              <w:spacing w:before="137" w:line="195" w:lineRule="auto"/>
              <w:ind w:left="5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76" w:type="pct"/>
            <w:tcBorders>
              <w:tl2br w:val="nil"/>
              <w:tr2bl w:val="nil"/>
            </w:tcBorders>
            <w:vAlign w:val="top"/>
          </w:tcPr>
          <w:p w14:paraId="23DB42E9">
            <w:pPr>
              <w:pStyle w:val="15"/>
              <w:spacing w:before="98" w:line="228" w:lineRule="auto"/>
              <w:ind w:left="863"/>
            </w:pPr>
            <w:r>
              <w:rPr>
                <w:spacing w:val="6"/>
              </w:rPr>
              <w:t>灰旱獭</w:t>
            </w:r>
          </w:p>
        </w:tc>
        <w:tc>
          <w:tcPr>
            <w:tcW w:w="2227" w:type="pct"/>
            <w:tcBorders>
              <w:tl2br w:val="nil"/>
              <w:tr2bl w:val="nil"/>
            </w:tcBorders>
            <w:vAlign w:val="top"/>
          </w:tcPr>
          <w:p w14:paraId="099043FD">
            <w:pPr>
              <w:spacing w:before="67" w:line="278" w:lineRule="exact"/>
              <w:ind w:left="1195"/>
              <w:rPr>
                <w:rFonts w:ascii="Times New Roman" w:hAnsi="Times New Roman" w:eastAsia="Times New Roman" w:cs="Times New Roman"/>
                <w:sz w:val="20"/>
                <w:szCs w:val="20"/>
              </w:rPr>
            </w:pPr>
            <w:r>
              <w:rPr>
                <w:rFonts w:ascii="Times New Roman" w:hAnsi="Times New Roman" w:eastAsia="Times New Roman" w:cs="Times New Roman"/>
                <w:i/>
                <w:iCs/>
                <w:spacing w:val="5"/>
                <w:position w:val="2"/>
                <w:sz w:val="20"/>
                <w:szCs w:val="20"/>
              </w:rPr>
              <w:t>Marmota baibacina</w:t>
            </w:r>
          </w:p>
        </w:tc>
        <w:tc>
          <w:tcPr>
            <w:tcW w:w="814" w:type="pct"/>
            <w:tcBorders>
              <w:tl2br w:val="nil"/>
              <w:tr2bl w:val="nil"/>
            </w:tcBorders>
            <w:vAlign w:val="top"/>
          </w:tcPr>
          <w:p w14:paraId="7F3A213B">
            <w:pPr>
              <w:rPr>
                <w:rFonts w:ascii="Arial"/>
                <w:sz w:val="21"/>
              </w:rPr>
            </w:pPr>
          </w:p>
        </w:tc>
      </w:tr>
      <w:tr w14:paraId="2AA217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2F8599FC">
            <w:pPr>
              <w:spacing w:before="138" w:line="195" w:lineRule="auto"/>
              <w:ind w:left="5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76" w:type="pct"/>
            <w:tcBorders>
              <w:tl2br w:val="nil"/>
              <w:tr2bl w:val="nil"/>
            </w:tcBorders>
            <w:vAlign w:val="top"/>
          </w:tcPr>
          <w:p w14:paraId="6A5DD9A7">
            <w:pPr>
              <w:pStyle w:val="15"/>
              <w:spacing w:before="101" w:line="228" w:lineRule="auto"/>
              <w:ind w:left="867"/>
            </w:pPr>
            <w:r>
              <w:rPr>
                <w:spacing w:val="5"/>
              </w:rPr>
              <w:t>小家鼠</w:t>
            </w:r>
          </w:p>
        </w:tc>
        <w:tc>
          <w:tcPr>
            <w:tcW w:w="2227" w:type="pct"/>
            <w:tcBorders>
              <w:tl2br w:val="nil"/>
              <w:tr2bl w:val="nil"/>
            </w:tcBorders>
            <w:vAlign w:val="top"/>
          </w:tcPr>
          <w:p w14:paraId="00FE407D">
            <w:pPr>
              <w:spacing w:before="68" w:line="278" w:lineRule="exact"/>
              <w:ind w:left="1435"/>
              <w:rPr>
                <w:rFonts w:ascii="Times New Roman" w:hAnsi="Times New Roman" w:eastAsia="Times New Roman" w:cs="Times New Roman"/>
                <w:sz w:val="20"/>
                <w:szCs w:val="20"/>
              </w:rPr>
            </w:pPr>
            <w:r>
              <w:rPr>
                <w:rFonts w:ascii="Times New Roman" w:hAnsi="Times New Roman" w:eastAsia="Times New Roman" w:cs="Times New Roman"/>
                <w:i/>
                <w:iCs/>
                <w:spacing w:val="5"/>
                <w:position w:val="2"/>
                <w:sz w:val="20"/>
                <w:szCs w:val="20"/>
              </w:rPr>
              <w:t>Mus musculus</w:t>
            </w:r>
          </w:p>
        </w:tc>
        <w:tc>
          <w:tcPr>
            <w:tcW w:w="814" w:type="pct"/>
            <w:tcBorders>
              <w:tl2br w:val="nil"/>
              <w:tr2bl w:val="nil"/>
            </w:tcBorders>
            <w:vAlign w:val="top"/>
          </w:tcPr>
          <w:p w14:paraId="5A6D3F62">
            <w:pPr>
              <w:rPr>
                <w:rFonts w:ascii="Arial"/>
                <w:sz w:val="21"/>
              </w:rPr>
            </w:pPr>
          </w:p>
        </w:tc>
      </w:tr>
      <w:tr w14:paraId="387E61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792C8D3C">
            <w:pPr>
              <w:spacing w:before="140"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76" w:type="pct"/>
            <w:tcBorders>
              <w:tl2br w:val="nil"/>
              <w:tr2bl w:val="nil"/>
            </w:tcBorders>
            <w:vAlign w:val="top"/>
          </w:tcPr>
          <w:p w14:paraId="3E0DF2AB">
            <w:pPr>
              <w:pStyle w:val="15"/>
              <w:spacing w:before="102" w:line="228" w:lineRule="auto"/>
              <w:ind w:left="861"/>
            </w:pPr>
            <w:r>
              <w:rPr>
                <w:spacing w:val="6"/>
              </w:rPr>
              <w:t>根田鼠</w:t>
            </w:r>
          </w:p>
        </w:tc>
        <w:tc>
          <w:tcPr>
            <w:tcW w:w="2227" w:type="pct"/>
            <w:tcBorders>
              <w:tl2br w:val="nil"/>
              <w:tr2bl w:val="nil"/>
            </w:tcBorders>
            <w:vAlign w:val="top"/>
          </w:tcPr>
          <w:p w14:paraId="3C4C22F5">
            <w:pPr>
              <w:spacing w:before="143" w:line="192" w:lineRule="auto"/>
              <w:ind w:left="1154"/>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Microtus oeconomus</w:t>
            </w:r>
          </w:p>
        </w:tc>
        <w:tc>
          <w:tcPr>
            <w:tcW w:w="814" w:type="pct"/>
            <w:tcBorders>
              <w:tl2br w:val="nil"/>
              <w:tr2bl w:val="nil"/>
            </w:tcBorders>
            <w:vAlign w:val="top"/>
          </w:tcPr>
          <w:p w14:paraId="480F54BC">
            <w:pPr>
              <w:rPr>
                <w:rFonts w:ascii="Arial"/>
                <w:sz w:val="21"/>
              </w:rPr>
            </w:pPr>
          </w:p>
        </w:tc>
      </w:tr>
      <w:tr w14:paraId="709246A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7CD2850C">
            <w:pPr>
              <w:rPr>
                <w:rFonts w:ascii="Arial"/>
                <w:sz w:val="21"/>
              </w:rPr>
            </w:pPr>
          </w:p>
        </w:tc>
        <w:tc>
          <w:tcPr>
            <w:tcW w:w="1276" w:type="pct"/>
            <w:tcBorders>
              <w:tl2br w:val="nil"/>
              <w:tr2bl w:val="nil"/>
            </w:tcBorders>
            <w:vAlign w:val="top"/>
          </w:tcPr>
          <w:p w14:paraId="75AE7312">
            <w:pPr>
              <w:pStyle w:val="15"/>
              <w:spacing w:before="103" w:line="227" w:lineRule="auto"/>
              <w:ind w:left="859"/>
            </w:pPr>
            <w:r>
              <w:rPr>
                <w:spacing w:val="7"/>
                <w14:textOutline w14:w="3795" w14:cap="sq" w14:cmpd="sng">
                  <w14:solidFill>
                    <w14:srgbClr w14:val="000000"/>
                  </w14:solidFill>
                  <w14:prstDash w14:val="solid"/>
                  <w14:bevel/>
                </w14:textOutline>
              </w:rPr>
              <w:t>偶蹄目</w:t>
            </w:r>
          </w:p>
        </w:tc>
        <w:tc>
          <w:tcPr>
            <w:tcW w:w="2227" w:type="pct"/>
            <w:tcBorders>
              <w:tl2br w:val="nil"/>
              <w:tr2bl w:val="nil"/>
            </w:tcBorders>
            <w:vAlign w:val="top"/>
          </w:tcPr>
          <w:p w14:paraId="22D67D77">
            <w:pPr>
              <w:rPr>
                <w:rFonts w:ascii="Arial"/>
                <w:sz w:val="21"/>
              </w:rPr>
            </w:pPr>
          </w:p>
        </w:tc>
        <w:tc>
          <w:tcPr>
            <w:tcW w:w="814" w:type="pct"/>
            <w:tcBorders>
              <w:tl2br w:val="nil"/>
              <w:tr2bl w:val="nil"/>
            </w:tcBorders>
            <w:vAlign w:val="top"/>
          </w:tcPr>
          <w:p w14:paraId="63BD2024">
            <w:pPr>
              <w:rPr>
                <w:rFonts w:ascii="Arial"/>
                <w:sz w:val="21"/>
              </w:rPr>
            </w:pPr>
          </w:p>
        </w:tc>
      </w:tr>
      <w:tr w14:paraId="3D2CD7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59DB3470">
            <w:pPr>
              <w:spacing w:before="143" w:line="192"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6" w:type="pct"/>
            <w:tcBorders>
              <w:tl2br w:val="nil"/>
              <w:tr2bl w:val="nil"/>
            </w:tcBorders>
            <w:vAlign w:val="top"/>
          </w:tcPr>
          <w:p w14:paraId="1C3AF81F">
            <w:pPr>
              <w:pStyle w:val="15"/>
              <w:spacing w:before="105" w:line="228" w:lineRule="auto"/>
              <w:ind w:left="864"/>
            </w:pPr>
            <w:r>
              <w:rPr>
                <w:spacing w:val="5"/>
              </w:rPr>
              <w:t>北山羊</w:t>
            </w:r>
          </w:p>
        </w:tc>
        <w:tc>
          <w:tcPr>
            <w:tcW w:w="2227" w:type="pct"/>
            <w:tcBorders>
              <w:tl2br w:val="nil"/>
              <w:tr2bl w:val="nil"/>
            </w:tcBorders>
            <w:vAlign w:val="top"/>
          </w:tcPr>
          <w:p w14:paraId="6C0A0712">
            <w:pPr>
              <w:spacing w:before="70" w:line="278" w:lineRule="exact"/>
              <w:ind w:left="1437"/>
              <w:rPr>
                <w:rFonts w:ascii="Times New Roman" w:hAnsi="Times New Roman" w:eastAsia="Times New Roman" w:cs="Times New Roman"/>
                <w:sz w:val="20"/>
                <w:szCs w:val="20"/>
              </w:rPr>
            </w:pPr>
            <w:r>
              <w:rPr>
                <w:rFonts w:ascii="Times New Roman" w:hAnsi="Times New Roman" w:eastAsia="Times New Roman" w:cs="Times New Roman"/>
                <w:i/>
                <w:iCs/>
                <w:spacing w:val="3"/>
                <w:position w:val="4"/>
                <w:sz w:val="20"/>
                <w:szCs w:val="20"/>
              </w:rPr>
              <w:t>Capra sibirica</w:t>
            </w:r>
          </w:p>
        </w:tc>
        <w:tc>
          <w:tcPr>
            <w:tcW w:w="814" w:type="pct"/>
            <w:tcBorders>
              <w:tl2br w:val="nil"/>
              <w:tr2bl w:val="nil"/>
            </w:tcBorders>
            <w:vAlign w:val="top"/>
          </w:tcPr>
          <w:p w14:paraId="154BB59F">
            <w:pPr>
              <w:pStyle w:val="15"/>
              <w:spacing w:before="150" w:line="225" w:lineRule="auto"/>
              <w:ind w:left="446"/>
            </w:pPr>
            <w:r>
              <w:rPr>
                <w:spacing w:val="-5"/>
              </w:rPr>
              <w:t>国</w:t>
            </w:r>
            <w:r>
              <w:rPr>
                <w:spacing w:val="-43"/>
              </w:rPr>
              <w:t xml:space="preserve"> </w:t>
            </w:r>
            <w:r>
              <w:rPr>
                <w:rFonts w:ascii="Times New Roman" w:hAnsi="Times New Roman" w:eastAsia="Times New Roman" w:cs="Times New Roman"/>
                <w:spacing w:val="-5"/>
              </w:rPr>
              <w:t>II</w:t>
            </w:r>
            <w:r>
              <w:rPr>
                <w:rFonts w:ascii="Times New Roman" w:hAnsi="Times New Roman" w:eastAsia="Times New Roman" w:cs="Times New Roman"/>
                <w:spacing w:val="5"/>
              </w:rPr>
              <w:t xml:space="preserve"> </w:t>
            </w:r>
            <w:r>
              <w:rPr>
                <w:spacing w:val="-5"/>
              </w:rPr>
              <w:t>级</w:t>
            </w:r>
          </w:p>
        </w:tc>
      </w:tr>
      <w:tr w14:paraId="48C381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8648A28">
            <w:pPr>
              <w:spacing w:before="142"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76" w:type="pct"/>
            <w:tcBorders>
              <w:tl2br w:val="nil"/>
              <w:tr2bl w:val="nil"/>
            </w:tcBorders>
            <w:vAlign w:val="top"/>
          </w:tcPr>
          <w:p w14:paraId="12972864">
            <w:pPr>
              <w:pStyle w:val="15"/>
              <w:spacing w:before="106" w:line="228" w:lineRule="auto"/>
              <w:ind w:left="964"/>
            </w:pPr>
            <w:r>
              <w:rPr>
                <w:spacing w:val="4"/>
              </w:rPr>
              <w:t>盘羊</w:t>
            </w:r>
          </w:p>
        </w:tc>
        <w:tc>
          <w:tcPr>
            <w:tcW w:w="2227" w:type="pct"/>
            <w:tcBorders>
              <w:tl2br w:val="nil"/>
              <w:tr2bl w:val="nil"/>
            </w:tcBorders>
            <w:vAlign w:val="top"/>
          </w:tcPr>
          <w:p w14:paraId="4E27498D">
            <w:pPr>
              <w:spacing w:before="142" w:line="195" w:lineRule="auto"/>
              <w:ind w:left="1524"/>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Ovis ammon</w:t>
            </w:r>
          </w:p>
        </w:tc>
        <w:tc>
          <w:tcPr>
            <w:tcW w:w="814" w:type="pct"/>
            <w:tcBorders>
              <w:tl2br w:val="nil"/>
              <w:tr2bl w:val="nil"/>
            </w:tcBorders>
            <w:vAlign w:val="top"/>
          </w:tcPr>
          <w:p w14:paraId="62FB6A03">
            <w:pPr>
              <w:pStyle w:val="15"/>
              <w:spacing w:before="149" w:line="226" w:lineRule="auto"/>
              <w:ind w:left="446"/>
            </w:pPr>
            <w:r>
              <w:rPr>
                <w:spacing w:val="-5"/>
              </w:rPr>
              <w:t>国</w:t>
            </w:r>
            <w:r>
              <w:rPr>
                <w:spacing w:val="-43"/>
              </w:rPr>
              <w:t xml:space="preserve"> </w:t>
            </w:r>
            <w:r>
              <w:rPr>
                <w:rFonts w:ascii="Times New Roman" w:hAnsi="Times New Roman" w:eastAsia="Times New Roman" w:cs="Times New Roman"/>
                <w:spacing w:val="-5"/>
              </w:rPr>
              <w:t>II</w:t>
            </w:r>
            <w:r>
              <w:rPr>
                <w:rFonts w:ascii="Times New Roman" w:hAnsi="Times New Roman" w:eastAsia="Times New Roman" w:cs="Times New Roman"/>
                <w:spacing w:val="5"/>
              </w:rPr>
              <w:t xml:space="preserve"> </w:t>
            </w:r>
            <w:r>
              <w:rPr>
                <w:spacing w:val="-5"/>
              </w:rPr>
              <w:t>级</w:t>
            </w:r>
          </w:p>
        </w:tc>
      </w:tr>
      <w:tr w14:paraId="42E8BB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66FA8717">
            <w:pPr>
              <w:rPr>
                <w:rFonts w:ascii="Arial"/>
                <w:sz w:val="21"/>
              </w:rPr>
            </w:pPr>
          </w:p>
        </w:tc>
        <w:tc>
          <w:tcPr>
            <w:tcW w:w="1276" w:type="pct"/>
            <w:tcBorders>
              <w:tl2br w:val="nil"/>
              <w:tr2bl w:val="nil"/>
            </w:tcBorders>
            <w:vAlign w:val="top"/>
          </w:tcPr>
          <w:p w14:paraId="73C4405F">
            <w:pPr>
              <w:pStyle w:val="15"/>
              <w:spacing w:before="105" w:line="228" w:lineRule="auto"/>
              <w:ind w:left="859"/>
            </w:pPr>
            <w:r>
              <w:rPr>
                <w:spacing w:val="7"/>
                <w14:textOutline w14:w="3795" w14:cap="sq" w14:cmpd="sng">
                  <w14:solidFill>
                    <w14:srgbClr w14:val="000000"/>
                  </w14:solidFill>
                  <w14:prstDash w14:val="solid"/>
                  <w14:bevel/>
                </w14:textOutline>
              </w:rPr>
              <w:t>食肉目</w:t>
            </w:r>
          </w:p>
        </w:tc>
        <w:tc>
          <w:tcPr>
            <w:tcW w:w="2227" w:type="pct"/>
            <w:tcBorders>
              <w:tl2br w:val="nil"/>
              <w:tr2bl w:val="nil"/>
            </w:tcBorders>
            <w:vAlign w:val="top"/>
          </w:tcPr>
          <w:p w14:paraId="04AB0289">
            <w:pPr>
              <w:rPr>
                <w:rFonts w:ascii="Arial"/>
                <w:sz w:val="21"/>
              </w:rPr>
            </w:pPr>
          </w:p>
        </w:tc>
        <w:tc>
          <w:tcPr>
            <w:tcW w:w="814" w:type="pct"/>
            <w:tcBorders>
              <w:tl2br w:val="nil"/>
              <w:tr2bl w:val="nil"/>
            </w:tcBorders>
            <w:vAlign w:val="top"/>
          </w:tcPr>
          <w:p w14:paraId="54AA03BE">
            <w:pPr>
              <w:rPr>
                <w:rFonts w:ascii="Arial"/>
                <w:sz w:val="21"/>
              </w:rPr>
            </w:pPr>
          </w:p>
        </w:tc>
      </w:tr>
      <w:tr w14:paraId="75DABC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5289DB6C">
            <w:pPr>
              <w:spacing w:before="147" w:line="192"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76" w:type="pct"/>
            <w:tcBorders>
              <w:tl2br w:val="nil"/>
              <w:tr2bl w:val="nil"/>
            </w:tcBorders>
            <w:vAlign w:val="top"/>
          </w:tcPr>
          <w:p w14:paraId="251CD192">
            <w:pPr>
              <w:pStyle w:val="15"/>
              <w:spacing w:before="106" w:line="229" w:lineRule="auto"/>
              <w:ind w:left="965"/>
            </w:pPr>
            <w:r>
              <w:rPr>
                <w:spacing w:val="4"/>
              </w:rPr>
              <w:t>狐狸</w:t>
            </w:r>
          </w:p>
        </w:tc>
        <w:tc>
          <w:tcPr>
            <w:tcW w:w="2227" w:type="pct"/>
            <w:tcBorders>
              <w:tl2br w:val="nil"/>
              <w:tr2bl w:val="nil"/>
            </w:tcBorders>
            <w:vAlign w:val="top"/>
          </w:tcPr>
          <w:p w14:paraId="20C720A0">
            <w:pPr>
              <w:spacing w:before="74" w:line="278" w:lineRule="exact"/>
              <w:ind w:left="1780"/>
              <w:rPr>
                <w:rFonts w:ascii="Times New Roman" w:hAnsi="Times New Roman" w:eastAsia="Times New Roman" w:cs="Times New Roman"/>
                <w:sz w:val="20"/>
                <w:szCs w:val="20"/>
              </w:rPr>
            </w:pPr>
            <w:r>
              <w:rPr>
                <w:rFonts w:ascii="Times New Roman" w:hAnsi="Times New Roman" w:eastAsia="Times New Roman" w:cs="Times New Roman"/>
                <w:i/>
                <w:iCs/>
                <w:position w:val="4"/>
                <w:sz w:val="20"/>
                <w:szCs w:val="20"/>
              </w:rPr>
              <w:t>Vulpes</w:t>
            </w:r>
          </w:p>
        </w:tc>
        <w:tc>
          <w:tcPr>
            <w:tcW w:w="814" w:type="pct"/>
            <w:tcBorders>
              <w:tl2br w:val="nil"/>
              <w:tr2bl w:val="nil"/>
            </w:tcBorders>
            <w:vAlign w:val="top"/>
          </w:tcPr>
          <w:p w14:paraId="41A6DC58">
            <w:pPr>
              <w:rPr>
                <w:rFonts w:ascii="Arial"/>
                <w:sz w:val="21"/>
              </w:rPr>
            </w:pPr>
          </w:p>
        </w:tc>
      </w:tr>
      <w:tr w14:paraId="23C375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033812A8">
            <w:pPr>
              <w:spacing w:before="146" w:line="195" w:lineRule="auto"/>
              <w:ind w:left="5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76" w:type="pct"/>
            <w:tcBorders>
              <w:tl2br w:val="nil"/>
              <w:tr2bl w:val="nil"/>
            </w:tcBorders>
            <w:vAlign w:val="top"/>
          </w:tcPr>
          <w:p w14:paraId="148A9311">
            <w:pPr>
              <w:pStyle w:val="15"/>
              <w:spacing w:before="107" w:line="228" w:lineRule="auto"/>
              <w:ind w:left="971"/>
            </w:pPr>
            <w:r>
              <w:rPr>
                <w:spacing w:val="1"/>
              </w:rPr>
              <w:t>雪豹</w:t>
            </w:r>
          </w:p>
        </w:tc>
        <w:tc>
          <w:tcPr>
            <w:tcW w:w="2227" w:type="pct"/>
            <w:tcBorders>
              <w:tl2br w:val="nil"/>
              <w:tr2bl w:val="nil"/>
            </w:tcBorders>
            <w:vAlign w:val="top"/>
          </w:tcPr>
          <w:p w14:paraId="2D6E6BC3">
            <w:pPr>
              <w:spacing w:before="76" w:line="277" w:lineRule="exact"/>
              <w:ind w:left="1384"/>
              <w:rPr>
                <w:rFonts w:ascii="Times New Roman" w:hAnsi="Times New Roman" w:eastAsia="Times New Roman" w:cs="Times New Roman"/>
                <w:sz w:val="20"/>
                <w:szCs w:val="20"/>
              </w:rPr>
            </w:pPr>
            <w:r>
              <w:rPr>
                <w:rFonts w:ascii="Times New Roman" w:hAnsi="Times New Roman" w:eastAsia="Times New Roman" w:cs="Times New Roman"/>
                <w:i/>
                <w:iCs/>
                <w:spacing w:val="4"/>
                <w:position w:val="2"/>
                <w:sz w:val="20"/>
                <w:szCs w:val="20"/>
              </w:rPr>
              <w:t>Panthera uncia</w:t>
            </w:r>
          </w:p>
        </w:tc>
        <w:tc>
          <w:tcPr>
            <w:tcW w:w="814" w:type="pct"/>
            <w:tcBorders>
              <w:tl2br w:val="nil"/>
              <w:tr2bl w:val="nil"/>
            </w:tcBorders>
            <w:vAlign w:val="top"/>
          </w:tcPr>
          <w:p w14:paraId="382057C0">
            <w:pPr>
              <w:pStyle w:val="15"/>
              <w:spacing w:before="153" w:line="204" w:lineRule="auto"/>
              <w:ind w:left="472"/>
            </w:pPr>
            <w:r>
              <w:rPr>
                <w:spacing w:val="-7"/>
              </w:rPr>
              <w:t>国</w:t>
            </w:r>
            <w:r>
              <w:rPr>
                <w:spacing w:val="-39"/>
              </w:rPr>
              <w:t xml:space="preserve"> </w:t>
            </w:r>
            <w:r>
              <w:rPr>
                <w:rFonts w:ascii="Times New Roman" w:hAnsi="Times New Roman" w:eastAsia="Times New Roman" w:cs="Times New Roman"/>
                <w:spacing w:val="-7"/>
                <w:sz w:val="24"/>
                <w:szCs w:val="24"/>
              </w:rPr>
              <w:t xml:space="preserve">I </w:t>
            </w:r>
            <w:r>
              <w:rPr>
                <w:spacing w:val="-7"/>
              </w:rPr>
              <w:t>级</w:t>
            </w:r>
          </w:p>
        </w:tc>
      </w:tr>
      <w:tr w14:paraId="51BE1DF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1C6B158">
            <w:pPr>
              <w:rPr>
                <w:rFonts w:ascii="Arial"/>
                <w:sz w:val="21"/>
              </w:rPr>
            </w:pPr>
          </w:p>
        </w:tc>
        <w:tc>
          <w:tcPr>
            <w:tcW w:w="1276" w:type="pct"/>
            <w:tcBorders>
              <w:tl2br w:val="nil"/>
              <w:tr2bl w:val="nil"/>
            </w:tcBorders>
            <w:vAlign w:val="top"/>
          </w:tcPr>
          <w:p w14:paraId="6CA4CF51">
            <w:pPr>
              <w:pStyle w:val="15"/>
              <w:spacing w:before="109" w:line="229" w:lineRule="auto"/>
              <w:ind w:left="864"/>
            </w:pPr>
            <w:r>
              <w:rPr>
                <w:spacing w:val="6"/>
                <w14:textOutline w14:w="3795" w14:cap="sq" w14:cmpd="sng">
                  <w14:solidFill>
                    <w14:srgbClr w14:val="000000"/>
                  </w14:solidFill>
                  <w14:prstDash w14:val="solid"/>
                  <w14:bevel/>
                </w14:textOutline>
              </w:rPr>
              <w:t>兔形目</w:t>
            </w:r>
          </w:p>
        </w:tc>
        <w:tc>
          <w:tcPr>
            <w:tcW w:w="2227" w:type="pct"/>
            <w:tcBorders>
              <w:tl2br w:val="nil"/>
              <w:tr2bl w:val="nil"/>
            </w:tcBorders>
            <w:vAlign w:val="top"/>
          </w:tcPr>
          <w:p w14:paraId="06CE0230">
            <w:pPr>
              <w:rPr>
                <w:rFonts w:ascii="Arial"/>
                <w:sz w:val="21"/>
              </w:rPr>
            </w:pPr>
          </w:p>
        </w:tc>
        <w:tc>
          <w:tcPr>
            <w:tcW w:w="814" w:type="pct"/>
            <w:tcBorders>
              <w:tl2br w:val="nil"/>
              <w:tr2bl w:val="nil"/>
            </w:tcBorders>
            <w:vAlign w:val="top"/>
          </w:tcPr>
          <w:p w14:paraId="7E9F27D9">
            <w:pPr>
              <w:rPr>
                <w:rFonts w:ascii="Arial"/>
                <w:sz w:val="21"/>
              </w:rPr>
            </w:pPr>
          </w:p>
        </w:tc>
      </w:tr>
      <w:tr w14:paraId="0470FE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06106D69">
            <w:pPr>
              <w:spacing w:before="146" w:line="195" w:lineRule="auto"/>
              <w:ind w:left="58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76" w:type="pct"/>
            <w:tcBorders>
              <w:tl2br w:val="nil"/>
              <w:tr2bl w:val="nil"/>
            </w:tcBorders>
            <w:vAlign w:val="top"/>
          </w:tcPr>
          <w:p w14:paraId="07AD5F0D">
            <w:pPr>
              <w:pStyle w:val="15"/>
              <w:spacing w:before="110" w:line="228" w:lineRule="auto"/>
              <w:ind w:left="966"/>
            </w:pPr>
            <w:r>
              <w:rPr>
                <w:spacing w:val="3"/>
              </w:rPr>
              <w:t>草兔</w:t>
            </w:r>
          </w:p>
        </w:tc>
        <w:tc>
          <w:tcPr>
            <w:tcW w:w="2227" w:type="pct"/>
            <w:tcBorders>
              <w:tl2br w:val="nil"/>
              <w:tr2bl w:val="nil"/>
            </w:tcBorders>
            <w:vAlign w:val="top"/>
          </w:tcPr>
          <w:p w14:paraId="7F24DA36">
            <w:pPr>
              <w:spacing w:before="149" w:line="194" w:lineRule="auto"/>
              <w:ind w:left="1395"/>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Lepus capensis</w:t>
            </w:r>
          </w:p>
        </w:tc>
        <w:tc>
          <w:tcPr>
            <w:tcW w:w="814" w:type="pct"/>
            <w:tcBorders>
              <w:tl2br w:val="nil"/>
              <w:tr2bl w:val="nil"/>
            </w:tcBorders>
            <w:vAlign w:val="top"/>
          </w:tcPr>
          <w:p w14:paraId="46829944">
            <w:pPr>
              <w:rPr>
                <w:rFonts w:ascii="Arial"/>
                <w:sz w:val="21"/>
              </w:rPr>
            </w:pPr>
          </w:p>
        </w:tc>
      </w:tr>
      <w:tr w14:paraId="41469E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326B58A7">
            <w:pPr>
              <w:spacing w:before="14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76" w:type="pct"/>
            <w:tcBorders>
              <w:tl2br w:val="nil"/>
              <w:tr2bl w:val="nil"/>
            </w:tcBorders>
            <w:vAlign w:val="top"/>
          </w:tcPr>
          <w:p w14:paraId="5EC4AD21">
            <w:pPr>
              <w:pStyle w:val="15"/>
              <w:spacing w:before="112" w:line="229" w:lineRule="auto"/>
              <w:ind w:left="989"/>
            </w:pPr>
            <w:r>
              <w:rPr>
                <w:spacing w:val="-8"/>
              </w:rPr>
              <w:t>鼠兔</w:t>
            </w:r>
          </w:p>
        </w:tc>
        <w:tc>
          <w:tcPr>
            <w:tcW w:w="2227" w:type="pct"/>
            <w:tcBorders>
              <w:tl2br w:val="nil"/>
              <w:tr2bl w:val="nil"/>
            </w:tcBorders>
            <w:vAlign w:val="top"/>
          </w:tcPr>
          <w:p w14:paraId="451EEB5C">
            <w:pPr>
              <w:spacing w:before="77" w:line="278" w:lineRule="exact"/>
              <w:ind w:left="1510"/>
              <w:rPr>
                <w:rFonts w:ascii="Times New Roman" w:hAnsi="Times New Roman" w:eastAsia="Times New Roman" w:cs="Times New Roman"/>
                <w:sz w:val="20"/>
                <w:szCs w:val="20"/>
              </w:rPr>
            </w:pPr>
            <w:r>
              <w:rPr>
                <w:rFonts w:ascii="Times New Roman" w:hAnsi="Times New Roman" w:eastAsia="Times New Roman" w:cs="Times New Roman"/>
                <w:i/>
                <w:iCs/>
                <w:spacing w:val="3"/>
                <w:position w:val="2"/>
                <w:sz w:val="20"/>
                <w:szCs w:val="20"/>
              </w:rPr>
              <w:t>Ochotonidae</w:t>
            </w:r>
          </w:p>
        </w:tc>
        <w:tc>
          <w:tcPr>
            <w:tcW w:w="814" w:type="pct"/>
            <w:tcBorders>
              <w:tl2br w:val="nil"/>
              <w:tr2bl w:val="nil"/>
            </w:tcBorders>
            <w:vAlign w:val="top"/>
          </w:tcPr>
          <w:p w14:paraId="0C77A21B">
            <w:pPr>
              <w:rPr>
                <w:rFonts w:ascii="Arial"/>
                <w:sz w:val="21"/>
              </w:rPr>
            </w:pPr>
          </w:p>
        </w:tc>
      </w:tr>
      <w:tr w14:paraId="4BAE6A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11AEE7C">
            <w:pPr>
              <w:rPr>
                <w:rFonts w:ascii="Arial"/>
                <w:sz w:val="21"/>
              </w:rPr>
            </w:pPr>
          </w:p>
        </w:tc>
        <w:tc>
          <w:tcPr>
            <w:tcW w:w="1276" w:type="pct"/>
            <w:tcBorders>
              <w:tl2br w:val="nil"/>
              <w:tr2bl w:val="nil"/>
            </w:tcBorders>
            <w:vAlign w:val="top"/>
          </w:tcPr>
          <w:p w14:paraId="7B07DE28">
            <w:pPr>
              <w:pStyle w:val="15"/>
              <w:spacing w:before="111" w:line="229" w:lineRule="auto"/>
              <w:ind w:left="858"/>
            </w:pPr>
            <w:r>
              <w:rPr>
                <w:spacing w:val="8"/>
                <w14:textOutline w14:w="3795" w14:cap="sq" w14:cmpd="sng">
                  <w14:solidFill>
                    <w14:srgbClr w14:val="000000"/>
                  </w14:solidFill>
                  <w14:prstDash w14:val="solid"/>
                  <w14:bevel/>
                </w14:textOutline>
              </w:rPr>
              <w:t>猬形目</w:t>
            </w:r>
          </w:p>
        </w:tc>
        <w:tc>
          <w:tcPr>
            <w:tcW w:w="2227" w:type="pct"/>
            <w:tcBorders>
              <w:tl2br w:val="nil"/>
              <w:tr2bl w:val="nil"/>
            </w:tcBorders>
            <w:vAlign w:val="top"/>
          </w:tcPr>
          <w:p w14:paraId="005437FD">
            <w:pPr>
              <w:rPr>
                <w:rFonts w:ascii="Arial"/>
                <w:sz w:val="21"/>
              </w:rPr>
            </w:pPr>
          </w:p>
        </w:tc>
        <w:tc>
          <w:tcPr>
            <w:tcW w:w="814" w:type="pct"/>
            <w:tcBorders>
              <w:tl2br w:val="nil"/>
              <w:tr2bl w:val="nil"/>
            </w:tcBorders>
            <w:vAlign w:val="top"/>
          </w:tcPr>
          <w:p w14:paraId="06A1292D">
            <w:pPr>
              <w:rPr>
                <w:rFonts w:ascii="Arial"/>
                <w:sz w:val="21"/>
              </w:rPr>
            </w:pPr>
          </w:p>
        </w:tc>
      </w:tr>
      <w:tr w14:paraId="4FA1E2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78502D48">
            <w:pPr>
              <w:spacing w:before="15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76" w:type="pct"/>
            <w:tcBorders>
              <w:tl2br w:val="nil"/>
              <w:tr2bl w:val="nil"/>
            </w:tcBorders>
            <w:vAlign w:val="top"/>
          </w:tcPr>
          <w:p w14:paraId="2D38C1CF">
            <w:pPr>
              <w:pStyle w:val="15"/>
              <w:spacing w:before="112" w:line="228" w:lineRule="auto"/>
              <w:ind w:left="963"/>
            </w:pPr>
            <w:r>
              <w:rPr>
                <w:spacing w:val="5"/>
              </w:rPr>
              <w:t>刺猬</w:t>
            </w:r>
          </w:p>
        </w:tc>
        <w:tc>
          <w:tcPr>
            <w:tcW w:w="2227" w:type="pct"/>
            <w:tcBorders>
              <w:tl2br w:val="nil"/>
              <w:tr2bl w:val="nil"/>
            </w:tcBorders>
            <w:vAlign w:val="top"/>
          </w:tcPr>
          <w:p w14:paraId="0B34D3A7">
            <w:pPr>
              <w:spacing w:before="153" w:line="192" w:lineRule="auto"/>
              <w:ind w:left="1149"/>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Erinaceus amurensis</w:t>
            </w:r>
          </w:p>
        </w:tc>
        <w:tc>
          <w:tcPr>
            <w:tcW w:w="814" w:type="pct"/>
            <w:tcBorders>
              <w:tl2br w:val="nil"/>
              <w:tr2bl w:val="nil"/>
            </w:tcBorders>
            <w:vAlign w:val="top"/>
          </w:tcPr>
          <w:p w14:paraId="1A80BEE6">
            <w:pPr>
              <w:rPr>
                <w:rFonts w:ascii="Arial"/>
                <w:sz w:val="21"/>
              </w:rPr>
            </w:pPr>
          </w:p>
        </w:tc>
      </w:tr>
      <w:tr w14:paraId="3A0A94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4151097">
            <w:pPr>
              <w:spacing w:before="15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76" w:type="pct"/>
            <w:tcBorders>
              <w:tl2br w:val="nil"/>
              <w:tr2bl w:val="nil"/>
            </w:tcBorders>
            <w:vAlign w:val="top"/>
          </w:tcPr>
          <w:p w14:paraId="6DCEC174">
            <w:pPr>
              <w:pStyle w:val="15"/>
              <w:spacing w:before="114" w:line="228" w:lineRule="auto"/>
              <w:ind w:left="863"/>
            </w:pPr>
            <w:r>
              <w:rPr>
                <w:spacing w:val="6"/>
              </w:rPr>
              <w:t>大耳猥</w:t>
            </w:r>
          </w:p>
        </w:tc>
        <w:tc>
          <w:tcPr>
            <w:tcW w:w="2227" w:type="pct"/>
            <w:tcBorders>
              <w:tl2br w:val="nil"/>
              <w:tr2bl w:val="nil"/>
            </w:tcBorders>
            <w:vAlign w:val="top"/>
          </w:tcPr>
          <w:p w14:paraId="5AAD5A32">
            <w:pPr>
              <w:spacing w:before="82" w:line="277" w:lineRule="exact"/>
              <w:ind w:left="1161"/>
              <w:rPr>
                <w:rFonts w:ascii="Times New Roman" w:hAnsi="Times New Roman" w:eastAsia="Times New Roman" w:cs="Times New Roman"/>
                <w:sz w:val="20"/>
                <w:szCs w:val="20"/>
              </w:rPr>
            </w:pPr>
            <w:r>
              <w:rPr>
                <w:rFonts w:ascii="Times New Roman" w:hAnsi="Times New Roman" w:eastAsia="Times New Roman" w:cs="Times New Roman"/>
                <w:i/>
                <w:iCs/>
                <w:spacing w:val="4"/>
                <w:position w:val="2"/>
                <w:sz w:val="20"/>
                <w:szCs w:val="20"/>
              </w:rPr>
              <w:t>Hemiechinus auritus</w:t>
            </w:r>
          </w:p>
        </w:tc>
        <w:tc>
          <w:tcPr>
            <w:tcW w:w="814" w:type="pct"/>
            <w:tcBorders>
              <w:tl2br w:val="nil"/>
              <w:tr2bl w:val="nil"/>
            </w:tcBorders>
            <w:vAlign w:val="top"/>
          </w:tcPr>
          <w:p w14:paraId="1017AB93">
            <w:pPr>
              <w:rPr>
                <w:rFonts w:ascii="Arial"/>
                <w:sz w:val="21"/>
              </w:rPr>
            </w:pPr>
          </w:p>
        </w:tc>
      </w:tr>
      <w:tr w14:paraId="7DF1C0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231F9847">
            <w:pPr>
              <w:rPr>
                <w:rFonts w:ascii="Arial"/>
                <w:sz w:val="21"/>
              </w:rPr>
            </w:pPr>
          </w:p>
        </w:tc>
        <w:tc>
          <w:tcPr>
            <w:tcW w:w="1276" w:type="pct"/>
            <w:tcBorders>
              <w:tl2br w:val="nil"/>
              <w:tr2bl w:val="nil"/>
            </w:tcBorders>
            <w:vAlign w:val="top"/>
          </w:tcPr>
          <w:p w14:paraId="6998E395">
            <w:pPr>
              <w:pStyle w:val="15"/>
              <w:spacing w:before="115" w:line="228" w:lineRule="auto"/>
              <w:ind w:left="968"/>
            </w:pPr>
            <w:r>
              <w:rPr>
                <w:spacing w:val="3"/>
                <w14:textOutline w14:w="3795" w14:cap="sq" w14:cmpd="sng">
                  <w14:solidFill>
                    <w14:srgbClr w14:val="000000"/>
                  </w14:solidFill>
                  <w14:prstDash w14:val="solid"/>
                  <w14:bevel/>
                </w14:textOutline>
              </w:rPr>
              <w:t>鸟纲</w:t>
            </w:r>
          </w:p>
        </w:tc>
        <w:tc>
          <w:tcPr>
            <w:tcW w:w="2227" w:type="pct"/>
            <w:tcBorders>
              <w:tl2br w:val="nil"/>
              <w:tr2bl w:val="nil"/>
            </w:tcBorders>
            <w:vAlign w:val="top"/>
          </w:tcPr>
          <w:p w14:paraId="42643752">
            <w:pPr>
              <w:rPr>
                <w:rFonts w:ascii="Arial"/>
                <w:sz w:val="21"/>
              </w:rPr>
            </w:pPr>
          </w:p>
        </w:tc>
        <w:tc>
          <w:tcPr>
            <w:tcW w:w="814" w:type="pct"/>
            <w:tcBorders>
              <w:tl2br w:val="nil"/>
              <w:tr2bl w:val="nil"/>
            </w:tcBorders>
            <w:vAlign w:val="top"/>
          </w:tcPr>
          <w:p w14:paraId="75B236F7">
            <w:pPr>
              <w:rPr>
                <w:rFonts w:ascii="Arial"/>
                <w:sz w:val="21"/>
              </w:rPr>
            </w:pPr>
          </w:p>
        </w:tc>
      </w:tr>
      <w:tr w14:paraId="5F9524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7BE69537">
            <w:pPr>
              <w:rPr>
                <w:rFonts w:ascii="Arial"/>
                <w:sz w:val="21"/>
              </w:rPr>
            </w:pPr>
          </w:p>
        </w:tc>
        <w:tc>
          <w:tcPr>
            <w:tcW w:w="1276" w:type="pct"/>
            <w:tcBorders>
              <w:tl2br w:val="nil"/>
              <w:tr2bl w:val="nil"/>
            </w:tcBorders>
            <w:vAlign w:val="top"/>
          </w:tcPr>
          <w:p w14:paraId="445AECA5">
            <w:pPr>
              <w:pStyle w:val="15"/>
              <w:spacing w:before="116" w:line="228" w:lineRule="auto"/>
              <w:ind w:left="860"/>
            </w:pPr>
            <w:r>
              <w:rPr>
                <w:spacing w:val="7"/>
                <w14:textOutline w14:w="3795" w14:cap="sq" w14:cmpd="sng">
                  <w14:solidFill>
                    <w14:srgbClr w14:val="000000"/>
                  </w14:solidFill>
                  <w14:prstDash w14:val="solid"/>
                  <w14:bevel/>
                </w14:textOutline>
              </w:rPr>
              <w:t>鸽形目</w:t>
            </w:r>
          </w:p>
        </w:tc>
        <w:tc>
          <w:tcPr>
            <w:tcW w:w="2227" w:type="pct"/>
            <w:tcBorders>
              <w:tl2br w:val="nil"/>
              <w:tr2bl w:val="nil"/>
            </w:tcBorders>
            <w:vAlign w:val="top"/>
          </w:tcPr>
          <w:p w14:paraId="3F6D3CF0">
            <w:pPr>
              <w:rPr>
                <w:rFonts w:ascii="Arial"/>
                <w:sz w:val="21"/>
              </w:rPr>
            </w:pPr>
          </w:p>
        </w:tc>
        <w:tc>
          <w:tcPr>
            <w:tcW w:w="814" w:type="pct"/>
            <w:tcBorders>
              <w:tl2br w:val="nil"/>
              <w:tr2bl w:val="nil"/>
            </w:tcBorders>
            <w:vAlign w:val="top"/>
          </w:tcPr>
          <w:p w14:paraId="7214E0C4">
            <w:pPr>
              <w:rPr>
                <w:rFonts w:ascii="Arial"/>
                <w:sz w:val="21"/>
              </w:rPr>
            </w:pPr>
          </w:p>
        </w:tc>
      </w:tr>
      <w:tr w14:paraId="1DAA7CC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8376CF9">
            <w:pPr>
              <w:spacing w:before="154"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76" w:type="pct"/>
            <w:tcBorders>
              <w:tl2br w:val="nil"/>
              <w:tr2bl w:val="nil"/>
            </w:tcBorders>
            <w:vAlign w:val="top"/>
          </w:tcPr>
          <w:p w14:paraId="6E6296C2">
            <w:pPr>
              <w:pStyle w:val="15"/>
              <w:spacing w:before="118" w:line="228" w:lineRule="auto"/>
              <w:ind w:left="964"/>
            </w:pPr>
            <w:r>
              <w:rPr>
                <w:spacing w:val="4"/>
              </w:rPr>
              <w:t>斑鸠</w:t>
            </w:r>
          </w:p>
        </w:tc>
        <w:tc>
          <w:tcPr>
            <w:tcW w:w="2227" w:type="pct"/>
            <w:tcBorders>
              <w:tl2br w:val="nil"/>
              <w:tr2bl w:val="nil"/>
            </w:tcBorders>
            <w:vAlign w:val="top"/>
          </w:tcPr>
          <w:p w14:paraId="37E4CCE3">
            <w:pPr>
              <w:spacing w:before="83" w:line="278" w:lineRule="exact"/>
              <w:ind w:left="1527"/>
              <w:rPr>
                <w:rFonts w:ascii="Times New Roman" w:hAnsi="Times New Roman" w:eastAsia="Times New Roman" w:cs="Times New Roman"/>
                <w:sz w:val="20"/>
                <w:szCs w:val="20"/>
              </w:rPr>
            </w:pPr>
            <w:r>
              <w:rPr>
                <w:rFonts w:ascii="Times New Roman" w:hAnsi="Times New Roman" w:eastAsia="Times New Roman" w:cs="Times New Roman"/>
                <w:i/>
                <w:iCs/>
                <w:spacing w:val="3"/>
                <w:position w:val="4"/>
                <w:sz w:val="20"/>
                <w:szCs w:val="20"/>
              </w:rPr>
              <w:t>Streptopelia</w:t>
            </w:r>
          </w:p>
        </w:tc>
        <w:tc>
          <w:tcPr>
            <w:tcW w:w="814" w:type="pct"/>
            <w:tcBorders>
              <w:tl2br w:val="nil"/>
              <w:tr2bl w:val="nil"/>
            </w:tcBorders>
            <w:vAlign w:val="top"/>
          </w:tcPr>
          <w:p w14:paraId="719DB730">
            <w:pPr>
              <w:rPr>
                <w:rFonts w:ascii="Arial"/>
                <w:sz w:val="21"/>
              </w:rPr>
            </w:pPr>
          </w:p>
        </w:tc>
      </w:tr>
      <w:tr w14:paraId="45F2FD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6809F259">
            <w:pPr>
              <w:rPr>
                <w:rFonts w:ascii="Arial"/>
                <w:sz w:val="21"/>
              </w:rPr>
            </w:pPr>
          </w:p>
        </w:tc>
        <w:tc>
          <w:tcPr>
            <w:tcW w:w="1276" w:type="pct"/>
            <w:tcBorders>
              <w:tl2br w:val="nil"/>
              <w:tr2bl w:val="nil"/>
            </w:tcBorders>
            <w:vAlign w:val="top"/>
          </w:tcPr>
          <w:p w14:paraId="4B9BE363">
            <w:pPr>
              <w:pStyle w:val="15"/>
              <w:spacing w:before="117" w:line="227" w:lineRule="auto"/>
              <w:ind w:left="857"/>
            </w:pPr>
            <w:r>
              <w:rPr>
                <w:spacing w:val="8"/>
                <w14:textOutline w14:w="3795" w14:cap="sq" w14:cmpd="sng">
                  <w14:solidFill>
                    <w14:srgbClr w14:val="000000"/>
                  </w14:solidFill>
                  <w14:prstDash w14:val="solid"/>
                  <w14:bevel/>
                </w14:textOutline>
              </w:rPr>
              <w:t>鸻形目</w:t>
            </w:r>
          </w:p>
        </w:tc>
        <w:tc>
          <w:tcPr>
            <w:tcW w:w="2227" w:type="pct"/>
            <w:tcBorders>
              <w:tl2br w:val="nil"/>
              <w:tr2bl w:val="nil"/>
            </w:tcBorders>
            <w:vAlign w:val="top"/>
          </w:tcPr>
          <w:p w14:paraId="4B60FDC9">
            <w:pPr>
              <w:rPr>
                <w:rFonts w:ascii="Arial"/>
                <w:sz w:val="21"/>
              </w:rPr>
            </w:pPr>
          </w:p>
        </w:tc>
        <w:tc>
          <w:tcPr>
            <w:tcW w:w="814" w:type="pct"/>
            <w:tcBorders>
              <w:tl2br w:val="nil"/>
              <w:tr2bl w:val="nil"/>
            </w:tcBorders>
            <w:vAlign w:val="top"/>
          </w:tcPr>
          <w:p w14:paraId="6F408EA0">
            <w:pPr>
              <w:rPr>
                <w:rFonts w:ascii="Arial"/>
                <w:sz w:val="21"/>
              </w:rPr>
            </w:pPr>
          </w:p>
        </w:tc>
      </w:tr>
      <w:tr w14:paraId="090C58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533516E5">
            <w:pPr>
              <w:spacing w:before="156"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76" w:type="pct"/>
            <w:tcBorders>
              <w:tl2br w:val="nil"/>
              <w:tr2bl w:val="nil"/>
            </w:tcBorders>
            <w:vAlign w:val="top"/>
          </w:tcPr>
          <w:p w14:paraId="22CA7338">
            <w:pPr>
              <w:pStyle w:val="15"/>
              <w:spacing w:before="118" w:line="227" w:lineRule="auto"/>
              <w:ind w:left="861"/>
            </w:pPr>
            <w:r>
              <w:rPr>
                <w:spacing w:val="6"/>
              </w:rPr>
              <w:t>环颈鸻</w:t>
            </w:r>
          </w:p>
        </w:tc>
        <w:tc>
          <w:tcPr>
            <w:tcW w:w="2227" w:type="pct"/>
            <w:tcBorders>
              <w:tl2br w:val="nil"/>
              <w:tr2bl w:val="nil"/>
            </w:tcBorders>
            <w:vAlign w:val="top"/>
          </w:tcPr>
          <w:p w14:paraId="0564ADEB">
            <w:pPr>
              <w:spacing w:before="86" w:line="278" w:lineRule="exact"/>
              <w:ind w:left="995"/>
              <w:rPr>
                <w:rFonts w:ascii="Times New Roman" w:hAnsi="Times New Roman" w:eastAsia="Times New Roman" w:cs="Times New Roman"/>
                <w:sz w:val="20"/>
                <w:szCs w:val="20"/>
              </w:rPr>
            </w:pPr>
            <w:r>
              <w:rPr>
                <w:rFonts w:ascii="Times New Roman" w:hAnsi="Times New Roman" w:eastAsia="Times New Roman" w:cs="Times New Roman"/>
                <w:i/>
                <w:iCs/>
                <w:spacing w:val="3"/>
                <w:position w:val="2"/>
                <w:sz w:val="20"/>
                <w:szCs w:val="20"/>
              </w:rPr>
              <w:t>Charadrius alexandrinus</w:t>
            </w:r>
          </w:p>
        </w:tc>
        <w:tc>
          <w:tcPr>
            <w:tcW w:w="814" w:type="pct"/>
            <w:tcBorders>
              <w:tl2br w:val="nil"/>
              <w:tr2bl w:val="nil"/>
            </w:tcBorders>
            <w:vAlign w:val="top"/>
          </w:tcPr>
          <w:p w14:paraId="727B5BF9">
            <w:pPr>
              <w:pStyle w:val="15"/>
              <w:spacing w:before="164" w:line="212" w:lineRule="auto"/>
              <w:ind w:left="446"/>
            </w:pPr>
            <w:r>
              <w:rPr>
                <w:spacing w:val="-5"/>
              </w:rPr>
              <w:t>国</w:t>
            </w:r>
            <w:r>
              <w:rPr>
                <w:spacing w:val="-43"/>
              </w:rPr>
              <w:t xml:space="preserve"> </w:t>
            </w:r>
            <w:r>
              <w:rPr>
                <w:rFonts w:ascii="Times New Roman" w:hAnsi="Times New Roman" w:eastAsia="Times New Roman" w:cs="Times New Roman"/>
                <w:spacing w:val="-5"/>
              </w:rPr>
              <w:t>II</w:t>
            </w:r>
            <w:r>
              <w:rPr>
                <w:rFonts w:ascii="Times New Roman" w:hAnsi="Times New Roman" w:eastAsia="Times New Roman" w:cs="Times New Roman"/>
                <w:spacing w:val="5"/>
              </w:rPr>
              <w:t xml:space="preserve"> </w:t>
            </w:r>
            <w:r>
              <w:rPr>
                <w:spacing w:val="-5"/>
              </w:rPr>
              <w:t>级</w:t>
            </w:r>
          </w:p>
        </w:tc>
      </w:tr>
      <w:tr w14:paraId="445655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82" w:type="pct"/>
            <w:tcBorders>
              <w:tl2br w:val="nil"/>
              <w:tr2bl w:val="nil"/>
            </w:tcBorders>
            <w:vAlign w:val="top"/>
          </w:tcPr>
          <w:p w14:paraId="5275D4FF">
            <w:pPr>
              <w:rPr>
                <w:rFonts w:ascii="Arial"/>
                <w:sz w:val="21"/>
              </w:rPr>
            </w:pPr>
          </w:p>
        </w:tc>
        <w:tc>
          <w:tcPr>
            <w:tcW w:w="1276" w:type="pct"/>
            <w:tcBorders>
              <w:tl2br w:val="nil"/>
              <w:tr2bl w:val="nil"/>
            </w:tcBorders>
            <w:vAlign w:val="top"/>
          </w:tcPr>
          <w:p w14:paraId="7C0E085F">
            <w:pPr>
              <w:pStyle w:val="15"/>
              <w:spacing w:before="120" w:line="228" w:lineRule="auto"/>
              <w:ind w:left="861"/>
            </w:pPr>
            <w:r>
              <w:rPr>
                <w:spacing w:val="6"/>
                <w14:textOutline w14:w="3795" w14:cap="sq" w14:cmpd="sng">
                  <w14:solidFill>
                    <w14:srgbClr w14:val="000000"/>
                  </w14:solidFill>
                  <w14:prstDash w14:val="solid"/>
                  <w14:bevel/>
                </w14:textOutline>
              </w:rPr>
              <w:t>雀形目</w:t>
            </w:r>
          </w:p>
        </w:tc>
        <w:tc>
          <w:tcPr>
            <w:tcW w:w="2227" w:type="pct"/>
            <w:tcBorders>
              <w:tl2br w:val="nil"/>
              <w:tr2bl w:val="nil"/>
            </w:tcBorders>
            <w:vAlign w:val="top"/>
          </w:tcPr>
          <w:p w14:paraId="100FF77C">
            <w:pPr>
              <w:rPr>
                <w:rFonts w:ascii="Arial"/>
                <w:sz w:val="21"/>
              </w:rPr>
            </w:pPr>
          </w:p>
        </w:tc>
        <w:tc>
          <w:tcPr>
            <w:tcW w:w="814" w:type="pct"/>
            <w:tcBorders>
              <w:tl2br w:val="nil"/>
              <w:tr2bl w:val="nil"/>
            </w:tcBorders>
            <w:vAlign w:val="top"/>
          </w:tcPr>
          <w:p w14:paraId="02335174">
            <w:pPr>
              <w:rPr>
                <w:rFonts w:ascii="Arial"/>
                <w:sz w:val="21"/>
              </w:rPr>
            </w:pPr>
          </w:p>
        </w:tc>
      </w:tr>
      <w:tr w14:paraId="0C5D79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82" w:type="pct"/>
            <w:tcBorders>
              <w:tl2br w:val="nil"/>
              <w:tr2bl w:val="nil"/>
            </w:tcBorders>
            <w:vAlign w:val="top"/>
          </w:tcPr>
          <w:p w14:paraId="213A9DC1">
            <w:pPr>
              <w:spacing w:before="156"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76" w:type="pct"/>
            <w:tcBorders>
              <w:tl2br w:val="nil"/>
              <w:tr2bl w:val="nil"/>
            </w:tcBorders>
            <w:vAlign w:val="top"/>
          </w:tcPr>
          <w:p w14:paraId="1B295F0F">
            <w:pPr>
              <w:pStyle w:val="15"/>
              <w:spacing w:before="120" w:line="228" w:lineRule="auto"/>
              <w:ind w:left="756"/>
            </w:pPr>
            <w:r>
              <w:rPr>
                <w:spacing w:val="7"/>
              </w:rPr>
              <w:t>凤头百灵</w:t>
            </w:r>
          </w:p>
        </w:tc>
        <w:tc>
          <w:tcPr>
            <w:tcW w:w="2227" w:type="pct"/>
            <w:tcBorders>
              <w:tl2br w:val="nil"/>
              <w:tr2bl w:val="nil"/>
            </w:tcBorders>
            <w:vAlign w:val="top"/>
          </w:tcPr>
          <w:p w14:paraId="503E8C21">
            <w:pPr>
              <w:spacing w:before="86" w:line="277" w:lineRule="exact"/>
              <w:ind w:left="1327"/>
              <w:rPr>
                <w:rFonts w:ascii="Times New Roman" w:hAnsi="Times New Roman" w:eastAsia="Times New Roman" w:cs="Times New Roman"/>
                <w:sz w:val="20"/>
                <w:szCs w:val="20"/>
              </w:rPr>
            </w:pPr>
            <w:r>
              <w:rPr>
                <w:rFonts w:ascii="Times New Roman" w:hAnsi="Times New Roman" w:eastAsia="Times New Roman" w:cs="Times New Roman"/>
                <w:i/>
                <w:iCs/>
                <w:spacing w:val="3"/>
                <w:position w:val="2"/>
                <w:sz w:val="20"/>
                <w:szCs w:val="20"/>
              </w:rPr>
              <w:t>Galerida cristata</w:t>
            </w:r>
          </w:p>
        </w:tc>
        <w:tc>
          <w:tcPr>
            <w:tcW w:w="814" w:type="pct"/>
            <w:tcBorders>
              <w:tl2br w:val="nil"/>
              <w:tr2bl w:val="nil"/>
            </w:tcBorders>
            <w:vAlign w:val="top"/>
          </w:tcPr>
          <w:p w14:paraId="66E02D37">
            <w:pPr>
              <w:rPr>
                <w:rFonts w:ascii="Arial"/>
                <w:sz w:val="21"/>
              </w:rPr>
            </w:pPr>
          </w:p>
        </w:tc>
      </w:tr>
      <w:tr w14:paraId="033222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82" w:type="pct"/>
            <w:tcBorders>
              <w:tl2br w:val="nil"/>
              <w:tr2bl w:val="nil"/>
            </w:tcBorders>
            <w:vAlign w:val="top"/>
          </w:tcPr>
          <w:p w14:paraId="3A13C57F">
            <w:pPr>
              <w:spacing w:before="156"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76" w:type="pct"/>
            <w:tcBorders>
              <w:tl2br w:val="nil"/>
              <w:tr2bl w:val="nil"/>
            </w:tcBorders>
            <w:vAlign w:val="top"/>
          </w:tcPr>
          <w:p w14:paraId="51D602FE">
            <w:pPr>
              <w:pStyle w:val="15"/>
              <w:spacing w:before="121" w:line="228" w:lineRule="auto"/>
              <w:ind w:left="969"/>
            </w:pPr>
            <w:r>
              <w:rPr>
                <w:spacing w:val="2"/>
              </w:rPr>
              <w:t>岭雀</w:t>
            </w:r>
          </w:p>
        </w:tc>
        <w:tc>
          <w:tcPr>
            <w:tcW w:w="2227" w:type="pct"/>
            <w:tcBorders>
              <w:tl2br w:val="nil"/>
              <w:tr2bl w:val="nil"/>
            </w:tcBorders>
            <w:vAlign w:val="top"/>
          </w:tcPr>
          <w:p w14:paraId="7C1EE63B">
            <w:pPr>
              <w:spacing w:before="86" w:line="278" w:lineRule="exact"/>
              <w:ind w:left="1219"/>
              <w:rPr>
                <w:rFonts w:ascii="Times New Roman" w:hAnsi="Times New Roman" w:eastAsia="Times New Roman" w:cs="Times New Roman"/>
                <w:sz w:val="20"/>
                <w:szCs w:val="20"/>
              </w:rPr>
            </w:pPr>
            <w:r>
              <w:rPr>
                <w:rFonts w:ascii="Times New Roman" w:hAnsi="Times New Roman" w:eastAsia="Times New Roman" w:cs="Times New Roman"/>
                <w:i/>
                <w:iCs/>
                <w:spacing w:val="4"/>
                <w:position w:val="2"/>
                <w:sz w:val="20"/>
                <w:szCs w:val="20"/>
              </w:rPr>
              <w:t>Leucosticte brandti</w:t>
            </w:r>
          </w:p>
        </w:tc>
        <w:tc>
          <w:tcPr>
            <w:tcW w:w="814" w:type="pct"/>
            <w:tcBorders>
              <w:tl2br w:val="nil"/>
              <w:tr2bl w:val="nil"/>
            </w:tcBorders>
            <w:vAlign w:val="top"/>
          </w:tcPr>
          <w:p w14:paraId="5F984AEF">
            <w:pPr>
              <w:rPr>
                <w:rFonts w:ascii="Arial"/>
                <w:sz w:val="21"/>
              </w:rPr>
            </w:pPr>
          </w:p>
        </w:tc>
      </w:tr>
      <w:tr w14:paraId="2F03E5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82" w:type="pct"/>
            <w:tcBorders>
              <w:tl2br w:val="nil"/>
              <w:tr2bl w:val="nil"/>
            </w:tcBorders>
            <w:vAlign w:val="top"/>
          </w:tcPr>
          <w:p w14:paraId="21A3368D">
            <w:pPr>
              <w:spacing w:before="157"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76" w:type="pct"/>
            <w:tcBorders>
              <w:tl2br w:val="nil"/>
              <w:tr2bl w:val="nil"/>
            </w:tcBorders>
            <w:vAlign w:val="top"/>
          </w:tcPr>
          <w:p w14:paraId="5E08464D">
            <w:pPr>
              <w:pStyle w:val="15"/>
              <w:spacing w:before="121" w:line="228" w:lineRule="auto"/>
              <w:ind w:left="971"/>
            </w:pPr>
            <w:r>
              <w:rPr>
                <w:spacing w:val="1"/>
              </w:rPr>
              <w:t>雪雀</w:t>
            </w:r>
          </w:p>
        </w:tc>
        <w:tc>
          <w:tcPr>
            <w:tcW w:w="2227" w:type="pct"/>
            <w:tcBorders>
              <w:tl2br w:val="nil"/>
              <w:tr2bl w:val="nil"/>
            </w:tcBorders>
            <w:vAlign w:val="top"/>
          </w:tcPr>
          <w:p w14:paraId="4B69FDE0">
            <w:pPr>
              <w:spacing w:before="86" w:line="278" w:lineRule="exact"/>
              <w:ind w:left="1437"/>
              <w:rPr>
                <w:rFonts w:ascii="Times New Roman" w:hAnsi="Times New Roman" w:eastAsia="Times New Roman" w:cs="Times New Roman"/>
                <w:sz w:val="20"/>
                <w:szCs w:val="20"/>
              </w:rPr>
            </w:pPr>
            <w:r>
              <w:rPr>
                <w:rFonts w:ascii="Times New Roman" w:hAnsi="Times New Roman" w:eastAsia="Times New Roman" w:cs="Times New Roman"/>
                <w:i/>
                <w:iCs/>
                <w:spacing w:val="4"/>
                <w:position w:val="4"/>
                <w:sz w:val="20"/>
                <w:szCs w:val="20"/>
              </w:rPr>
              <w:t>Montifringilla</w:t>
            </w:r>
          </w:p>
        </w:tc>
        <w:tc>
          <w:tcPr>
            <w:tcW w:w="814" w:type="pct"/>
            <w:tcBorders>
              <w:tl2br w:val="nil"/>
              <w:tr2bl w:val="nil"/>
            </w:tcBorders>
            <w:vAlign w:val="top"/>
          </w:tcPr>
          <w:p w14:paraId="353F62B6">
            <w:pPr>
              <w:rPr>
                <w:rFonts w:ascii="Arial"/>
                <w:sz w:val="21"/>
              </w:rPr>
            </w:pPr>
          </w:p>
        </w:tc>
      </w:tr>
      <w:tr w14:paraId="382ED5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682" w:type="pct"/>
            <w:tcBorders>
              <w:tl2br w:val="nil"/>
              <w:tr2bl w:val="nil"/>
            </w:tcBorders>
            <w:vAlign w:val="top"/>
          </w:tcPr>
          <w:p w14:paraId="11F6DD20">
            <w:pPr>
              <w:spacing w:before="137"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76" w:type="pct"/>
            <w:tcBorders>
              <w:tl2br w:val="nil"/>
              <w:tr2bl w:val="nil"/>
            </w:tcBorders>
            <w:vAlign w:val="top"/>
          </w:tcPr>
          <w:p w14:paraId="439EACC8">
            <w:pPr>
              <w:pStyle w:val="15"/>
              <w:spacing w:before="100" w:line="228" w:lineRule="auto"/>
              <w:ind w:left="755"/>
            </w:pPr>
            <w:r>
              <w:rPr>
                <w:spacing w:val="7"/>
              </w:rPr>
              <w:t>黄嘴山鸦</w:t>
            </w:r>
          </w:p>
        </w:tc>
        <w:tc>
          <w:tcPr>
            <w:tcW w:w="2227" w:type="pct"/>
            <w:tcBorders>
              <w:tl2br w:val="nil"/>
              <w:tr2bl w:val="nil"/>
            </w:tcBorders>
            <w:vAlign w:val="top"/>
          </w:tcPr>
          <w:p w14:paraId="276B325F">
            <w:pPr>
              <w:spacing w:before="66" w:line="278" w:lineRule="exact"/>
              <w:ind w:left="1103"/>
              <w:rPr>
                <w:rFonts w:ascii="Times New Roman" w:hAnsi="Times New Roman" w:eastAsia="Times New Roman" w:cs="Times New Roman"/>
                <w:sz w:val="20"/>
                <w:szCs w:val="20"/>
              </w:rPr>
            </w:pPr>
            <w:r>
              <w:rPr>
                <w:rFonts w:ascii="Times New Roman" w:hAnsi="Times New Roman" w:eastAsia="Times New Roman" w:cs="Times New Roman"/>
                <w:i/>
                <w:iCs/>
                <w:spacing w:val="4"/>
                <w:position w:val="4"/>
                <w:sz w:val="20"/>
                <w:szCs w:val="20"/>
              </w:rPr>
              <w:t>Pyrrhocorax graculus</w:t>
            </w:r>
          </w:p>
        </w:tc>
        <w:tc>
          <w:tcPr>
            <w:tcW w:w="814" w:type="pct"/>
            <w:tcBorders>
              <w:tl2br w:val="nil"/>
              <w:tr2bl w:val="nil"/>
            </w:tcBorders>
            <w:vAlign w:val="top"/>
          </w:tcPr>
          <w:p w14:paraId="49AB0435">
            <w:pPr>
              <w:rPr>
                <w:rFonts w:ascii="Arial"/>
                <w:sz w:val="21"/>
              </w:rPr>
            </w:pPr>
          </w:p>
        </w:tc>
      </w:tr>
      <w:tr w14:paraId="06D9E0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2C0A574D">
            <w:pPr>
              <w:spacing w:before="134"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76" w:type="pct"/>
            <w:tcBorders>
              <w:tl2br w:val="nil"/>
              <w:tr2bl w:val="nil"/>
            </w:tcBorders>
            <w:vAlign w:val="top"/>
          </w:tcPr>
          <w:p w14:paraId="6FA8DBF2">
            <w:pPr>
              <w:pStyle w:val="15"/>
              <w:spacing w:before="96" w:line="228" w:lineRule="auto"/>
              <w:ind w:left="864"/>
            </w:pPr>
            <w:r>
              <w:rPr>
                <w:spacing w:val="6"/>
              </w:rPr>
              <w:t>家麻雀</w:t>
            </w:r>
          </w:p>
        </w:tc>
        <w:tc>
          <w:tcPr>
            <w:tcW w:w="2227" w:type="pct"/>
            <w:tcBorders>
              <w:tl2br w:val="nil"/>
              <w:tr2bl w:val="nil"/>
            </w:tcBorders>
            <w:vAlign w:val="top"/>
          </w:tcPr>
          <w:p w14:paraId="66A562F8">
            <w:pPr>
              <w:spacing w:before="64" w:line="278" w:lineRule="exact"/>
              <w:ind w:left="1255"/>
              <w:rPr>
                <w:rFonts w:ascii="Times New Roman" w:hAnsi="Times New Roman" w:eastAsia="Times New Roman" w:cs="Times New Roman"/>
                <w:sz w:val="20"/>
                <w:szCs w:val="20"/>
              </w:rPr>
            </w:pPr>
            <w:r>
              <w:rPr>
                <w:rFonts w:ascii="Times New Roman" w:hAnsi="Times New Roman" w:eastAsia="Times New Roman" w:cs="Times New Roman"/>
                <w:i/>
                <w:iCs/>
                <w:spacing w:val="4"/>
                <w:position w:val="2"/>
                <w:sz w:val="20"/>
                <w:szCs w:val="20"/>
              </w:rPr>
              <w:t>Passer domesticus</w:t>
            </w:r>
          </w:p>
        </w:tc>
        <w:tc>
          <w:tcPr>
            <w:tcW w:w="814" w:type="pct"/>
            <w:tcBorders>
              <w:tl2br w:val="nil"/>
              <w:tr2bl w:val="nil"/>
            </w:tcBorders>
            <w:vAlign w:val="top"/>
          </w:tcPr>
          <w:p w14:paraId="64E8A103">
            <w:pPr>
              <w:rPr>
                <w:rFonts w:ascii="Arial"/>
                <w:sz w:val="21"/>
              </w:rPr>
            </w:pPr>
          </w:p>
        </w:tc>
      </w:tr>
      <w:tr w14:paraId="3BB30D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1FC9A6A6">
            <w:pPr>
              <w:spacing w:before="13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76" w:type="pct"/>
            <w:tcBorders>
              <w:tl2br w:val="nil"/>
              <w:tr2bl w:val="nil"/>
            </w:tcBorders>
            <w:vAlign w:val="top"/>
          </w:tcPr>
          <w:p w14:paraId="79899501">
            <w:pPr>
              <w:pStyle w:val="15"/>
              <w:spacing w:before="98" w:line="228" w:lineRule="auto"/>
              <w:ind w:left="862"/>
            </w:pPr>
            <w:r>
              <w:rPr>
                <w:spacing w:val="6"/>
              </w:rPr>
              <w:t>树麻雀</w:t>
            </w:r>
          </w:p>
        </w:tc>
        <w:tc>
          <w:tcPr>
            <w:tcW w:w="2227" w:type="pct"/>
            <w:tcBorders>
              <w:tl2br w:val="nil"/>
              <w:tr2bl w:val="nil"/>
            </w:tcBorders>
            <w:vAlign w:val="top"/>
          </w:tcPr>
          <w:p w14:paraId="74BA8BAE">
            <w:pPr>
              <w:spacing w:before="139" w:line="192" w:lineRule="auto"/>
              <w:ind w:left="1312"/>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Passer montanus</w:t>
            </w:r>
          </w:p>
        </w:tc>
        <w:tc>
          <w:tcPr>
            <w:tcW w:w="814" w:type="pct"/>
            <w:tcBorders>
              <w:tl2br w:val="nil"/>
              <w:tr2bl w:val="nil"/>
            </w:tcBorders>
            <w:vAlign w:val="top"/>
          </w:tcPr>
          <w:p w14:paraId="65B80699">
            <w:pPr>
              <w:rPr>
                <w:rFonts w:ascii="Arial"/>
                <w:sz w:val="21"/>
              </w:rPr>
            </w:pPr>
          </w:p>
        </w:tc>
      </w:tr>
      <w:tr w14:paraId="3FACF5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630B98DD">
            <w:pPr>
              <w:spacing w:before="139"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276" w:type="pct"/>
            <w:tcBorders>
              <w:tl2br w:val="nil"/>
              <w:tr2bl w:val="nil"/>
            </w:tcBorders>
            <w:vAlign w:val="top"/>
          </w:tcPr>
          <w:p w14:paraId="3F91C22A">
            <w:pPr>
              <w:pStyle w:val="15"/>
              <w:spacing w:before="100" w:line="228" w:lineRule="auto"/>
              <w:ind w:left="968"/>
            </w:pPr>
            <w:r>
              <w:rPr>
                <w:spacing w:val="3"/>
              </w:rPr>
              <w:t>喜鹊</w:t>
            </w:r>
          </w:p>
        </w:tc>
        <w:tc>
          <w:tcPr>
            <w:tcW w:w="2227" w:type="pct"/>
            <w:tcBorders>
              <w:tl2br w:val="nil"/>
              <w:tr2bl w:val="nil"/>
            </w:tcBorders>
            <w:vAlign w:val="top"/>
          </w:tcPr>
          <w:p w14:paraId="6B84C794">
            <w:pPr>
              <w:spacing w:before="142" w:line="194" w:lineRule="auto"/>
              <w:ind w:left="1634"/>
              <w:rPr>
                <w:rFonts w:ascii="Times New Roman" w:hAnsi="Times New Roman" w:eastAsia="Times New Roman" w:cs="Times New Roman"/>
                <w:sz w:val="20"/>
                <w:szCs w:val="20"/>
              </w:rPr>
            </w:pPr>
            <w:r>
              <w:rPr>
                <w:rFonts w:ascii="Times New Roman" w:hAnsi="Times New Roman" w:eastAsia="Times New Roman" w:cs="Times New Roman"/>
                <w:i/>
                <w:iCs/>
                <w:spacing w:val="7"/>
                <w:sz w:val="20"/>
                <w:szCs w:val="20"/>
              </w:rPr>
              <w:t>Pica</w:t>
            </w:r>
            <w:r>
              <w:rPr>
                <w:rFonts w:ascii="Times New Roman" w:hAnsi="Times New Roman" w:eastAsia="Times New Roman" w:cs="Times New Roman"/>
                <w:i/>
                <w:iCs/>
                <w:spacing w:val="-15"/>
                <w:sz w:val="20"/>
                <w:szCs w:val="20"/>
              </w:rPr>
              <w:t xml:space="preserve"> </w:t>
            </w:r>
            <w:r>
              <w:rPr>
                <w:rFonts w:ascii="Times New Roman" w:hAnsi="Times New Roman" w:eastAsia="Times New Roman" w:cs="Times New Roman"/>
                <w:i/>
                <w:iCs/>
                <w:spacing w:val="7"/>
                <w:sz w:val="20"/>
                <w:szCs w:val="20"/>
              </w:rPr>
              <w:t>pica</w:t>
            </w:r>
          </w:p>
        </w:tc>
        <w:tc>
          <w:tcPr>
            <w:tcW w:w="814" w:type="pct"/>
            <w:tcBorders>
              <w:tl2br w:val="nil"/>
              <w:tr2bl w:val="nil"/>
            </w:tcBorders>
            <w:vAlign w:val="top"/>
          </w:tcPr>
          <w:p w14:paraId="63B9995C">
            <w:pPr>
              <w:rPr>
                <w:rFonts w:ascii="Arial"/>
                <w:sz w:val="21"/>
              </w:rPr>
            </w:pPr>
          </w:p>
        </w:tc>
      </w:tr>
      <w:tr w14:paraId="3DB949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24278E0A">
            <w:pPr>
              <w:rPr>
                <w:rFonts w:ascii="Arial"/>
                <w:sz w:val="21"/>
              </w:rPr>
            </w:pPr>
          </w:p>
        </w:tc>
        <w:tc>
          <w:tcPr>
            <w:tcW w:w="1276" w:type="pct"/>
            <w:tcBorders>
              <w:tl2br w:val="nil"/>
              <w:tr2bl w:val="nil"/>
            </w:tcBorders>
            <w:vAlign w:val="top"/>
          </w:tcPr>
          <w:p w14:paraId="1F1FA47F">
            <w:pPr>
              <w:pStyle w:val="15"/>
              <w:spacing w:before="103" w:line="227" w:lineRule="auto"/>
              <w:ind w:left="860"/>
            </w:pPr>
            <w:r>
              <w:rPr>
                <w:spacing w:val="7"/>
                <w14:textOutline w14:w="3795" w14:cap="sq" w14:cmpd="sng">
                  <w14:solidFill>
                    <w14:srgbClr w14:val="000000"/>
                  </w14:solidFill>
                  <w14:prstDash w14:val="solid"/>
                  <w14:bevel/>
                </w14:textOutline>
              </w:rPr>
              <w:t>隼形目</w:t>
            </w:r>
          </w:p>
        </w:tc>
        <w:tc>
          <w:tcPr>
            <w:tcW w:w="2227" w:type="pct"/>
            <w:tcBorders>
              <w:tl2br w:val="nil"/>
              <w:tr2bl w:val="nil"/>
            </w:tcBorders>
            <w:vAlign w:val="top"/>
          </w:tcPr>
          <w:p w14:paraId="451CD11F">
            <w:pPr>
              <w:rPr>
                <w:rFonts w:ascii="Arial"/>
                <w:sz w:val="21"/>
              </w:rPr>
            </w:pPr>
          </w:p>
        </w:tc>
        <w:tc>
          <w:tcPr>
            <w:tcW w:w="814" w:type="pct"/>
            <w:tcBorders>
              <w:tl2br w:val="nil"/>
              <w:tr2bl w:val="nil"/>
            </w:tcBorders>
            <w:vAlign w:val="top"/>
          </w:tcPr>
          <w:p w14:paraId="618B8E5B">
            <w:pPr>
              <w:rPr>
                <w:rFonts w:ascii="Arial"/>
                <w:sz w:val="21"/>
              </w:rPr>
            </w:pPr>
          </w:p>
        </w:tc>
      </w:tr>
      <w:tr w14:paraId="086764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63E2BF47">
            <w:pPr>
              <w:spacing w:before="141"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276" w:type="pct"/>
            <w:tcBorders>
              <w:tl2br w:val="nil"/>
              <w:tr2bl w:val="nil"/>
            </w:tcBorders>
            <w:vAlign w:val="top"/>
          </w:tcPr>
          <w:p w14:paraId="6833EF3D">
            <w:pPr>
              <w:pStyle w:val="15"/>
              <w:spacing w:before="105" w:line="229" w:lineRule="auto"/>
              <w:ind w:left="892"/>
            </w:pPr>
            <w:r>
              <w:rPr>
                <w:spacing w:val="-4"/>
              </w:rPr>
              <w:t>白尾鹞</w:t>
            </w:r>
          </w:p>
        </w:tc>
        <w:tc>
          <w:tcPr>
            <w:tcW w:w="2227" w:type="pct"/>
            <w:tcBorders>
              <w:tl2br w:val="nil"/>
              <w:tr2bl w:val="nil"/>
            </w:tcBorders>
            <w:vAlign w:val="top"/>
          </w:tcPr>
          <w:p w14:paraId="67BA3787">
            <w:pPr>
              <w:spacing w:before="141" w:line="197" w:lineRule="auto"/>
              <w:ind w:left="1408"/>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Circus cyaneus</w:t>
            </w:r>
          </w:p>
        </w:tc>
        <w:tc>
          <w:tcPr>
            <w:tcW w:w="814" w:type="pct"/>
            <w:tcBorders>
              <w:tl2br w:val="nil"/>
              <w:tr2bl w:val="nil"/>
            </w:tcBorders>
            <w:vAlign w:val="top"/>
          </w:tcPr>
          <w:p w14:paraId="57B2B2D6">
            <w:pPr>
              <w:pStyle w:val="15"/>
              <w:spacing w:before="105" w:line="230" w:lineRule="auto"/>
              <w:ind w:left="446"/>
            </w:pPr>
            <w:r>
              <w:rPr>
                <w:spacing w:val="-5"/>
              </w:rPr>
              <w:t>国</w:t>
            </w:r>
            <w:r>
              <w:rPr>
                <w:spacing w:val="-43"/>
              </w:rPr>
              <w:t xml:space="preserve"> </w:t>
            </w:r>
            <w:r>
              <w:rPr>
                <w:rFonts w:ascii="Times New Roman" w:hAnsi="Times New Roman" w:eastAsia="Times New Roman" w:cs="Times New Roman"/>
                <w:spacing w:val="-5"/>
              </w:rPr>
              <w:t>II</w:t>
            </w:r>
            <w:r>
              <w:rPr>
                <w:rFonts w:ascii="Times New Roman" w:hAnsi="Times New Roman" w:eastAsia="Times New Roman" w:cs="Times New Roman"/>
                <w:spacing w:val="5"/>
              </w:rPr>
              <w:t xml:space="preserve"> </w:t>
            </w:r>
            <w:r>
              <w:rPr>
                <w:spacing w:val="-5"/>
              </w:rPr>
              <w:t>级</w:t>
            </w:r>
          </w:p>
        </w:tc>
      </w:tr>
      <w:tr w14:paraId="59764D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77A78DD6">
            <w:pPr>
              <w:rPr>
                <w:rFonts w:ascii="Arial"/>
                <w:sz w:val="21"/>
              </w:rPr>
            </w:pPr>
          </w:p>
        </w:tc>
        <w:tc>
          <w:tcPr>
            <w:tcW w:w="1276" w:type="pct"/>
            <w:tcBorders>
              <w:tl2br w:val="nil"/>
              <w:tr2bl w:val="nil"/>
            </w:tcBorders>
            <w:vAlign w:val="top"/>
          </w:tcPr>
          <w:p w14:paraId="5E70D6C3">
            <w:pPr>
              <w:pStyle w:val="15"/>
              <w:spacing w:before="108" w:line="228" w:lineRule="auto"/>
              <w:ind w:left="859"/>
            </w:pPr>
            <w:r>
              <w:rPr>
                <w:spacing w:val="8"/>
                <w14:textOutline w14:w="3795" w14:cap="sq" w14:cmpd="sng">
                  <w14:solidFill>
                    <w14:srgbClr w14:val="000000"/>
                  </w14:solidFill>
                  <w14:prstDash w14:val="solid"/>
                  <w14:bevel/>
                </w14:textOutline>
              </w:rPr>
              <w:t>爬行纲</w:t>
            </w:r>
          </w:p>
        </w:tc>
        <w:tc>
          <w:tcPr>
            <w:tcW w:w="2227" w:type="pct"/>
            <w:tcBorders>
              <w:tl2br w:val="nil"/>
              <w:tr2bl w:val="nil"/>
            </w:tcBorders>
            <w:vAlign w:val="top"/>
          </w:tcPr>
          <w:p w14:paraId="54E5FABB">
            <w:pPr>
              <w:rPr>
                <w:rFonts w:ascii="Arial"/>
                <w:sz w:val="21"/>
              </w:rPr>
            </w:pPr>
          </w:p>
        </w:tc>
        <w:tc>
          <w:tcPr>
            <w:tcW w:w="814" w:type="pct"/>
            <w:tcBorders>
              <w:tl2br w:val="nil"/>
              <w:tr2bl w:val="nil"/>
            </w:tcBorders>
            <w:vAlign w:val="top"/>
          </w:tcPr>
          <w:p w14:paraId="368260ED">
            <w:pPr>
              <w:rPr>
                <w:rFonts w:ascii="Arial"/>
                <w:sz w:val="21"/>
              </w:rPr>
            </w:pPr>
          </w:p>
        </w:tc>
      </w:tr>
      <w:tr w14:paraId="704E69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82" w:type="pct"/>
            <w:tcBorders>
              <w:tl2br w:val="nil"/>
              <w:tr2bl w:val="nil"/>
            </w:tcBorders>
            <w:vAlign w:val="top"/>
          </w:tcPr>
          <w:p w14:paraId="40A3D1A3">
            <w:pPr>
              <w:rPr>
                <w:rFonts w:ascii="Arial"/>
                <w:sz w:val="21"/>
              </w:rPr>
            </w:pPr>
          </w:p>
        </w:tc>
        <w:tc>
          <w:tcPr>
            <w:tcW w:w="1276" w:type="pct"/>
            <w:tcBorders>
              <w:tl2br w:val="nil"/>
              <w:tr2bl w:val="nil"/>
            </w:tcBorders>
            <w:vAlign w:val="top"/>
          </w:tcPr>
          <w:p w14:paraId="03C59F6D">
            <w:pPr>
              <w:pStyle w:val="15"/>
              <w:spacing w:before="108" w:line="228" w:lineRule="auto"/>
              <w:ind w:left="859"/>
            </w:pPr>
            <w:r>
              <w:rPr>
                <w:spacing w:val="8"/>
                <w14:textOutline w14:w="3795" w14:cap="sq" w14:cmpd="sng">
                  <w14:solidFill>
                    <w14:srgbClr w14:val="000000"/>
                  </w14:solidFill>
                  <w14:prstDash w14:val="solid"/>
                  <w14:bevel/>
                </w14:textOutline>
              </w:rPr>
              <w:t>蜥蜴目</w:t>
            </w:r>
          </w:p>
        </w:tc>
        <w:tc>
          <w:tcPr>
            <w:tcW w:w="2227" w:type="pct"/>
            <w:tcBorders>
              <w:tl2br w:val="nil"/>
              <w:tr2bl w:val="nil"/>
            </w:tcBorders>
            <w:vAlign w:val="top"/>
          </w:tcPr>
          <w:p w14:paraId="36507D33">
            <w:pPr>
              <w:rPr>
                <w:rFonts w:ascii="Arial"/>
                <w:sz w:val="21"/>
              </w:rPr>
            </w:pPr>
          </w:p>
        </w:tc>
        <w:tc>
          <w:tcPr>
            <w:tcW w:w="814" w:type="pct"/>
            <w:tcBorders>
              <w:tl2br w:val="nil"/>
              <w:tr2bl w:val="nil"/>
            </w:tcBorders>
            <w:vAlign w:val="top"/>
          </w:tcPr>
          <w:p w14:paraId="438CF8F4">
            <w:pPr>
              <w:rPr>
                <w:rFonts w:ascii="Arial"/>
                <w:sz w:val="21"/>
              </w:rPr>
            </w:pPr>
          </w:p>
        </w:tc>
      </w:tr>
      <w:tr w14:paraId="0077CC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725E0ED3">
            <w:pPr>
              <w:spacing w:before="148"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276" w:type="pct"/>
            <w:tcBorders>
              <w:tl2br w:val="nil"/>
              <w:tr2bl w:val="nil"/>
            </w:tcBorders>
            <w:vAlign w:val="top"/>
          </w:tcPr>
          <w:p w14:paraId="5816202F">
            <w:pPr>
              <w:pStyle w:val="15"/>
              <w:spacing w:before="111" w:line="228" w:lineRule="auto"/>
              <w:ind w:left="757"/>
            </w:pPr>
            <w:r>
              <w:rPr>
                <w:spacing w:val="7"/>
              </w:rPr>
              <w:t>密点麻蜥</w:t>
            </w:r>
          </w:p>
        </w:tc>
        <w:tc>
          <w:tcPr>
            <w:tcW w:w="2227" w:type="pct"/>
            <w:tcBorders>
              <w:tl2br w:val="nil"/>
              <w:tr2bl w:val="nil"/>
            </w:tcBorders>
            <w:vAlign w:val="top"/>
          </w:tcPr>
          <w:p w14:paraId="125D5D9B">
            <w:pPr>
              <w:spacing w:before="78" w:line="278" w:lineRule="exact"/>
              <w:ind w:left="1104"/>
              <w:rPr>
                <w:rFonts w:ascii="Times New Roman" w:hAnsi="Times New Roman" w:eastAsia="Times New Roman" w:cs="Times New Roman"/>
                <w:sz w:val="20"/>
                <w:szCs w:val="20"/>
              </w:rPr>
            </w:pPr>
            <w:r>
              <w:rPr>
                <w:rFonts w:ascii="Times New Roman" w:hAnsi="Times New Roman" w:eastAsia="Times New Roman" w:cs="Times New Roman"/>
                <w:i/>
                <w:iCs/>
                <w:spacing w:val="4"/>
                <w:position w:val="2"/>
                <w:sz w:val="20"/>
                <w:szCs w:val="20"/>
              </w:rPr>
              <w:t>Eremias multiocellata</w:t>
            </w:r>
          </w:p>
        </w:tc>
        <w:tc>
          <w:tcPr>
            <w:tcW w:w="814" w:type="pct"/>
            <w:tcBorders>
              <w:tl2br w:val="nil"/>
              <w:tr2bl w:val="nil"/>
            </w:tcBorders>
            <w:vAlign w:val="top"/>
          </w:tcPr>
          <w:p w14:paraId="237F1960">
            <w:pPr>
              <w:rPr>
                <w:rFonts w:ascii="Arial"/>
                <w:sz w:val="21"/>
              </w:rPr>
            </w:pPr>
          </w:p>
        </w:tc>
      </w:tr>
      <w:tr w14:paraId="267760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5664620C">
            <w:pPr>
              <w:spacing w:before="150"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76" w:type="pct"/>
            <w:tcBorders>
              <w:tl2br w:val="nil"/>
              <w:tr2bl w:val="nil"/>
            </w:tcBorders>
            <w:vAlign w:val="top"/>
          </w:tcPr>
          <w:p w14:paraId="1306DF85">
            <w:pPr>
              <w:pStyle w:val="15"/>
              <w:spacing w:before="111" w:line="228" w:lineRule="auto"/>
              <w:ind w:left="769"/>
            </w:pPr>
            <w:r>
              <w:rPr>
                <w:spacing w:val="4"/>
              </w:rPr>
              <w:t>叶城沙蜥</w:t>
            </w:r>
          </w:p>
        </w:tc>
        <w:tc>
          <w:tcPr>
            <w:tcW w:w="2227" w:type="pct"/>
            <w:tcBorders>
              <w:tl2br w:val="nil"/>
              <w:tr2bl w:val="nil"/>
            </w:tcBorders>
            <w:vAlign w:val="top"/>
          </w:tcPr>
          <w:p w14:paraId="61F1BCDA">
            <w:pPr>
              <w:spacing w:before="80" w:line="277" w:lineRule="exact"/>
              <w:ind w:left="976"/>
              <w:rPr>
                <w:rFonts w:ascii="Times New Roman" w:hAnsi="Times New Roman" w:eastAsia="Times New Roman" w:cs="Times New Roman"/>
                <w:sz w:val="20"/>
                <w:szCs w:val="20"/>
              </w:rPr>
            </w:pPr>
            <w:r>
              <w:rPr>
                <w:rFonts w:ascii="Times New Roman" w:hAnsi="Times New Roman" w:eastAsia="Times New Roman" w:cs="Times New Roman"/>
                <w:i/>
                <w:iCs/>
                <w:spacing w:val="4"/>
                <w:position w:val="4"/>
                <w:sz w:val="20"/>
                <w:szCs w:val="20"/>
              </w:rPr>
              <w:t>Phrynocephalus axillaris</w:t>
            </w:r>
          </w:p>
        </w:tc>
        <w:tc>
          <w:tcPr>
            <w:tcW w:w="814" w:type="pct"/>
            <w:tcBorders>
              <w:tl2br w:val="nil"/>
              <w:tr2bl w:val="nil"/>
            </w:tcBorders>
            <w:vAlign w:val="top"/>
          </w:tcPr>
          <w:p w14:paraId="25E1AE18">
            <w:pPr>
              <w:rPr>
                <w:rFonts w:ascii="Arial"/>
                <w:sz w:val="21"/>
              </w:rPr>
            </w:pPr>
          </w:p>
        </w:tc>
      </w:tr>
      <w:tr w14:paraId="1FB9D8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A6EF167">
            <w:pPr>
              <w:spacing w:before="149"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76" w:type="pct"/>
            <w:tcBorders>
              <w:tl2br w:val="nil"/>
              <w:tr2bl w:val="nil"/>
            </w:tcBorders>
            <w:vAlign w:val="top"/>
          </w:tcPr>
          <w:p w14:paraId="64FEF1DB">
            <w:pPr>
              <w:pStyle w:val="15"/>
              <w:spacing w:before="113" w:line="228" w:lineRule="auto"/>
              <w:ind w:left="860"/>
            </w:pPr>
            <w:r>
              <w:rPr>
                <w:spacing w:val="7"/>
                <w14:textOutline w14:w="3795" w14:cap="sq" w14:cmpd="sng">
                  <w14:solidFill>
                    <w14:srgbClr w14:val="000000"/>
                  </w14:solidFill>
                  <w14:prstDash w14:val="solid"/>
                  <w14:bevel/>
                </w14:textOutline>
              </w:rPr>
              <w:t>有鳞目</w:t>
            </w:r>
          </w:p>
        </w:tc>
        <w:tc>
          <w:tcPr>
            <w:tcW w:w="2227" w:type="pct"/>
            <w:tcBorders>
              <w:tl2br w:val="nil"/>
              <w:tr2bl w:val="nil"/>
            </w:tcBorders>
            <w:vAlign w:val="top"/>
          </w:tcPr>
          <w:p w14:paraId="64DC0A0D">
            <w:pPr>
              <w:rPr>
                <w:rFonts w:ascii="Arial"/>
                <w:sz w:val="21"/>
              </w:rPr>
            </w:pPr>
          </w:p>
        </w:tc>
        <w:tc>
          <w:tcPr>
            <w:tcW w:w="814" w:type="pct"/>
            <w:tcBorders>
              <w:tl2br w:val="nil"/>
              <w:tr2bl w:val="nil"/>
            </w:tcBorders>
            <w:vAlign w:val="top"/>
          </w:tcPr>
          <w:p w14:paraId="562F5220">
            <w:pPr>
              <w:rPr>
                <w:rFonts w:ascii="Arial"/>
                <w:sz w:val="21"/>
              </w:rPr>
            </w:pPr>
          </w:p>
        </w:tc>
      </w:tr>
      <w:tr w14:paraId="46F538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7427487D">
            <w:pPr>
              <w:spacing w:before="150"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76" w:type="pct"/>
            <w:tcBorders>
              <w:tl2br w:val="nil"/>
              <w:tr2bl w:val="nil"/>
            </w:tcBorders>
            <w:vAlign w:val="top"/>
          </w:tcPr>
          <w:p w14:paraId="7F7615F6">
            <w:pPr>
              <w:pStyle w:val="15"/>
              <w:spacing w:before="114" w:line="228" w:lineRule="auto"/>
              <w:ind w:left="759"/>
            </w:pPr>
            <w:r>
              <w:rPr>
                <w:spacing w:val="6"/>
              </w:rPr>
              <w:t>快步麻蜥</w:t>
            </w:r>
          </w:p>
        </w:tc>
        <w:tc>
          <w:tcPr>
            <w:tcW w:w="2227" w:type="pct"/>
            <w:tcBorders>
              <w:tl2br w:val="nil"/>
              <w:tr2bl w:val="nil"/>
            </w:tcBorders>
            <w:vAlign w:val="top"/>
          </w:tcPr>
          <w:p w14:paraId="77EC7A60">
            <w:pPr>
              <w:spacing w:before="80" w:line="278" w:lineRule="exact"/>
              <w:ind w:left="1437"/>
              <w:rPr>
                <w:rFonts w:ascii="Times New Roman" w:hAnsi="Times New Roman" w:eastAsia="Times New Roman" w:cs="Times New Roman"/>
                <w:sz w:val="20"/>
                <w:szCs w:val="20"/>
              </w:rPr>
            </w:pPr>
            <w:r>
              <w:rPr>
                <w:rFonts w:ascii="Times New Roman" w:hAnsi="Times New Roman" w:eastAsia="Times New Roman" w:cs="Times New Roman"/>
                <w:i/>
                <w:iCs/>
                <w:spacing w:val="4"/>
                <w:position w:val="2"/>
                <w:sz w:val="20"/>
                <w:szCs w:val="20"/>
              </w:rPr>
              <w:t>Eremias velox</w:t>
            </w:r>
          </w:p>
        </w:tc>
        <w:tc>
          <w:tcPr>
            <w:tcW w:w="814" w:type="pct"/>
            <w:tcBorders>
              <w:tl2br w:val="nil"/>
              <w:tr2bl w:val="nil"/>
            </w:tcBorders>
            <w:vAlign w:val="top"/>
          </w:tcPr>
          <w:p w14:paraId="2E929F6F">
            <w:pPr>
              <w:rPr>
                <w:rFonts w:ascii="Arial"/>
                <w:sz w:val="21"/>
              </w:rPr>
            </w:pPr>
          </w:p>
        </w:tc>
      </w:tr>
      <w:tr w14:paraId="736E62F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11FB8C08">
            <w:pPr>
              <w:spacing w:before="152"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76" w:type="pct"/>
            <w:tcBorders>
              <w:tl2br w:val="nil"/>
              <w:tr2bl w:val="nil"/>
            </w:tcBorders>
            <w:vAlign w:val="top"/>
          </w:tcPr>
          <w:p w14:paraId="036D371F">
            <w:pPr>
              <w:pStyle w:val="15"/>
              <w:spacing w:before="116" w:line="228" w:lineRule="auto"/>
              <w:ind w:left="860"/>
            </w:pPr>
            <w:r>
              <w:rPr>
                <w:spacing w:val="7"/>
              </w:rPr>
              <w:t>捷蜥蜴</w:t>
            </w:r>
          </w:p>
        </w:tc>
        <w:tc>
          <w:tcPr>
            <w:tcW w:w="2227" w:type="pct"/>
            <w:tcBorders>
              <w:tl2br w:val="nil"/>
              <w:tr2bl w:val="nil"/>
            </w:tcBorders>
            <w:vAlign w:val="top"/>
          </w:tcPr>
          <w:p w14:paraId="00BC4E53">
            <w:pPr>
              <w:spacing w:before="81" w:line="278" w:lineRule="exact"/>
              <w:ind w:left="1445"/>
              <w:rPr>
                <w:rFonts w:ascii="Times New Roman" w:hAnsi="Times New Roman" w:eastAsia="Times New Roman" w:cs="Times New Roman"/>
                <w:sz w:val="20"/>
                <w:szCs w:val="20"/>
              </w:rPr>
            </w:pPr>
            <w:r>
              <w:rPr>
                <w:rFonts w:ascii="Times New Roman" w:hAnsi="Times New Roman" w:eastAsia="Times New Roman" w:cs="Times New Roman"/>
                <w:i/>
                <w:iCs/>
                <w:spacing w:val="4"/>
                <w:position w:val="4"/>
                <w:sz w:val="20"/>
                <w:szCs w:val="20"/>
              </w:rPr>
              <w:t>Lacerta agilis</w:t>
            </w:r>
          </w:p>
        </w:tc>
        <w:tc>
          <w:tcPr>
            <w:tcW w:w="814" w:type="pct"/>
            <w:tcBorders>
              <w:tl2br w:val="nil"/>
              <w:tr2bl w:val="nil"/>
            </w:tcBorders>
            <w:vAlign w:val="top"/>
          </w:tcPr>
          <w:p w14:paraId="4F1B69BA">
            <w:pPr>
              <w:rPr>
                <w:rFonts w:ascii="Arial"/>
                <w:sz w:val="21"/>
              </w:rPr>
            </w:pPr>
          </w:p>
        </w:tc>
      </w:tr>
      <w:tr w14:paraId="3F9461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52ECF6CC">
            <w:pPr>
              <w:spacing w:before="153"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76" w:type="pct"/>
            <w:tcBorders>
              <w:tl2br w:val="nil"/>
              <w:tr2bl w:val="nil"/>
            </w:tcBorders>
            <w:vAlign w:val="top"/>
          </w:tcPr>
          <w:p w14:paraId="480A8F36">
            <w:pPr>
              <w:pStyle w:val="15"/>
              <w:spacing w:before="114" w:line="228" w:lineRule="auto"/>
              <w:ind w:left="756"/>
            </w:pPr>
            <w:r>
              <w:rPr>
                <w:spacing w:val="7"/>
              </w:rPr>
              <w:t>胎生蜥蜴</w:t>
            </w:r>
          </w:p>
        </w:tc>
        <w:tc>
          <w:tcPr>
            <w:tcW w:w="2227" w:type="pct"/>
            <w:tcBorders>
              <w:tl2br w:val="nil"/>
              <w:tr2bl w:val="nil"/>
            </w:tcBorders>
            <w:vAlign w:val="top"/>
          </w:tcPr>
          <w:p w14:paraId="52F7BCB3">
            <w:pPr>
              <w:spacing w:before="156" w:line="194" w:lineRule="auto"/>
              <w:ind w:left="1317"/>
              <w:rPr>
                <w:rFonts w:ascii="Times New Roman" w:hAnsi="Times New Roman" w:eastAsia="Times New Roman" w:cs="Times New Roman"/>
                <w:sz w:val="20"/>
                <w:szCs w:val="20"/>
              </w:rPr>
            </w:pPr>
            <w:r>
              <w:rPr>
                <w:rFonts w:ascii="Times New Roman" w:hAnsi="Times New Roman" w:eastAsia="Times New Roman" w:cs="Times New Roman"/>
                <w:i/>
                <w:iCs/>
                <w:spacing w:val="4"/>
                <w:sz w:val="20"/>
                <w:szCs w:val="20"/>
              </w:rPr>
              <w:t>Zootoca vivipara</w:t>
            </w:r>
          </w:p>
        </w:tc>
        <w:tc>
          <w:tcPr>
            <w:tcW w:w="814" w:type="pct"/>
            <w:tcBorders>
              <w:tl2br w:val="nil"/>
              <w:tr2bl w:val="nil"/>
            </w:tcBorders>
            <w:vAlign w:val="top"/>
          </w:tcPr>
          <w:p w14:paraId="3D9B3701">
            <w:pPr>
              <w:rPr>
                <w:rFonts w:ascii="Arial"/>
                <w:sz w:val="21"/>
              </w:rPr>
            </w:pPr>
          </w:p>
        </w:tc>
      </w:tr>
      <w:tr w14:paraId="4B0F370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228363E4">
            <w:pPr>
              <w:spacing w:before="154"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76" w:type="pct"/>
            <w:tcBorders>
              <w:tl2br w:val="nil"/>
              <w:tr2bl w:val="nil"/>
            </w:tcBorders>
            <w:vAlign w:val="top"/>
          </w:tcPr>
          <w:p w14:paraId="0F869795">
            <w:pPr>
              <w:pStyle w:val="15"/>
              <w:spacing w:before="116" w:line="227" w:lineRule="auto"/>
              <w:ind w:left="661"/>
            </w:pPr>
            <w:r>
              <w:rPr>
                <w:spacing w:val="6"/>
              </w:rPr>
              <w:t>吐鲁番沙虎</w:t>
            </w:r>
          </w:p>
        </w:tc>
        <w:tc>
          <w:tcPr>
            <w:tcW w:w="2227" w:type="pct"/>
            <w:tcBorders>
              <w:tl2br w:val="nil"/>
              <w:tr2bl w:val="nil"/>
            </w:tcBorders>
            <w:vAlign w:val="top"/>
          </w:tcPr>
          <w:p w14:paraId="7EDD45EB">
            <w:pPr>
              <w:spacing w:before="84" w:line="278" w:lineRule="exact"/>
              <w:ind w:left="931"/>
              <w:rPr>
                <w:rFonts w:ascii="Times New Roman" w:hAnsi="Times New Roman" w:eastAsia="Times New Roman" w:cs="Times New Roman"/>
                <w:sz w:val="20"/>
                <w:szCs w:val="20"/>
              </w:rPr>
            </w:pPr>
            <w:r>
              <w:rPr>
                <w:rFonts w:ascii="Times New Roman" w:hAnsi="Times New Roman" w:eastAsia="Times New Roman" w:cs="Times New Roman"/>
                <w:i/>
                <w:iCs/>
                <w:spacing w:val="3"/>
                <w:position w:val="2"/>
                <w:sz w:val="20"/>
                <w:szCs w:val="20"/>
              </w:rPr>
              <w:t>Teratoscincus roborowskii</w:t>
            </w:r>
          </w:p>
        </w:tc>
        <w:tc>
          <w:tcPr>
            <w:tcW w:w="814" w:type="pct"/>
            <w:tcBorders>
              <w:tl2br w:val="nil"/>
              <w:tr2bl w:val="nil"/>
            </w:tcBorders>
            <w:vAlign w:val="top"/>
          </w:tcPr>
          <w:p w14:paraId="1DB9E0AB">
            <w:pPr>
              <w:rPr>
                <w:rFonts w:ascii="Arial"/>
                <w:sz w:val="21"/>
              </w:rPr>
            </w:pPr>
          </w:p>
        </w:tc>
      </w:tr>
      <w:tr w14:paraId="3EE6D0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2" w:type="pct"/>
            <w:tcBorders>
              <w:tl2br w:val="nil"/>
              <w:tr2bl w:val="nil"/>
            </w:tcBorders>
            <w:vAlign w:val="top"/>
          </w:tcPr>
          <w:p w14:paraId="4FAA69A7">
            <w:pPr>
              <w:rPr>
                <w:rFonts w:ascii="Arial"/>
                <w:sz w:val="21"/>
              </w:rPr>
            </w:pPr>
          </w:p>
        </w:tc>
        <w:tc>
          <w:tcPr>
            <w:tcW w:w="1276" w:type="pct"/>
            <w:tcBorders>
              <w:tl2br w:val="nil"/>
              <w:tr2bl w:val="nil"/>
            </w:tcBorders>
            <w:vAlign w:val="top"/>
          </w:tcPr>
          <w:p w14:paraId="563D14CE">
            <w:pPr>
              <w:pStyle w:val="15"/>
              <w:spacing w:before="103" w:line="220" w:lineRule="auto"/>
              <w:ind w:left="819"/>
              <w:rPr>
                <w:sz w:val="24"/>
                <w:szCs w:val="24"/>
              </w:rPr>
            </w:pPr>
            <w:r>
              <w:rPr>
                <w:spacing w:val="-4"/>
                <w:sz w:val="24"/>
                <w:szCs w:val="24"/>
              </w:rPr>
              <w:t>两栖纲</w:t>
            </w:r>
          </w:p>
        </w:tc>
        <w:tc>
          <w:tcPr>
            <w:tcW w:w="2227" w:type="pct"/>
            <w:tcBorders>
              <w:tl2br w:val="nil"/>
              <w:tr2bl w:val="nil"/>
            </w:tcBorders>
            <w:vAlign w:val="top"/>
          </w:tcPr>
          <w:p w14:paraId="7F9B3DB8">
            <w:pPr>
              <w:rPr>
                <w:rFonts w:ascii="Arial"/>
                <w:sz w:val="21"/>
              </w:rPr>
            </w:pPr>
          </w:p>
        </w:tc>
        <w:tc>
          <w:tcPr>
            <w:tcW w:w="814" w:type="pct"/>
            <w:tcBorders>
              <w:tl2br w:val="nil"/>
              <w:tr2bl w:val="nil"/>
            </w:tcBorders>
            <w:vAlign w:val="top"/>
          </w:tcPr>
          <w:p w14:paraId="6018CEF8">
            <w:pPr>
              <w:rPr>
                <w:rFonts w:ascii="Arial"/>
                <w:sz w:val="21"/>
              </w:rPr>
            </w:pPr>
          </w:p>
        </w:tc>
      </w:tr>
      <w:tr w14:paraId="512FE4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82" w:type="pct"/>
            <w:tcBorders>
              <w:tl2br w:val="nil"/>
              <w:tr2bl w:val="nil"/>
            </w:tcBorders>
            <w:vAlign w:val="top"/>
          </w:tcPr>
          <w:p w14:paraId="524B7868">
            <w:pPr>
              <w:spacing w:before="155"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76" w:type="pct"/>
            <w:tcBorders>
              <w:tl2br w:val="nil"/>
              <w:tr2bl w:val="nil"/>
            </w:tcBorders>
            <w:vAlign w:val="top"/>
          </w:tcPr>
          <w:p w14:paraId="5B5C7B4B">
            <w:pPr>
              <w:pStyle w:val="15"/>
              <w:spacing w:before="105" w:line="219" w:lineRule="auto"/>
              <w:ind w:left="819"/>
              <w:rPr>
                <w:sz w:val="24"/>
                <w:szCs w:val="24"/>
              </w:rPr>
            </w:pPr>
            <w:r>
              <w:rPr>
                <w:spacing w:val="-4"/>
                <w:sz w:val="24"/>
                <w:szCs w:val="24"/>
              </w:rPr>
              <w:t>绿蟾蜍</w:t>
            </w:r>
          </w:p>
        </w:tc>
        <w:tc>
          <w:tcPr>
            <w:tcW w:w="2227" w:type="pct"/>
            <w:tcBorders>
              <w:tl2br w:val="nil"/>
              <w:tr2bl w:val="nil"/>
            </w:tcBorders>
            <w:vAlign w:val="top"/>
          </w:tcPr>
          <w:p w14:paraId="5D4E52D1">
            <w:pPr>
              <w:spacing w:before="85" w:line="277" w:lineRule="exact"/>
              <w:ind w:left="1540"/>
              <w:rPr>
                <w:rFonts w:ascii="Times New Roman" w:hAnsi="Times New Roman" w:eastAsia="Times New Roman" w:cs="Times New Roman"/>
                <w:sz w:val="20"/>
                <w:szCs w:val="20"/>
              </w:rPr>
            </w:pPr>
            <w:r>
              <w:rPr>
                <w:rFonts w:ascii="Times New Roman" w:hAnsi="Times New Roman" w:eastAsia="Times New Roman" w:cs="Times New Roman"/>
                <w:i/>
                <w:iCs/>
                <w:spacing w:val="4"/>
                <w:position w:val="4"/>
                <w:sz w:val="20"/>
                <w:szCs w:val="20"/>
              </w:rPr>
              <w:t>Bufo viridis</w:t>
            </w:r>
          </w:p>
        </w:tc>
        <w:tc>
          <w:tcPr>
            <w:tcW w:w="814" w:type="pct"/>
            <w:tcBorders>
              <w:tl2br w:val="nil"/>
              <w:tr2bl w:val="nil"/>
            </w:tcBorders>
            <w:vAlign w:val="top"/>
          </w:tcPr>
          <w:p w14:paraId="23AB00C4">
            <w:pPr>
              <w:rPr>
                <w:rFonts w:ascii="Arial"/>
                <w:sz w:val="21"/>
              </w:rPr>
            </w:pPr>
          </w:p>
        </w:tc>
      </w:tr>
    </w:tbl>
    <w:p w14:paraId="2D17AC16">
      <w:pPr>
        <w:pStyle w:val="8"/>
      </w:pPr>
    </w:p>
    <w:p w14:paraId="536C1B2F">
      <w:pPr>
        <w:spacing w:before="210" w:line="360" w:lineRule="auto"/>
        <w:ind w:left="116" w:right="108" w:firstLine="480"/>
        <w:jc w:val="both"/>
        <w:rPr>
          <w:rFonts w:hint="eastAsia" w:ascii="Times New Roman" w:hAnsi="Times New Roman" w:eastAsia="宋体" w:cs="Times New Roman"/>
          <w:spacing w:val="-3"/>
          <w:sz w:val="24"/>
          <w:szCs w:val="24"/>
          <w:lang w:val="en-US" w:eastAsia="zh-CN"/>
        </w:rPr>
      </w:pPr>
      <w:r>
        <w:rPr>
          <w:rFonts w:ascii="宋体" w:hAnsi="宋体" w:eastAsia="宋体" w:cs="宋体"/>
          <w:sz w:val="24"/>
          <w:szCs w:val="24"/>
        </w:rPr>
        <w:t>根据《国家重点保护野生动物名录（</w:t>
      </w:r>
      <w:r>
        <w:rPr>
          <w:rFonts w:ascii="Times New Roman" w:hAnsi="Times New Roman" w:eastAsia="Times New Roman" w:cs="Times New Roman"/>
          <w:sz w:val="24"/>
          <w:szCs w:val="24"/>
        </w:rPr>
        <w:t xml:space="preserve">2021 </w:t>
      </w:r>
      <w:r>
        <w:rPr>
          <w:rFonts w:ascii="宋体" w:hAnsi="宋体" w:eastAsia="宋体" w:cs="宋体"/>
          <w:sz w:val="24"/>
          <w:szCs w:val="24"/>
        </w:rPr>
        <w:t>年版）》《新疆国家重点保护野生动物</w:t>
      </w:r>
      <w:r>
        <w:rPr>
          <w:rFonts w:ascii="宋体" w:hAnsi="宋体" w:eastAsia="宋体" w:cs="宋体"/>
          <w:spacing w:val="6"/>
          <w:sz w:val="24"/>
          <w:szCs w:val="24"/>
        </w:rPr>
        <w:t xml:space="preserve"> </w:t>
      </w:r>
      <w:r>
        <w:rPr>
          <w:rFonts w:ascii="宋体" w:hAnsi="宋体" w:eastAsia="宋体" w:cs="宋体"/>
          <w:spacing w:val="4"/>
          <w:sz w:val="24"/>
          <w:szCs w:val="24"/>
        </w:rPr>
        <w:t>名录》（</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07 </w:t>
      </w:r>
      <w:r>
        <w:rPr>
          <w:rFonts w:ascii="宋体" w:hAnsi="宋体" w:eastAsia="宋体" w:cs="宋体"/>
          <w:spacing w:val="4"/>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28</w:t>
      </w:r>
      <w:r>
        <w:rPr>
          <w:rFonts w:ascii="Times New Roman" w:hAnsi="Times New Roman" w:eastAsia="Times New Roman" w:cs="Times New Roman"/>
          <w:spacing w:val="46"/>
          <w:sz w:val="24"/>
          <w:szCs w:val="24"/>
        </w:rPr>
        <w:t xml:space="preserve"> </w:t>
      </w:r>
      <w:r>
        <w:rPr>
          <w:rFonts w:ascii="宋体" w:hAnsi="宋体" w:eastAsia="宋体" w:cs="宋体"/>
          <w:spacing w:val="4"/>
          <w:sz w:val="24"/>
          <w:szCs w:val="24"/>
        </w:rPr>
        <w:t>日发布）《新疆维吾尔自治区重点保护野生动物名录（修</w:t>
      </w:r>
      <w:r>
        <w:rPr>
          <w:rFonts w:ascii="宋体" w:hAnsi="宋体" w:eastAsia="宋体" w:cs="宋体"/>
          <w:sz w:val="24"/>
          <w:szCs w:val="24"/>
        </w:rPr>
        <w:t xml:space="preserve"> </w:t>
      </w:r>
      <w:r>
        <w:rPr>
          <w:rFonts w:ascii="宋体" w:hAnsi="宋体" w:eastAsia="宋体" w:cs="宋体"/>
          <w:spacing w:val="-3"/>
          <w:sz w:val="24"/>
          <w:szCs w:val="24"/>
        </w:rPr>
        <w:t>订）》新政发〔</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75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09 </w:t>
      </w:r>
      <w:r>
        <w:rPr>
          <w:rFonts w:ascii="宋体" w:hAnsi="宋体" w:eastAsia="宋体" w:cs="宋体"/>
          <w:spacing w:val="-3"/>
          <w:sz w:val="24"/>
          <w:szCs w:val="24"/>
        </w:rPr>
        <w:t>月</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08</w:t>
      </w:r>
      <w:r>
        <w:rPr>
          <w:rFonts w:ascii="Times New Roman" w:hAnsi="Times New Roman" w:eastAsia="Times New Roman" w:cs="Times New Roman"/>
          <w:spacing w:val="39"/>
          <w:sz w:val="24"/>
          <w:szCs w:val="24"/>
        </w:rPr>
        <w:t xml:space="preserve"> </w:t>
      </w:r>
      <w:r>
        <w:rPr>
          <w:rFonts w:ascii="宋体" w:hAnsi="宋体" w:eastAsia="宋体" w:cs="宋体"/>
          <w:spacing w:val="-3"/>
          <w:sz w:val="24"/>
          <w:szCs w:val="24"/>
        </w:rPr>
        <w:t>日发布</w:t>
      </w:r>
      <w:r>
        <w:rPr>
          <w:rFonts w:ascii="宋体" w:hAnsi="宋体" w:eastAsia="宋体" w:cs="宋体"/>
          <w:spacing w:val="11"/>
          <w:sz w:val="24"/>
          <w:szCs w:val="24"/>
        </w:rPr>
        <w:t>），</w:t>
      </w:r>
      <w:r>
        <w:rPr>
          <w:rFonts w:ascii="宋体" w:hAnsi="宋体" w:eastAsia="宋体" w:cs="宋体"/>
          <w:spacing w:val="-3"/>
          <w:sz w:val="24"/>
          <w:szCs w:val="24"/>
        </w:rPr>
        <w:t>经过咨询当地林业局野生动</w:t>
      </w:r>
      <w:r>
        <w:rPr>
          <w:rFonts w:ascii="宋体" w:hAnsi="宋体" w:eastAsia="宋体" w:cs="宋体"/>
          <w:sz w:val="24"/>
          <w:szCs w:val="24"/>
        </w:rPr>
        <w:t xml:space="preserve"> </w:t>
      </w:r>
      <w:r>
        <w:rPr>
          <w:rFonts w:ascii="宋体" w:hAnsi="宋体" w:eastAsia="宋体" w:cs="宋体"/>
          <w:spacing w:val="2"/>
          <w:sz w:val="24"/>
          <w:szCs w:val="24"/>
        </w:rPr>
        <w:t>物保护科以等单位，流域调查范围保护动物主要为鹅喉羚、北山羊</w:t>
      </w:r>
      <w:r>
        <w:rPr>
          <w:rFonts w:ascii="宋体" w:hAnsi="宋体" w:eastAsia="宋体" w:cs="宋体"/>
          <w:spacing w:val="1"/>
          <w:sz w:val="24"/>
          <w:szCs w:val="24"/>
        </w:rPr>
        <w:t>、盘羊、雪豹、环</w:t>
      </w:r>
      <w:r>
        <w:rPr>
          <w:rFonts w:ascii="宋体" w:hAnsi="宋体" w:eastAsia="宋体" w:cs="宋体"/>
          <w:sz w:val="24"/>
          <w:szCs w:val="24"/>
        </w:rPr>
        <w:t xml:space="preserve"> </w:t>
      </w:r>
      <w:r>
        <w:rPr>
          <w:rFonts w:ascii="宋体" w:hAnsi="宋体" w:eastAsia="宋体" w:cs="宋体"/>
          <w:spacing w:val="1"/>
          <w:sz w:val="24"/>
          <w:szCs w:val="24"/>
        </w:rPr>
        <w:t>颈鸻、白尾鹞及吐鲁番沙虎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种，其中雪豹为国家一级级保护动物，其余为国家二级</w:t>
      </w:r>
      <w:r>
        <w:rPr>
          <w:rFonts w:ascii="宋体" w:hAnsi="宋体" w:eastAsia="宋体" w:cs="宋体"/>
          <w:sz w:val="24"/>
          <w:szCs w:val="24"/>
        </w:rPr>
        <w:t xml:space="preserve"> </w:t>
      </w:r>
      <w:r>
        <w:rPr>
          <w:rFonts w:ascii="宋体" w:hAnsi="宋体" w:eastAsia="宋体" w:cs="宋体"/>
          <w:spacing w:val="1"/>
          <w:sz w:val="24"/>
          <w:szCs w:val="24"/>
        </w:rPr>
        <w:t>保护动物。据现场调查，规划工程区域内未见有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种保护动物栖息地吧，保护动物情</w:t>
      </w:r>
      <w:r>
        <w:rPr>
          <w:rFonts w:ascii="宋体" w:hAnsi="宋体" w:eastAsia="宋体" w:cs="宋体"/>
          <w:spacing w:val="-3"/>
          <w:sz w:val="24"/>
          <w:szCs w:val="24"/>
        </w:rPr>
        <w:t>况见表</w:t>
      </w:r>
      <w:r>
        <w:rPr>
          <w:rFonts w:ascii="宋体" w:hAnsi="宋体" w:eastAsia="宋体" w:cs="宋体"/>
          <w:spacing w:val="-44"/>
          <w:sz w:val="24"/>
          <w:szCs w:val="24"/>
        </w:rPr>
        <w:t xml:space="preserve"> </w:t>
      </w:r>
      <w:r>
        <w:rPr>
          <w:rFonts w:hint="eastAsia" w:ascii="Times New Roman" w:hAnsi="Times New Roman" w:eastAsia="宋体" w:cs="Times New Roman"/>
          <w:spacing w:val="-3"/>
          <w:sz w:val="24"/>
          <w:szCs w:val="24"/>
          <w:lang w:val="en-US" w:eastAsia="zh-CN"/>
        </w:rPr>
        <w:t>4-6-3。</w:t>
      </w:r>
    </w:p>
    <w:p w14:paraId="23740310">
      <w:pPr>
        <w:spacing w:before="294" w:line="220" w:lineRule="auto"/>
        <w:ind w:left="2537"/>
        <w:rPr>
          <w:rFonts w:ascii="宋体" w:hAnsi="宋体" w:eastAsia="宋体" w:cs="宋体"/>
          <w:sz w:val="24"/>
          <w:szCs w:val="24"/>
        </w:rPr>
      </w:pPr>
      <w:r>
        <w:rPr>
          <w:rFonts w:hint="default" w:ascii="Times New Roman" w:hAnsi="Times New Roman" w:eastAsia="宋体" w:cs="Times New Roman"/>
          <w:b w:val="0"/>
          <w:bCs w:val="0"/>
          <w:sz w:val="24"/>
          <w:szCs w:val="24"/>
          <w14:textOutline w14:w="4358" w14:cap="sq" w14:cmpd="sng">
            <w14:solidFill>
              <w14:srgbClr w14:val="000000"/>
            </w14:solidFill>
            <w14:prstDash w14:val="solid"/>
            <w14:bevel/>
          </w14:textOutline>
        </w:rPr>
        <w:t>表</w:t>
      </w:r>
      <w:r>
        <w:rPr>
          <w:rFonts w:hint="default" w:ascii="Times New Roman" w:hAnsi="Times New Roman" w:eastAsia="宋体" w:cs="Times New Roman"/>
          <w:b/>
          <w:bCs/>
          <w:spacing w:val="-3"/>
          <w:sz w:val="24"/>
          <w:szCs w:val="24"/>
          <w:lang w:val="en-US" w:eastAsia="zh-CN"/>
        </w:rPr>
        <w:t xml:space="preserve">4-6-3 </w:t>
      </w:r>
      <w:r>
        <w:rPr>
          <w:rFonts w:hint="eastAsia" w:ascii="Times New Roman" w:hAnsi="Times New Roman" w:eastAsia="宋体" w:cs="Times New Roman"/>
          <w:spacing w:val="-3"/>
          <w:sz w:val="24"/>
          <w:szCs w:val="24"/>
          <w:lang w:val="en-US" w:eastAsia="zh-CN"/>
        </w:rPr>
        <w:t xml:space="preserve"> </w:t>
      </w:r>
      <w:r>
        <w:rPr>
          <w:rFonts w:ascii="Times New Roman" w:hAnsi="Times New Roman" w:eastAsia="Times New Roman" w:cs="Times New Roman"/>
          <w:b/>
          <w:bCs/>
          <w:sz w:val="24"/>
          <w:szCs w:val="24"/>
        </w:rPr>
        <w:t xml:space="preserve">   </w:t>
      </w:r>
      <w:r>
        <w:rPr>
          <w:rFonts w:hint="eastAsia" w:ascii="Times New Roman" w:hAnsi="Times New Roman" w:eastAsia="宋体" w:cs="Times New Roman"/>
          <w:b/>
          <w:bCs/>
          <w:sz w:val="24"/>
          <w:szCs w:val="24"/>
          <w:lang w:val="en-US" w:eastAsia="zh-CN"/>
        </w:rPr>
        <w:t>艾丁湖</w:t>
      </w:r>
      <w:r>
        <w:rPr>
          <w:rFonts w:ascii="宋体" w:hAnsi="宋体" w:eastAsia="宋体" w:cs="宋体"/>
          <w:sz w:val="24"/>
          <w:szCs w:val="24"/>
          <w14:textOutline w14:w="4358" w14:cap="sq" w14:cmpd="sng">
            <w14:solidFill>
              <w14:srgbClr w14:val="000000"/>
            </w14:solidFill>
            <w14:prstDash w14:val="solid"/>
            <w14:bevel/>
          </w14:textOutline>
        </w:rPr>
        <w:t>流域陆生保护动物情况</w:t>
      </w:r>
    </w:p>
    <w:p w14:paraId="170D5A79">
      <w:pPr>
        <w:spacing w:line="163" w:lineRule="exact"/>
      </w:pPr>
    </w:p>
    <w:tbl>
      <w:tblPr>
        <w:tblStyle w:val="14"/>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3"/>
        <w:gridCol w:w="1356"/>
        <w:gridCol w:w="1072"/>
        <w:gridCol w:w="4753"/>
        <w:gridCol w:w="1283"/>
      </w:tblGrid>
      <w:tr w14:paraId="3C5BA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373" w:type="pct"/>
            <w:tcBorders>
              <w:top w:val="single" w:color="000000" w:sz="10" w:space="0"/>
              <w:left w:val="nil"/>
            </w:tcBorders>
            <w:vAlign w:val="center"/>
          </w:tcPr>
          <w:p w14:paraId="3483DDE1">
            <w:pPr>
              <w:jc w:val="center"/>
              <w:rPr>
                <w:rFonts w:hint="default" w:ascii="Times New Roman" w:hAnsi="Times New Roman" w:eastAsia="宋体" w:cs="Times New Roman"/>
                <w:sz w:val="20"/>
                <w:szCs w:val="20"/>
              </w:rPr>
            </w:pPr>
          </w:p>
          <w:p w14:paraId="76B9380F">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序号</w:t>
            </w:r>
          </w:p>
        </w:tc>
        <w:tc>
          <w:tcPr>
            <w:tcW w:w="741" w:type="pct"/>
            <w:tcBorders>
              <w:top w:val="single" w:color="000000" w:sz="10" w:space="0"/>
            </w:tcBorders>
            <w:vAlign w:val="center"/>
          </w:tcPr>
          <w:p w14:paraId="44D89FBD">
            <w:pPr>
              <w:jc w:val="center"/>
              <w:rPr>
                <w:rFonts w:hint="default" w:ascii="Times New Roman" w:hAnsi="Times New Roman" w:eastAsia="宋体" w:cs="Times New Roman"/>
                <w:sz w:val="20"/>
                <w:szCs w:val="20"/>
              </w:rPr>
            </w:pPr>
          </w:p>
          <w:p w14:paraId="2CF006AB">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名称</w:t>
            </w:r>
          </w:p>
        </w:tc>
        <w:tc>
          <w:tcPr>
            <w:tcW w:w="586" w:type="pct"/>
            <w:tcBorders>
              <w:top w:val="single" w:color="000000" w:sz="10" w:space="0"/>
            </w:tcBorders>
            <w:vAlign w:val="center"/>
          </w:tcPr>
          <w:p w14:paraId="03CB0693">
            <w:pPr>
              <w:jc w:val="center"/>
              <w:rPr>
                <w:rFonts w:hint="default" w:ascii="Times New Roman" w:hAnsi="Times New Roman" w:eastAsia="宋体" w:cs="Times New Roman"/>
                <w:sz w:val="20"/>
                <w:szCs w:val="20"/>
              </w:rPr>
            </w:pPr>
          </w:p>
          <w:p w14:paraId="0D55F088">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保护级别</w:t>
            </w:r>
          </w:p>
        </w:tc>
        <w:tc>
          <w:tcPr>
            <w:tcW w:w="2597" w:type="pct"/>
            <w:tcBorders>
              <w:top w:val="single" w:color="000000" w:sz="10" w:space="0"/>
            </w:tcBorders>
            <w:vAlign w:val="center"/>
          </w:tcPr>
          <w:p w14:paraId="46C4F5BD">
            <w:pPr>
              <w:jc w:val="center"/>
              <w:rPr>
                <w:rFonts w:hint="default" w:ascii="Times New Roman" w:hAnsi="Times New Roman" w:eastAsia="宋体" w:cs="Times New Roman"/>
                <w:sz w:val="20"/>
                <w:szCs w:val="20"/>
              </w:rPr>
            </w:pPr>
          </w:p>
          <w:p w14:paraId="70E80082">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习性</w:t>
            </w:r>
          </w:p>
        </w:tc>
        <w:tc>
          <w:tcPr>
            <w:tcW w:w="701" w:type="pct"/>
            <w:tcBorders>
              <w:top w:val="single" w:color="000000" w:sz="10" w:space="0"/>
              <w:right w:val="nil"/>
            </w:tcBorders>
            <w:vAlign w:val="center"/>
          </w:tcPr>
          <w:p w14:paraId="4D2471E9">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规划工程占</w:t>
            </w:r>
          </w:p>
          <w:p w14:paraId="0B8DCD3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用(是/否)</w:t>
            </w:r>
          </w:p>
        </w:tc>
      </w:tr>
      <w:tr w14:paraId="25503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jc w:val="center"/>
        </w:trPr>
        <w:tc>
          <w:tcPr>
            <w:tcW w:w="373" w:type="pct"/>
            <w:tcBorders>
              <w:left w:val="nil"/>
              <w:bottom w:val="single" w:color="000000" w:sz="10" w:space="0"/>
            </w:tcBorders>
            <w:vAlign w:val="center"/>
          </w:tcPr>
          <w:p w14:paraId="5992DC92">
            <w:pPr>
              <w:jc w:val="center"/>
              <w:rPr>
                <w:rFonts w:hint="default" w:ascii="Times New Roman" w:hAnsi="Times New Roman" w:eastAsia="宋体" w:cs="Times New Roman"/>
                <w:sz w:val="20"/>
                <w:szCs w:val="20"/>
              </w:rPr>
            </w:pPr>
          </w:p>
          <w:p w14:paraId="1385531B">
            <w:pPr>
              <w:jc w:val="center"/>
              <w:rPr>
                <w:rFonts w:hint="default" w:ascii="Times New Roman" w:hAnsi="Times New Roman" w:eastAsia="宋体" w:cs="Times New Roman"/>
                <w:sz w:val="20"/>
                <w:szCs w:val="20"/>
              </w:rPr>
            </w:pPr>
          </w:p>
          <w:p w14:paraId="1E813E2F">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w:t>
            </w:r>
          </w:p>
        </w:tc>
        <w:tc>
          <w:tcPr>
            <w:tcW w:w="741" w:type="pct"/>
            <w:tcBorders>
              <w:bottom w:val="single" w:color="000000" w:sz="10" w:space="0"/>
            </w:tcBorders>
            <w:vAlign w:val="center"/>
          </w:tcPr>
          <w:p w14:paraId="701783AA">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鹅喉羚</w:t>
            </w:r>
          </w:p>
          <w:p w14:paraId="287B9A37">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Gazella     subgutturosa</w:t>
            </w:r>
          </w:p>
        </w:tc>
        <w:tc>
          <w:tcPr>
            <w:tcW w:w="586" w:type="pct"/>
            <w:tcBorders>
              <w:bottom w:val="single" w:color="000000" w:sz="10" w:space="0"/>
            </w:tcBorders>
            <w:vAlign w:val="center"/>
          </w:tcPr>
          <w:p w14:paraId="7182BEF2">
            <w:pPr>
              <w:jc w:val="center"/>
              <w:rPr>
                <w:rFonts w:hint="default" w:ascii="Times New Roman" w:hAnsi="Times New Roman" w:eastAsia="宋体" w:cs="Times New Roman"/>
                <w:sz w:val="20"/>
                <w:szCs w:val="20"/>
              </w:rPr>
            </w:pPr>
          </w:p>
          <w:p w14:paraId="4976C984">
            <w:pPr>
              <w:jc w:val="center"/>
              <w:rPr>
                <w:rFonts w:hint="default" w:ascii="Times New Roman" w:hAnsi="Times New Roman" w:eastAsia="宋体" w:cs="Times New Roman"/>
                <w:sz w:val="20"/>
                <w:szCs w:val="20"/>
              </w:rPr>
            </w:pPr>
          </w:p>
          <w:p w14:paraId="0649E3DE">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国家二级</w:t>
            </w:r>
          </w:p>
        </w:tc>
        <w:tc>
          <w:tcPr>
            <w:tcW w:w="2597" w:type="pct"/>
            <w:tcBorders>
              <w:bottom w:val="single" w:color="000000" w:sz="10" w:space="0"/>
            </w:tcBorders>
            <w:vAlign w:val="center"/>
          </w:tcPr>
          <w:p w14:paraId="00BE1959">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鹅喉羚属于典型的荒漠和半荒漠地区的种类，体 形似黄羊，栖息在海拔 300-6000 米之间的干燥荒</w:t>
            </w:r>
          </w:p>
          <w:p w14:paraId="38EEE929">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凉的沙漠和半沙漠地区。藜科、禾本科植物是鹅</w:t>
            </w:r>
          </w:p>
        </w:tc>
        <w:tc>
          <w:tcPr>
            <w:tcW w:w="701" w:type="pct"/>
            <w:tcBorders>
              <w:bottom w:val="single" w:color="000000" w:sz="10" w:space="0"/>
              <w:right w:val="nil"/>
            </w:tcBorders>
            <w:vAlign w:val="center"/>
          </w:tcPr>
          <w:p w14:paraId="7003F271">
            <w:pPr>
              <w:jc w:val="center"/>
              <w:rPr>
                <w:rFonts w:hint="default" w:ascii="Times New Roman" w:hAnsi="Times New Roman" w:eastAsia="宋体" w:cs="Times New Roman"/>
                <w:sz w:val="20"/>
                <w:szCs w:val="20"/>
              </w:rPr>
            </w:pPr>
          </w:p>
          <w:p w14:paraId="78F62E0A">
            <w:pPr>
              <w:jc w:val="center"/>
              <w:rPr>
                <w:rFonts w:hint="default" w:ascii="Times New Roman" w:hAnsi="Times New Roman" w:eastAsia="宋体" w:cs="Times New Roman"/>
                <w:sz w:val="20"/>
                <w:szCs w:val="20"/>
              </w:rPr>
            </w:pPr>
          </w:p>
          <w:p w14:paraId="61F1EC80">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否</w:t>
            </w:r>
          </w:p>
        </w:tc>
      </w:tr>
      <w:tr w14:paraId="180EE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6" w:hRule="atLeast"/>
          <w:jc w:val="center"/>
        </w:trPr>
        <w:tc>
          <w:tcPr>
            <w:tcW w:w="373" w:type="pct"/>
            <w:tcBorders>
              <w:top w:val="single" w:color="000000" w:sz="10" w:space="0"/>
              <w:left w:val="nil"/>
            </w:tcBorders>
            <w:vAlign w:val="center"/>
          </w:tcPr>
          <w:p w14:paraId="532A83BC">
            <w:pPr>
              <w:jc w:val="center"/>
              <w:rPr>
                <w:rFonts w:hint="default" w:ascii="Times New Roman" w:hAnsi="Times New Roman" w:eastAsia="宋体" w:cs="Times New Roman"/>
                <w:sz w:val="20"/>
                <w:szCs w:val="20"/>
              </w:rPr>
            </w:pPr>
          </w:p>
        </w:tc>
        <w:tc>
          <w:tcPr>
            <w:tcW w:w="741" w:type="pct"/>
            <w:tcBorders>
              <w:top w:val="single" w:color="000000" w:sz="10" w:space="0"/>
            </w:tcBorders>
            <w:vAlign w:val="center"/>
          </w:tcPr>
          <w:p w14:paraId="4F774045">
            <w:pPr>
              <w:jc w:val="center"/>
              <w:rPr>
                <w:rFonts w:hint="default" w:ascii="Times New Roman" w:hAnsi="Times New Roman" w:eastAsia="宋体" w:cs="Times New Roman"/>
                <w:sz w:val="20"/>
                <w:szCs w:val="20"/>
              </w:rPr>
            </w:pPr>
          </w:p>
        </w:tc>
        <w:tc>
          <w:tcPr>
            <w:tcW w:w="586" w:type="pct"/>
            <w:tcBorders>
              <w:top w:val="single" w:color="000000" w:sz="10" w:space="0"/>
            </w:tcBorders>
            <w:vAlign w:val="center"/>
          </w:tcPr>
          <w:p w14:paraId="3A8C14D4">
            <w:pPr>
              <w:jc w:val="center"/>
              <w:rPr>
                <w:rFonts w:hint="default" w:ascii="Times New Roman" w:hAnsi="Times New Roman" w:eastAsia="宋体" w:cs="Times New Roman"/>
                <w:sz w:val="20"/>
                <w:szCs w:val="20"/>
              </w:rPr>
            </w:pPr>
          </w:p>
        </w:tc>
        <w:tc>
          <w:tcPr>
            <w:tcW w:w="2597" w:type="pct"/>
            <w:tcBorders>
              <w:top w:val="single" w:color="000000" w:sz="10" w:space="0"/>
            </w:tcBorders>
            <w:vAlign w:val="center"/>
          </w:tcPr>
          <w:p w14:paraId="25827197">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喉羚全年的主要食物来源， 占鹅喉羚总采食量的 38.8-85. 1% ，非禾本科草本植物也在鹅喉羚食物 中占有重要地位；春季和夏季鹅喉羚采食较多的</w:t>
            </w:r>
          </w:p>
          <w:p w14:paraId="76D391E6">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驼绒藜，秋季和冬季梭梭被较多采食。</w:t>
            </w:r>
          </w:p>
        </w:tc>
        <w:tc>
          <w:tcPr>
            <w:tcW w:w="701" w:type="pct"/>
            <w:tcBorders>
              <w:top w:val="single" w:color="000000" w:sz="10" w:space="0"/>
              <w:right w:val="nil"/>
            </w:tcBorders>
            <w:vAlign w:val="center"/>
          </w:tcPr>
          <w:p w14:paraId="2D7F8620">
            <w:pPr>
              <w:jc w:val="center"/>
              <w:rPr>
                <w:rFonts w:hint="default" w:ascii="Times New Roman" w:hAnsi="Times New Roman" w:eastAsia="宋体" w:cs="Times New Roman"/>
                <w:sz w:val="20"/>
                <w:szCs w:val="20"/>
              </w:rPr>
            </w:pPr>
          </w:p>
        </w:tc>
      </w:tr>
      <w:tr w14:paraId="1B5DB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jc w:val="center"/>
        </w:trPr>
        <w:tc>
          <w:tcPr>
            <w:tcW w:w="373" w:type="pct"/>
            <w:tcBorders>
              <w:left w:val="nil"/>
            </w:tcBorders>
            <w:vAlign w:val="center"/>
          </w:tcPr>
          <w:p w14:paraId="7591AE83">
            <w:pPr>
              <w:jc w:val="center"/>
              <w:rPr>
                <w:rFonts w:hint="default" w:ascii="Times New Roman" w:hAnsi="Times New Roman" w:eastAsia="宋体" w:cs="Times New Roman"/>
                <w:sz w:val="20"/>
                <w:szCs w:val="20"/>
              </w:rPr>
            </w:pPr>
          </w:p>
          <w:p w14:paraId="2F1FFD5A">
            <w:pPr>
              <w:jc w:val="center"/>
              <w:rPr>
                <w:rFonts w:hint="default" w:ascii="Times New Roman" w:hAnsi="Times New Roman" w:eastAsia="宋体" w:cs="Times New Roman"/>
                <w:sz w:val="20"/>
                <w:szCs w:val="20"/>
              </w:rPr>
            </w:pPr>
          </w:p>
          <w:p w14:paraId="6DBB3735">
            <w:pPr>
              <w:jc w:val="center"/>
              <w:rPr>
                <w:rFonts w:hint="default" w:ascii="Times New Roman" w:hAnsi="Times New Roman" w:eastAsia="宋体" w:cs="Times New Roman"/>
                <w:sz w:val="20"/>
                <w:szCs w:val="20"/>
              </w:rPr>
            </w:pPr>
          </w:p>
          <w:p w14:paraId="35973E73">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w:t>
            </w:r>
          </w:p>
        </w:tc>
        <w:tc>
          <w:tcPr>
            <w:tcW w:w="741" w:type="pct"/>
            <w:vAlign w:val="center"/>
          </w:tcPr>
          <w:p w14:paraId="20CEC089">
            <w:pPr>
              <w:jc w:val="center"/>
              <w:rPr>
                <w:rFonts w:hint="default" w:ascii="Times New Roman" w:hAnsi="Times New Roman" w:eastAsia="宋体" w:cs="Times New Roman"/>
                <w:sz w:val="20"/>
                <w:szCs w:val="20"/>
              </w:rPr>
            </w:pPr>
          </w:p>
          <w:p w14:paraId="2E1F767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北山羊</w:t>
            </w:r>
          </w:p>
          <w:p w14:paraId="6DD0C744">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Capra</w:t>
            </w:r>
          </w:p>
          <w:p w14:paraId="439180E2">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sibirica</w:t>
            </w:r>
          </w:p>
        </w:tc>
        <w:tc>
          <w:tcPr>
            <w:tcW w:w="586" w:type="pct"/>
            <w:vAlign w:val="center"/>
          </w:tcPr>
          <w:p w14:paraId="34737FDC">
            <w:pPr>
              <w:jc w:val="center"/>
              <w:rPr>
                <w:rFonts w:hint="default" w:ascii="Times New Roman" w:hAnsi="Times New Roman" w:eastAsia="宋体" w:cs="Times New Roman"/>
                <w:sz w:val="20"/>
                <w:szCs w:val="20"/>
              </w:rPr>
            </w:pPr>
          </w:p>
          <w:p w14:paraId="4B29B79F">
            <w:pPr>
              <w:jc w:val="center"/>
              <w:rPr>
                <w:rFonts w:hint="default" w:ascii="Times New Roman" w:hAnsi="Times New Roman" w:eastAsia="宋体" w:cs="Times New Roman"/>
                <w:sz w:val="20"/>
                <w:szCs w:val="20"/>
              </w:rPr>
            </w:pPr>
          </w:p>
          <w:p w14:paraId="4C38D4B4">
            <w:pPr>
              <w:jc w:val="center"/>
              <w:rPr>
                <w:rFonts w:hint="default" w:ascii="Times New Roman" w:hAnsi="Times New Roman" w:eastAsia="宋体" w:cs="Times New Roman"/>
                <w:sz w:val="20"/>
                <w:szCs w:val="20"/>
              </w:rPr>
            </w:pPr>
          </w:p>
          <w:p w14:paraId="2796606C">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国家二级</w:t>
            </w:r>
          </w:p>
        </w:tc>
        <w:tc>
          <w:tcPr>
            <w:tcW w:w="2597" w:type="pct"/>
            <w:vAlign w:val="center"/>
          </w:tcPr>
          <w:p w14:paraId="6DB6FDFD">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为牛科山羊属动物。北山羊为典型的野生山羊， 栖息于海拔 3500~6000 米的高原裸岩和山腰碎石 嶙峋的地带，是栖居位置最高的哺乳动物之一，</w:t>
            </w:r>
          </w:p>
          <w:p w14:paraId="03A389A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以各种杂草类为食。</w:t>
            </w:r>
          </w:p>
        </w:tc>
        <w:tc>
          <w:tcPr>
            <w:tcW w:w="701" w:type="pct"/>
            <w:tcBorders>
              <w:right w:val="nil"/>
            </w:tcBorders>
            <w:vAlign w:val="center"/>
          </w:tcPr>
          <w:p w14:paraId="3072275F">
            <w:pPr>
              <w:jc w:val="center"/>
              <w:rPr>
                <w:rFonts w:hint="default" w:ascii="Times New Roman" w:hAnsi="Times New Roman" w:eastAsia="宋体" w:cs="Times New Roman"/>
                <w:sz w:val="20"/>
                <w:szCs w:val="20"/>
              </w:rPr>
            </w:pPr>
          </w:p>
          <w:p w14:paraId="4C51C6E5">
            <w:pPr>
              <w:jc w:val="center"/>
              <w:rPr>
                <w:rFonts w:hint="default" w:ascii="Times New Roman" w:hAnsi="Times New Roman" w:eastAsia="宋体" w:cs="Times New Roman"/>
                <w:sz w:val="20"/>
                <w:szCs w:val="20"/>
              </w:rPr>
            </w:pPr>
          </w:p>
          <w:p w14:paraId="0660F273">
            <w:pPr>
              <w:jc w:val="center"/>
              <w:rPr>
                <w:rFonts w:hint="default" w:ascii="Times New Roman" w:hAnsi="Times New Roman" w:eastAsia="宋体" w:cs="Times New Roman"/>
                <w:sz w:val="20"/>
                <w:szCs w:val="20"/>
              </w:rPr>
            </w:pPr>
          </w:p>
          <w:p w14:paraId="065077B4">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否</w:t>
            </w:r>
          </w:p>
        </w:tc>
      </w:tr>
      <w:tr w14:paraId="60B2A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jc w:val="center"/>
        </w:trPr>
        <w:tc>
          <w:tcPr>
            <w:tcW w:w="373" w:type="pct"/>
            <w:tcBorders>
              <w:left w:val="nil"/>
            </w:tcBorders>
            <w:vAlign w:val="center"/>
          </w:tcPr>
          <w:p w14:paraId="746FE21F">
            <w:pPr>
              <w:jc w:val="center"/>
              <w:rPr>
                <w:rFonts w:hint="default" w:ascii="Times New Roman" w:hAnsi="Times New Roman" w:eastAsia="宋体" w:cs="Times New Roman"/>
                <w:sz w:val="20"/>
                <w:szCs w:val="20"/>
              </w:rPr>
            </w:pPr>
          </w:p>
          <w:p w14:paraId="2D50A8D2">
            <w:pPr>
              <w:jc w:val="center"/>
              <w:rPr>
                <w:rFonts w:hint="default" w:ascii="Times New Roman" w:hAnsi="Times New Roman" w:eastAsia="宋体" w:cs="Times New Roman"/>
                <w:sz w:val="20"/>
                <w:szCs w:val="20"/>
              </w:rPr>
            </w:pPr>
          </w:p>
          <w:p w14:paraId="3018C98F">
            <w:pPr>
              <w:jc w:val="center"/>
              <w:rPr>
                <w:rFonts w:hint="default" w:ascii="Times New Roman" w:hAnsi="Times New Roman" w:eastAsia="宋体" w:cs="Times New Roman"/>
                <w:sz w:val="20"/>
                <w:szCs w:val="20"/>
              </w:rPr>
            </w:pPr>
          </w:p>
          <w:p w14:paraId="6F88E9E1">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3</w:t>
            </w:r>
          </w:p>
        </w:tc>
        <w:tc>
          <w:tcPr>
            <w:tcW w:w="741" w:type="pct"/>
            <w:vAlign w:val="center"/>
          </w:tcPr>
          <w:p w14:paraId="45642C73">
            <w:pPr>
              <w:jc w:val="center"/>
              <w:rPr>
                <w:rFonts w:hint="default" w:ascii="Times New Roman" w:hAnsi="Times New Roman" w:eastAsia="宋体" w:cs="Times New Roman"/>
                <w:sz w:val="20"/>
                <w:szCs w:val="20"/>
              </w:rPr>
            </w:pPr>
          </w:p>
          <w:p w14:paraId="2B8E39BB">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盘羊</w:t>
            </w:r>
          </w:p>
          <w:p w14:paraId="541C0DF6">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Ovis ammon</w:t>
            </w:r>
          </w:p>
        </w:tc>
        <w:tc>
          <w:tcPr>
            <w:tcW w:w="586" w:type="pct"/>
            <w:vAlign w:val="center"/>
          </w:tcPr>
          <w:p w14:paraId="423C467C">
            <w:pPr>
              <w:jc w:val="center"/>
              <w:rPr>
                <w:rFonts w:hint="default" w:ascii="Times New Roman" w:hAnsi="Times New Roman" w:eastAsia="宋体" w:cs="Times New Roman"/>
                <w:sz w:val="20"/>
                <w:szCs w:val="20"/>
              </w:rPr>
            </w:pPr>
          </w:p>
          <w:p w14:paraId="621C6AA7">
            <w:pPr>
              <w:jc w:val="center"/>
              <w:rPr>
                <w:rFonts w:hint="default" w:ascii="Times New Roman" w:hAnsi="Times New Roman" w:eastAsia="宋体" w:cs="Times New Roman"/>
                <w:sz w:val="20"/>
                <w:szCs w:val="20"/>
              </w:rPr>
            </w:pPr>
          </w:p>
          <w:p w14:paraId="3347CEE7">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国家二级</w:t>
            </w:r>
          </w:p>
        </w:tc>
        <w:tc>
          <w:tcPr>
            <w:tcW w:w="2597" w:type="pct"/>
            <w:vAlign w:val="center"/>
          </w:tcPr>
          <w:p w14:paraId="3998A69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盘羊是典型的山地动物，喜在半开旷的高山裸岩</w:t>
            </w:r>
          </w:p>
          <w:p w14:paraId="256F1870">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带及起伏的山间</w:t>
            </w:r>
            <w:r>
              <w:rPr>
                <w:rFonts w:hint="default" w:ascii="Times New Roman" w:hAnsi="Times New Roman" w:eastAsia="宋体" w:cs="Times New Roman"/>
                <w:sz w:val="20"/>
                <w:szCs w:val="20"/>
              </w:rPr>
              <w:fldChar w:fldCharType="begin"/>
            </w:r>
            <w:r>
              <w:rPr>
                <w:rFonts w:hint="default" w:ascii="Times New Roman" w:hAnsi="Times New Roman" w:eastAsia="宋体" w:cs="Times New Roman"/>
                <w:sz w:val="20"/>
                <w:szCs w:val="20"/>
              </w:rPr>
              <w:instrText xml:space="preserve"> HYPERLINK "https://baike.baidu.com/item/%E4%B8%98%E9%99%B5/32177?fromModule=lemma_inlink" </w:instrText>
            </w:r>
            <w:r>
              <w:rPr>
                <w:rFonts w:hint="default" w:ascii="Times New Roman" w:hAnsi="Times New Roman" w:eastAsia="宋体" w:cs="Times New Roman"/>
                <w:sz w:val="20"/>
                <w:szCs w:val="20"/>
              </w:rPr>
              <w:fldChar w:fldCharType="separate"/>
            </w:r>
            <w:r>
              <w:rPr>
                <w:rFonts w:hint="default" w:ascii="Times New Roman" w:hAnsi="Times New Roman" w:eastAsia="宋体" w:cs="Times New Roman"/>
                <w:sz w:val="20"/>
                <w:szCs w:val="20"/>
              </w:rPr>
              <w:t>丘陵</w:t>
            </w:r>
            <w:r>
              <w:rPr>
                <w:rFonts w:hint="default" w:ascii="Times New Roman" w:hAnsi="Times New Roman" w:eastAsia="宋体" w:cs="Times New Roman"/>
                <w:sz w:val="20"/>
                <w:szCs w:val="20"/>
              </w:rPr>
              <w:fldChar w:fldCharType="end"/>
            </w:r>
            <w:r>
              <w:rPr>
                <w:rFonts w:hint="default" w:ascii="Times New Roman" w:hAnsi="Times New Roman" w:eastAsia="宋体" w:cs="Times New Roman"/>
                <w:sz w:val="20"/>
                <w:szCs w:val="20"/>
              </w:rPr>
              <w:t>生活，分布海拔在 1500 米至 5500 米左右。盘羊食性较广，分布区的各种植物</w:t>
            </w:r>
          </w:p>
          <w:p w14:paraId="157ED6DD">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均食用。</w:t>
            </w:r>
          </w:p>
        </w:tc>
        <w:tc>
          <w:tcPr>
            <w:tcW w:w="701" w:type="pct"/>
            <w:tcBorders>
              <w:right w:val="nil"/>
            </w:tcBorders>
            <w:vAlign w:val="center"/>
          </w:tcPr>
          <w:p w14:paraId="684AAD52">
            <w:pPr>
              <w:jc w:val="center"/>
              <w:rPr>
                <w:rFonts w:hint="default" w:ascii="Times New Roman" w:hAnsi="Times New Roman" w:eastAsia="宋体" w:cs="Times New Roman"/>
                <w:sz w:val="20"/>
                <w:szCs w:val="20"/>
              </w:rPr>
            </w:pPr>
          </w:p>
          <w:p w14:paraId="0FBC8520">
            <w:pPr>
              <w:jc w:val="center"/>
              <w:rPr>
                <w:rFonts w:hint="default" w:ascii="Times New Roman" w:hAnsi="Times New Roman" w:eastAsia="宋体" w:cs="Times New Roman"/>
                <w:sz w:val="20"/>
                <w:szCs w:val="20"/>
              </w:rPr>
            </w:pPr>
          </w:p>
          <w:p w14:paraId="08CF3BF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否</w:t>
            </w:r>
          </w:p>
        </w:tc>
      </w:tr>
      <w:tr w14:paraId="1D3B3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6" w:hRule="atLeast"/>
          <w:jc w:val="center"/>
        </w:trPr>
        <w:tc>
          <w:tcPr>
            <w:tcW w:w="373" w:type="pct"/>
            <w:tcBorders>
              <w:left w:val="nil"/>
            </w:tcBorders>
            <w:vAlign w:val="center"/>
          </w:tcPr>
          <w:p w14:paraId="33EE3858">
            <w:pPr>
              <w:jc w:val="center"/>
              <w:rPr>
                <w:rFonts w:hint="default" w:ascii="Times New Roman" w:hAnsi="Times New Roman" w:eastAsia="宋体" w:cs="Times New Roman"/>
                <w:sz w:val="20"/>
                <w:szCs w:val="20"/>
              </w:rPr>
            </w:pPr>
          </w:p>
          <w:p w14:paraId="1C4DD317">
            <w:pPr>
              <w:jc w:val="center"/>
              <w:rPr>
                <w:rFonts w:hint="default" w:ascii="Times New Roman" w:hAnsi="Times New Roman" w:eastAsia="宋体" w:cs="Times New Roman"/>
                <w:sz w:val="20"/>
                <w:szCs w:val="20"/>
              </w:rPr>
            </w:pPr>
          </w:p>
          <w:p w14:paraId="0EDED922">
            <w:pPr>
              <w:jc w:val="center"/>
              <w:rPr>
                <w:rFonts w:hint="default" w:ascii="Times New Roman" w:hAnsi="Times New Roman" w:eastAsia="宋体" w:cs="Times New Roman"/>
                <w:sz w:val="20"/>
                <w:szCs w:val="20"/>
              </w:rPr>
            </w:pPr>
          </w:p>
          <w:p w14:paraId="11518193">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w:t>
            </w:r>
          </w:p>
        </w:tc>
        <w:tc>
          <w:tcPr>
            <w:tcW w:w="741" w:type="pct"/>
            <w:vAlign w:val="center"/>
          </w:tcPr>
          <w:p w14:paraId="447C6D18">
            <w:pPr>
              <w:jc w:val="center"/>
              <w:rPr>
                <w:rFonts w:hint="default" w:ascii="Times New Roman" w:hAnsi="Times New Roman" w:eastAsia="宋体" w:cs="Times New Roman"/>
                <w:sz w:val="20"/>
                <w:szCs w:val="20"/>
              </w:rPr>
            </w:pPr>
          </w:p>
          <w:p w14:paraId="3B38C129">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雪豹</w:t>
            </w:r>
          </w:p>
          <w:p w14:paraId="4A0AC26B">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Panthera</w:t>
            </w:r>
          </w:p>
          <w:p w14:paraId="435A7616">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uncia</w:t>
            </w:r>
          </w:p>
        </w:tc>
        <w:tc>
          <w:tcPr>
            <w:tcW w:w="586" w:type="pct"/>
            <w:vAlign w:val="center"/>
          </w:tcPr>
          <w:p w14:paraId="7F1B183D">
            <w:pPr>
              <w:jc w:val="center"/>
              <w:rPr>
                <w:rFonts w:hint="default" w:ascii="Times New Roman" w:hAnsi="Times New Roman" w:eastAsia="宋体" w:cs="Times New Roman"/>
                <w:sz w:val="20"/>
                <w:szCs w:val="20"/>
              </w:rPr>
            </w:pPr>
          </w:p>
          <w:p w14:paraId="6BAF7A2F">
            <w:pPr>
              <w:jc w:val="center"/>
              <w:rPr>
                <w:rFonts w:hint="default" w:ascii="Times New Roman" w:hAnsi="Times New Roman" w:eastAsia="宋体" w:cs="Times New Roman"/>
                <w:sz w:val="20"/>
                <w:szCs w:val="20"/>
              </w:rPr>
            </w:pPr>
          </w:p>
          <w:p w14:paraId="176D8797">
            <w:pPr>
              <w:jc w:val="center"/>
              <w:rPr>
                <w:rFonts w:hint="default" w:ascii="Times New Roman" w:hAnsi="Times New Roman" w:eastAsia="宋体" w:cs="Times New Roman"/>
                <w:sz w:val="20"/>
                <w:szCs w:val="20"/>
              </w:rPr>
            </w:pPr>
          </w:p>
          <w:p w14:paraId="0F5777A6">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国家一级</w:t>
            </w:r>
          </w:p>
        </w:tc>
        <w:tc>
          <w:tcPr>
            <w:tcW w:w="2597" w:type="pct"/>
            <w:vAlign w:val="center"/>
          </w:tcPr>
          <w:p w14:paraId="31D5FBDB">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雪豹喜好干燥凉爽、多裸岩的陡峭山区。它们经 常在永久冰雪高山裸岩及寒漠带的环境中活动。 雪豹是极其特化的捕食者， 以北山羊等最擅长攀 岩的山羊族为主食，也捕食盘羊、兔类、旱獭、</w:t>
            </w:r>
          </w:p>
          <w:p w14:paraId="0E52990F">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鼠类等兽类。</w:t>
            </w:r>
          </w:p>
        </w:tc>
        <w:tc>
          <w:tcPr>
            <w:tcW w:w="701" w:type="pct"/>
            <w:tcBorders>
              <w:right w:val="nil"/>
            </w:tcBorders>
            <w:vAlign w:val="center"/>
          </w:tcPr>
          <w:p w14:paraId="4047FF0A">
            <w:pPr>
              <w:jc w:val="center"/>
              <w:rPr>
                <w:rFonts w:hint="default" w:ascii="Times New Roman" w:hAnsi="Times New Roman" w:eastAsia="宋体" w:cs="Times New Roman"/>
                <w:sz w:val="20"/>
                <w:szCs w:val="20"/>
              </w:rPr>
            </w:pPr>
          </w:p>
          <w:p w14:paraId="20874241">
            <w:pPr>
              <w:jc w:val="center"/>
              <w:rPr>
                <w:rFonts w:hint="default" w:ascii="Times New Roman" w:hAnsi="Times New Roman" w:eastAsia="宋体" w:cs="Times New Roman"/>
                <w:sz w:val="20"/>
                <w:szCs w:val="20"/>
              </w:rPr>
            </w:pPr>
          </w:p>
          <w:p w14:paraId="085459E1">
            <w:pPr>
              <w:jc w:val="center"/>
              <w:rPr>
                <w:rFonts w:hint="default" w:ascii="Times New Roman" w:hAnsi="Times New Roman" w:eastAsia="宋体" w:cs="Times New Roman"/>
                <w:sz w:val="20"/>
                <w:szCs w:val="20"/>
              </w:rPr>
            </w:pPr>
          </w:p>
          <w:p w14:paraId="29FEA5D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否</w:t>
            </w:r>
          </w:p>
        </w:tc>
      </w:tr>
      <w:tr w14:paraId="47C7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4" w:hRule="atLeast"/>
          <w:jc w:val="center"/>
        </w:trPr>
        <w:tc>
          <w:tcPr>
            <w:tcW w:w="373" w:type="pct"/>
            <w:tcBorders>
              <w:left w:val="nil"/>
            </w:tcBorders>
            <w:vAlign w:val="center"/>
          </w:tcPr>
          <w:p w14:paraId="6AE8374C">
            <w:pPr>
              <w:jc w:val="center"/>
              <w:rPr>
                <w:rFonts w:hint="default" w:ascii="Times New Roman" w:hAnsi="Times New Roman" w:eastAsia="宋体" w:cs="Times New Roman"/>
                <w:sz w:val="20"/>
                <w:szCs w:val="20"/>
              </w:rPr>
            </w:pPr>
          </w:p>
          <w:p w14:paraId="31E7E791">
            <w:pPr>
              <w:jc w:val="center"/>
              <w:rPr>
                <w:rFonts w:hint="default" w:ascii="Times New Roman" w:hAnsi="Times New Roman" w:eastAsia="宋体" w:cs="Times New Roman"/>
                <w:sz w:val="20"/>
                <w:szCs w:val="20"/>
              </w:rPr>
            </w:pPr>
          </w:p>
          <w:p w14:paraId="04330674">
            <w:pPr>
              <w:jc w:val="center"/>
              <w:rPr>
                <w:rFonts w:hint="default" w:ascii="Times New Roman" w:hAnsi="Times New Roman" w:eastAsia="宋体" w:cs="Times New Roman"/>
                <w:sz w:val="20"/>
                <w:szCs w:val="20"/>
              </w:rPr>
            </w:pPr>
          </w:p>
          <w:p w14:paraId="411C350E">
            <w:pPr>
              <w:jc w:val="center"/>
              <w:rPr>
                <w:rFonts w:hint="default" w:ascii="Times New Roman" w:hAnsi="Times New Roman" w:eastAsia="宋体" w:cs="Times New Roman"/>
                <w:sz w:val="20"/>
                <w:szCs w:val="20"/>
              </w:rPr>
            </w:pPr>
          </w:p>
          <w:p w14:paraId="315DEA25">
            <w:pPr>
              <w:jc w:val="center"/>
              <w:rPr>
                <w:rFonts w:hint="default" w:ascii="Times New Roman" w:hAnsi="Times New Roman" w:eastAsia="宋体" w:cs="Times New Roman"/>
                <w:sz w:val="20"/>
                <w:szCs w:val="20"/>
              </w:rPr>
            </w:pPr>
          </w:p>
          <w:p w14:paraId="3C952482">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w:t>
            </w:r>
          </w:p>
        </w:tc>
        <w:tc>
          <w:tcPr>
            <w:tcW w:w="741" w:type="pct"/>
            <w:vAlign w:val="center"/>
          </w:tcPr>
          <w:p w14:paraId="13B7E6E9">
            <w:pPr>
              <w:jc w:val="center"/>
              <w:rPr>
                <w:rFonts w:hint="default" w:ascii="Times New Roman" w:hAnsi="Times New Roman" w:eastAsia="宋体" w:cs="Times New Roman"/>
                <w:sz w:val="20"/>
                <w:szCs w:val="20"/>
              </w:rPr>
            </w:pPr>
          </w:p>
          <w:p w14:paraId="1F16E5E1">
            <w:pPr>
              <w:jc w:val="center"/>
              <w:rPr>
                <w:rFonts w:hint="default" w:ascii="Times New Roman" w:hAnsi="Times New Roman" w:eastAsia="宋体" w:cs="Times New Roman"/>
                <w:sz w:val="20"/>
                <w:szCs w:val="20"/>
              </w:rPr>
            </w:pPr>
          </w:p>
          <w:p w14:paraId="47D773E2">
            <w:pPr>
              <w:jc w:val="center"/>
              <w:rPr>
                <w:rFonts w:hint="default" w:ascii="Times New Roman" w:hAnsi="Times New Roman" w:eastAsia="宋体" w:cs="Times New Roman"/>
                <w:sz w:val="20"/>
                <w:szCs w:val="20"/>
              </w:rPr>
            </w:pPr>
          </w:p>
          <w:p w14:paraId="42BDDAB3">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环颈鸻</w:t>
            </w:r>
          </w:p>
          <w:p w14:paraId="2AFFB0C3">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Charadrius  alexandrinus</w:t>
            </w:r>
          </w:p>
        </w:tc>
        <w:tc>
          <w:tcPr>
            <w:tcW w:w="586" w:type="pct"/>
            <w:vAlign w:val="center"/>
          </w:tcPr>
          <w:p w14:paraId="0CB74D7C">
            <w:pPr>
              <w:jc w:val="center"/>
              <w:rPr>
                <w:rFonts w:hint="default" w:ascii="Times New Roman" w:hAnsi="Times New Roman" w:eastAsia="宋体" w:cs="Times New Roman"/>
                <w:sz w:val="20"/>
                <w:szCs w:val="20"/>
              </w:rPr>
            </w:pPr>
          </w:p>
          <w:p w14:paraId="4A300332">
            <w:pPr>
              <w:jc w:val="center"/>
              <w:rPr>
                <w:rFonts w:hint="default" w:ascii="Times New Roman" w:hAnsi="Times New Roman" w:eastAsia="宋体" w:cs="Times New Roman"/>
                <w:sz w:val="20"/>
                <w:szCs w:val="20"/>
              </w:rPr>
            </w:pPr>
          </w:p>
          <w:p w14:paraId="24DE0ECF">
            <w:pPr>
              <w:jc w:val="center"/>
              <w:rPr>
                <w:rFonts w:hint="default" w:ascii="Times New Roman" w:hAnsi="Times New Roman" w:eastAsia="宋体" w:cs="Times New Roman"/>
                <w:sz w:val="20"/>
                <w:szCs w:val="20"/>
              </w:rPr>
            </w:pPr>
          </w:p>
          <w:p w14:paraId="6C3774A2">
            <w:pPr>
              <w:jc w:val="center"/>
              <w:rPr>
                <w:rFonts w:hint="default" w:ascii="Times New Roman" w:hAnsi="Times New Roman" w:eastAsia="宋体" w:cs="Times New Roman"/>
                <w:sz w:val="20"/>
                <w:szCs w:val="20"/>
              </w:rPr>
            </w:pPr>
          </w:p>
          <w:p w14:paraId="73027EDA">
            <w:pPr>
              <w:jc w:val="center"/>
              <w:rPr>
                <w:rFonts w:hint="default" w:ascii="Times New Roman" w:hAnsi="Times New Roman" w:eastAsia="宋体" w:cs="Times New Roman"/>
                <w:sz w:val="20"/>
                <w:szCs w:val="20"/>
              </w:rPr>
            </w:pPr>
          </w:p>
          <w:p w14:paraId="75D87C87">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国家二级</w:t>
            </w:r>
          </w:p>
        </w:tc>
        <w:tc>
          <w:tcPr>
            <w:tcW w:w="2597" w:type="pct"/>
            <w:vAlign w:val="center"/>
          </w:tcPr>
          <w:p w14:paraId="289541F1">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栖息于河岸沙滩、沼泽草地上，通常单独、或者 3-5 只集群活动于海边潮间带、河口三角洲、泥 地 、盐田 、沿海沼泽和水田； 在内陆的河岸沙 滩、沼泽草地、湖滨、盐碱滩和近水的荒地中亦 比较常见。 以蠕虫、 昆虫、软体动物为食，兼食 植物种子、植物碎片，觅食小型甲壳类、软体动</w:t>
            </w:r>
          </w:p>
          <w:p w14:paraId="5368745B">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物、 昆虫、蠕虫等，也食植物的种子和叶片。</w:t>
            </w:r>
          </w:p>
        </w:tc>
        <w:tc>
          <w:tcPr>
            <w:tcW w:w="701" w:type="pct"/>
            <w:tcBorders>
              <w:right w:val="nil"/>
            </w:tcBorders>
            <w:vAlign w:val="center"/>
          </w:tcPr>
          <w:p w14:paraId="77EBFA7C">
            <w:pPr>
              <w:jc w:val="center"/>
              <w:rPr>
                <w:rFonts w:hint="default" w:ascii="Times New Roman" w:hAnsi="Times New Roman" w:eastAsia="宋体" w:cs="Times New Roman"/>
                <w:sz w:val="20"/>
                <w:szCs w:val="20"/>
              </w:rPr>
            </w:pPr>
          </w:p>
          <w:p w14:paraId="7FB682BD">
            <w:pPr>
              <w:jc w:val="center"/>
              <w:rPr>
                <w:rFonts w:hint="default" w:ascii="Times New Roman" w:hAnsi="Times New Roman" w:eastAsia="宋体" w:cs="Times New Roman"/>
                <w:sz w:val="20"/>
                <w:szCs w:val="20"/>
              </w:rPr>
            </w:pPr>
          </w:p>
          <w:p w14:paraId="62CF0039">
            <w:pPr>
              <w:jc w:val="center"/>
              <w:rPr>
                <w:rFonts w:hint="default" w:ascii="Times New Roman" w:hAnsi="Times New Roman" w:eastAsia="宋体" w:cs="Times New Roman"/>
                <w:sz w:val="20"/>
                <w:szCs w:val="20"/>
              </w:rPr>
            </w:pPr>
          </w:p>
          <w:p w14:paraId="3FE1542D">
            <w:pPr>
              <w:jc w:val="center"/>
              <w:rPr>
                <w:rFonts w:hint="default" w:ascii="Times New Roman" w:hAnsi="Times New Roman" w:eastAsia="宋体" w:cs="Times New Roman"/>
                <w:sz w:val="20"/>
                <w:szCs w:val="20"/>
              </w:rPr>
            </w:pPr>
          </w:p>
          <w:p w14:paraId="55C2229E">
            <w:pPr>
              <w:jc w:val="center"/>
              <w:rPr>
                <w:rFonts w:hint="default" w:ascii="Times New Roman" w:hAnsi="Times New Roman" w:eastAsia="宋体" w:cs="Times New Roman"/>
                <w:sz w:val="20"/>
                <w:szCs w:val="20"/>
              </w:rPr>
            </w:pPr>
          </w:p>
          <w:p w14:paraId="3D343C25">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否</w:t>
            </w:r>
          </w:p>
        </w:tc>
      </w:tr>
      <w:tr w14:paraId="5D20F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6" w:hRule="atLeast"/>
          <w:jc w:val="center"/>
        </w:trPr>
        <w:tc>
          <w:tcPr>
            <w:tcW w:w="373" w:type="pct"/>
            <w:tcBorders>
              <w:left w:val="nil"/>
              <w:bottom w:val="single" w:color="000000" w:sz="10" w:space="0"/>
            </w:tcBorders>
            <w:vAlign w:val="center"/>
          </w:tcPr>
          <w:p w14:paraId="3236D25B">
            <w:pPr>
              <w:jc w:val="center"/>
              <w:rPr>
                <w:rFonts w:hint="default" w:ascii="Times New Roman" w:hAnsi="Times New Roman" w:eastAsia="宋体" w:cs="Times New Roman"/>
                <w:sz w:val="20"/>
                <w:szCs w:val="20"/>
              </w:rPr>
            </w:pPr>
          </w:p>
          <w:p w14:paraId="32BEF32F">
            <w:pPr>
              <w:jc w:val="center"/>
              <w:rPr>
                <w:rFonts w:hint="default" w:ascii="Times New Roman" w:hAnsi="Times New Roman" w:eastAsia="宋体" w:cs="Times New Roman"/>
                <w:sz w:val="20"/>
                <w:szCs w:val="20"/>
              </w:rPr>
            </w:pPr>
          </w:p>
          <w:p w14:paraId="30D32D5F">
            <w:pPr>
              <w:jc w:val="center"/>
              <w:rPr>
                <w:rFonts w:hint="default" w:ascii="Times New Roman" w:hAnsi="Times New Roman" w:eastAsia="宋体" w:cs="Times New Roman"/>
                <w:sz w:val="20"/>
                <w:szCs w:val="20"/>
              </w:rPr>
            </w:pPr>
          </w:p>
          <w:p w14:paraId="74AE0CFD">
            <w:pPr>
              <w:jc w:val="center"/>
              <w:rPr>
                <w:rFonts w:hint="default" w:ascii="Times New Roman" w:hAnsi="Times New Roman" w:eastAsia="宋体" w:cs="Times New Roman"/>
                <w:sz w:val="20"/>
                <w:szCs w:val="20"/>
              </w:rPr>
            </w:pPr>
          </w:p>
          <w:p w14:paraId="75D443A8">
            <w:pPr>
              <w:jc w:val="center"/>
              <w:rPr>
                <w:rFonts w:hint="default" w:ascii="Times New Roman" w:hAnsi="Times New Roman" w:eastAsia="宋体" w:cs="Times New Roman"/>
                <w:sz w:val="20"/>
                <w:szCs w:val="20"/>
              </w:rPr>
            </w:pPr>
          </w:p>
          <w:p w14:paraId="152A78C5">
            <w:pPr>
              <w:jc w:val="center"/>
              <w:rPr>
                <w:rFonts w:hint="default" w:ascii="Times New Roman" w:hAnsi="Times New Roman" w:eastAsia="宋体" w:cs="Times New Roman"/>
                <w:sz w:val="20"/>
                <w:szCs w:val="20"/>
              </w:rPr>
            </w:pPr>
          </w:p>
          <w:p w14:paraId="6DEC5506">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w:t>
            </w:r>
          </w:p>
        </w:tc>
        <w:tc>
          <w:tcPr>
            <w:tcW w:w="741" w:type="pct"/>
            <w:tcBorders>
              <w:bottom w:val="single" w:color="000000" w:sz="10" w:space="0"/>
            </w:tcBorders>
            <w:vAlign w:val="center"/>
          </w:tcPr>
          <w:p w14:paraId="20C93425">
            <w:pPr>
              <w:jc w:val="center"/>
              <w:rPr>
                <w:rFonts w:hint="default" w:ascii="Times New Roman" w:hAnsi="Times New Roman" w:eastAsia="宋体" w:cs="Times New Roman"/>
                <w:sz w:val="20"/>
                <w:szCs w:val="20"/>
              </w:rPr>
            </w:pPr>
          </w:p>
          <w:p w14:paraId="2F40ADBC">
            <w:pPr>
              <w:jc w:val="center"/>
              <w:rPr>
                <w:rFonts w:hint="default" w:ascii="Times New Roman" w:hAnsi="Times New Roman" w:eastAsia="宋体" w:cs="Times New Roman"/>
                <w:sz w:val="20"/>
                <w:szCs w:val="20"/>
              </w:rPr>
            </w:pPr>
          </w:p>
          <w:p w14:paraId="50ED1A75">
            <w:pPr>
              <w:jc w:val="center"/>
              <w:rPr>
                <w:rFonts w:hint="default" w:ascii="Times New Roman" w:hAnsi="Times New Roman" w:eastAsia="宋体" w:cs="Times New Roman"/>
                <w:sz w:val="20"/>
                <w:szCs w:val="20"/>
              </w:rPr>
            </w:pPr>
          </w:p>
          <w:p w14:paraId="5CA5DEEB">
            <w:pPr>
              <w:jc w:val="center"/>
              <w:rPr>
                <w:rFonts w:hint="default" w:ascii="Times New Roman" w:hAnsi="Times New Roman" w:eastAsia="宋体" w:cs="Times New Roman"/>
                <w:sz w:val="20"/>
                <w:szCs w:val="20"/>
              </w:rPr>
            </w:pPr>
          </w:p>
          <w:p w14:paraId="1056D087">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白尾鹞</w:t>
            </w:r>
          </w:p>
          <w:p w14:paraId="5252EA2D">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Circus</w:t>
            </w:r>
          </w:p>
          <w:p w14:paraId="7DE7A55E">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cyaneus</w:t>
            </w:r>
          </w:p>
        </w:tc>
        <w:tc>
          <w:tcPr>
            <w:tcW w:w="586" w:type="pct"/>
            <w:tcBorders>
              <w:bottom w:val="single" w:color="000000" w:sz="10" w:space="0"/>
            </w:tcBorders>
            <w:vAlign w:val="center"/>
          </w:tcPr>
          <w:p w14:paraId="4A3EC64E">
            <w:pPr>
              <w:jc w:val="center"/>
              <w:rPr>
                <w:rFonts w:hint="default" w:ascii="Times New Roman" w:hAnsi="Times New Roman" w:eastAsia="宋体" w:cs="Times New Roman"/>
                <w:sz w:val="20"/>
                <w:szCs w:val="20"/>
              </w:rPr>
            </w:pPr>
          </w:p>
          <w:p w14:paraId="32150510">
            <w:pPr>
              <w:jc w:val="center"/>
              <w:rPr>
                <w:rFonts w:hint="default" w:ascii="Times New Roman" w:hAnsi="Times New Roman" w:eastAsia="宋体" w:cs="Times New Roman"/>
                <w:sz w:val="20"/>
                <w:szCs w:val="20"/>
              </w:rPr>
            </w:pPr>
          </w:p>
          <w:p w14:paraId="66D403A4">
            <w:pPr>
              <w:jc w:val="center"/>
              <w:rPr>
                <w:rFonts w:hint="default" w:ascii="Times New Roman" w:hAnsi="Times New Roman" w:eastAsia="宋体" w:cs="Times New Roman"/>
                <w:sz w:val="20"/>
                <w:szCs w:val="20"/>
              </w:rPr>
            </w:pPr>
          </w:p>
          <w:p w14:paraId="4F94A84B">
            <w:pPr>
              <w:jc w:val="center"/>
              <w:rPr>
                <w:rFonts w:hint="default" w:ascii="Times New Roman" w:hAnsi="Times New Roman" w:eastAsia="宋体" w:cs="Times New Roman"/>
                <w:sz w:val="20"/>
                <w:szCs w:val="20"/>
              </w:rPr>
            </w:pPr>
          </w:p>
          <w:p w14:paraId="0AC63AAE">
            <w:pPr>
              <w:jc w:val="center"/>
              <w:rPr>
                <w:rFonts w:hint="default" w:ascii="Times New Roman" w:hAnsi="Times New Roman" w:eastAsia="宋体" w:cs="Times New Roman"/>
                <w:sz w:val="20"/>
                <w:szCs w:val="20"/>
              </w:rPr>
            </w:pPr>
          </w:p>
          <w:p w14:paraId="1FEB5A11">
            <w:pPr>
              <w:jc w:val="center"/>
              <w:rPr>
                <w:rFonts w:hint="default" w:ascii="Times New Roman" w:hAnsi="Times New Roman" w:eastAsia="宋体" w:cs="Times New Roman"/>
                <w:sz w:val="20"/>
                <w:szCs w:val="20"/>
              </w:rPr>
            </w:pPr>
          </w:p>
          <w:p w14:paraId="3E931A0B">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国家二级</w:t>
            </w:r>
          </w:p>
        </w:tc>
        <w:tc>
          <w:tcPr>
            <w:tcW w:w="2597" w:type="pct"/>
            <w:tcBorders>
              <w:bottom w:val="single" w:color="000000" w:sz="10" w:space="0"/>
            </w:tcBorders>
            <w:vAlign w:val="center"/>
          </w:tcPr>
          <w:p w14:paraId="1721E044">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栖息于平原和低山丘陵地带，尤其是平原上的湖 泊、沼泽、河谷、草原、荒野以及低山、林间沼 泽和草地、农田耕地、沿海沼泽和芦苇塘等开阔 地区，冬季有时也到村屯附近的水田、草坡和疏 林地带活动。主要以小型鸟类、 鼠类、蛙、蜥蜴 和大型昆虫等动物性食物为食 。 白天活动和觅 食 ，尤以早晨和黄昏最为活跃 。捕食主要在地</w:t>
            </w:r>
          </w:p>
          <w:p w14:paraId="4838599D">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上。常沿地面低空飞行搜寻猎物，发现后急速降到地面捕食。</w:t>
            </w:r>
          </w:p>
        </w:tc>
        <w:tc>
          <w:tcPr>
            <w:tcW w:w="701" w:type="pct"/>
            <w:tcBorders>
              <w:bottom w:val="single" w:color="000000" w:sz="10" w:space="0"/>
              <w:right w:val="nil"/>
            </w:tcBorders>
            <w:vAlign w:val="center"/>
          </w:tcPr>
          <w:p w14:paraId="6F19C9B8">
            <w:pPr>
              <w:jc w:val="center"/>
              <w:rPr>
                <w:rFonts w:hint="default" w:ascii="Times New Roman" w:hAnsi="Times New Roman" w:eastAsia="宋体" w:cs="Times New Roman"/>
                <w:sz w:val="20"/>
                <w:szCs w:val="20"/>
              </w:rPr>
            </w:pPr>
          </w:p>
          <w:p w14:paraId="593AABA6">
            <w:pPr>
              <w:jc w:val="center"/>
              <w:rPr>
                <w:rFonts w:hint="default" w:ascii="Times New Roman" w:hAnsi="Times New Roman" w:eastAsia="宋体" w:cs="Times New Roman"/>
                <w:sz w:val="20"/>
                <w:szCs w:val="20"/>
              </w:rPr>
            </w:pPr>
          </w:p>
          <w:p w14:paraId="1D8535AB">
            <w:pPr>
              <w:jc w:val="center"/>
              <w:rPr>
                <w:rFonts w:hint="default" w:ascii="Times New Roman" w:hAnsi="Times New Roman" w:eastAsia="宋体" w:cs="Times New Roman"/>
                <w:sz w:val="20"/>
                <w:szCs w:val="20"/>
              </w:rPr>
            </w:pPr>
          </w:p>
          <w:p w14:paraId="5EFBE0B5">
            <w:pPr>
              <w:jc w:val="center"/>
              <w:rPr>
                <w:rFonts w:hint="default" w:ascii="Times New Roman" w:hAnsi="Times New Roman" w:eastAsia="宋体" w:cs="Times New Roman"/>
                <w:sz w:val="20"/>
                <w:szCs w:val="20"/>
              </w:rPr>
            </w:pPr>
          </w:p>
          <w:p w14:paraId="6561C5A4">
            <w:pPr>
              <w:jc w:val="center"/>
              <w:rPr>
                <w:rFonts w:hint="default" w:ascii="Times New Roman" w:hAnsi="Times New Roman" w:eastAsia="宋体" w:cs="Times New Roman"/>
                <w:sz w:val="20"/>
                <w:szCs w:val="20"/>
              </w:rPr>
            </w:pPr>
          </w:p>
          <w:p w14:paraId="4E1AE958">
            <w:pPr>
              <w:jc w:val="center"/>
              <w:rPr>
                <w:rFonts w:hint="default" w:ascii="Times New Roman" w:hAnsi="Times New Roman" w:eastAsia="宋体" w:cs="Times New Roman"/>
                <w:sz w:val="20"/>
                <w:szCs w:val="20"/>
              </w:rPr>
            </w:pPr>
          </w:p>
          <w:p w14:paraId="71AE32FF">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否</w:t>
            </w:r>
          </w:p>
        </w:tc>
      </w:tr>
      <w:tr w14:paraId="3AFAC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7" w:hRule="atLeast"/>
          <w:jc w:val="center"/>
        </w:trPr>
        <w:tc>
          <w:tcPr>
            <w:tcW w:w="373" w:type="pct"/>
            <w:tcBorders>
              <w:left w:val="nil"/>
              <w:bottom w:val="single" w:color="000000" w:sz="10" w:space="0"/>
            </w:tcBorders>
            <w:vAlign w:val="center"/>
          </w:tcPr>
          <w:p w14:paraId="2A8A8CB9">
            <w:pPr>
              <w:jc w:val="center"/>
              <w:rPr>
                <w:rFonts w:hint="default" w:ascii="Times New Roman" w:hAnsi="Times New Roman" w:eastAsia="宋体" w:cs="Times New Roman"/>
                <w:sz w:val="20"/>
                <w:szCs w:val="20"/>
              </w:rPr>
            </w:pPr>
          </w:p>
          <w:p w14:paraId="76864B0E">
            <w:pPr>
              <w:jc w:val="center"/>
              <w:rPr>
                <w:rFonts w:hint="default" w:ascii="Times New Roman" w:hAnsi="Times New Roman" w:eastAsia="宋体" w:cs="Times New Roman"/>
                <w:sz w:val="20"/>
                <w:szCs w:val="20"/>
              </w:rPr>
            </w:pPr>
          </w:p>
          <w:p w14:paraId="438941A9">
            <w:pPr>
              <w:jc w:val="center"/>
              <w:rPr>
                <w:rFonts w:hint="default" w:ascii="Times New Roman" w:hAnsi="Times New Roman" w:eastAsia="宋体" w:cs="Times New Roman"/>
                <w:sz w:val="20"/>
                <w:szCs w:val="20"/>
              </w:rPr>
            </w:pPr>
          </w:p>
          <w:p w14:paraId="04CF1AE3">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7</w:t>
            </w:r>
          </w:p>
        </w:tc>
        <w:tc>
          <w:tcPr>
            <w:tcW w:w="741" w:type="pct"/>
            <w:tcBorders>
              <w:bottom w:val="single" w:color="000000" w:sz="10" w:space="0"/>
            </w:tcBorders>
            <w:vAlign w:val="center"/>
          </w:tcPr>
          <w:p w14:paraId="0D94DD2E">
            <w:pPr>
              <w:jc w:val="center"/>
              <w:rPr>
                <w:rFonts w:hint="default" w:ascii="Times New Roman" w:hAnsi="Times New Roman" w:eastAsia="宋体" w:cs="Times New Roman"/>
                <w:sz w:val="20"/>
                <w:szCs w:val="20"/>
              </w:rPr>
            </w:pPr>
          </w:p>
          <w:p w14:paraId="53ED2D78">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吐鲁番沙虎</w:t>
            </w:r>
          </w:p>
          <w:p w14:paraId="640CED1A">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Teratoscincu</w:t>
            </w:r>
          </w:p>
          <w:p w14:paraId="16994B8E">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s roborowskii</w:t>
            </w:r>
          </w:p>
        </w:tc>
        <w:tc>
          <w:tcPr>
            <w:tcW w:w="586" w:type="pct"/>
            <w:tcBorders>
              <w:bottom w:val="single" w:color="000000" w:sz="10" w:space="0"/>
            </w:tcBorders>
            <w:vAlign w:val="center"/>
          </w:tcPr>
          <w:p w14:paraId="22FCB7D3">
            <w:pPr>
              <w:jc w:val="center"/>
              <w:rPr>
                <w:rFonts w:hint="default" w:ascii="Times New Roman" w:hAnsi="Times New Roman" w:eastAsia="宋体" w:cs="Times New Roman"/>
                <w:sz w:val="20"/>
                <w:szCs w:val="20"/>
              </w:rPr>
            </w:pPr>
          </w:p>
          <w:p w14:paraId="41037326">
            <w:pPr>
              <w:jc w:val="center"/>
              <w:rPr>
                <w:rFonts w:hint="default" w:ascii="Times New Roman" w:hAnsi="Times New Roman" w:eastAsia="宋体" w:cs="Times New Roman"/>
                <w:sz w:val="20"/>
                <w:szCs w:val="20"/>
              </w:rPr>
            </w:pPr>
          </w:p>
          <w:p w14:paraId="3D039B3A">
            <w:pPr>
              <w:jc w:val="center"/>
              <w:rPr>
                <w:rFonts w:hint="default" w:ascii="Times New Roman" w:hAnsi="Times New Roman" w:eastAsia="宋体" w:cs="Times New Roman"/>
                <w:sz w:val="20"/>
                <w:szCs w:val="20"/>
              </w:rPr>
            </w:pPr>
          </w:p>
          <w:p w14:paraId="25AA1328">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国家二级</w:t>
            </w:r>
          </w:p>
        </w:tc>
        <w:tc>
          <w:tcPr>
            <w:tcW w:w="2597" w:type="pct"/>
            <w:tcBorders>
              <w:bottom w:val="single" w:color="000000" w:sz="10" w:space="0"/>
            </w:tcBorders>
            <w:vAlign w:val="center"/>
          </w:tcPr>
          <w:p w14:paraId="3AB08F21">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吐鲁番沙虎多选择距离植株 0m-20m 范围内、疏 松土层厚度 30cm 的沙质地带构筑洞穴 。吐鲁番 沙虎以动物性食物为食,主要为小型节肢动物;6-9 月份,杂食性, 食谱中以节肢动物和刺山柑果实为</w:t>
            </w:r>
          </w:p>
          <w:p w14:paraId="0F0103B8">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主;不同月份的食物种类和数量不同。</w:t>
            </w:r>
          </w:p>
        </w:tc>
        <w:tc>
          <w:tcPr>
            <w:tcW w:w="701" w:type="pct"/>
            <w:tcBorders>
              <w:bottom w:val="single" w:color="000000" w:sz="10" w:space="0"/>
              <w:right w:val="nil"/>
            </w:tcBorders>
            <w:vAlign w:val="center"/>
          </w:tcPr>
          <w:p w14:paraId="67EC6878">
            <w:pPr>
              <w:jc w:val="center"/>
              <w:rPr>
                <w:rFonts w:hint="default" w:ascii="Times New Roman" w:hAnsi="Times New Roman" w:eastAsia="宋体" w:cs="Times New Roman"/>
                <w:sz w:val="20"/>
                <w:szCs w:val="20"/>
              </w:rPr>
            </w:pPr>
          </w:p>
        </w:tc>
      </w:tr>
    </w:tbl>
    <w:p w14:paraId="595DCAA7">
      <w:pPr>
        <w:pStyle w:val="8"/>
        <w:rPr>
          <w:rFonts w:hint="default"/>
          <w:lang w:val="en-US" w:eastAsia="zh-CN"/>
        </w:rPr>
      </w:pPr>
    </w:p>
    <w:p w14:paraId="4EBB6A22">
      <w:pPr>
        <w:spacing w:line="219" w:lineRule="auto"/>
        <w:ind w:left="14"/>
        <w:rPr>
          <w:rFonts w:ascii="宋体" w:hAnsi="宋体" w:eastAsia="宋体" w:cs="宋体"/>
          <w:sz w:val="24"/>
          <w:szCs w:val="24"/>
        </w:rPr>
      </w:pPr>
      <w:bookmarkStart w:id="30" w:name="bookmark26"/>
      <w:bookmarkEnd w:id="30"/>
    </w:p>
    <w:p w14:paraId="0FD6CFC8">
      <w:pPr>
        <w:spacing w:line="219" w:lineRule="auto"/>
        <w:rPr>
          <w:rFonts w:ascii="宋体" w:hAnsi="宋体" w:eastAsia="宋体" w:cs="宋体"/>
          <w:sz w:val="24"/>
          <w:szCs w:val="24"/>
        </w:rPr>
        <w:sectPr>
          <w:headerReference r:id="rId11" w:type="default"/>
          <w:footerReference r:id="rId12" w:type="default"/>
          <w:pgSz w:w="11906" w:h="16839"/>
          <w:pgMar w:top="1152" w:right="1337" w:bottom="1262" w:left="1418" w:header="882" w:footer="986" w:gutter="0"/>
          <w:pgBorders>
            <w:top w:val="none" w:sz="0" w:space="0"/>
            <w:left w:val="none" w:sz="0" w:space="0"/>
            <w:bottom w:val="none" w:sz="0" w:space="0"/>
            <w:right w:val="none" w:sz="0" w:space="0"/>
          </w:pgBorders>
          <w:pgNumType w:fmt="decimal"/>
          <w:cols w:space="720" w:num="1"/>
        </w:sectPr>
      </w:pPr>
    </w:p>
    <w:p w14:paraId="3C3D9B37">
      <w:pPr>
        <w:spacing w:before="314" w:line="223" w:lineRule="auto"/>
        <w:ind w:left="19"/>
        <w:outlineLvl w:val="0"/>
        <w:rPr>
          <w:rFonts w:hint="eastAsia" w:ascii="黑体" w:hAnsi="黑体" w:eastAsia="黑体" w:cs="黑体"/>
          <w:sz w:val="32"/>
          <w:szCs w:val="32"/>
        </w:rPr>
      </w:pPr>
      <w:bookmarkStart w:id="31" w:name="bookmark28"/>
      <w:bookmarkEnd w:id="31"/>
      <w:bookmarkStart w:id="32" w:name="bookmark27"/>
      <w:bookmarkEnd w:id="32"/>
      <w:r>
        <w:rPr>
          <w:rFonts w:hint="eastAsia" w:ascii="黑体" w:hAnsi="黑体" w:eastAsia="黑体" w:cs="黑体"/>
          <w:spacing w:val="7"/>
          <w:sz w:val="32"/>
          <w:szCs w:val="32"/>
          <w14:textOutline w14:w="5793" w14:cap="sq" w14:cmpd="sng">
            <w14:solidFill>
              <w14:srgbClr w14:val="000000"/>
            </w14:solidFill>
            <w14:prstDash w14:val="solid"/>
            <w14:bevel/>
          </w14:textOutline>
        </w:rPr>
        <w:t>5</w:t>
      </w:r>
      <w:r>
        <w:rPr>
          <w:rFonts w:hint="eastAsia" w:ascii="黑体" w:hAnsi="黑体" w:eastAsia="黑体" w:cs="黑体"/>
          <w:spacing w:val="7"/>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7"/>
          <w:sz w:val="32"/>
          <w:szCs w:val="32"/>
          <w14:textOutline w14:w="5793" w14:cap="sq" w14:cmpd="sng">
            <w14:solidFill>
              <w14:srgbClr w14:val="000000"/>
            </w14:solidFill>
            <w14:prstDash w14:val="solid"/>
            <w14:bevel/>
          </w14:textOutline>
        </w:rPr>
        <w:t>环境影响预测与评价</w:t>
      </w:r>
    </w:p>
    <w:p w14:paraId="4CDBEE4D">
      <w:pPr>
        <w:spacing w:before="243" w:line="220" w:lineRule="auto"/>
        <w:ind w:left="18"/>
        <w:outlineLvl w:val="1"/>
        <w:rPr>
          <w:rFonts w:ascii="宋体" w:hAnsi="宋体" w:eastAsia="宋体" w:cs="宋体"/>
          <w:sz w:val="30"/>
          <w:szCs w:val="30"/>
        </w:rPr>
      </w:pPr>
      <w:r>
        <w:rPr>
          <w:rFonts w:hint="eastAsia" w:ascii="黑体" w:hAnsi="黑体" w:eastAsia="黑体" w:cs="黑体"/>
          <w:spacing w:val="1"/>
          <w:sz w:val="30"/>
          <w:szCs w:val="30"/>
          <w14:textOutline w14:w="5448" w14:cap="sq" w14:cmpd="sng">
            <w14:solidFill>
              <w14:srgbClr w14:val="000000"/>
            </w14:solidFill>
            <w14:prstDash w14:val="solid"/>
            <w14:bevel/>
          </w14:textOutline>
        </w:rPr>
        <w:t>5.1</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施工期环境影响分析</w:t>
      </w:r>
    </w:p>
    <w:p w14:paraId="5545B1A5">
      <w:pPr>
        <w:spacing w:before="222" w:line="221"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5.1.1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大气环境影响分析</w:t>
      </w:r>
    </w:p>
    <w:p w14:paraId="71D463BF">
      <w:pPr>
        <w:spacing w:before="202" w:line="221" w:lineRule="auto"/>
        <w:ind w:left="14"/>
        <w:outlineLvl w:val="3"/>
        <w:rPr>
          <w:rFonts w:ascii="宋体" w:hAnsi="宋体" w:eastAsia="宋体" w:cs="宋体"/>
          <w:sz w:val="24"/>
          <w:szCs w:val="24"/>
        </w:rPr>
      </w:pPr>
      <w:r>
        <w:rPr>
          <w:b/>
          <w:bCs/>
        </w:rPr>
        <w:fldChar w:fldCharType="begin"/>
      </w:r>
      <w:r>
        <w:rPr>
          <w:b/>
          <w:bCs/>
        </w:rPr>
        <w:instrText xml:space="preserve"> HYPERLINK "5.1.1.1"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5.1.1.1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施工扬尘影响</w:t>
      </w:r>
    </w:p>
    <w:p w14:paraId="0AA963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本工程开工后，施工机械、施工人员骤增，在工程施工过程中，燃油动力机械、生产运输车辆等产生的废气，挖填土方、料场堆放和及公路运输所产</w:t>
      </w:r>
      <w:r>
        <w:rPr>
          <w:rFonts w:ascii="宋体" w:hAnsi="宋体" w:eastAsia="宋体" w:cs="宋体"/>
          <w:spacing w:val="1"/>
          <w:sz w:val="24"/>
          <w:szCs w:val="24"/>
        </w:rPr>
        <w:t>生的扬尘，以及</w:t>
      </w:r>
      <w:r>
        <w:rPr>
          <w:rFonts w:ascii="宋体" w:hAnsi="宋体" w:eastAsia="宋体" w:cs="宋体"/>
          <w:spacing w:val="2"/>
          <w:sz w:val="24"/>
          <w:szCs w:val="24"/>
        </w:rPr>
        <w:t>移动式混凝土搅拌机产生的粉尘等均会影响工程区的大气环境，以上污染源</w:t>
      </w:r>
      <w:r>
        <w:rPr>
          <w:rFonts w:ascii="宋体" w:hAnsi="宋体" w:eastAsia="宋体" w:cs="宋体"/>
          <w:spacing w:val="1"/>
          <w:sz w:val="24"/>
          <w:szCs w:val="24"/>
        </w:rPr>
        <w:t>基本上属</w:t>
      </w:r>
      <w:r>
        <w:rPr>
          <w:rFonts w:ascii="宋体" w:hAnsi="宋体" w:eastAsia="宋体" w:cs="宋体"/>
          <w:spacing w:val="-2"/>
          <w:sz w:val="24"/>
          <w:szCs w:val="24"/>
        </w:rPr>
        <w:t>于流动性与间歇性污染源。</w:t>
      </w:r>
    </w:p>
    <w:p w14:paraId="6D291A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施工机械废气排放：施工区的燃油设备主要是施工机械和运输车辆，其排放的尾气在施工期间对施工作业点和交通道路附近大气环境造成污染。运输车辆</w:t>
      </w:r>
      <w:r>
        <w:rPr>
          <w:rFonts w:ascii="宋体" w:hAnsi="宋体" w:eastAsia="宋体" w:cs="宋体"/>
          <w:spacing w:val="1"/>
          <w:sz w:val="24"/>
          <w:szCs w:val="24"/>
        </w:rPr>
        <w:t>的废气是沿</w:t>
      </w:r>
      <w:r>
        <w:rPr>
          <w:rFonts w:ascii="宋体" w:hAnsi="宋体" w:eastAsia="宋体" w:cs="宋体"/>
          <w:spacing w:val="2"/>
          <w:sz w:val="24"/>
          <w:szCs w:val="24"/>
        </w:rPr>
        <w:t>交通路线沿程排放，施工机械的废气基本是以点源形式排放。由于工程施</w:t>
      </w:r>
      <w:r>
        <w:rPr>
          <w:rFonts w:ascii="宋体" w:hAnsi="宋体" w:eastAsia="宋体" w:cs="宋体"/>
          <w:spacing w:val="1"/>
          <w:sz w:val="24"/>
          <w:szCs w:val="24"/>
        </w:rPr>
        <w:t>工区沿河岸</w:t>
      </w:r>
      <w:r>
        <w:rPr>
          <w:rFonts w:ascii="宋体" w:hAnsi="宋体" w:eastAsia="宋体" w:cs="宋体"/>
          <w:spacing w:val="2"/>
          <w:sz w:val="24"/>
          <w:szCs w:val="24"/>
        </w:rPr>
        <w:t>呈条形布置，地形开阔，空气流通性好，排放废气中各项污染物能够很快</w:t>
      </w:r>
      <w:r>
        <w:rPr>
          <w:rFonts w:ascii="宋体" w:hAnsi="宋体" w:eastAsia="宋体" w:cs="宋体"/>
          <w:spacing w:val="1"/>
          <w:sz w:val="24"/>
          <w:szCs w:val="24"/>
        </w:rPr>
        <w:t>扩散，不会</w:t>
      </w:r>
      <w:r>
        <w:rPr>
          <w:rFonts w:ascii="宋体" w:hAnsi="宋体" w:eastAsia="宋体" w:cs="宋体"/>
          <w:spacing w:val="2"/>
          <w:sz w:val="24"/>
          <w:szCs w:val="24"/>
        </w:rPr>
        <w:t>引起局部大气环境质量的恶化，加之废气排放的不连续性和工程施工期有</w:t>
      </w:r>
      <w:r>
        <w:rPr>
          <w:rFonts w:ascii="宋体" w:hAnsi="宋体" w:eastAsia="宋体" w:cs="宋体"/>
          <w:spacing w:val="1"/>
          <w:sz w:val="24"/>
          <w:szCs w:val="24"/>
        </w:rPr>
        <w:t>限，排放的</w:t>
      </w:r>
      <w:r>
        <w:rPr>
          <w:rFonts w:ascii="宋体" w:hAnsi="宋体" w:eastAsia="宋体" w:cs="宋体"/>
          <w:spacing w:val="-1"/>
          <w:sz w:val="24"/>
          <w:szCs w:val="24"/>
        </w:rPr>
        <w:t>废气对区域的环境空气质量影响是较小的。</w:t>
      </w:r>
    </w:p>
    <w:p w14:paraId="39E8AE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施工扬尘及车辆运输扬尘：施工开挖、施工材料</w:t>
      </w:r>
      <w:r>
        <w:rPr>
          <w:rFonts w:ascii="宋体" w:hAnsi="宋体" w:eastAsia="宋体" w:cs="宋体"/>
          <w:spacing w:val="-3"/>
          <w:sz w:val="24"/>
          <w:szCs w:val="24"/>
        </w:rPr>
        <w:t>装卸等会使作业点周围</w:t>
      </w:r>
      <w:r>
        <w:rPr>
          <w:rFonts w:ascii="宋体" w:hAnsi="宋体" w:eastAsia="宋体" w:cs="宋体"/>
          <w:spacing w:val="-45"/>
          <w:sz w:val="24"/>
          <w:szCs w:val="24"/>
        </w:rPr>
        <w:t xml:space="preserve"> </w:t>
      </w:r>
      <w:r>
        <w:rPr>
          <w:rFonts w:ascii="宋体" w:hAnsi="宋体" w:eastAsia="宋体" w:cs="宋体"/>
          <w:spacing w:val="-3"/>
          <w:sz w:val="24"/>
          <w:szCs w:val="24"/>
        </w:rPr>
        <w:t>50m</w:t>
      </w:r>
      <w:r>
        <w:rPr>
          <w:rFonts w:ascii="宋体" w:hAnsi="宋体" w:eastAsia="宋体" w:cs="宋体"/>
          <w:spacing w:val="-45"/>
          <w:sz w:val="24"/>
          <w:szCs w:val="24"/>
        </w:rPr>
        <w:t xml:space="preserve"> </w:t>
      </w:r>
      <w:r>
        <w:rPr>
          <w:rFonts w:ascii="宋体" w:hAnsi="宋体" w:eastAsia="宋体" w:cs="宋体"/>
          <w:spacing w:val="-3"/>
          <w:sz w:val="24"/>
          <w:szCs w:val="24"/>
        </w:rPr>
        <w:t>范围内</w:t>
      </w:r>
      <w:r>
        <w:rPr>
          <w:rFonts w:ascii="宋体" w:hAnsi="宋体" w:eastAsia="宋体" w:cs="宋体"/>
          <w:sz w:val="24"/>
          <w:szCs w:val="24"/>
        </w:rPr>
        <w:t xml:space="preserve"> </w:t>
      </w:r>
      <w:r>
        <w:rPr>
          <w:rFonts w:ascii="宋体" w:hAnsi="宋体" w:eastAsia="宋体" w:cs="宋体"/>
          <w:spacing w:val="2"/>
          <w:sz w:val="24"/>
          <w:szCs w:val="24"/>
        </w:rPr>
        <w:t>产生较大扬尘；材料运输会使交通道路两侧</w:t>
      </w:r>
      <w:r>
        <w:rPr>
          <w:rFonts w:ascii="宋体" w:hAnsi="宋体" w:eastAsia="宋体" w:cs="宋体"/>
          <w:spacing w:val="-50"/>
          <w:sz w:val="24"/>
          <w:szCs w:val="24"/>
        </w:rPr>
        <w:t xml:space="preserve"> </w:t>
      </w:r>
      <w:r>
        <w:rPr>
          <w:rFonts w:ascii="宋体" w:hAnsi="宋体" w:eastAsia="宋体" w:cs="宋体"/>
          <w:spacing w:val="2"/>
          <w:sz w:val="24"/>
          <w:szCs w:val="24"/>
        </w:rPr>
        <w:t>40m</w:t>
      </w:r>
      <w:r>
        <w:rPr>
          <w:rFonts w:ascii="宋体" w:hAnsi="宋体" w:eastAsia="宋体" w:cs="宋体"/>
          <w:spacing w:val="-40"/>
          <w:sz w:val="24"/>
          <w:szCs w:val="24"/>
        </w:rPr>
        <w:t xml:space="preserve"> </w:t>
      </w:r>
      <w:r>
        <w:rPr>
          <w:rFonts w:ascii="宋体" w:hAnsi="宋体" w:eastAsia="宋体" w:cs="宋体"/>
          <w:spacing w:val="2"/>
          <w:sz w:val="24"/>
          <w:szCs w:val="24"/>
        </w:rPr>
        <w:t>范围内产生扬尘。采取每天洒水</w:t>
      </w:r>
      <w:r>
        <w:rPr>
          <w:rFonts w:ascii="宋体" w:hAnsi="宋体" w:eastAsia="宋体" w:cs="宋体"/>
          <w:spacing w:val="-49"/>
          <w:sz w:val="24"/>
          <w:szCs w:val="24"/>
        </w:rPr>
        <w:t xml:space="preserve"> </w:t>
      </w:r>
      <w:r>
        <w:rPr>
          <w:rFonts w:ascii="宋体" w:hAnsi="宋体" w:eastAsia="宋体" w:cs="宋体"/>
          <w:spacing w:val="2"/>
          <w:sz w:val="24"/>
          <w:szCs w:val="24"/>
        </w:rPr>
        <w:t>4～5</w:t>
      </w:r>
      <w:r>
        <w:rPr>
          <w:rFonts w:ascii="宋体" w:hAnsi="宋体" w:eastAsia="宋体" w:cs="宋体"/>
          <w:sz w:val="24"/>
          <w:szCs w:val="24"/>
        </w:rPr>
        <w:t xml:space="preserve"> </w:t>
      </w:r>
      <w:r>
        <w:rPr>
          <w:rFonts w:ascii="宋体" w:hAnsi="宋体" w:eastAsia="宋体" w:cs="宋体"/>
          <w:spacing w:val="-3"/>
          <w:sz w:val="24"/>
          <w:szCs w:val="24"/>
        </w:rPr>
        <w:t>次进行抑尘，可有效地控制施工扬尘，将</w:t>
      </w:r>
      <w:r>
        <w:rPr>
          <w:rFonts w:ascii="宋体" w:hAnsi="宋体" w:eastAsia="宋体" w:cs="宋体"/>
          <w:spacing w:val="-35"/>
          <w:sz w:val="24"/>
          <w:szCs w:val="24"/>
        </w:rPr>
        <w:t xml:space="preserve"> </w:t>
      </w:r>
      <w:r>
        <w:rPr>
          <w:rFonts w:ascii="宋体" w:hAnsi="宋体" w:eastAsia="宋体" w:cs="宋体"/>
          <w:spacing w:val="-3"/>
          <w:sz w:val="24"/>
          <w:szCs w:val="24"/>
        </w:rPr>
        <w:t>TSP</w:t>
      </w:r>
      <w:r>
        <w:rPr>
          <w:rFonts w:ascii="宋体" w:hAnsi="宋体" w:eastAsia="宋体" w:cs="宋体"/>
          <w:spacing w:val="-48"/>
          <w:sz w:val="24"/>
          <w:szCs w:val="24"/>
        </w:rPr>
        <w:t xml:space="preserve"> </w:t>
      </w:r>
      <w:r>
        <w:rPr>
          <w:rFonts w:ascii="宋体" w:hAnsi="宋体" w:eastAsia="宋体" w:cs="宋体"/>
          <w:spacing w:val="-3"/>
          <w:sz w:val="24"/>
          <w:szCs w:val="24"/>
        </w:rPr>
        <w:t>污染距离缩小到</w:t>
      </w:r>
      <w:r>
        <w:rPr>
          <w:rFonts w:ascii="宋体" w:hAnsi="宋体" w:eastAsia="宋体" w:cs="宋体"/>
          <w:spacing w:val="-48"/>
          <w:sz w:val="24"/>
          <w:szCs w:val="24"/>
        </w:rPr>
        <w:t xml:space="preserve"> </w:t>
      </w:r>
      <w:r>
        <w:rPr>
          <w:rFonts w:ascii="宋体" w:hAnsi="宋体" w:eastAsia="宋体" w:cs="宋体"/>
          <w:spacing w:val="-3"/>
          <w:sz w:val="24"/>
          <w:szCs w:val="24"/>
        </w:rPr>
        <w:t>20～50m</w:t>
      </w:r>
      <w:r>
        <w:rPr>
          <w:rFonts w:ascii="宋体" w:hAnsi="宋体" w:eastAsia="宋体" w:cs="宋体"/>
          <w:spacing w:val="-45"/>
          <w:sz w:val="24"/>
          <w:szCs w:val="24"/>
        </w:rPr>
        <w:t xml:space="preserve"> </w:t>
      </w:r>
      <w:r>
        <w:rPr>
          <w:rFonts w:ascii="宋体" w:hAnsi="宋体" w:eastAsia="宋体" w:cs="宋体"/>
          <w:spacing w:val="-3"/>
          <w:sz w:val="24"/>
          <w:szCs w:val="24"/>
        </w:rPr>
        <w:t>范围。因此，限</w:t>
      </w:r>
    </w:p>
    <w:p w14:paraId="39BC66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速行驶及保持路面清洁，同时适当洒水是减少</w:t>
      </w:r>
      <w:r>
        <w:rPr>
          <w:rFonts w:ascii="宋体" w:hAnsi="宋体" w:eastAsia="宋体" w:cs="宋体"/>
          <w:spacing w:val="-1"/>
          <w:sz w:val="24"/>
          <w:szCs w:val="24"/>
        </w:rPr>
        <w:t>汽车扬尘的有效手段。</w:t>
      </w:r>
    </w:p>
    <w:p w14:paraId="7358EA0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加工粉尘：由工程分析可知，在各生产区钢材、木材以及混凝土生产过程中，在</w:t>
      </w:r>
      <w:r>
        <w:rPr>
          <w:rFonts w:ascii="宋体" w:hAnsi="宋体" w:eastAsia="宋体" w:cs="宋体"/>
          <w:spacing w:val="1"/>
          <w:sz w:val="24"/>
          <w:szCs w:val="24"/>
        </w:rPr>
        <w:t xml:space="preserve"> </w:t>
      </w:r>
      <w:r>
        <w:rPr>
          <w:rFonts w:ascii="宋体" w:hAnsi="宋体" w:eastAsia="宋体" w:cs="宋体"/>
          <w:spacing w:val="2"/>
          <w:sz w:val="24"/>
          <w:szCs w:val="24"/>
        </w:rPr>
        <w:t>采取定期洒水降尘措施后，混凝土生产粉尘和钢木加工粉尘排放量均较小（</w:t>
      </w:r>
      <w:r>
        <w:rPr>
          <w:rFonts w:ascii="宋体" w:hAnsi="宋体" w:eastAsia="宋体" w:cs="宋体"/>
          <w:spacing w:val="1"/>
          <w:sz w:val="24"/>
          <w:szCs w:val="24"/>
        </w:rPr>
        <w:t>混凝土搅</w:t>
      </w:r>
      <w:r>
        <w:rPr>
          <w:rFonts w:ascii="宋体" w:hAnsi="宋体" w:eastAsia="宋体" w:cs="宋体"/>
          <w:sz w:val="24"/>
          <w:szCs w:val="24"/>
        </w:rPr>
        <w:t xml:space="preserve"> </w:t>
      </w:r>
      <w:r>
        <w:rPr>
          <w:rFonts w:ascii="宋体" w:hAnsi="宋体" w:eastAsia="宋体" w:cs="宋体"/>
          <w:spacing w:val="-2"/>
          <w:sz w:val="24"/>
          <w:szCs w:val="24"/>
        </w:rPr>
        <w:t>拌站无组织粉尘总排放量约</w:t>
      </w:r>
      <w:r>
        <w:rPr>
          <w:rFonts w:ascii="宋体" w:hAnsi="宋体" w:eastAsia="宋体" w:cs="宋体"/>
          <w:spacing w:val="-35"/>
          <w:sz w:val="24"/>
          <w:szCs w:val="24"/>
        </w:rPr>
        <w:t xml:space="preserve"> </w:t>
      </w:r>
      <w:r>
        <w:rPr>
          <w:rFonts w:ascii="宋体" w:hAnsi="宋体" w:eastAsia="宋体" w:cs="宋体"/>
          <w:spacing w:val="-2"/>
          <w:sz w:val="24"/>
          <w:szCs w:val="24"/>
        </w:rPr>
        <w:t>0.14t，钢木加工厂无组织粉尘排放总量约</w:t>
      </w:r>
      <w:r>
        <w:rPr>
          <w:rFonts w:ascii="宋体" w:hAnsi="宋体" w:eastAsia="宋体" w:cs="宋体"/>
          <w:spacing w:val="-46"/>
          <w:sz w:val="24"/>
          <w:szCs w:val="24"/>
        </w:rPr>
        <w:t xml:space="preserve"> </w:t>
      </w:r>
      <w:r>
        <w:rPr>
          <w:rFonts w:ascii="宋体" w:hAnsi="宋体" w:eastAsia="宋体" w:cs="宋体"/>
          <w:spacing w:val="-2"/>
          <w:sz w:val="24"/>
          <w:szCs w:val="24"/>
        </w:rPr>
        <w:t>0.0008t，无组</w:t>
      </w:r>
      <w:r>
        <w:rPr>
          <w:rFonts w:ascii="宋体" w:hAnsi="宋体" w:eastAsia="宋体" w:cs="宋体"/>
          <w:sz w:val="24"/>
          <w:szCs w:val="24"/>
        </w:rPr>
        <w:t xml:space="preserve"> </w:t>
      </w:r>
      <w:r>
        <w:rPr>
          <w:rFonts w:ascii="宋体" w:hAnsi="宋体" w:eastAsia="宋体" w:cs="宋体"/>
          <w:spacing w:val="-4"/>
          <w:sz w:val="24"/>
          <w:szCs w:val="24"/>
        </w:rPr>
        <w:t>织排放粉尘预计可达到《大气污染物综合排放标准》（GB16297-1996）中相关要求（场</w:t>
      </w:r>
      <w:r>
        <w:rPr>
          <w:rFonts w:ascii="宋体" w:hAnsi="宋体" w:eastAsia="宋体" w:cs="宋体"/>
          <w:spacing w:val="9"/>
          <w:sz w:val="24"/>
          <w:szCs w:val="24"/>
        </w:rPr>
        <w:t xml:space="preserve"> </w:t>
      </w:r>
      <w:r>
        <w:rPr>
          <w:rFonts w:ascii="宋体" w:hAnsi="宋体" w:eastAsia="宋体" w:cs="宋体"/>
          <w:spacing w:val="-4"/>
          <w:sz w:val="24"/>
          <w:szCs w:val="24"/>
        </w:rPr>
        <w:t>界浓度最高点</w:t>
      </w:r>
      <w:r>
        <w:rPr>
          <w:rFonts w:ascii="宋体" w:hAnsi="宋体" w:eastAsia="宋体" w:cs="宋体"/>
          <w:spacing w:val="-33"/>
          <w:sz w:val="24"/>
          <w:szCs w:val="24"/>
        </w:rPr>
        <w:t xml:space="preserve"> </w:t>
      </w:r>
      <w:r>
        <w:rPr>
          <w:rFonts w:ascii="宋体" w:hAnsi="宋体" w:eastAsia="宋体" w:cs="宋体"/>
          <w:spacing w:val="-4"/>
          <w:sz w:val="24"/>
          <w:szCs w:val="24"/>
        </w:rPr>
        <w:t>1mg/m</w:t>
      </w:r>
      <w:r>
        <w:rPr>
          <w:rFonts w:ascii="宋体" w:hAnsi="宋体" w:eastAsia="宋体" w:cs="宋体"/>
          <w:spacing w:val="-4"/>
          <w:position w:val="12"/>
          <w:sz w:val="12"/>
          <w:szCs w:val="12"/>
        </w:rPr>
        <w:t>3</w:t>
      </w:r>
      <w:r>
        <w:rPr>
          <w:rFonts w:ascii="宋体" w:hAnsi="宋体" w:eastAsia="宋体" w:cs="宋体"/>
          <w:spacing w:val="-25"/>
          <w:position w:val="12"/>
          <w:sz w:val="12"/>
          <w:szCs w:val="12"/>
        </w:rPr>
        <w:t xml:space="preserve"> </w:t>
      </w:r>
      <w:r>
        <w:rPr>
          <w:rFonts w:ascii="宋体" w:hAnsi="宋体" w:eastAsia="宋体" w:cs="宋体"/>
          <w:spacing w:val="-4"/>
          <w:sz w:val="24"/>
          <w:szCs w:val="24"/>
        </w:rPr>
        <w:t>）。本工程建设周期</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0"/>
          <w:sz w:val="24"/>
          <w:szCs w:val="24"/>
        </w:rPr>
        <w:t xml:space="preserve"> </w:t>
      </w:r>
      <w:r>
        <w:rPr>
          <w:rFonts w:ascii="宋体" w:hAnsi="宋体" w:eastAsia="宋体" w:cs="宋体"/>
          <w:spacing w:val="-5"/>
          <w:sz w:val="24"/>
          <w:szCs w:val="24"/>
        </w:rPr>
        <w:t>年，施工期约</w:t>
      </w:r>
      <w:r>
        <w:rPr>
          <w:rFonts w:ascii="宋体" w:hAnsi="宋体" w:eastAsia="宋体" w:cs="宋体"/>
          <w:spacing w:val="-33"/>
          <w:sz w:val="24"/>
          <w:szCs w:val="24"/>
        </w:rPr>
        <w:t xml:space="preserve"> </w:t>
      </w:r>
      <w:r>
        <w:rPr>
          <w:rFonts w:ascii="宋体" w:hAnsi="宋体" w:eastAsia="宋体" w:cs="宋体"/>
          <w:spacing w:val="-5"/>
          <w:sz w:val="24"/>
          <w:szCs w:val="24"/>
        </w:rPr>
        <w:t>10</w:t>
      </w:r>
      <w:r>
        <w:rPr>
          <w:rFonts w:ascii="宋体" w:hAnsi="宋体" w:eastAsia="宋体" w:cs="宋体"/>
          <w:spacing w:val="-50"/>
          <w:sz w:val="24"/>
          <w:szCs w:val="24"/>
        </w:rPr>
        <w:t xml:space="preserve"> </w:t>
      </w:r>
      <w:r>
        <w:rPr>
          <w:rFonts w:ascii="宋体" w:hAnsi="宋体" w:eastAsia="宋体" w:cs="宋体"/>
          <w:spacing w:val="-5"/>
          <w:sz w:val="24"/>
          <w:szCs w:val="24"/>
        </w:rPr>
        <w:t>个月，混凝土生产加工和</w:t>
      </w:r>
      <w:r>
        <w:rPr>
          <w:rFonts w:ascii="宋体" w:hAnsi="宋体" w:eastAsia="宋体" w:cs="宋体"/>
          <w:sz w:val="24"/>
          <w:szCs w:val="24"/>
        </w:rPr>
        <w:t xml:space="preserve"> </w:t>
      </w:r>
      <w:r>
        <w:rPr>
          <w:rFonts w:ascii="宋体" w:hAnsi="宋体" w:eastAsia="宋体" w:cs="宋体"/>
          <w:spacing w:val="2"/>
          <w:sz w:val="24"/>
          <w:szCs w:val="24"/>
        </w:rPr>
        <w:t>钢木加工活动期较短，生产加工活动和排污属于短期行为，在施工期结</w:t>
      </w:r>
      <w:r>
        <w:rPr>
          <w:rFonts w:ascii="宋体" w:hAnsi="宋体" w:eastAsia="宋体" w:cs="宋体"/>
          <w:spacing w:val="1"/>
          <w:sz w:val="24"/>
          <w:szCs w:val="24"/>
        </w:rPr>
        <w:t>束后即终止，</w:t>
      </w:r>
      <w:r>
        <w:rPr>
          <w:rFonts w:ascii="宋体" w:hAnsi="宋体" w:eastAsia="宋体" w:cs="宋体"/>
          <w:spacing w:val="-1"/>
          <w:sz w:val="24"/>
          <w:szCs w:val="24"/>
        </w:rPr>
        <w:t>因此本次评价认为施工期加工粉尘对周边环境的影</w:t>
      </w:r>
      <w:r>
        <w:rPr>
          <w:rFonts w:ascii="宋体" w:hAnsi="宋体" w:eastAsia="宋体" w:cs="宋体"/>
          <w:spacing w:val="-2"/>
          <w:sz w:val="24"/>
          <w:szCs w:val="24"/>
        </w:rPr>
        <w:t>响有限。</w:t>
      </w:r>
    </w:p>
    <w:p w14:paraId="2DDEF4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本次评价提出合理安排行车路线，定期检查车况和机械状况，尽量减少废气污染</w:t>
      </w:r>
      <w:r>
        <w:rPr>
          <w:rFonts w:ascii="宋体" w:hAnsi="宋体" w:eastAsia="宋体" w:cs="宋体"/>
          <w:sz w:val="24"/>
          <w:szCs w:val="24"/>
        </w:rPr>
        <w:t xml:space="preserve"> </w:t>
      </w:r>
      <w:r>
        <w:rPr>
          <w:rFonts w:ascii="宋体" w:hAnsi="宋体" w:eastAsia="宋体" w:cs="宋体"/>
          <w:spacing w:val="2"/>
          <w:sz w:val="24"/>
          <w:szCs w:val="24"/>
        </w:rPr>
        <w:t>物的排放；避开大风天气施工作业、运输车辆加配防尘布、施工场地洒水等</w:t>
      </w:r>
      <w:r>
        <w:rPr>
          <w:rFonts w:ascii="宋体" w:hAnsi="宋体" w:eastAsia="宋体" w:cs="宋体"/>
          <w:spacing w:val="1"/>
          <w:sz w:val="24"/>
          <w:szCs w:val="24"/>
        </w:rPr>
        <w:t>措施，以</w:t>
      </w:r>
      <w:r>
        <w:rPr>
          <w:rFonts w:ascii="宋体" w:hAnsi="宋体" w:eastAsia="宋体" w:cs="宋体"/>
          <w:spacing w:val="-1"/>
          <w:sz w:val="24"/>
          <w:szCs w:val="24"/>
        </w:rPr>
        <w:t>减少扬尘量；对加工区采取定期洒水降尘的措施。</w:t>
      </w:r>
    </w:p>
    <w:p w14:paraId="5DC99143">
      <w:pPr>
        <w:spacing w:line="218" w:lineRule="auto"/>
        <w:rPr>
          <w:rFonts w:ascii="宋体" w:hAnsi="宋体" w:eastAsia="宋体" w:cs="宋体"/>
          <w:sz w:val="24"/>
          <w:szCs w:val="24"/>
        </w:rPr>
        <w:sectPr>
          <w:headerReference r:id="rId13" w:type="default"/>
          <w:footerReference r:id="rId14" w:type="default"/>
          <w:pgSz w:w="11906" w:h="16839"/>
          <w:pgMar w:top="1152" w:right="1415" w:bottom="1262" w:left="1418" w:header="882" w:footer="986" w:gutter="0"/>
          <w:pgBorders>
            <w:top w:val="none" w:sz="0" w:space="0"/>
            <w:left w:val="none" w:sz="0" w:space="0"/>
            <w:bottom w:val="none" w:sz="0" w:space="0"/>
            <w:right w:val="none" w:sz="0" w:space="0"/>
          </w:pgBorders>
          <w:pgNumType w:fmt="decimal"/>
          <w:cols w:space="720" w:num="1"/>
        </w:sectPr>
      </w:pPr>
    </w:p>
    <w:p w14:paraId="7A7779E4">
      <w:pPr>
        <w:spacing w:before="300" w:line="219" w:lineRule="auto"/>
        <w:ind w:left="14"/>
        <w:outlineLvl w:val="3"/>
        <w:rPr>
          <w:rFonts w:ascii="宋体" w:hAnsi="宋体" w:eastAsia="宋体" w:cs="宋体"/>
          <w:sz w:val="24"/>
          <w:szCs w:val="24"/>
        </w:rPr>
      </w:pPr>
      <w:r>
        <w:rPr>
          <w:b/>
          <w:bCs/>
        </w:rPr>
        <w:fldChar w:fldCharType="begin"/>
      </w:r>
      <w:r>
        <w:rPr>
          <w:b/>
          <w:bCs/>
        </w:rPr>
        <w:instrText xml:space="preserve"> HYPERLINK "5.1.1.2"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5.1.1.2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燃油机械及机动车废气影响</w:t>
      </w:r>
    </w:p>
    <w:p w14:paraId="3245FA61">
      <w:pPr>
        <w:spacing w:before="183" w:line="360" w:lineRule="auto"/>
        <w:ind w:left="8" w:right="27" w:firstLine="481"/>
        <w:jc w:val="both"/>
        <w:rPr>
          <w:rFonts w:ascii="宋体" w:hAnsi="宋体" w:eastAsia="宋体" w:cs="宋体"/>
          <w:spacing w:val="-4"/>
          <w:sz w:val="24"/>
          <w:szCs w:val="24"/>
        </w:rPr>
      </w:pPr>
      <w:r>
        <w:rPr>
          <w:rFonts w:ascii="宋体" w:hAnsi="宋体" w:eastAsia="宋体" w:cs="宋体"/>
          <w:spacing w:val="2"/>
          <w:sz w:val="24"/>
          <w:szCs w:val="24"/>
        </w:rPr>
        <w:t>燃油机械及机动车废气主要是施工机械以及运输车辆排放的尾气，尾气中主要污</w:t>
      </w:r>
      <w:r>
        <w:rPr>
          <w:rFonts w:ascii="宋体" w:hAnsi="宋体" w:eastAsia="宋体" w:cs="宋体"/>
          <w:spacing w:val="-3"/>
          <w:sz w:val="24"/>
          <w:szCs w:val="24"/>
        </w:rPr>
        <w:t>染物有</w:t>
      </w:r>
      <w:r>
        <w:rPr>
          <w:rFonts w:ascii="宋体" w:hAnsi="宋体" w:eastAsia="宋体" w:cs="宋体"/>
          <w:spacing w:val="-53"/>
          <w:sz w:val="24"/>
          <w:szCs w:val="24"/>
        </w:rPr>
        <w:t xml:space="preserve"> </w:t>
      </w:r>
      <w:r>
        <w:rPr>
          <w:rFonts w:ascii="宋体" w:hAnsi="宋体" w:eastAsia="宋体" w:cs="宋体"/>
          <w:spacing w:val="-3"/>
          <w:sz w:val="24"/>
          <w:szCs w:val="24"/>
        </w:rPr>
        <w:t>THC、颗粒物、CO、NO</w:t>
      </w:r>
      <w:r>
        <w:rPr>
          <w:rFonts w:ascii="宋体" w:hAnsi="宋体" w:eastAsia="宋体" w:cs="宋体"/>
          <w:spacing w:val="-3"/>
          <w:position w:val="-3"/>
          <w:sz w:val="12"/>
          <w:szCs w:val="12"/>
        </w:rPr>
        <w:t>2</w:t>
      </w:r>
      <w:r>
        <w:rPr>
          <w:rFonts w:ascii="宋体" w:hAnsi="宋体" w:eastAsia="宋体" w:cs="宋体"/>
          <w:spacing w:val="-20"/>
          <w:position w:val="-3"/>
          <w:sz w:val="12"/>
          <w:szCs w:val="12"/>
        </w:rPr>
        <w:t xml:space="preserve"> </w:t>
      </w:r>
      <w:r>
        <w:rPr>
          <w:rFonts w:ascii="宋体" w:hAnsi="宋体" w:eastAsia="宋体" w:cs="宋体"/>
          <w:spacing w:val="-3"/>
          <w:sz w:val="24"/>
          <w:szCs w:val="24"/>
        </w:rPr>
        <w:t>等。其中施工机械主要在施工现场临</w:t>
      </w:r>
      <w:r>
        <w:rPr>
          <w:rFonts w:ascii="宋体" w:hAnsi="宋体" w:eastAsia="宋体" w:cs="宋体"/>
          <w:spacing w:val="-4"/>
          <w:sz w:val="24"/>
          <w:szCs w:val="24"/>
        </w:rPr>
        <w:t>时占地范围内活动，</w:t>
      </w:r>
      <w:r>
        <w:rPr>
          <w:rFonts w:ascii="宋体" w:hAnsi="宋体" w:eastAsia="宋体" w:cs="宋体"/>
          <w:spacing w:val="2"/>
          <w:sz w:val="24"/>
          <w:szCs w:val="24"/>
        </w:rPr>
        <w:t>尾气呈面源污染形式，运输车辆主要于临时生产生活区和施工作业现场往返活</w:t>
      </w:r>
      <w:r>
        <w:rPr>
          <w:rFonts w:ascii="宋体" w:hAnsi="宋体" w:eastAsia="宋体" w:cs="宋体"/>
          <w:spacing w:val="1"/>
          <w:sz w:val="24"/>
          <w:szCs w:val="24"/>
        </w:rPr>
        <w:t>动，尾</w:t>
      </w:r>
      <w:r>
        <w:rPr>
          <w:rFonts w:ascii="宋体" w:hAnsi="宋体" w:eastAsia="宋体" w:cs="宋体"/>
          <w:spacing w:val="2"/>
          <w:sz w:val="24"/>
          <w:szCs w:val="24"/>
        </w:rPr>
        <w:t>气呈线源形式。上述车辆和机械排气高度均较低，尾气扩散范围不大，加之项</w:t>
      </w:r>
      <w:r>
        <w:rPr>
          <w:rFonts w:ascii="宋体" w:hAnsi="宋体" w:eastAsia="宋体" w:cs="宋体"/>
          <w:spacing w:val="1"/>
          <w:sz w:val="24"/>
          <w:szCs w:val="24"/>
        </w:rPr>
        <w:t>目区较</w:t>
      </w:r>
      <w:r>
        <w:rPr>
          <w:rFonts w:ascii="宋体" w:hAnsi="宋体" w:eastAsia="宋体" w:cs="宋体"/>
          <w:spacing w:val="2"/>
          <w:sz w:val="24"/>
          <w:szCs w:val="24"/>
        </w:rPr>
        <w:t>为平坦开阔，尾气扩散条件良好，另外，施工机械及车辆为非连续行驶状态，</w:t>
      </w:r>
      <w:r>
        <w:rPr>
          <w:rFonts w:ascii="宋体" w:hAnsi="宋体" w:eastAsia="宋体" w:cs="宋体"/>
          <w:spacing w:val="1"/>
          <w:sz w:val="24"/>
          <w:szCs w:val="24"/>
        </w:rPr>
        <w:t>污染物</w:t>
      </w:r>
      <w:r>
        <w:rPr>
          <w:rFonts w:ascii="宋体" w:hAnsi="宋体" w:eastAsia="宋体" w:cs="宋体"/>
          <w:spacing w:val="-2"/>
          <w:sz w:val="24"/>
          <w:szCs w:val="24"/>
        </w:rPr>
        <w:t>排放时间及排放量也相对较小，因此施工机械以及运输车辆</w:t>
      </w:r>
      <w:r>
        <w:rPr>
          <w:rFonts w:ascii="宋体" w:hAnsi="宋体" w:eastAsia="宋体" w:cs="宋体"/>
          <w:spacing w:val="-3"/>
          <w:sz w:val="24"/>
          <w:szCs w:val="24"/>
        </w:rPr>
        <w:t>尾气对周围区域影响较小。</w:t>
      </w:r>
      <w:r>
        <w:rPr>
          <w:rFonts w:ascii="宋体" w:hAnsi="宋体" w:eastAsia="宋体" w:cs="宋体"/>
          <w:spacing w:val="2"/>
          <w:sz w:val="24"/>
          <w:szCs w:val="24"/>
        </w:rPr>
        <w:t>施工期间，建设单位应加强车辆和机械的维护管理，确保其在施工期间处于正</w:t>
      </w:r>
      <w:r>
        <w:rPr>
          <w:rFonts w:ascii="宋体" w:hAnsi="宋体" w:eastAsia="宋体" w:cs="宋体"/>
          <w:spacing w:val="1"/>
          <w:sz w:val="24"/>
          <w:szCs w:val="24"/>
        </w:rPr>
        <w:t>常使用</w:t>
      </w:r>
      <w:r>
        <w:rPr>
          <w:rFonts w:ascii="宋体" w:hAnsi="宋体" w:eastAsia="宋体" w:cs="宋体"/>
          <w:spacing w:val="-4"/>
          <w:sz w:val="24"/>
          <w:szCs w:val="24"/>
        </w:rPr>
        <w:t>状态。</w:t>
      </w:r>
    </w:p>
    <w:p w14:paraId="1F53389C">
      <w:pPr>
        <w:spacing w:line="360" w:lineRule="auto"/>
        <w:ind w:left="9" w:firstLine="464" w:firstLineChars="200"/>
        <w:rPr>
          <w:rFonts w:ascii="宋体" w:hAnsi="宋体" w:eastAsia="宋体" w:cs="宋体"/>
          <w:sz w:val="24"/>
          <w:szCs w:val="24"/>
        </w:rPr>
      </w:pPr>
      <w:r>
        <w:rPr>
          <w:rFonts w:ascii="宋体" w:hAnsi="宋体" w:eastAsia="宋体" w:cs="宋体"/>
          <w:spacing w:val="-4"/>
          <w:sz w:val="24"/>
          <w:szCs w:val="24"/>
        </w:rPr>
        <w:t>项目施工采用柴油发电机作为辅助电源，</w:t>
      </w:r>
      <w:r>
        <w:rPr>
          <w:rFonts w:ascii="宋体" w:hAnsi="宋体" w:eastAsia="宋体" w:cs="宋体"/>
          <w:spacing w:val="2"/>
          <w:sz w:val="24"/>
          <w:szCs w:val="24"/>
        </w:rPr>
        <w:t>发电机废气主要通过自然通风排放，属于短期排污行为，在施工期结束后即终</w:t>
      </w:r>
      <w:r>
        <w:rPr>
          <w:rFonts w:ascii="宋体" w:hAnsi="宋体" w:eastAsia="宋体" w:cs="宋体"/>
          <w:spacing w:val="1"/>
          <w:sz w:val="24"/>
          <w:szCs w:val="24"/>
        </w:rPr>
        <w:t>止，环</w:t>
      </w:r>
      <w:r>
        <w:rPr>
          <w:rFonts w:ascii="宋体" w:hAnsi="宋体" w:eastAsia="宋体" w:cs="宋体"/>
          <w:spacing w:val="-3"/>
          <w:sz w:val="24"/>
          <w:szCs w:val="24"/>
        </w:rPr>
        <w:t>评认为其对周边环境的影响有限。环评要求发电机工作区域应时刻处于良好通风状态，</w:t>
      </w:r>
      <w:r>
        <w:rPr>
          <w:rFonts w:ascii="宋体" w:hAnsi="宋体" w:eastAsia="宋体" w:cs="宋体"/>
          <w:spacing w:val="-1"/>
          <w:sz w:val="24"/>
          <w:szCs w:val="24"/>
        </w:rPr>
        <w:t>废气通过大气扩散后以对项目区及周边环境影响较小。</w:t>
      </w:r>
    </w:p>
    <w:p w14:paraId="7854A5DC">
      <w:pPr>
        <w:spacing w:before="91" w:line="220" w:lineRule="auto"/>
        <w:ind w:left="16"/>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5.1.2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水环境影响分析</w:t>
      </w:r>
    </w:p>
    <w:p w14:paraId="57093AF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本工程施工期对水环境产生影响的主要是基坑废水、混凝土拌和系统冲洗废水、施工人员产生的生活污水等。</w:t>
      </w:r>
    </w:p>
    <w:p w14:paraId="32E66A6A">
      <w:pPr>
        <w:spacing w:before="181" w:line="219" w:lineRule="auto"/>
        <w:ind w:left="14"/>
        <w:outlineLvl w:val="3"/>
        <w:rPr>
          <w:rFonts w:ascii="宋体" w:hAnsi="宋体" w:eastAsia="宋体" w:cs="宋体"/>
          <w:sz w:val="24"/>
          <w:szCs w:val="24"/>
        </w:rPr>
      </w:pPr>
      <w:r>
        <w:rPr>
          <w:b/>
          <w:bCs/>
        </w:rPr>
        <w:fldChar w:fldCharType="begin"/>
      </w:r>
      <w:r>
        <w:rPr>
          <w:b/>
          <w:bCs/>
        </w:rPr>
        <w:instrText xml:space="preserve"> HYPERLINK "5.1.2.1"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5.1.2.1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地表水环境影响</w:t>
      </w:r>
    </w:p>
    <w:p w14:paraId="0B684E95">
      <w:pPr>
        <w:spacing w:before="182" w:line="360" w:lineRule="auto"/>
        <w:ind w:right="108" w:firstLine="472" w:firstLineChars="200"/>
        <w:jc w:val="both"/>
        <w:rPr>
          <w:rFonts w:ascii="宋体" w:hAnsi="宋体" w:eastAsia="宋体" w:cs="宋体"/>
          <w:spacing w:val="-1"/>
          <w:sz w:val="24"/>
          <w:szCs w:val="24"/>
        </w:rPr>
      </w:pPr>
      <w:r>
        <w:rPr>
          <w:rFonts w:ascii="宋体" w:hAnsi="宋体" w:eastAsia="宋体" w:cs="宋体"/>
          <w:spacing w:val="-2"/>
          <w:sz w:val="24"/>
          <w:szCs w:val="24"/>
        </w:rPr>
        <w:t>由工程分析可知，施工期</w:t>
      </w:r>
      <w:r>
        <w:rPr>
          <w:rFonts w:ascii="宋体" w:hAnsi="宋体" w:eastAsia="宋体" w:cs="宋体"/>
          <w:spacing w:val="16"/>
          <w:sz w:val="24"/>
          <w:szCs w:val="24"/>
        </w:rPr>
        <w:t>排水中主</w:t>
      </w:r>
      <w:r>
        <w:rPr>
          <w:rFonts w:ascii="宋体" w:hAnsi="宋体" w:eastAsia="宋体" w:cs="宋体"/>
          <w:spacing w:val="15"/>
          <w:sz w:val="24"/>
          <w:szCs w:val="24"/>
        </w:rPr>
        <w:t>要污染物为悬浮物，一般浓度在</w:t>
      </w:r>
      <w:r>
        <w:rPr>
          <w:rFonts w:ascii="宋体" w:hAnsi="宋体" w:eastAsia="宋体" w:cs="宋体"/>
          <w:sz w:val="24"/>
          <w:szCs w:val="24"/>
        </w:rPr>
        <w:t xml:space="preserve"> </w:t>
      </w:r>
      <w:r>
        <w:rPr>
          <w:rFonts w:ascii="宋体" w:hAnsi="宋体" w:eastAsia="宋体" w:cs="宋体"/>
          <w:spacing w:val="-3"/>
          <w:sz w:val="24"/>
          <w:szCs w:val="24"/>
        </w:rPr>
        <w:t>2000mg/L，经沉淀后用于洒水降尘；混凝土拌和废水最高排放总量</w:t>
      </w:r>
      <w:r>
        <w:rPr>
          <w:rFonts w:ascii="宋体" w:hAnsi="宋体" w:eastAsia="宋体" w:cs="宋体"/>
          <w:spacing w:val="-36"/>
          <w:sz w:val="24"/>
          <w:szCs w:val="24"/>
        </w:rPr>
        <w:t xml:space="preserve"> </w:t>
      </w:r>
      <w:r>
        <w:rPr>
          <w:rFonts w:ascii="宋体" w:hAnsi="宋体" w:eastAsia="宋体" w:cs="宋体"/>
          <w:spacing w:val="-3"/>
          <w:sz w:val="24"/>
          <w:szCs w:val="24"/>
        </w:rPr>
        <w:t>0.8m³/d，因水量较</w:t>
      </w:r>
      <w:r>
        <w:rPr>
          <w:rFonts w:ascii="宋体" w:hAnsi="宋体" w:eastAsia="宋体" w:cs="宋体"/>
          <w:sz w:val="24"/>
          <w:szCs w:val="24"/>
        </w:rPr>
        <w:t xml:space="preserve"> </w:t>
      </w:r>
      <w:r>
        <w:rPr>
          <w:rFonts w:ascii="宋体" w:hAnsi="宋体" w:eastAsia="宋体" w:cs="宋体"/>
          <w:spacing w:val="2"/>
          <w:sz w:val="24"/>
          <w:szCs w:val="24"/>
        </w:rPr>
        <w:t>小，混凝土拌和系统废水经处理后回用于生产过程；冲洗废水</w:t>
      </w:r>
      <w:r>
        <w:rPr>
          <w:rFonts w:ascii="宋体" w:hAnsi="宋体" w:eastAsia="宋体" w:cs="宋体"/>
          <w:spacing w:val="1"/>
          <w:sz w:val="24"/>
          <w:szCs w:val="24"/>
        </w:rPr>
        <w:t>经中和、沉淀后回用；</w:t>
      </w:r>
      <w:r>
        <w:rPr>
          <w:rFonts w:ascii="宋体" w:hAnsi="宋体" w:eastAsia="宋体" w:cs="宋体"/>
          <w:sz w:val="24"/>
          <w:szCs w:val="24"/>
        </w:rPr>
        <w:t xml:space="preserve"> </w:t>
      </w:r>
      <w:r>
        <w:rPr>
          <w:rFonts w:ascii="宋体" w:hAnsi="宋体" w:eastAsia="宋体" w:cs="宋体"/>
          <w:spacing w:val="2"/>
          <w:sz w:val="24"/>
          <w:szCs w:val="24"/>
        </w:rPr>
        <w:t>生活依托现有设施，生活污水纳入现有排水系统。因此，以上废水均不外</w:t>
      </w:r>
      <w:r>
        <w:rPr>
          <w:rFonts w:ascii="宋体" w:hAnsi="宋体" w:eastAsia="宋体" w:cs="宋体"/>
          <w:spacing w:val="1"/>
          <w:sz w:val="24"/>
          <w:szCs w:val="24"/>
        </w:rPr>
        <w:t>排，基本不</w:t>
      </w:r>
      <w:r>
        <w:rPr>
          <w:rFonts w:ascii="宋体" w:hAnsi="宋体" w:eastAsia="宋体" w:cs="宋体"/>
          <w:spacing w:val="-1"/>
          <w:sz w:val="24"/>
          <w:szCs w:val="24"/>
        </w:rPr>
        <w:t>会对地表水环境产生不利影响。</w:t>
      </w:r>
    </w:p>
    <w:p w14:paraId="66CC5FF5">
      <w:pPr>
        <w:spacing w:before="1" w:line="360" w:lineRule="auto"/>
        <w:ind w:left="8" w:firstLine="488" w:firstLineChars="200"/>
        <w:jc w:val="both"/>
        <w:rPr>
          <w:rFonts w:ascii="宋体" w:hAnsi="宋体" w:eastAsia="宋体" w:cs="宋体"/>
          <w:sz w:val="24"/>
          <w:szCs w:val="24"/>
        </w:rPr>
      </w:pPr>
      <w:r>
        <w:rPr>
          <w:rFonts w:ascii="宋体" w:hAnsi="宋体" w:eastAsia="宋体" w:cs="宋体"/>
          <w:spacing w:val="2"/>
          <w:sz w:val="24"/>
          <w:szCs w:val="24"/>
        </w:rPr>
        <w:t>本工程距离施工区域较近的天然地表水体主要为</w:t>
      </w:r>
      <w:r>
        <w:rPr>
          <w:rFonts w:hint="eastAsia" w:ascii="宋体" w:hAnsi="宋体" w:eastAsia="宋体" w:cs="宋体"/>
          <w:spacing w:val="2"/>
          <w:sz w:val="24"/>
          <w:szCs w:val="24"/>
          <w:lang w:val="en-US" w:eastAsia="zh-CN"/>
        </w:rPr>
        <w:t>灌区渠道及</w:t>
      </w:r>
      <w:r>
        <w:rPr>
          <w:rFonts w:hint="eastAsia" w:ascii="宋体" w:hAnsi="宋体" w:eastAsia="宋体" w:cs="宋体"/>
          <w:spacing w:val="2"/>
          <w:sz w:val="24"/>
          <w:szCs w:val="24"/>
          <w:lang w:eastAsia="zh-CN"/>
        </w:rPr>
        <w:t>艾丁湖</w:t>
      </w:r>
      <w:r>
        <w:rPr>
          <w:rFonts w:ascii="宋体" w:hAnsi="宋体" w:eastAsia="宋体" w:cs="宋体"/>
          <w:spacing w:val="2"/>
          <w:sz w:val="24"/>
          <w:szCs w:val="24"/>
        </w:rPr>
        <w:t>，与改造工程最近</w:t>
      </w:r>
      <w:r>
        <w:rPr>
          <w:rFonts w:ascii="宋体" w:hAnsi="宋体" w:eastAsia="宋体" w:cs="宋体"/>
          <w:spacing w:val="1"/>
          <w:sz w:val="24"/>
          <w:szCs w:val="24"/>
        </w:rPr>
        <w:t>距离在</w:t>
      </w:r>
      <w:r>
        <w:rPr>
          <w:rFonts w:ascii="宋体" w:hAnsi="宋体" w:eastAsia="宋体" w:cs="宋体"/>
          <w:spacing w:val="-3"/>
          <w:sz w:val="24"/>
          <w:szCs w:val="24"/>
        </w:rPr>
        <w:t>30～1300m</w:t>
      </w:r>
      <w:r>
        <w:rPr>
          <w:rFonts w:ascii="宋体" w:hAnsi="宋体" w:eastAsia="宋体" w:cs="宋体"/>
          <w:spacing w:val="-45"/>
          <w:sz w:val="24"/>
          <w:szCs w:val="24"/>
        </w:rPr>
        <w:t xml:space="preserve"> </w:t>
      </w:r>
      <w:r>
        <w:rPr>
          <w:rFonts w:ascii="宋体" w:hAnsi="宋体" w:eastAsia="宋体" w:cs="宋体"/>
          <w:spacing w:val="-3"/>
          <w:sz w:val="24"/>
          <w:szCs w:val="24"/>
        </w:rPr>
        <w:t>范围内，渠道施工涉及的水体主要为渠道内渠水，如施工临时生产区布</w:t>
      </w:r>
      <w:r>
        <w:rPr>
          <w:rFonts w:ascii="宋体" w:hAnsi="宋体" w:eastAsia="宋体" w:cs="宋体"/>
          <w:spacing w:val="-4"/>
          <w:sz w:val="24"/>
          <w:szCs w:val="24"/>
        </w:rPr>
        <w:t>设在</w:t>
      </w:r>
      <w:r>
        <w:rPr>
          <w:rFonts w:ascii="宋体" w:hAnsi="宋体" w:eastAsia="宋体" w:cs="宋体"/>
          <w:spacing w:val="2"/>
          <w:sz w:val="24"/>
          <w:szCs w:val="24"/>
        </w:rPr>
        <w:t>支渠一侧距离河道或施工渠道较近的区域，废水在不经收集随意排放</w:t>
      </w:r>
      <w:r>
        <w:rPr>
          <w:rFonts w:ascii="宋体" w:hAnsi="宋体" w:eastAsia="宋体" w:cs="宋体"/>
          <w:spacing w:val="1"/>
          <w:sz w:val="24"/>
          <w:szCs w:val="24"/>
        </w:rPr>
        <w:t>的情况下会进入</w:t>
      </w:r>
      <w:r>
        <w:rPr>
          <w:rFonts w:hint="eastAsia" w:ascii="宋体" w:hAnsi="宋体" w:eastAsia="宋体" w:cs="宋体"/>
          <w:spacing w:val="2"/>
          <w:sz w:val="24"/>
          <w:szCs w:val="24"/>
          <w:lang w:val="en-US" w:eastAsia="zh-CN"/>
        </w:rPr>
        <w:t>地表水体</w:t>
      </w:r>
      <w:r>
        <w:rPr>
          <w:rFonts w:ascii="宋体" w:hAnsi="宋体" w:eastAsia="宋体" w:cs="宋体"/>
          <w:spacing w:val="2"/>
          <w:sz w:val="24"/>
          <w:szCs w:val="24"/>
        </w:rPr>
        <w:t>，水体内悬浮颗粒物浓度升高，污染物进行氧化分</w:t>
      </w:r>
      <w:r>
        <w:rPr>
          <w:rFonts w:ascii="宋体" w:hAnsi="宋体" w:eastAsia="宋体" w:cs="宋体"/>
          <w:spacing w:val="1"/>
          <w:sz w:val="24"/>
          <w:szCs w:val="24"/>
        </w:rPr>
        <w:t>解时，也会消耗</w:t>
      </w:r>
      <w:r>
        <w:rPr>
          <w:rFonts w:ascii="宋体" w:hAnsi="宋体" w:eastAsia="宋体" w:cs="宋体"/>
          <w:spacing w:val="2"/>
          <w:sz w:val="24"/>
          <w:szCs w:val="24"/>
        </w:rPr>
        <w:t>水中的溶解氧，水体自净能力下降，持续排放废水的过程中，当</w:t>
      </w:r>
      <w:r>
        <w:rPr>
          <w:rFonts w:ascii="宋体" w:hAnsi="宋体" w:eastAsia="宋体" w:cs="宋体"/>
          <w:spacing w:val="1"/>
          <w:sz w:val="24"/>
          <w:szCs w:val="24"/>
        </w:rPr>
        <w:t>排放的污水量超过水</w:t>
      </w:r>
      <w:r>
        <w:rPr>
          <w:rFonts w:ascii="宋体" w:hAnsi="宋体" w:eastAsia="宋体" w:cs="宋体"/>
          <w:spacing w:val="2"/>
          <w:sz w:val="24"/>
          <w:szCs w:val="24"/>
        </w:rPr>
        <w:t>体自净能力时，污染物在缺氧条件下发酵腐败，易产生恶臭物质，从而影响废</w:t>
      </w:r>
      <w:r>
        <w:rPr>
          <w:rFonts w:ascii="宋体" w:hAnsi="宋体" w:eastAsia="宋体" w:cs="宋体"/>
          <w:spacing w:val="1"/>
          <w:sz w:val="24"/>
          <w:szCs w:val="24"/>
        </w:rPr>
        <w:t>水排入</w:t>
      </w:r>
      <w:r>
        <w:rPr>
          <w:rFonts w:ascii="宋体" w:hAnsi="宋体" w:eastAsia="宋体" w:cs="宋体"/>
          <w:sz w:val="24"/>
          <w:szCs w:val="24"/>
        </w:rPr>
        <w:t xml:space="preserve"> </w:t>
      </w:r>
      <w:r>
        <w:rPr>
          <w:rFonts w:ascii="宋体" w:hAnsi="宋体" w:eastAsia="宋体" w:cs="宋体"/>
          <w:spacing w:val="-2"/>
          <w:sz w:val="24"/>
          <w:szCs w:val="24"/>
        </w:rPr>
        <w:t>点及下游渠道和河道水质，造成下游水体污染，此时下游水体中</w:t>
      </w:r>
      <w:r>
        <w:rPr>
          <w:rFonts w:ascii="宋体" w:hAnsi="宋体" w:eastAsia="宋体" w:cs="宋体"/>
          <w:spacing w:val="-53"/>
          <w:sz w:val="24"/>
          <w:szCs w:val="24"/>
        </w:rPr>
        <w:t xml:space="preserve"> </w:t>
      </w:r>
      <w:r>
        <w:rPr>
          <w:rFonts w:ascii="宋体" w:hAnsi="宋体" w:eastAsia="宋体" w:cs="宋体"/>
          <w:spacing w:val="-2"/>
          <w:sz w:val="24"/>
          <w:szCs w:val="24"/>
        </w:rPr>
        <w:t>BOD</w:t>
      </w:r>
      <w:r>
        <w:rPr>
          <w:rFonts w:ascii="宋体" w:hAnsi="宋体" w:eastAsia="宋体" w:cs="宋体"/>
          <w:spacing w:val="-2"/>
          <w:position w:val="-3"/>
          <w:sz w:val="12"/>
          <w:szCs w:val="12"/>
        </w:rPr>
        <w:t>5</w:t>
      </w:r>
      <w:r>
        <w:rPr>
          <w:rFonts w:ascii="宋体" w:hAnsi="宋体" w:eastAsia="宋体" w:cs="宋体"/>
          <w:spacing w:val="-34"/>
          <w:position w:val="-3"/>
          <w:sz w:val="12"/>
          <w:szCs w:val="12"/>
        </w:rPr>
        <w:t xml:space="preserve"> </w:t>
      </w:r>
      <w:r>
        <w:rPr>
          <w:rFonts w:ascii="宋体" w:hAnsi="宋体" w:eastAsia="宋体" w:cs="宋体"/>
          <w:spacing w:val="-2"/>
          <w:sz w:val="24"/>
          <w:szCs w:val="24"/>
        </w:rPr>
        <w:t>、COD、氨氮等含</w:t>
      </w:r>
      <w:r>
        <w:rPr>
          <w:rFonts w:ascii="宋体" w:hAnsi="宋体" w:eastAsia="宋体" w:cs="宋体"/>
          <w:sz w:val="24"/>
          <w:szCs w:val="24"/>
        </w:rPr>
        <w:t xml:space="preserve"> </w:t>
      </w:r>
      <w:r>
        <w:rPr>
          <w:rFonts w:ascii="宋体" w:hAnsi="宋体" w:eastAsia="宋体" w:cs="宋体"/>
          <w:spacing w:val="2"/>
          <w:sz w:val="24"/>
          <w:szCs w:val="24"/>
        </w:rPr>
        <w:t>量将升高。本工程施工人员生活排水就近使用工程沿线所在村庄内的排</w:t>
      </w:r>
      <w:r>
        <w:rPr>
          <w:rFonts w:ascii="宋体" w:hAnsi="宋体" w:eastAsia="宋体" w:cs="宋体"/>
          <w:spacing w:val="1"/>
          <w:sz w:val="24"/>
          <w:szCs w:val="24"/>
        </w:rPr>
        <w:t>水设施，不在</w:t>
      </w:r>
      <w:r>
        <w:rPr>
          <w:rFonts w:ascii="宋体" w:hAnsi="宋体" w:eastAsia="宋体" w:cs="宋体"/>
          <w:sz w:val="24"/>
          <w:szCs w:val="24"/>
        </w:rPr>
        <w:t xml:space="preserve"> </w:t>
      </w:r>
      <w:r>
        <w:rPr>
          <w:rFonts w:ascii="宋体" w:hAnsi="宋体" w:eastAsia="宋体" w:cs="宋体"/>
          <w:spacing w:val="-3"/>
          <w:sz w:val="24"/>
          <w:szCs w:val="24"/>
        </w:rPr>
        <w:t>靠近河道的渠道施工场地进行废水收集排放；临时生产区距离施工渠道也有一定距离，</w:t>
      </w:r>
      <w:r>
        <w:rPr>
          <w:rFonts w:ascii="宋体" w:hAnsi="宋体" w:eastAsia="宋体" w:cs="宋体"/>
          <w:spacing w:val="6"/>
          <w:sz w:val="24"/>
          <w:szCs w:val="24"/>
        </w:rPr>
        <w:t xml:space="preserve"> </w:t>
      </w:r>
      <w:r>
        <w:rPr>
          <w:rFonts w:ascii="宋体" w:hAnsi="宋体" w:eastAsia="宋体" w:cs="宋体"/>
          <w:spacing w:val="2"/>
          <w:sz w:val="24"/>
          <w:szCs w:val="24"/>
        </w:rPr>
        <w:t>设备车辆不在施工区进行清洗工作，其他施工废水经中和、沉淀后回用</w:t>
      </w:r>
      <w:r>
        <w:rPr>
          <w:rFonts w:ascii="宋体" w:hAnsi="宋体" w:eastAsia="宋体" w:cs="宋体"/>
          <w:spacing w:val="1"/>
          <w:sz w:val="24"/>
          <w:szCs w:val="24"/>
        </w:rPr>
        <w:t>，不外排。采</w:t>
      </w:r>
      <w:r>
        <w:rPr>
          <w:rFonts w:ascii="宋体" w:hAnsi="宋体" w:eastAsia="宋体" w:cs="宋体"/>
          <w:spacing w:val="2"/>
          <w:sz w:val="24"/>
          <w:szCs w:val="24"/>
        </w:rPr>
        <w:t>取上述措施后，施工期产生的废水不与施工渠道产生水力联系，对项目</w:t>
      </w:r>
      <w:r>
        <w:rPr>
          <w:rFonts w:ascii="宋体" w:hAnsi="宋体" w:eastAsia="宋体" w:cs="宋体"/>
          <w:spacing w:val="1"/>
          <w:sz w:val="24"/>
          <w:szCs w:val="24"/>
        </w:rPr>
        <w:t>渠道及</w:t>
      </w:r>
      <w:r>
        <w:rPr>
          <w:rFonts w:hint="eastAsia" w:ascii="宋体" w:hAnsi="宋体" w:eastAsia="宋体" w:cs="宋体"/>
          <w:spacing w:val="1"/>
          <w:sz w:val="24"/>
          <w:szCs w:val="24"/>
          <w:lang w:eastAsia="zh-CN"/>
        </w:rPr>
        <w:t>艾丁湖</w:t>
      </w:r>
      <w:r>
        <w:rPr>
          <w:rFonts w:ascii="宋体" w:hAnsi="宋体" w:eastAsia="宋体" w:cs="宋体"/>
          <w:spacing w:val="-2"/>
          <w:sz w:val="24"/>
          <w:szCs w:val="24"/>
        </w:rPr>
        <w:t>水质影响甚微。</w:t>
      </w:r>
    </w:p>
    <w:p w14:paraId="1CB467F7">
      <w:pPr>
        <w:spacing w:before="180" w:line="219" w:lineRule="auto"/>
        <w:ind w:left="56"/>
        <w:outlineLvl w:val="3"/>
        <w:rPr>
          <w:rFonts w:ascii="宋体" w:hAnsi="宋体" w:eastAsia="宋体" w:cs="宋体"/>
          <w:sz w:val="24"/>
          <w:szCs w:val="24"/>
        </w:rPr>
      </w:pPr>
      <w:r>
        <w:rPr>
          <w:b/>
          <w:bCs/>
        </w:rPr>
        <w:fldChar w:fldCharType="begin"/>
      </w:r>
      <w:r>
        <w:rPr>
          <w:b/>
          <w:bCs/>
        </w:rPr>
        <w:instrText xml:space="preserve"> HYPERLINK "5.1.2.2"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地下水环境影响</w:t>
      </w:r>
    </w:p>
    <w:p w14:paraId="17631D12">
      <w:pPr>
        <w:spacing w:before="184" w:line="360" w:lineRule="auto"/>
        <w:ind w:left="53" w:right="150" w:firstLine="492"/>
        <w:jc w:val="both"/>
        <w:rPr>
          <w:rFonts w:ascii="宋体" w:hAnsi="宋体" w:eastAsia="宋体" w:cs="宋体"/>
          <w:sz w:val="24"/>
          <w:szCs w:val="24"/>
        </w:rPr>
      </w:pPr>
      <w:r>
        <w:rPr>
          <w:rFonts w:ascii="宋体" w:hAnsi="宋体" w:eastAsia="宋体" w:cs="宋体"/>
          <w:spacing w:val="2"/>
          <w:sz w:val="24"/>
          <w:szCs w:val="24"/>
        </w:rPr>
        <w:t>临时生产区所在区域地层岩性主要为亚砂土及</w:t>
      </w:r>
      <w:r>
        <w:rPr>
          <w:rFonts w:ascii="宋体" w:hAnsi="宋体" w:eastAsia="宋体" w:cs="宋体"/>
          <w:spacing w:val="1"/>
          <w:sz w:val="24"/>
          <w:szCs w:val="24"/>
        </w:rPr>
        <w:t>含砾砂互层粉，渗透系数较大，主</w:t>
      </w:r>
      <w:r>
        <w:rPr>
          <w:rFonts w:ascii="宋体" w:hAnsi="宋体" w:eastAsia="宋体" w:cs="宋体"/>
          <w:sz w:val="24"/>
          <w:szCs w:val="24"/>
        </w:rPr>
        <w:t xml:space="preserve"> </w:t>
      </w:r>
      <w:r>
        <w:rPr>
          <w:rFonts w:ascii="宋体" w:hAnsi="宋体" w:eastAsia="宋体" w:cs="宋体"/>
          <w:spacing w:val="2"/>
          <w:sz w:val="24"/>
          <w:szCs w:val="24"/>
        </w:rPr>
        <w:t>要含水层为上更新统到全新统的冲湖积层，地层为中砂、粗砂、细砂、粉</w:t>
      </w:r>
      <w:r>
        <w:rPr>
          <w:rFonts w:ascii="宋体" w:hAnsi="宋体" w:eastAsia="宋体" w:cs="宋体"/>
          <w:spacing w:val="1"/>
          <w:sz w:val="24"/>
          <w:szCs w:val="24"/>
        </w:rPr>
        <w:t>土、粉质粘</w:t>
      </w:r>
      <w:r>
        <w:rPr>
          <w:rFonts w:ascii="宋体" w:hAnsi="宋体" w:eastAsia="宋体" w:cs="宋体"/>
          <w:spacing w:val="-1"/>
          <w:sz w:val="24"/>
          <w:szCs w:val="24"/>
        </w:rPr>
        <w:t>土互层，形成了多层结构的潜水-承压水含水层，属弱透水</w:t>
      </w:r>
      <w:r>
        <w:rPr>
          <w:rFonts w:ascii="宋体" w:hAnsi="宋体" w:eastAsia="宋体" w:cs="宋体"/>
          <w:spacing w:val="-2"/>
          <w:sz w:val="24"/>
          <w:szCs w:val="24"/>
        </w:rPr>
        <w:t>层。上述废水如不经收集，</w:t>
      </w:r>
      <w:r>
        <w:rPr>
          <w:rFonts w:ascii="宋体" w:hAnsi="宋体" w:eastAsia="宋体" w:cs="宋体"/>
          <w:sz w:val="24"/>
          <w:szCs w:val="24"/>
        </w:rPr>
        <w:t xml:space="preserve"> </w:t>
      </w:r>
      <w:r>
        <w:rPr>
          <w:rFonts w:ascii="宋体" w:hAnsi="宋体" w:eastAsia="宋体" w:cs="宋体"/>
          <w:spacing w:val="2"/>
          <w:sz w:val="24"/>
          <w:szCs w:val="24"/>
        </w:rPr>
        <w:t>随意排放，废水经排放区域土壤下渗，最终进入地下水体造成地下水水质</w:t>
      </w:r>
      <w:r>
        <w:rPr>
          <w:rFonts w:ascii="宋体" w:hAnsi="宋体" w:eastAsia="宋体" w:cs="宋体"/>
          <w:spacing w:val="1"/>
          <w:sz w:val="24"/>
          <w:szCs w:val="24"/>
        </w:rPr>
        <w:t>降低，局部</w:t>
      </w:r>
      <w:r>
        <w:rPr>
          <w:rFonts w:ascii="宋体" w:hAnsi="宋体" w:eastAsia="宋体" w:cs="宋体"/>
          <w:sz w:val="24"/>
          <w:szCs w:val="24"/>
        </w:rPr>
        <w:t xml:space="preserve"> </w:t>
      </w:r>
      <w:r>
        <w:rPr>
          <w:rFonts w:ascii="宋体" w:hAnsi="宋体" w:eastAsia="宋体" w:cs="宋体"/>
          <w:spacing w:val="2"/>
          <w:sz w:val="24"/>
          <w:szCs w:val="24"/>
        </w:rPr>
        <w:t>水体和土壤均会出现污染情况。本工程施工人员生活污水排放就近使</w:t>
      </w:r>
      <w:r>
        <w:rPr>
          <w:rFonts w:ascii="宋体" w:hAnsi="宋体" w:eastAsia="宋体" w:cs="宋体"/>
          <w:spacing w:val="1"/>
          <w:sz w:val="24"/>
          <w:szCs w:val="24"/>
        </w:rPr>
        <w:t>用工程沿线所在</w:t>
      </w:r>
      <w:r>
        <w:rPr>
          <w:rFonts w:ascii="宋体" w:hAnsi="宋体" w:eastAsia="宋体" w:cs="宋体"/>
          <w:sz w:val="24"/>
          <w:szCs w:val="24"/>
        </w:rPr>
        <w:t xml:space="preserve"> </w:t>
      </w:r>
      <w:r>
        <w:rPr>
          <w:rFonts w:ascii="宋体" w:hAnsi="宋体" w:eastAsia="宋体" w:cs="宋体"/>
          <w:spacing w:val="2"/>
          <w:sz w:val="24"/>
          <w:szCs w:val="24"/>
        </w:rPr>
        <w:t>村庄内的排水设施。另外环评要求防渗沉淀池采用抗渗混凝土进行防渗，防</w:t>
      </w:r>
      <w:r>
        <w:rPr>
          <w:rFonts w:ascii="宋体" w:hAnsi="宋体" w:eastAsia="宋体" w:cs="宋体"/>
          <w:spacing w:val="1"/>
          <w:sz w:val="24"/>
          <w:szCs w:val="24"/>
        </w:rPr>
        <w:t>渗级别不</w:t>
      </w:r>
      <w:r>
        <w:rPr>
          <w:rFonts w:ascii="宋体" w:hAnsi="宋体" w:eastAsia="宋体" w:cs="宋体"/>
          <w:sz w:val="24"/>
          <w:szCs w:val="24"/>
        </w:rPr>
        <w:t xml:space="preserve"> </w:t>
      </w:r>
      <w:r>
        <w:rPr>
          <w:rFonts w:ascii="宋体" w:hAnsi="宋体" w:eastAsia="宋体" w:cs="宋体"/>
          <w:spacing w:val="1"/>
          <w:sz w:val="24"/>
          <w:szCs w:val="24"/>
        </w:rPr>
        <w:t>小于</w:t>
      </w:r>
      <w:r>
        <w:rPr>
          <w:rFonts w:ascii="宋体" w:hAnsi="宋体" w:eastAsia="宋体" w:cs="宋体"/>
          <w:spacing w:val="-54"/>
          <w:sz w:val="24"/>
          <w:szCs w:val="24"/>
        </w:rPr>
        <w:t xml:space="preserve"> </w:t>
      </w:r>
      <w:r>
        <w:rPr>
          <w:rFonts w:ascii="宋体" w:hAnsi="宋体" w:eastAsia="宋体" w:cs="宋体"/>
          <w:spacing w:val="1"/>
          <w:sz w:val="24"/>
          <w:szCs w:val="24"/>
        </w:rPr>
        <w:t>P6，池底和池壁防渗处理后防渗系数大于</w:t>
      </w:r>
      <w:r>
        <w:rPr>
          <w:rFonts w:ascii="宋体" w:hAnsi="宋体" w:eastAsia="宋体" w:cs="宋体"/>
          <w:spacing w:val="-31"/>
          <w:sz w:val="24"/>
          <w:szCs w:val="24"/>
        </w:rPr>
        <w:t xml:space="preserve"> </w:t>
      </w:r>
      <w:r>
        <w:rPr>
          <w:rFonts w:ascii="宋体" w:hAnsi="宋体" w:eastAsia="宋体" w:cs="宋体"/>
          <w:spacing w:val="1"/>
          <w:sz w:val="24"/>
          <w:szCs w:val="24"/>
        </w:rPr>
        <w:t>10</w:t>
      </w:r>
      <w:r>
        <w:rPr>
          <w:rFonts w:ascii="宋体" w:hAnsi="宋体" w:eastAsia="宋体" w:cs="宋体"/>
          <w:spacing w:val="1"/>
          <w:position w:val="11"/>
          <w:sz w:val="12"/>
          <w:szCs w:val="12"/>
        </w:rPr>
        <w:t>-7</w:t>
      </w:r>
      <w:r>
        <w:rPr>
          <w:rFonts w:ascii="宋体" w:hAnsi="宋体" w:eastAsia="宋体" w:cs="宋体"/>
          <w:sz w:val="24"/>
          <w:szCs w:val="24"/>
        </w:rPr>
        <w:t>cm</w:t>
      </w:r>
      <w:r>
        <w:rPr>
          <w:rFonts w:ascii="宋体" w:hAnsi="宋体" w:eastAsia="宋体" w:cs="宋体"/>
          <w:spacing w:val="1"/>
          <w:sz w:val="24"/>
          <w:szCs w:val="24"/>
        </w:rPr>
        <w:t>/s。在采取上</w:t>
      </w:r>
      <w:r>
        <w:rPr>
          <w:rFonts w:ascii="宋体" w:hAnsi="宋体" w:eastAsia="宋体" w:cs="宋体"/>
          <w:sz w:val="24"/>
          <w:szCs w:val="24"/>
        </w:rPr>
        <w:t>述措施后，施工期</w:t>
      </w:r>
      <w:r>
        <w:rPr>
          <w:rFonts w:ascii="宋体" w:hAnsi="宋体" w:eastAsia="宋体" w:cs="宋体"/>
          <w:spacing w:val="-1"/>
          <w:sz w:val="24"/>
          <w:szCs w:val="24"/>
        </w:rPr>
        <w:t>产生的废污水不会通过入渗土壤的方式对地下水环境产生影响。</w:t>
      </w:r>
    </w:p>
    <w:p w14:paraId="2FE53D2D">
      <w:pPr>
        <w:spacing w:before="91" w:line="221" w:lineRule="auto"/>
        <w:ind w:left="59"/>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5.1.3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声</w:t>
      </w:r>
      <w:r>
        <w:rPr>
          <w:rFonts w:ascii="宋体" w:hAnsi="宋体" w:eastAsia="宋体" w:cs="宋体"/>
          <w:b/>
          <w:bCs/>
          <w:spacing w:val="-2"/>
          <w:sz w:val="28"/>
          <w:szCs w:val="28"/>
          <w14:textOutline w14:w="5103" w14:cap="sq" w14:cmpd="sng">
            <w14:solidFill>
              <w14:srgbClr w14:val="000000"/>
            </w14:solidFill>
            <w14:prstDash w14:val="solid"/>
            <w14:bevel/>
          </w14:textOutline>
        </w:rPr>
        <w:t>环境影响分析</w:t>
      </w:r>
    </w:p>
    <w:p w14:paraId="66C74B1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噪声源</w:t>
      </w:r>
    </w:p>
    <w:p w14:paraId="63713D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本工程施工阶段的主要噪声源主要是推土机、挖掘机、 自卸汽车、振动碾、柴油发电机等各类施工机械的辐射噪声和运载物料车辆的交通噪声，其噪声值在72~98dB(A)之间。施工机械都具有高噪声、无规则等特点。</w:t>
      </w:r>
    </w:p>
    <w:p w14:paraId="7AA281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施工场界噪声限值标准</w:t>
      </w:r>
    </w:p>
    <w:p w14:paraId="3741F4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施工机械作业时施工场地边界线处的噪声限值标准采用《建筑施工场界环境噪声排放标准》 (GB12523-2011)，具体标准值，见表 5-1-1。</w:t>
      </w:r>
    </w:p>
    <w:p w14:paraId="5EC64E18">
      <w:pPr>
        <w:spacing w:before="183" w:line="212" w:lineRule="auto"/>
        <w:jc w:val="center"/>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4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5-1-1</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《建筑施工场界环境噪声排放标准》</w:t>
      </w:r>
      <w:r>
        <w:rPr>
          <w:rFonts w:ascii="宋体" w:hAnsi="宋体" w:eastAsia="宋体" w:cs="宋体"/>
          <w:spacing w:val="-6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(GB12</w:t>
      </w:r>
      <w:r>
        <w:rPr>
          <w:rFonts w:ascii="宋体" w:hAnsi="宋体" w:eastAsia="宋体" w:cs="宋体"/>
          <w:spacing w:val="-2"/>
          <w:sz w:val="24"/>
          <w:szCs w:val="24"/>
          <w14:textOutline w14:w="4358" w14:cap="sq" w14:cmpd="sng">
            <w14:solidFill>
              <w14:srgbClr w14:val="000000"/>
            </w14:solidFill>
            <w14:prstDash w14:val="solid"/>
            <w14:bevel/>
          </w14:textOutline>
        </w:rPr>
        <w:t>523-2011)</w:t>
      </w:r>
    </w:p>
    <w:tbl>
      <w:tblPr>
        <w:tblStyle w:val="1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490"/>
        <w:gridCol w:w="3581"/>
      </w:tblGrid>
      <w:tr w14:paraId="41206FC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3" w:hRule="atLeast"/>
        </w:trPr>
        <w:tc>
          <w:tcPr>
            <w:tcW w:w="5000" w:type="pct"/>
            <w:gridSpan w:val="2"/>
            <w:tcBorders>
              <w:tl2br w:val="nil"/>
              <w:tr2bl w:val="nil"/>
            </w:tcBorders>
            <w:vAlign w:val="top"/>
          </w:tcPr>
          <w:p w14:paraId="17FD25B8">
            <w:pPr>
              <w:pStyle w:val="15"/>
              <w:spacing w:before="69" w:line="228" w:lineRule="auto"/>
              <w:ind w:left="3834"/>
            </w:pPr>
            <w:r>
              <w:rPr>
                <w:spacing w:val="6"/>
              </w:rPr>
              <w:t>噪声限值/</w:t>
            </w:r>
            <w:r>
              <w:t>dB</w:t>
            </w:r>
            <w:r>
              <w:rPr>
                <w:spacing w:val="6"/>
              </w:rPr>
              <w:t>(A)</w:t>
            </w:r>
          </w:p>
        </w:tc>
      </w:tr>
      <w:tr w14:paraId="35D1A60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9" w:hRule="atLeast"/>
        </w:trPr>
        <w:tc>
          <w:tcPr>
            <w:tcW w:w="3026" w:type="pct"/>
            <w:tcBorders>
              <w:tl2br w:val="nil"/>
              <w:tr2bl w:val="nil"/>
            </w:tcBorders>
            <w:vAlign w:val="top"/>
          </w:tcPr>
          <w:p w14:paraId="3B14C5B4">
            <w:pPr>
              <w:pStyle w:val="15"/>
              <w:spacing w:before="64" w:line="231" w:lineRule="auto"/>
              <w:ind w:left="2549"/>
            </w:pPr>
            <w:r>
              <w:rPr>
                <w:spacing w:val="5"/>
              </w:rPr>
              <w:t>昼间</w:t>
            </w:r>
          </w:p>
        </w:tc>
        <w:tc>
          <w:tcPr>
            <w:tcW w:w="1973" w:type="pct"/>
            <w:tcBorders>
              <w:tl2br w:val="nil"/>
              <w:tr2bl w:val="nil"/>
            </w:tcBorders>
            <w:vAlign w:val="top"/>
          </w:tcPr>
          <w:p w14:paraId="2E975481">
            <w:pPr>
              <w:pStyle w:val="15"/>
              <w:spacing w:before="64" w:line="228" w:lineRule="auto"/>
              <w:ind w:left="1597"/>
            </w:pPr>
            <w:r>
              <w:rPr>
                <w:spacing w:val="3"/>
              </w:rPr>
              <w:t>夜间</w:t>
            </w:r>
          </w:p>
        </w:tc>
      </w:tr>
      <w:tr w14:paraId="30DF05F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9" w:hRule="atLeast"/>
        </w:trPr>
        <w:tc>
          <w:tcPr>
            <w:tcW w:w="3026" w:type="pct"/>
            <w:tcBorders>
              <w:tl2br w:val="nil"/>
              <w:tr2bl w:val="nil"/>
            </w:tcBorders>
            <w:vAlign w:val="top"/>
          </w:tcPr>
          <w:p w14:paraId="6C95C9E9">
            <w:pPr>
              <w:pStyle w:val="15"/>
              <w:spacing w:before="104" w:line="189" w:lineRule="auto"/>
              <w:ind w:left="2661"/>
            </w:pPr>
            <w:r>
              <w:rPr>
                <w:spacing w:val="-2"/>
              </w:rPr>
              <w:t>70</w:t>
            </w:r>
          </w:p>
        </w:tc>
        <w:tc>
          <w:tcPr>
            <w:tcW w:w="1973" w:type="pct"/>
            <w:tcBorders>
              <w:tl2br w:val="nil"/>
              <w:tr2bl w:val="nil"/>
            </w:tcBorders>
            <w:vAlign w:val="top"/>
          </w:tcPr>
          <w:p w14:paraId="76E2B5DE">
            <w:pPr>
              <w:pStyle w:val="15"/>
              <w:spacing w:before="106" w:line="187" w:lineRule="auto"/>
              <w:ind w:left="1704"/>
            </w:pPr>
            <w:r>
              <w:rPr>
                <w:spacing w:val="-2"/>
              </w:rPr>
              <w:t>55</w:t>
            </w:r>
          </w:p>
        </w:tc>
      </w:tr>
      <w:tr w14:paraId="5EED3B0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2" w:hRule="atLeast"/>
        </w:trPr>
        <w:tc>
          <w:tcPr>
            <w:tcW w:w="5000" w:type="pct"/>
            <w:gridSpan w:val="2"/>
            <w:tcBorders>
              <w:tl2br w:val="nil"/>
              <w:tr2bl w:val="nil"/>
            </w:tcBorders>
            <w:vAlign w:val="top"/>
          </w:tcPr>
          <w:p w14:paraId="3759CE58">
            <w:pPr>
              <w:pStyle w:val="15"/>
              <w:spacing w:before="83" w:line="226" w:lineRule="auto"/>
              <w:ind w:left="25"/>
            </w:pPr>
            <w:r>
              <w:rPr>
                <w:spacing w:val="8"/>
              </w:rPr>
              <w:t>注：夜间噪声最大声级超过限值的最大幅度不得高于</w:t>
            </w:r>
            <w:r>
              <w:rPr>
                <w:spacing w:val="-16"/>
              </w:rPr>
              <w:t xml:space="preserve"> </w:t>
            </w:r>
            <w:r>
              <w:rPr>
                <w:spacing w:val="8"/>
              </w:rPr>
              <w:t>15</w:t>
            </w:r>
            <w:r>
              <w:t>dB</w:t>
            </w:r>
            <w:r>
              <w:rPr>
                <w:spacing w:val="8"/>
              </w:rPr>
              <w:t>(A)</w:t>
            </w:r>
          </w:p>
        </w:tc>
      </w:tr>
    </w:tbl>
    <w:p w14:paraId="2036E2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ascii="宋体" w:hAnsi="宋体" w:eastAsia="宋体" w:cs="宋体"/>
          <w:spacing w:val="-1"/>
          <w:sz w:val="24"/>
          <w:szCs w:val="24"/>
        </w:rPr>
        <w:t>预测方法及模式</w:t>
      </w:r>
    </w:p>
    <w:p w14:paraId="3B8364E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施工噪声对环境的影响，按点声源衰减模式进行预测，模式为：</w:t>
      </w:r>
    </w:p>
    <w:p w14:paraId="4107E82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LA (r) = LWA (r0 ) - 20lg</w:t>
      </w:r>
      <w:r>
        <w:rPr>
          <w:rFonts w:ascii="宋体" w:hAnsi="宋体" w:eastAsia="宋体" w:cs="宋体"/>
          <w:spacing w:val="-1"/>
          <w:sz w:val="24"/>
          <w:szCs w:val="24"/>
        </w:rPr>
        <w:drawing>
          <wp:inline distT="0" distB="0" distL="0" distR="0">
            <wp:extent cx="280035" cy="4527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0"/>
                    <a:stretch>
                      <a:fillRect/>
                    </a:stretch>
                  </pic:blipFill>
                  <pic:spPr>
                    <a:xfrm>
                      <a:off x="0" y="0"/>
                      <a:ext cx="280584" cy="453040"/>
                    </a:xfrm>
                    <a:prstGeom prst="rect">
                      <a:avLst/>
                    </a:prstGeom>
                  </pic:spPr>
                </pic:pic>
              </a:graphicData>
            </a:graphic>
          </wp:inline>
        </w:drawing>
      </w:r>
      <w:r>
        <w:rPr>
          <w:rFonts w:ascii="宋体" w:hAnsi="宋体" w:eastAsia="宋体" w:cs="宋体"/>
          <w:spacing w:val="-1"/>
          <w:sz w:val="24"/>
          <w:szCs w:val="24"/>
        </w:rPr>
        <w:t xml:space="preserve"> (式 1)</w:t>
      </w:r>
    </w:p>
    <w:p w14:paraId="24BC8DA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式中：LA (r) ——距噪声源 r 处的预测点的声压级 dB(A)；</w:t>
      </w:r>
    </w:p>
    <w:p w14:paraId="5AD02F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LWA (r0 ) ——参考位置 ro 处的声压级 dB(A)；</w:t>
      </w:r>
    </w:p>
    <w:p w14:paraId="5E5FFF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r——预测点距离离声源的距离；</w:t>
      </w:r>
    </w:p>
    <w:p w14:paraId="78F05B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ro——参考位置与声源之间的距离；</w:t>
      </w:r>
    </w:p>
    <w:p w14:paraId="1DEED16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根据施工机械 A 声级范围，对渠道两侧声环境进行预测。</w:t>
      </w:r>
    </w:p>
    <w:p w14:paraId="325459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(4)预测结果</w:t>
      </w:r>
    </w:p>
    <w:p w14:paraId="2C4677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各种施工机械声源场主要在地面产生，可近似作为点声源处理，根据点声源传播 衰减模式，可推算施工期间离噪声声源不同距离处的噪声值，从而可就施工机械噪声对敏感点的影响作出评价。</w:t>
      </w:r>
    </w:p>
    <w:p w14:paraId="59635A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根据各种施工机械噪声值，施工时不同类型机械在不同距离处的噪声预测值见表5-1-2。</w:t>
      </w:r>
    </w:p>
    <w:p w14:paraId="4CD3BACB">
      <w:pPr>
        <w:spacing w:before="193" w:line="211" w:lineRule="auto"/>
        <w:ind w:left="1040"/>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4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5-1-2</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施工机械噪声预测及达标情况</w:t>
      </w:r>
      <w:r>
        <w:rPr>
          <w:rFonts w:ascii="宋体" w:hAnsi="宋体" w:eastAsia="宋体" w:cs="宋体"/>
          <w:spacing w:val="-1"/>
          <w:sz w:val="24"/>
          <w:szCs w:val="24"/>
          <w14:textOutline w14:w="4358" w14:cap="sq" w14:cmpd="sng">
            <w14:solidFill>
              <w14:srgbClr w14:val="000000"/>
            </w14:solidFill>
            <w14:prstDash w14:val="solid"/>
            <w14:bevel/>
          </w14:textOutline>
        </w:rPr>
        <w:t>（单位：噪声</w:t>
      </w:r>
      <w:r>
        <w:rPr>
          <w:rFonts w:ascii="宋体" w:hAnsi="宋体" w:eastAsia="宋体" w:cs="宋体"/>
          <w:spacing w:val="-4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dB(A)距离</w:t>
      </w:r>
      <w:r>
        <w:rPr>
          <w:rFonts w:ascii="宋体" w:hAnsi="宋体" w:eastAsia="宋体" w:cs="宋体"/>
          <w:spacing w:val="-5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m）</w:t>
      </w: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79"/>
        <w:gridCol w:w="880"/>
        <w:gridCol w:w="1030"/>
        <w:gridCol w:w="880"/>
        <w:gridCol w:w="930"/>
        <w:gridCol w:w="949"/>
        <w:gridCol w:w="887"/>
        <w:gridCol w:w="1036"/>
        <w:gridCol w:w="996"/>
      </w:tblGrid>
      <w:tr w14:paraId="74AFD6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16" w:type="pct"/>
            <w:vMerge w:val="restart"/>
            <w:tcBorders>
              <w:tl2br w:val="nil"/>
              <w:tr2bl w:val="nil"/>
            </w:tcBorders>
            <w:vAlign w:val="top"/>
          </w:tcPr>
          <w:p w14:paraId="4C4C3F95">
            <w:pPr>
              <w:pStyle w:val="15"/>
              <w:spacing w:before="228" w:line="229" w:lineRule="auto"/>
              <w:ind w:left="282"/>
            </w:pPr>
            <w:r>
              <w:rPr>
                <w:spacing w:val="7"/>
                <w14:textOutline w14:w="3795" w14:cap="sq" w14:cmpd="sng">
                  <w14:solidFill>
                    <w14:srgbClr w14:val="000000"/>
                  </w14:solidFill>
                  <w14:prstDash w14:val="solid"/>
                  <w14:bevel/>
                </w14:textOutline>
              </w:rPr>
              <w:t>设备名称</w:t>
            </w:r>
          </w:p>
        </w:tc>
        <w:tc>
          <w:tcPr>
            <w:tcW w:w="1053" w:type="pct"/>
            <w:gridSpan w:val="2"/>
            <w:tcBorders>
              <w:tl2br w:val="nil"/>
              <w:tr2bl w:val="nil"/>
            </w:tcBorders>
            <w:vAlign w:val="top"/>
          </w:tcPr>
          <w:p w14:paraId="6E52FFF4">
            <w:pPr>
              <w:pStyle w:val="15"/>
              <w:spacing w:before="56" w:line="228" w:lineRule="auto"/>
              <w:ind w:left="706"/>
            </w:pPr>
            <w:r>
              <w:rPr>
                <w:spacing w:val="3"/>
                <w14:textOutline w14:w="3795" w14:cap="sq" w14:cmpd="sng">
                  <w14:solidFill>
                    <w14:srgbClr w14:val="000000"/>
                  </w14:solidFill>
                  <w14:prstDash w14:val="solid"/>
                  <w14:bevel/>
                </w14:textOutline>
              </w:rPr>
              <w:t>声源</w:t>
            </w:r>
          </w:p>
        </w:tc>
        <w:tc>
          <w:tcPr>
            <w:tcW w:w="3130" w:type="pct"/>
            <w:gridSpan w:val="6"/>
            <w:tcBorders>
              <w:tl2br w:val="nil"/>
              <w:tr2bl w:val="nil"/>
            </w:tcBorders>
            <w:vAlign w:val="top"/>
          </w:tcPr>
          <w:p w14:paraId="19F3B712">
            <w:pPr>
              <w:pStyle w:val="15"/>
              <w:spacing w:before="55" w:line="228" w:lineRule="auto"/>
              <w:ind w:left="1980"/>
            </w:pPr>
            <w:r>
              <w:rPr>
                <w:spacing w:val="8"/>
                <w14:textOutline w14:w="3795" w14:cap="sq" w14:cmpd="sng">
                  <w14:solidFill>
                    <w14:srgbClr w14:val="000000"/>
                  </w14:solidFill>
                  <w14:prstDash w14:val="solid"/>
                  <w14:bevel/>
                </w14:textOutline>
              </w:rPr>
              <w:t>不同距离噪声值</w:t>
            </w:r>
          </w:p>
        </w:tc>
      </w:tr>
      <w:tr w14:paraId="7547A8C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816" w:type="pct"/>
            <w:vMerge w:val="continue"/>
            <w:tcBorders>
              <w:tl2br w:val="nil"/>
              <w:tr2bl w:val="nil"/>
            </w:tcBorders>
            <w:vAlign w:val="top"/>
          </w:tcPr>
          <w:p w14:paraId="73735D57">
            <w:pPr>
              <w:rPr>
                <w:rFonts w:ascii="Arial"/>
                <w:sz w:val="21"/>
              </w:rPr>
            </w:pPr>
          </w:p>
        </w:tc>
        <w:tc>
          <w:tcPr>
            <w:tcW w:w="485" w:type="pct"/>
            <w:tcBorders>
              <w:tl2br w:val="nil"/>
              <w:tr2bl w:val="nil"/>
            </w:tcBorders>
            <w:vAlign w:val="top"/>
          </w:tcPr>
          <w:p w14:paraId="0DB2C5C0">
            <w:pPr>
              <w:pStyle w:val="15"/>
              <w:spacing w:before="78" w:line="226" w:lineRule="auto"/>
              <w:ind w:left="206"/>
            </w:pPr>
            <w:r>
              <w:rPr>
                <w:spacing w:val="6"/>
                <w14:textOutline w14:w="3795" w14:cap="sq" w14:cmpd="sng">
                  <w14:solidFill>
                    <w14:srgbClr w14:val="000000"/>
                  </w14:solidFill>
                  <w14:prstDash w14:val="solid"/>
                  <w14:bevel/>
                </w14:textOutline>
              </w:rPr>
              <w:t>距离</w:t>
            </w:r>
          </w:p>
        </w:tc>
        <w:tc>
          <w:tcPr>
            <w:tcW w:w="567" w:type="pct"/>
            <w:tcBorders>
              <w:tl2br w:val="nil"/>
              <w:tr2bl w:val="nil"/>
            </w:tcBorders>
            <w:vAlign w:val="top"/>
          </w:tcPr>
          <w:p w14:paraId="48D0C690">
            <w:pPr>
              <w:pStyle w:val="15"/>
              <w:spacing w:before="78" w:line="226" w:lineRule="auto"/>
              <w:ind w:left="185"/>
            </w:pPr>
            <w:r>
              <w:rPr>
                <w:spacing w:val="4"/>
                <w14:textOutline w14:w="3795" w14:cap="sq" w14:cmpd="sng">
                  <w14:solidFill>
                    <w14:srgbClr w14:val="000000"/>
                  </w14:solidFill>
                  <w14:prstDash w14:val="solid"/>
                  <w14:bevel/>
                </w14:textOutline>
              </w:rPr>
              <w:t>噪声值</w:t>
            </w:r>
          </w:p>
        </w:tc>
        <w:tc>
          <w:tcPr>
            <w:tcW w:w="485" w:type="pct"/>
            <w:tcBorders>
              <w:tl2br w:val="nil"/>
              <w:tr2bl w:val="nil"/>
            </w:tcBorders>
            <w:vAlign w:val="top"/>
          </w:tcPr>
          <w:p w14:paraId="28DC4EEB">
            <w:pPr>
              <w:pStyle w:val="15"/>
              <w:spacing w:before="112" w:line="187" w:lineRule="auto"/>
              <w:ind w:left="373"/>
            </w:pPr>
            <w:r>
              <w:rPr>
                <w14:textOutline w14:w="3795" w14:cap="sq" w14:cmpd="sng">
                  <w14:solidFill>
                    <w14:srgbClr w14:val="000000"/>
                  </w14:solidFill>
                  <w14:prstDash w14:val="solid"/>
                  <w14:bevel/>
                </w14:textOutline>
              </w:rPr>
              <w:t>5</w:t>
            </w:r>
          </w:p>
        </w:tc>
        <w:tc>
          <w:tcPr>
            <w:tcW w:w="513" w:type="pct"/>
            <w:tcBorders>
              <w:tl2br w:val="nil"/>
              <w:tr2bl w:val="nil"/>
            </w:tcBorders>
            <w:vAlign w:val="top"/>
          </w:tcPr>
          <w:p w14:paraId="48436AA6">
            <w:pPr>
              <w:pStyle w:val="15"/>
              <w:spacing w:before="110" w:line="189" w:lineRule="auto"/>
              <w:ind w:left="348"/>
            </w:pPr>
            <w:r>
              <w:rPr>
                <w14:textOutline w14:w="3795" w14:cap="sq" w14:cmpd="sng">
                  <w14:solidFill>
                    <w14:srgbClr w14:val="000000"/>
                  </w14:solidFill>
                  <w14:prstDash w14:val="solid"/>
                  <w14:bevel/>
                </w14:textOutline>
              </w:rPr>
              <w:t>20</w:t>
            </w:r>
          </w:p>
        </w:tc>
        <w:tc>
          <w:tcPr>
            <w:tcW w:w="523" w:type="pct"/>
            <w:tcBorders>
              <w:tl2br w:val="nil"/>
              <w:tr2bl w:val="nil"/>
            </w:tcBorders>
            <w:vAlign w:val="top"/>
          </w:tcPr>
          <w:p w14:paraId="01F23F6B">
            <w:pPr>
              <w:pStyle w:val="15"/>
              <w:spacing w:before="110" w:line="189" w:lineRule="auto"/>
              <w:ind w:left="360"/>
            </w:pPr>
            <w:r>
              <w:rPr>
                <w14:textOutline w14:w="3795" w14:cap="sq" w14:cmpd="sng">
                  <w14:solidFill>
                    <w14:srgbClr w14:val="000000"/>
                  </w14:solidFill>
                  <w14:prstDash w14:val="solid"/>
                  <w14:bevel/>
                </w14:textOutline>
              </w:rPr>
              <w:t>50</w:t>
            </w:r>
          </w:p>
        </w:tc>
        <w:tc>
          <w:tcPr>
            <w:tcW w:w="489" w:type="pct"/>
            <w:tcBorders>
              <w:tl2br w:val="nil"/>
              <w:tr2bl w:val="nil"/>
            </w:tcBorders>
            <w:vAlign w:val="top"/>
          </w:tcPr>
          <w:p w14:paraId="44F9D9D4">
            <w:pPr>
              <w:pStyle w:val="15"/>
              <w:spacing w:before="110" w:line="189" w:lineRule="auto"/>
              <w:ind w:left="332"/>
            </w:pPr>
            <w:r>
              <w:rPr>
                <w14:textOutline w14:w="3795" w14:cap="sq" w14:cmpd="sng">
                  <w14:solidFill>
                    <w14:srgbClr w14:val="000000"/>
                  </w14:solidFill>
                  <w14:prstDash w14:val="solid"/>
                  <w14:bevel/>
                </w14:textOutline>
              </w:rPr>
              <w:t>80</w:t>
            </w:r>
          </w:p>
        </w:tc>
        <w:tc>
          <w:tcPr>
            <w:tcW w:w="571" w:type="pct"/>
            <w:tcBorders>
              <w:tl2br w:val="nil"/>
              <w:tr2bl w:val="nil"/>
            </w:tcBorders>
            <w:vAlign w:val="top"/>
          </w:tcPr>
          <w:p w14:paraId="4FAC2D1B">
            <w:pPr>
              <w:pStyle w:val="15"/>
              <w:spacing w:before="109" w:line="190" w:lineRule="auto"/>
              <w:ind w:left="368"/>
            </w:pPr>
            <w:r>
              <w:rPr>
                <w:spacing w:val="-3"/>
                <w14:textOutline w14:w="3795" w14:cap="sq" w14:cmpd="sng">
                  <w14:solidFill>
                    <w14:srgbClr w14:val="000000"/>
                  </w14:solidFill>
                  <w14:prstDash w14:val="solid"/>
                  <w14:bevel/>
                </w14:textOutline>
              </w:rPr>
              <w:t>160</w:t>
            </w:r>
          </w:p>
        </w:tc>
        <w:tc>
          <w:tcPr>
            <w:tcW w:w="547" w:type="pct"/>
            <w:tcBorders>
              <w:tl2br w:val="nil"/>
              <w:tr2bl w:val="nil"/>
            </w:tcBorders>
            <w:vAlign w:val="top"/>
          </w:tcPr>
          <w:p w14:paraId="4001974D">
            <w:pPr>
              <w:pStyle w:val="15"/>
              <w:spacing w:before="110" w:line="189" w:lineRule="auto"/>
              <w:ind w:left="329"/>
            </w:pPr>
            <w:r>
              <w:rPr>
                <w:spacing w:val="1"/>
                <w14:textOutline w14:w="3795" w14:cap="sq" w14:cmpd="sng">
                  <w14:solidFill>
                    <w14:srgbClr w14:val="000000"/>
                  </w14:solidFill>
                  <w14:prstDash w14:val="solid"/>
                  <w14:bevel/>
                </w14:textOutline>
              </w:rPr>
              <w:t>320</w:t>
            </w:r>
          </w:p>
        </w:tc>
      </w:tr>
      <w:tr w14:paraId="095702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16" w:type="pct"/>
            <w:tcBorders>
              <w:tl2br w:val="nil"/>
              <w:tr2bl w:val="nil"/>
            </w:tcBorders>
            <w:vAlign w:val="top"/>
          </w:tcPr>
          <w:p w14:paraId="66125DA3">
            <w:pPr>
              <w:pStyle w:val="15"/>
              <w:spacing w:before="54" w:line="226" w:lineRule="auto"/>
              <w:ind w:left="384"/>
            </w:pPr>
            <w:r>
              <w:rPr>
                <w:spacing w:val="6"/>
              </w:rPr>
              <w:t>推土机</w:t>
            </w:r>
          </w:p>
        </w:tc>
        <w:tc>
          <w:tcPr>
            <w:tcW w:w="485" w:type="pct"/>
            <w:tcBorders>
              <w:tl2br w:val="nil"/>
              <w:tr2bl w:val="nil"/>
            </w:tcBorders>
            <w:vAlign w:val="top"/>
          </w:tcPr>
          <w:p w14:paraId="0C41E0E7">
            <w:pPr>
              <w:pStyle w:val="15"/>
              <w:spacing w:before="89" w:line="189" w:lineRule="auto"/>
              <w:ind w:left="381"/>
            </w:pPr>
            <w:r>
              <w:t>1</w:t>
            </w:r>
          </w:p>
        </w:tc>
        <w:tc>
          <w:tcPr>
            <w:tcW w:w="567" w:type="pct"/>
            <w:tcBorders>
              <w:tl2br w:val="nil"/>
              <w:tr2bl w:val="nil"/>
            </w:tcBorders>
            <w:vAlign w:val="top"/>
          </w:tcPr>
          <w:p w14:paraId="7CCB3341">
            <w:pPr>
              <w:pStyle w:val="15"/>
              <w:spacing w:before="89" w:line="189" w:lineRule="auto"/>
              <w:ind w:left="387"/>
            </w:pPr>
            <w:r>
              <w:t>85</w:t>
            </w:r>
          </w:p>
        </w:tc>
        <w:tc>
          <w:tcPr>
            <w:tcW w:w="485" w:type="pct"/>
            <w:tcBorders>
              <w:tl2br w:val="nil"/>
              <w:tr2bl w:val="nil"/>
            </w:tcBorders>
            <w:vAlign w:val="top"/>
          </w:tcPr>
          <w:p w14:paraId="0AC3EAE4">
            <w:pPr>
              <w:pStyle w:val="15"/>
              <w:spacing w:before="88" w:line="190" w:lineRule="auto"/>
              <w:ind w:left="324"/>
            </w:pPr>
            <w:r>
              <w:rPr>
                <w:spacing w:val="-2"/>
              </w:rPr>
              <w:t>71</w:t>
            </w:r>
          </w:p>
        </w:tc>
        <w:tc>
          <w:tcPr>
            <w:tcW w:w="513" w:type="pct"/>
            <w:tcBorders>
              <w:tl2br w:val="nil"/>
              <w:tr2bl w:val="nil"/>
            </w:tcBorders>
            <w:vAlign w:val="top"/>
          </w:tcPr>
          <w:p w14:paraId="173F4A1C">
            <w:pPr>
              <w:pStyle w:val="15"/>
              <w:spacing w:before="89" w:line="189" w:lineRule="auto"/>
              <w:ind w:left="349"/>
            </w:pPr>
            <w:r>
              <w:rPr>
                <w:spacing w:val="-2"/>
              </w:rPr>
              <w:t>59</w:t>
            </w:r>
          </w:p>
        </w:tc>
        <w:tc>
          <w:tcPr>
            <w:tcW w:w="523" w:type="pct"/>
            <w:tcBorders>
              <w:tl2br w:val="nil"/>
              <w:tr2bl w:val="nil"/>
            </w:tcBorders>
            <w:vAlign w:val="top"/>
          </w:tcPr>
          <w:p w14:paraId="56B323E9">
            <w:pPr>
              <w:pStyle w:val="15"/>
              <w:spacing w:before="88" w:line="190" w:lineRule="auto"/>
              <w:ind w:left="360"/>
            </w:pPr>
            <w:r>
              <w:rPr>
                <w:spacing w:val="-2"/>
              </w:rPr>
              <w:t>51</w:t>
            </w:r>
          </w:p>
        </w:tc>
        <w:tc>
          <w:tcPr>
            <w:tcW w:w="489" w:type="pct"/>
            <w:tcBorders>
              <w:tl2br w:val="nil"/>
              <w:tr2bl w:val="nil"/>
            </w:tcBorders>
            <w:vAlign w:val="top"/>
          </w:tcPr>
          <w:p w14:paraId="15EE7A8E">
            <w:pPr>
              <w:pStyle w:val="15"/>
              <w:spacing w:before="89" w:line="189" w:lineRule="auto"/>
              <w:ind w:left="330"/>
            </w:pPr>
            <w:r>
              <w:rPr>
                <w:spacing w:val="1"/>
              </w:rPr>
              <w:t>47</w:t>
            </w:r>
          </w:p>
        </w:tc>
        <w:tc>
          <w:tcPr>
            <w:tcW w:w="571" w:type="pct"/>
            <w:tcBorders>
              <w:tl2br w:val="nil"/>
              <w:tr2bl w:val="nil"/>
            </w:tcBorders>
            <w:vAlign w:val="top"/>
          </w:tcPr>
          <w:p w14:paraId="12AC8ABD">
            <w:pPr>
              <w:pStyle w:val="15"/>
              <w:spacing w:before="89" w:line="189" w:lineRule="auto"/>
              <w:ind w:left="402"/>
            </w:pPr>
            <w:r>
              <w:rPr>
                <w:spacing w:val="1"/>
              </w:rPr>
              <w:t>41</w:t>
            </w:r>
          </w:p>
        </w:tc>
        <w:tc>
          <w:tcPr>
            <w:tcW w:w="547" w:type="pct"/>
            <w:tcBorders>
              <w:tl2br w:val="nil"/>
              <w:tr2bl w:val="nil"/>
            </w:tcBorders>
            <w:vAlign w:val="top"/>
          </w:tcPr>
          <w:p w14:paraId="5CC514DE">
            <w:pPr>
              <w:pStyle w:val="15"/>
              <w:spacing w:before="89" w:line="189" w:lineRule="auto"/>
              <w:ind w:left="382"/>
            </w:pPr>
            <w:r>
              <w:rPr>
                <w:spacing w:val="-2"/>
              </w:rPr>
              <w:t>35</w:t>
            </w:r>
          </w:p>
        </w:tc>
      </w:tr>
      <w:tr w14:paraId="4B119A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16" w:type="pct"/>
            <w:tcBorders>
              <w:tl2br w:val="nil"/>
              <w:tr2bl w:val="nil"/>
            </w:tcBorders>
            <w:vAlign w:val="top"/>
          </w:tcPr>
          <w:p w14:paraId="60819AEC">
            <w:pPr>
              <w:pStyle w:val="15"/>
              <w:spacing w:before="59" w:line="221" w:lineRule="auto"/>
              <w:ind w:left="383"/>
            </w:pPr>
            <w:r>
              <w:rPr>
                <w:spacing w:val="7"/>
              </w:rPr>
              <w:t>挖掘机</w:t>
            </w:r>
          </w:p>
        </w:tc>
        <w:tc>
          <w:tcPr>
            <w:tcW w:w="485" w:type="pct"/>
            <w:tcBorders>
              <w:tl2br w:val="nil"/>
              <w:tr2bl w:val="nil"/>
            </w:tcBorders>
            <w:vAlign w:val="top"/>
          </w:tcPr>
          <w:p w14:paraId="4D696852">
            <w:pPr>
              <w:pStyle w:val="15"/>
              <w:spacing w:before="92" w:line="189" w:lineRule="auto"/>
              <w:ind w:left="381"/>
            </w:pPr>
            <w:r>
              <w:t>1</w:t>
            </w:r>
          </w:p>
        </w:tc>
        <w:tc>
          <w:tcPr>
            <w:tcW w:w="567" w:type="pct"/>
            <w:tcBorders>
              <w:tl2br w:val="nil"/>
              <w:tr2bl w:val="nil"/>
            </w:tcBorders>
            <w:vAlign w:val="top"/>
          </w:tcPr>
          <w:p w14:paraId="79FAAAE8">
            <w:pPr>
              <w:pStyle w:val="15"/>
              <w:spacing w:before="92" w:line="189" w:lineRule="auto"/>
              <w:ind w:left="387"/>
            </w:pPr>
            <w:r>
              <w:t>88</w:t>
            </w:r>
          </w:p>
        </w:tc>
        <w:tc>
          <w:tcPr>
            <w:tcW w:w="485" w:type="pct"/>
            <w:tcBorders>
              <w:tl2br w:val="nil"/>
              <w:tr2bl w:val="nil"/>
            </w:tcBorders>
            <w:vAlign w:val="top"/>
          </w:tcPr>
          <w:p w14:paraId="412E0527">
            <w:pPr>
              <w:pStyle w:val="15"/>
              <w:spacing w:before="92" w:line="189" w:lineRule="auto"/>
              <w:ind w:left="324"/>
            </w:pPr>
            <w:r>
              <w:rPr>
                <w:spacing w:val="-2"/>
              </w:rPr>
              <w:t>74</w:t>
            </w:r>
          </w:p>
        </w:tc>
        <w:tc>
          <w:tcPr>
            <w:tcW w:w="513" w:type="pct"/>
            <w:tcBorders>
              <w:tl2br w:val="nil"/>
              <w:tr2bl w:val="nil"/>
            </w:tcBorders>
            <w:vAlign w:val="top"/>
          </w:tcPr>
          <w:p w14:paraId="0DEC7AEA">
            <w:pPr>
              <w:pStyle w:val="15"/>
              <w:spacing w:before="92" w:line="189" w:lineRule="auto"/>
              <w:ind w:left="347"/>
            </w:pPr>
            <w:r>
              <w:t>62</w:t>
            </w:r>
          </w:p>
        </w:tc>
        <w:tc>
          <w:tcPr>
            <w:tcW w:w="523" w:type="pct"/>
            <w:tcBorders>
              <w:tl2br w:val="nil"/>
              <w:tr2bl w:val="nil"/>
            </w:tcBorders>
            <w:vAlign w:val="top"/>
          </w:tcPr>
          <w:p w14:paraId="2A43E72C">
            <w:pPr>
              <w:pStyle w:val="15"/>
              <w:spacing w:before="92" w:line="189" w:lineRule="auto"/>
              <w:ind w:left="360"/>
            </w:pPr>
            <w:r>
              <w:rPr>
                <w:spacing w:val="-2"/>
              </w:rPr>
              <w:t>54</w:t>
            </w:r>
          </w:p>
        </w:tc>
        <w:tc>
          <w:tcPr>
            <w:tcW w:w="489" w:type="pct"/>
            <w:tcBorders>
              <w:tl2br w:val="nil"/>
              <w:tr2bl w:val="nil"/>
            </w:tcBorders>
            <w:vAlign w:val="top"/>
          </w:tcPr>
          <w:p w14:paraId="639307D0">
            <w:pPr>
              <w:pStyle w:val="15"/>
              <w:spacing w:before="92" w:line="189" w:lineRule="auto"/>
              <w:ind w:left="335"/>
            </w:pPr>
            <w:r>
              <w:rPr>
                <w:spacing w:val="-2"/>
              </w:rPr>
              <w:t>50</w:t>
            </w:r>
          </w:p>
        </w:tc>
        <w:tc>
          <w:tcPr>
            <w:tcW w:w="571" w:type="pct"/>
            <w:tcBorders>
              <w:tl2br w:val="nil"/>
              <w:tr2bl w:val="nil"/>
            </w:tcBorders>
            <w:vAlign w:val="top"/>
          </w:tcPr>
          <w:p w14:paraId="4B7773A6">
            <w:pPr>
              <w:pStyle w:val="15"/>
              <w:spacing w:before="92" w:line="189" w:lineRule="auto"/>
              <w:ind w:left="402"/>
            </w:pPr>
            <w:r>
              <w:rPr>
                <w:spacing w:val="1"/>
              </w:rPr>
              <w:t>44</w:t>
            </w:r>
          </w:p>
        </w:tc>
        <w:tc>
          <w:tcPr>
            <w:tcW w:w="547" w:type="pct"/>
            <w:tcBorders>
              <w:tl2br w:val="nil"/>
              <w:tr2bl w:val="nil"/>
            </w:tcBorders>
            <w:vAlign w:val="top"/>
          </w:tcPr>
          <w:p w14:paraId="0A8B28FF">
            <w:pPr>
              <w:pStyle w:val="15"/>
              <w:spacing w:before="92" w:line="189" w:lineRule="auto"/>
              <w:ind w:left="382"/>
            </w:pPr>
            <w:r>
              <w:rPr>
                <w:spacing w:val="-2"/>
              </w:rPr>
              <w:t>38</w:t>
            </w:r>
          </w:p>
        </w:tc>
      </w:tr>
      <w:tr w14:paraId="3818D5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16" w:type="pct"/>
            <w:tcBorders>
              <w:tl2br w:val="nil"/>
              <w:tr2bl w:val="nil"/>
            </w:tcBorders>
            <w:vAlign w:val="top"/>
          </w:tcPr>
          <w:p w14:paraId="12CD9A1C">
            <w:pPr>
              <w:pStyle w:val="15"/>
              <w:spacing w:before="61" w:line="219" w:lineRule="auto"/>
              <w:ind w:left="313"/>
            </w:pPr>
            <w:r>
              <w:rPr>
                <w:spacing w:val="-2"/>
              </w:rPr>
              <w:t>自卸汽车</w:t>
            </w:r>
          </w:p>
        </w:tc>
        <w:tc>
          <w:tcPr>
            <w:tcW w:w="485" w:type="pct"/>
            <w:tcBorders>
              <w:tl2br w:val="nil"/>
              <w:tr2bl w:val="nil"/>
            </w:tcBorders>
            <w:vAlign w:val="top"/>
          </w:tcPr>
          <w:p w14:paraId="680D89F2">
            <w:pPr>
              <w:pStyle w:val="15"/>
              <w:spacing w:before="94" w:line="189" w:lineRule="auto"/>
              <w:ind w:left="381"/>
            </w:pPr>
            <w:r>
              <w:t>1</w:t>
            </w:r>
          </w:p>
        </w:tc>
        <w:tc>
          <w:tcPr>
            <w:tcW w:w="567" w:type="pct"/>
            <w:tcBorders>
              <w:tl2br w:val="nil"/>
              <w:tr2bl w:val="nil"/>
            </w:tcBorders>
            <w:vAlign w:val="top"/>
          </w:tcPr>
          <w:p w14:paraId="10488AC2">
            <w:pPr>
              <w:pStyle w:val="15"/>
              <w:spacing w:before="95" w:line="188" w:lineRule="auto"/>
              <w:ind w:left="387"/>
            </w:pPr>
            <w:r>
              <w:t>88</w:t>
            </w:r>
          </w:p>
        </w:tc>
        <w:tc>
          <w:tcPr>
            <w:tcW w:w="485" w:type="pct"/>
            <w:tcBorders>
              <w:tl2br w:val="nil"/>
              <w:tr2bl w:val="nil"/>
            </w:tcBorders>
            <w:vAlign w:val="top"/>
          </w:tcPr>
          <w:p w14:paraId="596BF55A">
            <w:pPr>
              <w:pStyle w:val="15"/>
              <w:spacing w:before="95" w:line="188" w:lineRule="auto"/>
              <w:ind w:left="324"/>
            </w:pPr>
            <w:r>
              <w:rPr>
                <w:spacing w:val="-2"/>
              </w:rPr>
              <w:t>74</w:t>
            </w:r>
          </w:p>
        </w:tc>
        <w:tc>
          <w:tcPr>
            <w:tcW w:w="513" w:type="pct"/>
            <w:tcBorders>
              <w:tl2br w:val="nil"/>
              <w:tr2bl w:val="nil"/>
            </w:tcBorders>
            <w:vAlign w:val="top"/>
          </w:tcPr>
          <w:p w14:paraId="6B2C82DD">
            <w:pPr>
              <w:pStyle w:val="15"/>
              <w:spacing w:before="95" w:line="188" w:lineRule="auto"/>
              <w:ind w:left="347"/>
            </w:pPr>
            <w:r>
              <w:t>62</w:t>
            </w:r>
          </w:p>
        </w:tc>
        <w:tc>
          <w:tcPr>
            <w:tcW w:w="523" w:type="pct"/>
            <w:tcBorders>
              <w:tl2br w:val="nil"/>
              <w:tr2bl w:val="nil"/>
            </w:tcBorders>
            <w:vAlign w:val="top"/>
          </w:tcPr>
          <w:p w14:paraId="013A0D97">
            <w:pPr>
              <w:pStyle w:val="15"/>
              <w:spacing w:before="95" w:line="188" w:lineRule="auto"/>
              <w:ind w:left="360"/>
            </w:pPr>
            <w:r>
              <w:rPr>
                <w:spacing w:val="-2"/>
              </w:rPr>
              <w:t>54</w:t>
            </w:r>
          </w:p>
        </w:tc>
        <w:tc>
          <w:tcPr>
            <w:tcW w:w="489" w:type="pct"/>
            <w:tcBorders>
              <w:tl2br w:val="nil"/>
              <w:tr2bl w:val="nil"/>
            </w:tcBorders>
            <w:vAlign w:val="top"/>
          </w:tcPr>
          <w:p w14:paraId="12FB0347">
            <w:pPr>
              <w:pStyle w:val="15"/>
              <w:spacing w:before="95" w:line="188" w:lineRule="auto"/>
              <w:ind w:left="335"/>
            </w:pPr>
            <w:r>
              <w:rPr>
                <w:spacing w:val="-2"/>
              </w:rPr>
              <w:t>50</w:t>
            </w:r>
          </w:p>
        </w:tc>
        <w:tc>
          <w:tcPr>
            <w:tcW w:w="571" w:type="pct"/>
            <w:tcBorders>
              <w:tl2br w:val="nil"/>
              <w:tr2bl w:val="nil"/>
            </w:tcBorders>
            <w:vAlign w:val="top"/>
          </w:tcPr>
          <w:p w14:paraId="2F8F2B52">
            <w:pPr>
              <w:pStyle w:val="15"/>
              <w:spacing w:before="95" w:line="188" w:lineRule="auto"/>
              <w:ind w:left="402"/>
            </w:pPr>
            <w:r>
              <w:rPr>
                <w:spacing w:val="1"/>
              </w:rPr>
              <w:t>44</w:t>
            </w:r>
          </w:p>
        </w:tc>
        <w:tc>
          <w:tcPr>
            <w:tcW w:w="547" w:type="pct"/>
            <w:tcBorders>
              <w:tl2br w:val="nil"/>
              <w:tr2bl w:val="nil"/>
            </w:tcBorders>
            <w:vAlign w:val="top"/>
          </w:tcPr>
          <w:p w14:paraId="2CFF3F82">
            <w:pPr>
              <w:pStyle w:val="15"/>
              <w:spacing w:before="95" w:line="188" w:lineRule="auto"/>
              <w:ind w:left="382"/>
            </w:pPr>
            <w:r>
              <w:rPr>
                <w:spacing w:val="-2"/>
              </w:rPr>
              <w:t>38</w:t>
            </w:r>
          </w:p>
        </w:tc>
      </w:tr>
      <w:tr w14:paraId="3AE08F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16" w:type="pct"/>
            <w:tcBorders>
              <w:tl2br w:val="nil"/>
              <w:tr2bl w:val="nil"/>
            </w:tcBorders>
            <w:vAlign w:val="top"/>
          </w:tcPr>
          <w:p w14:paraId="0D3709D1">
            <w:pPr>
              <w:pStyle w:val="15"/>
              <w:spacing w:before="65" w:line="216" w:lineRule="auto"/>
              <w:ind w:left="386"/>
            </w:pPr>
            <w:r>
              <w:rPr>
                <w:spacing w:val="6"/>
              </w:rPr>
              <w:t>洒水车</w:t>
            </w:r>
          </w:p>
        </w:tc>
        <w:tc>
          <w:tcPr>
            <w:tcW w:w="485" w:type="pct"/>
            <w:tcBorders>
              <w:tl2br w:val="nil"/>
              <w:tr2bl w:val="nil"/>
            </w:tcBorders>
            <w:vAlign w:val="top"/>
          </w:tcPr>
          <w:p w14:paraId="081DE1BF">
            <w:pPr>
              <w:pStyle w:val="15"/>
              <w:spacing w:before="97" w:line="186" w:lineRule="auto"/>
              <w:ind w:left="381"/>
            </w:pPr>
            <w:r>
              <w:t>1</w:t>
            </w:r>
          </w:p>
        </w:tc>
        <w:tc>
          <w:tcPr>
            <w:tcW w:w="567" w:type="pct"/>
            <w:tcBorders>
              <w:tl2br w:val="nil"/>
              <w:tr2bl w:val="nil"/>
            </w:tcBorders>
            <w:vAlign w:val="top"/>
          </w:tcPr>
          <w:p w14:paraId="68CA0344">
            <w:pPr>
              <w:pStyle w:val="15"/>
              <w:spacing w:before="98" w:line="185" w:lineRule="auto"/>
              <w:ind w:left="387"/>
            </w:pPr>
            <w:r>
              <w:t>80</w:t>
            </w:r>
          </w:p>
        </w:tc>
        <w:tc>
          <w:tcPr>
            <w:tcW w:w="485" w:type="pct"/>
            <w:tcBorders>
              <w:tl2br w:val="nil"/>
              <w:tr2bl w:val="nil"/>
            </w:tcBorders>
            <w:vAlign w:val="top"/>
          </w:tcPr>
          <w:p w14:paraId="1765B360">
            <w:pPr>
              <w:pStyle w:val="15"/>
              <w:spacing w:before="98" w:line="185" w:lineRule="auto"/>
              <w:ind w:left="320"/>
            </w:pPr>
            <w:r>
              <w:t>66</w:t>
            </w:r>
          </w:p>
        </w:tc>
        <w:tc>
          <w:tcPr>
            <w:tcW w:w="513" w:type="pct"/>
            <w:tcBorders>
              <w:tl2br w:val="nil"/>
              <w:tr2bl w:val="nil"/>
            </w:tcBorders>
            <w:vAlign w:val="top"/>
          </w:tcPr>
          <w:p w14:paraId="6B13BCE4">
            <w:pPr>
              <w:pStyle w:val="15"/>
              <w:spacing w:before="98" w:line="185" w:lineRule="auto"/>
              <w:ind w:left="349"/>
            </w:pPr>
            <w:r>
              <w:rPr>
                <w:spacing w:val="-2"/>
              </w:rPr>
              <w:t>54</w:t>
            </w:r>
          </w:p>
        </w:tc>
        <w:tc>
          <w:tcPr>
            <w:tcW w:w="523" w:type="pct"/>
            <w:tcBorders>
              <w:tl2br w:val="nil"/>
              <w:tr2bl w:val="nil"/>
            </w:tcBorders>
            <w:vAlign w:val="top"/>
          </w:tcPr>
          <w:p w14:paraId="6228F547">
            <w:pPr>
              <w:pStyle w:val="15"/>
              <w:spacing w:before="98" w:line="185" w:lineRule="auto"/>
              <w:ind w:left="355"/>
            </w:pPr>
            <w:r>
              <w:rPr>
                <w:spacing w:val="1"/>
              </w:rPr>
              <w:t>46</w:t>
            </w:r>
          </w:p>
        </w:tc>
        <w:tc>
          <w:tcPr>
            <w:tcW w:w="489" w:type="pct"/>
            <w:tcBorders>
              <w:tl2br w:val="nil"/>
              <w:tr2bl w:val="nil"/>
            </w:tcBorders>
            <w:vAlign w:val="top"/>
          </w:tcPr>
          <w:p w14:paraId="00D9724E">
            <w:pPr>
              <w:pStyle w:val="15"/>
              <w:spacing w:before="98" w:line="185" w:lineRule="auto"/>
              <w:ind w:left="330"/>
            </w:pPr>
            <w:r>
              <w:rPr>
                <w:spacing w:val="1"/>
              </w:rPr>
              <w:t>42</w:t>
            </w:r>
          </w:p>
        </w:tc>
        <w:tc>
          <w:tcPr>
            <w:tcW w:w="571" w:type="pct"/>
            <w:tcBorders>
              <w:tl2br w:val="nil"/>
              <w:tr2bl w:val="nil"/>
            </w:tcBorders>
            <w:vAlign w:val="top"/>
          </w:tcPr>
          <w:p w14:paraId="6E08A5F2">
            <w:pPr>
              <w:pStyle w:val="15"/>
              <w:spacing w:before="98" w:line="185" w:lineRule="auto"/>
              <w:ind w:left="407"/>
            </w:pPr>
            <w:r>
              <w:rPr>
                <w:spacing w:val="-2"/>
              </w:rPr>
              <w:t>36</w:t>
            </w:r>
          </w:p>
        </w:tc>
        <w:tc>
          <w:tcPr>
            <w:tcW w:w="547" w:type="pct"/>
            <w:tcBorders>
              <w:tl2br w:val="nil"/>
              <w:tr2bl w:val="nil"/>
            </w:tcBorders>
            <w:vAlign w:val="top"/>
          </w:tcPr>
          <w:p w14:paraId="0F238F75">
            <w:pPr>
              <w:pStyle w:val="15"/>
              <w:spacing w:before="98" w:line="185" w:lineRule="auto"/>
              <w:ind w:left="382"/>
            </w:pPr>
            <w:r>
              <w:rPr>
                <w:spacing w:val="-2"/>
              </w:rPr>
              <w:t>30</w:t>
            </w:r>
          </w:p>
        </w:tc>
      </w:tr>
      <w:tr w14:paraId="589635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16" w:type="pct"/>
            <w:tcBorders>
              <w:tl2br w:val="nil"/>
              <w:tr2bl w:val="nil"/>
            </w:tcBorders>
            <w:vAlign w:val="top"/>
          </w:tcPr>
          <w:p w14:paraId="47B48173">
            <w:pPr>
              <w:pStyle w:val="15"/>
              <w:spacing w:before="68" w:line="213" w:lineRule="auto"/>
              <w:ind w:left="383"/>
            </w:pPr>
            <w:r>
              <w:rPr>
                <w:spacing w:val="7"/>
              </w:rPr>
              <w:t>振动碾</w:t>
            </w:r>
          </w:p>
        </w:tc>
        <w:tc>
          <w:tcPr>
            <w:tcW w:w="485" w:type="pct"/>
            <w:tcBorders>
              <w:tl2br w:val="nil"/>
              <w:tr2bl w:val="nil"/>
            </w:tcBorders>
            <w:vAlign w:val="top"/>
          </w:tcPr>
          <w:p w14:paraId="3D70E3E0">
            <w:pPr>
              <w:pStyle w:val="15"/>
              <w:spacing w:before="99" w:line="184" w:lineRule="auto"/>
              <w:ind w:left="381"/>
            </w:pPr>
            <w:r>
              <w:t>1</w:t>
            </w:r>
          </w:p>
        </w:tc>
        <w:tc>
          <w:tcPr>
            <w:tcW w:w="567" w:type="pct"/>
            <w:tcBorders>
              <w:tl2br w:val="nil"/>
              <w:tr2bl w:val="nil"/>
            </w:tcBorders>
            <w:vAlign w:val="top"/>
          </w:tcPr>
          <w:p w14:paraId="68BAE28B">
            <w:pPr>
              <w:pStyle w:val="15"/>
              <w:spacing w:before="99" w:line="184" w:lineRule="auto"/>
              <w:ind w:left="349"/>
            </w:pPr>
            <w:r>
              <w:rPr>
                <w:spacing w:val="-3"/>
              </w:rPr>
              <w:t>100</w:t>
            </w:r>
          </w:p>
        </w:tc>
        <w:tc>
          <w:tcPr>
            <w:tcW w:w="485" w:type="pct"/>
            <w:tcBorders>
              <w:tl2br w:val="nil"/>
              <w:tr2bl w:val="nil"/>
            </w:tcBorders>
            <w:vAlign w:val="top"/>
          </w:tcPr>
          <w:p w14:paraId="64F22F2B">
            <w:pPr>
              <w:pStyle w:val="15"/>
              <w:spacing w:before="100" w:line="183" w:lineRule="auto"/>
              <w:ind w:left="319"/>
            </w:pPr>
            <w:r>
              <w:t>86</w:t>
            </w:r>
          </w:p>
        </w:tc>
        <w:tc>
          <w:tcPr>
            <w:tcW w:w="513" w:type="pct"/>
            <w:tcBorders>
              <w:tl2br w:val="nil"/>
              <w:tr2bl w:val="nil"/>
            </w:tcBorders>
            <w:vAlign w:val="top"/>
          </w:tcPr>
          <w:p w14:paraId="0DA83564">
            <w:pPr>
              <w:pStyle w:val="15"/>
              <w:spacing w:before="100" w:line="183" w:lineRule="auto"/>
              <w:ind w:left="350"/>
            </w:pPr>
            <w:r>
              <w:rPr>
                <w:spacing w:val="-2"/>
              </w:rPr>
              <w:t>74</w:t>
            </w:r>
          </w:p>
        </w:tc>
        <w:tc>
          <w:tcPr>
            <w:tcW w:w="523" w:type="pct"/>
            <w:tcBorders>
              <w:tl2br w:val="nil"/>
              <w:tr2bl w:val="nil"/>
            </w:tcBorders>
            <w:vAlign w:val="top"/>
          </w:tcPr>
          <w:p w14:paraId="6ED956FF">
            <w:pPr>
              <w:pStyle w:val="15"/>
              <w:spacing w:before="100" w:line="183" w:lineRule="auto"/>
              <w:ind w:left="358"/>
            </w:pPr>
            <w:r>
              <w:t>66</w:t>
            </w:r>
          </w:p>
        </w:tc>
        <w:tc>
          <w:tcPr>
            <w:tcW w:w="489" w:type="pct"/>
            <w:tcBorders>
              <w:tl2br w:val="nil"/>
              <w:tr2bl w:val="nil"/>
            </w:tcBorders>
            <w:vAlign w:val="top"/>
          </w:tcPr>
          <w:p w14:paraId="18301462">
            <w:pPr>
              <w:pStyle w:val="15"/>
              <w:spacing w:before="100" w:line="183" w:lineRule="auto"/>
              <w:ind w:left="333"/>
            </w:pPr>
            <w:r>
              <w:t>62</w:t>
            </w:r>
          </w:p>
        </w:tc>
        <w:tc>
          <w:tcPr>
            <w:tcW w:w="571" w:type="pct"/>
            <w:tcBorders>
              <w:tl2br w:val="nil"/>
              <w:tr2bl w:val="nil"/>
            </w:tcBorders>
            <w:vAlign w:val="top"/>
          </w:tcPr>
          <w:p w14:paraId="6B29E758">
            <w:pPr>
              <w:pStyle w:val="15"/>
              <w:spacing w:before="100" w:line="183" w:lineRule="auto"/>
              <w:ind w:left="407"/>
            </w:pPr>
            <w:r>
              <w:rPr>
                <w:spacing w:val="-2"/>
              </w:rPr>
              <w:t>56</w:t>
            </w:r>
          </w:p>
        </w:tc>
        <w:tc>
          <w:tcPr>
            <w:tcW w:w="547" w:type="pct"/>
            <w:tcBorders>
              <w:tl2br w:val="nil"/>
              <w:tr2bl w:val="nil"/>
            </w:tcBorders>
            <w:vAlign w:val="top"/>
          </w:tcPr>
          <w:p w14:paraId="1E0FDB12">
            <w:pPr>
              <w:pStyle w:val="15"/>
              <w:spacing w:before="100" w:line="183" w:lineRule="auto"/>
              <w:ind w:left="382"/>
            </w:pPr>
            <w:r>
              <w:rPr>
                <w:spacing w:val="-2"/>
              </w:rPr>
              <w:t>50</w:t>
            </w:r>
          </w:p>
        </w:tc>
      </w:tr>
      <w:tr w14:paraId="03D5BB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16" w:type="pct"/>
            <w:tcBorders>
              <w:tl2br w:val="nil"/>
              <w:tr2bl w:val="nil"/>
            </w:tcBorders>
            <w:vAlign w:val="top"/>
          </w:tcPr>
          <w:p w14:paraId="19EA9E44">
            <w:pPr>
              <w:pStyle w:val="15"/>
              <w:spacing w:before="70" w:line="227" w:lineRule="auto"/>
              <w:ind w:left="173"/>
            </w:pPr>
            <w:r>
              <w:rPr>
                <w:spacing w:val="8"/>
              </w:rPr>
              <w:t>柴油发电机</w:t>
            </w:r>
          </w:p>
        </w:tc>
        <w:tc>
          <w:tcPr>
            <w:tcW w:w="485" w:type="pct"/>
            <w:tcBorders>
              <w:tl2br w:val="nil"/>
              <w:tr2bl w:val="nil"/>
            </w:tcBorders>
            <w:vAlign w:val="top"/>
          </w:tcPr>
          <w:p w14:paraId="54537786">
            <w:pPr>
              <w:pStyle w:val="15"/>
              <w:spacing w:before="103" w:line="189" w:lineRule="auto"/>
              <w:ind w:left="381"/>
            </w:pPr>
            <w:r>
              <w:t>1</w:t>
            </w:r>
          </w:p>
        </w:tc>
        <w:tc>
          <w:tcPr>
            <w:tcW w:w="567" w:type="pct"/>
            <w:tcBorders>
              <w:tl2br w:val="nil"/>
              <w:tr2bl w:val="nil"/>
            </w:tcBorders>
            <w:vAlign w:val="top"/>
          </w:tcPr>
          <w:p w14:paraId="62491BF3">
            <w:pPr>
              <w:pStyle w:val="15"/>
              <w:spacing w:before="102" w:line="190" w:lineRule="auto"/>
              <w:ind w:left="349"/>
            </w:pPr>
            <w:r>
              <w:rPr>
                <w:spacing w:val="-3"/>
              </w:rPr>
              <w:t>102</w:t>
            </w:r>
          </w:p>
        </w:tc>
        <w:tc>
          <w:tcPr>
            <w:tcW w:w="485" w:type="pct"/>
            <w:tcBorders>
              <w:tl2br w:val="nil"/>
              <w:tr2bl w:val="nil"/>
            </w:tcBorders>
            <w:vAlign w:val="top"/>
          </w:tcPr>
          <w:p w14:paraId="2F6099E2">
            <w:pPr>
              <w:pStyle w:val="15"/>
              <w:spacing w:before="102" w:line="190" w:lineRule="auto"/>
              <w:ind w:left="319"/>
            </w:pPr>
            <w:r>
              <w:t>91</w:t>
            </w:r>
          </w:p>
        </w:tc>
        <w:tc>
          <w:tcPr>
            <w:tcW w:w="513" w:type="pct"/>
            <w:tcBorders>
              <w:tl2br w:val="nil"/>
              <w:tr2bl w:val="nil"/>
            </w:tcBorders>
            <w:vAlign w:val="top"/>
          </w:tcPr>
          <w:p w14:paraId="0E6E19E6">
            <w:pPr>
              <w:pStyle w:val="15"/>
              <w:spacing w:before="103" w:line="189" w:lineRule="auto"/>
              <w:ind w:left="350"/>
            </w:pPr>
            <w:r>
              <w:rPr>
                <w:spacing w:val="-2"/>
              </w:rPr>
              <w:t>79</w:t>
            </w:r>
          </w:p>
        </w:tc>
        <w:tc>
          <w:tcPr>
            <w:tcW w:w="523" w:type="pct"/>
            <w:tcBorders>
              <w:tl2br w:val="nil"/>
              <w:tr2bl w:val="nil"/>
            </w:tcBorders>
            <w:vAlign w:val="top"/>
          </w:tcPr>
          <w:p w14:paraId="1E8946D2">
            <w:pPr>
              <w:pStyle w:val="15"/>
              <w:spacing w:before="102" w:line="190" w:lineRule="auto"/>
              <w:ind w:left="361"/>
            </w:pPr>
            <w:r>
              <w:rPr>
                <w:spacing w:val="-2"/>
              </w:rPr>
              <w:t>71</w:t>
            </w:r>
          </w:p>
        </w:tc>
        <w:tc>
          <w:tcPr>
            <w:tcW w:w="489" w:type="pct"/>
            <w:tcBorders>
              <w:tl2br w:val="nil"/>
              <w:tr2bl w:val="nil"/>
            </w:tcBorders>
            <w:vAlign w:val="top"/>
          </w:tcPr>
          <w:p w14:paraId="5923909E">
            <w:pPr>
              <w:pStyle w:val="15"/>
              <w:spacing w:before="103" w:line="189" w:lineRule="auto"/>
              <w:ind w:left="333"/>
            </w:pPr>
            <w:r>
              <w:t>67</w:t>
            </w:r>
          </w:p>
        </w:tc>
        <w:tc>
          <w:tcPr>
            <w:tcW w:w="571" w:type="pct"/>
            <w:tcBorders>
              <w:tl2br w:val="nil"/>
              <w:tr2bl w:val="nil"/>
            </w:tcBorders>
            <w:vAlign w:val="top"/>
          </w:tcPr>
          <w:p w14:paraId="1B294F5B">
            <w:pPr>
              <w:pStyle w:val="15"/>
              <w:spacing w:before="102" w:line="190" w:lineRule="auto"/>
              <w:ind w:left="405"/>
            </w:pPr>
            <w:r>
              <w:t>61</w:t>
            </w:r>
          </w:p>
        </w:tc>
        <w:tc>
          <w:tcPr>
            <w:tcW w:w="547" w:type="pct"/>
            <w:tcBorders>
              <w:tl2br w:val="nil"/>
              <w:tr2bl w:val="nil"/>
            </w:tcBorders>
            <w:vAlign w:val="top"/>
          </w:tcPr>
          <w:p w14:paraId="75E112FB">
            <w:pPr>
              <w:pStyle w:val="15"/>
              <w:spacing w:before="105" w:line="187" w:lineRule="auto"/>
              <w:ind w:left="382"/>
            </w:pPr>
            <w:r>
              <w:rPr>
                <w:spacing w:val="-2"/>
              </w:rPr>
              <w:t>55</w:t>
            </w:r>
          </w:p>
        </w:tc>
      </w:tr>
    </w:tbl>
    <w:p w14:paraId="25A8985A">
      <w:pPr>
        <w:pStyle w:val="3"/>
        <w:spacing w:line="251" w:lineRule="auto"/>
      </w:pPr>
    </w:p>
    <w:p w14:paraId="362860F3">
      <w:pPr>
        <w:spacing w:line="360" w:lineRule="auto"/>
        <w:ind w:left="19" w:firstLine="480" w:firstLineChars="200"/>
        <w:rPr>
          <w:rFonts w:ascii="宋体" w:hAnsi="宋体" w:eastAsia="宋体" w:cs="宋体"/>
          <w:sz w:val="24"/>
          <w:szCs w:val="24"/>
        </w:rPr>
      </w:pPr>
      <w:r>
        <w:rPr>
          <w:rFonts w:ascii="宋体" w:hAnsi="宋体" w:eastAsia="宋体" w:cs="宋体"/>
          <w:sz w:val="24"/>
          <w:szCs w:val="24"/>
        </w:rPr>
        <w:t>由于以上预测结果是单一施工设备满负荷运作时的噪声预测结果，但在施工现场，存在多种施工设备共同作业，施工噪声影响是多种设备噪声共同辐射的结果。本工程 具有施工点多、分散的特点，因而一般情况下施工机械分布比较分散，多数情况下只有 1～2 台施工设备在同一作业点同时使用。</w:t>
      </w:r>
    </w:p>
    <w:p w14:paraId="329E843A">
      <w:pPr>
        <w:spacing w:line="360" w:lineRule="auto"/>
        <w:ind w:left="19" w:firstLine="480" w:firstLineChars="200"/>
        <w:rPr>
          <w:rFonts w:ascii="宋体" w:hAnsi="宋体" w:eastAsia="宋体" w:cs="宋体"/>
          <w:sz w:val="24"/>
          <w:szCs w:val="24"/>
        </w:rPr>
      </w:pPr>
      <w:r>
        <w:rPr>
          <w:rFonts w:ascii="宋体" w:hAnsi="宋体" w:eastAsia="宋体" w:cs="宋体"/>
          <w:sz w:val="24"/>
          <w:szCs w:val="24"/>
        </w:rPr>
        <w:t>由预测结果可知，在不考虑噪声叠加的情况下，施工机械施工噪声在距声源 50m处即可满足《建筑施工场界环境噪声排放标准》 (GB12523-2011)的昼间标准 70dB(A)限值要求；在距声源 320m 处即可满足《建筑施工场界环境噪声排放标准》(GB12523-2011) 的夜间标准 55dB(A)限值要求；距本工程改建渠道最近的居民点位改造支渠起点处的芒南查干村，直线最近距离约 25m，考虑到渠道两侧 50m 范围内存在居民类敏感点，项目施工过程总可能会对居民的生活产生影响，因此本环评要求项目夜间不进行施工作业,合理安排高噪声施工机械的使用时间,并配备、使用减震垫与隔声装置；基础开挖应在白天进行，避免夜间作业，以减轻噪声对周围环境的影响；汽车运输控制超载、限速和禁止鸣放高音喇叭，重型运输车辆应安装消声器。</w:t>
      </w:r>
    </w:p>
    <w:p w14:paraId="124DF6C4">
      <w:pPr>
        <w:pStyle w:val="3"/>
        <w:spacing w:line="241" w:lineRule="auto"/>
      </w:pPr>
    </w:p>
    <w:p w14:paraId="7A373B4D">
      <w:pPr>
        <w:spacing w:before="91" w:line="221" w:lineRule="auto"/>
        <w:ind w:left="16"/>
        <w:outlineLvl w:val="2"/>
        <w:rPr>
          <w:rFonts w:ascii="宋体" w:hAnsi="宋体" w:eastAsia="宋体" w:cs="宋体"/>
          <w:sz w:val="28"/>
          <w:szCs w:val="28"/>
        </w:rPr>
      </w:pPr>
      <w:r>
        <w:rPr>
          <w:rFonts w:ascii="宋体" w:hAnsi="宋体" w:eastAsia="宋体" w:cs="宋体"/>
          <w:b/>
          <w:bCs/>
          <w:spacing w:val="-3"/>
          <w:sz w:val="28"/>
          <w:szCs w:val="28"/>
          <w14:textOutline w14:w="5103" w14:cap="sq" w14:cmpd="sng">
            <w14:solidFill>
              <w14:srgbClr w14:val="000000"/>
            </w14:solidFill>
            <w14:prstDash w14:val="solid"/>
            <w14:bevel/>
          </w14:textOutline>
        </w:rPr>
        <w:t>5.1.4</w:t>
      </w:r>
      <w:r>
        <w:rPr>
          <w:rFonts w:hint="eastAsia" w:ascii="宋体" w:hAnsi="宋体" w:eastAsia="宋体" w:cs="宋体"/>
          <w:b/>
          <w:bCs/>
          <w:spacing w:val="-3"/>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3"/>
          <w:sz w:val="28"/>
          <w:szCs w:val="28"/>
          <w14:textOutline w14:w="5103" w14:cap="sq" w14:cmpd="sng">
            <w14:solidFill>
              <w14:srgbClr w14:val="000000"/>
            </w14:solidFill>
            <w14:prstDash w14:val="solid"/>
            <w14:bevel/>
          </w14:textOutline>
        </w:rPr>
        <w:t>固体废物环境影响分析</w:t>
      </w:r>
    </w:p>
    <w:p w14:paraId="7C17D1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highlight w:val="none"/>
        </w:rPr>
      </w:pPr>
      <w:r>
        <w:rPr>
          <w:rFonts w:ascii="宋体" w:hAnsi="宋体" w:eastAsia="宋体" w:cs="宋体"/>
          <w:spacing w:val="-1"/>
          <w:sz w:val="24"/>
          <w:szCs w:val="24"/>
          <w:highlight w:val="none"/>
        </w:rPr>
        <w:t>施工期的固体废物主要为施工过程中产生的土石方、施工(拆除)建筑垃圾、施工人员生活垃圾等，均属一般固废。</w:t>
      </w:r>
    </w:p>
    <w:p w14:paraId="3566D3D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highlight w:val="none"/>
        </w:rPr>
      </w:pPr>
      <w:r>
        <w:rPr>
          <w:rFonts w:ascii="宋体" w:hAnsi="宋体" w:eastAsia="宋体" w:cs="宋体"/>
          <w:spacing w:val="-1"/>
          <w:sz w:val="24"/>
          <w:szCs w:val="24"/>
          <w:highlight w:val="none"/>
        </w:rPr>
        <w:t>土石方：</w:t>
      </w:r>
      <w:r>
        <w:rPr>
          <w:rFonts w:hint="eastAsia" w:ascii="宋体" w:hAnsi="宋体" w:eastAsia="宋体" w:cs="宋体"/>
          <w:spacing w:val="-1"/>
          <w:sz w:val="24"/>
          <w:szCs w:val="24"/>
          <w:highlight w:val="none"/>
        </w:rPr>
        <w:t>工程建设土石方工程量主要来自于管沟、渠道开挖与回填及土地平整等施工活动。土石方开挖总量为 248.33万m</w:t>
      </w:r>
      <w:r>
        <w:rPr>
          <w:rFonts w:hint="eastAsia" w:ascii="宋体" w:hAnsi="宋体" w:eastAsia="宋体" w:cs="宋体"/>
          <w:spacing w:val="-1"/>
          <w:sz w:val="24"/>
          <w:szCs w:val="24"/>
          <w:highlight w:val="none"/>
          <w:vertAlign w:val="superscript"/>
          <w:lang w:val="en-US" w:eastAsia="zh-CN"/>
        </w:rPr>
        <w:t>3</w:t>
      </w:r>
      <w:r>
        <w:rPr>
          <w:rFonts w:hint="eastAsia" w:ascii="宋体" w:hAnsi="宋体" w:eastAsia="宋体" w:cs="宋体"/>
          <w:spacing w:val="-1"/>
          <w:sz w:val="24"/>
          <w:szCs w:val="24"/>
          <w:highlight w:val="none"/>
        </w:rPr>
        <w:t>，土石方回填总量为216.98万m</w:t>
      </w:r>
      <w:r>
        <w:rPr>
          <w:rFonts w:hint="eastAsia" w:ascii="宋体" w:hAnsi="宋体" w:eastAsia="宋体" w:cs="宋体"/>
          <w:spacing w:val="-1"/>
          <w:sz w:val="24"/>
          <w:szCs w:val="24"/>
          <w:highlight w:val="none"/>
          <w:vertAlign w:val="superscript"/>
          <w:lang w:val="en-US" w:eastAsia="zh-CN"/>
        </w:rPr>
        <w:t>3</w:t>
      </w:r>
      <w:r>
        <w:rPr>
          <w:rFonts w:hint="eastAsia" w:ascii="宋体" w:hAnsi="宋体" w:eastAsia="宋体" w:cs="宋体"/>
          <w:spacing w:val="-1"/>
          <w:sz w:val="24"/>
          <w:szCs w:val="24"/>
          <w:highlight w:val="none"/>
        </w:rPr>
        <w:t>，外借土石方总量91.99万m</w:t>
      </w:r>
      <w:r>
        <w:rPr>
          <w:rFonts w:hint="eastAsia" w:ascii="宋体" w:hAnsi="宋体" w:eastAsia="宋体" w:cs="宋体"/>
          <w:spacing w:val="-1"/>
          <w:sz w:val="24"/>
          <w:szCs w:val="24"/>
          <w:highlight w:val="none"/>
          <w:vertAlign w:val="superscript"/>
          <w:lang w:val="en-US" w:eastAsia="zh-CN"/>
        </w:rPr>
        <w:t>3</w:t>
      </w:r>
      <w:r>
        <w:rPr>
          <w:rFonts w:hint="eastAsia" w:ascii="宋体" w:hAnsi="宋体" w:eastAsia="宋体" w:cs="宋体"/>
          <w:spacing w:val="-1"/>
          <w:sz w:val="24"/>
          <w:szCs w:val="24"/>
          <w:highlight w:val="none"/>
        </w:rPr>
        <w:t>，弃方量为60.64万m</w:t>
      </w:r>
      <w:r>
        <w:rPr>
          <w:rFonts w:hint="eastAsia" w:ascii="宋体" w:hAnsi="宋体" w:eastAsia="宋体" w:cs="宋体"/>
          <w:spacing w:val="-1"/>
          <w:sz w:val="24"/>
          <w:szCs w:val="24"/>
          <w:highlight w:val="none"/>
          <w:vertAlign w:val="superscript"/>
          <w:lang w:val="en-US" w:eastAsia="zh-CN"/>
        </w:rPr>
        <w:t>3</w:t>
      </w:r>
      <w:r>
        <w:rPr>
          <w:rFonts w:hint="eastAsia" w:ascii="宋体" w:hAnsi="宋体" w:eastAsia="宋体" w:cs="宋体"/>
          <w:spacing w:val="-1"/>
          <w:sz w:val="24"/>
          <w:szCs w:val="24"/>
          <w:highlight w:val="none"/>
        </w:rPr>
        <w:t>，弃方均拉运至取料(弃渣)场</w:t>
      </w:r>
      <w:r>
        <w:rPr>
          <w:rFonts w:ascii="宋体" w:hAnsi="宋体" w:eastAsia="宋体" w:cs="宋体"/>
          <w:spacing w:val="-1"/>
          <w:sz w:val="24"/>
          <w:szCs w:val="24"/>
          <w:highlight w:val="none"/>
        </w:rPr>
        <w:t>。</w:t>
      </w:r>
    </w:p>
    <w:p w14:paraId="216942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highlight w:val="none"/>
        </w:rPr>
      </w:pPr>
      <w:r>
        <w:rPr>
          <w:rFonts w:ascii="宋体" w:hAnsi="宋体" w:eastAsia="宋体" w:cs="宋体"/>
          <w:spacing w:val="-1"/>
          <w:sz w:val="24"/>
          <w:szCs w:val="24"/>
          <w:highlight w:val="none"/>
        </w:rPr>
        <w:t>施工建筑垃圾及废料：本工程施工产生的建筑垃圾主要为主体工程区拆旧产生的 砼建筑垃圾及施工活动产生的砂石、石块等，统一收集拉运至指定的 专用建筑料弃渣场 Q1，即</w:t>
      </w:r>
      <w:r>
        <w:rPr>
          <w:rFonts w:hint="eastAsia" w:ascii="宋体" w:hAnsi="宋体" w:eastAsia="宋体" w:cs="宋体"/>
          <w:spacing w:val="-1"/>
          <w:sz w:val="24"/>
          <w:szCs w:val="24"/>
          <w:highlight w:val="none"/>
          <w:lang w:eastAsia="zh-CN"/>
        </w:rPr>
        <w:t>吐鲁番市</w:t>
      </w:r>
      <w:r>
        <w:rPr>
          <w:rFonts w:ascii="宋体" w:hAnsi="宋体" w:eastAsia="宋体" w:cs="宋体"/>
          <w:spacing w:val="-1"/>
          <w:sz w:val="24"/>
          <w:szCs w:val="24"/>
          <w:highlight w:val="none"/>
        </w:rPr>
        <w:t>南山垃圾场。施工结束后做土地平整并恢复植被，防止水土流失。包装袋由施工单位统一回收，综合利用。</w:t>
      </w:r>
    </w:p>
    <w:p w14:paraId="168202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highlight w:val="none"/>
        </w:rPr>
      </w:pPr>
      <w:r>
        <w:rPr>
          <w:rFonts w:ascii="宋体" w:hAnsi="宋体" w:eastAsia="宋体" w:cs="宋体"/>
          <w:spacing w:val="-1"/>
          <w:sz w:val="24"/>
          <w:szCs w:val="24"/>
          <w:highlight w:val="none"/>
        </w:rPr>
        <w:t xml:space="preserve">施工人员生活垃圾：施工人员生活垃圾产生量按 </w:t>
      </w:r>
      <w:r>
        <w:rPr>
          <w:rFonts w:hint="eastAsia" w:ascii="宋体" w:hAnsi="宋体" w:eastAsia="宋体" w:cs="宋体"/>
          <w:spacing w:val="-1"/>
          <w:sz w:val="24"/>
          <w:szCs w:val="24"/>
          <w:highlight w:val="none"/>
          <w:lang w:val="en-US" w:eastAsia="zh-CN"/>
        </w:rPr>
        <w:t>1</w:t>
      </w:r>
      <w:r>
        <w:rPr>
          <w:rFonts w:ascii="宋体" w:hAnsi="宋体" w:eastAsia="宋体" w:cs="宋体"/>
          <w:spacing w:val="-1"/>
          <w:sz w:val="24"/>
          <w:szCs w:val="24"/>
          <w:highlight w:val="none"/>
        </w:rPr>
        <w:t>kg/人·日 计，则施工期共产生生活垃圾 5.76t。施工人员主要租住附近民房，依托附近乡镇，生活垃圾经垃圾桶集中收集，由环卫部门清运至就近垃圾转运站处置；施工营地产生的少量生活垃圾，放置营地设置的垃圾桶内，及埋清运至周边垃圾转运站处置，最终运至</w:t>
      </w:r>
      <w:r>
        <w:rPr>
          <w:rFonts w:hint="eastAsia" w:ascii="宋体" w:hAnsi="宋体" w:eastAsia="宋体" w:cs="宋体"/>
          <w:spacing w:val="-1"/>
          <w:sz w:val="24"/>
          <w:szCs w:val="24"/>
          <w:highlight w:val="none"/>
          <w:lang w:val="en-US" w:eastAsia="zh-CN"/>
        </w:rPr>
        <w:t>当地</w:t>
      </w:r>
      <w:r>
        <w:rPr>
          <w:rFonts w:ascii="宋体" w:hAnsi="宋体" w:eastAsia="宋体" w:cs="宋体"/>
          <w:spacing w:val="-1"/>
          <w:sz w:val="24"/>
          <w:szCs w:val="24"/>
          <w:highlight w:val="none"/>
        </w:rPr>
        <w:t>生活垃圾填埋场处理。</w:t>
      </w:r>
    </w:p>
    <w:p w14:paraId="2D7BD144">
      <w:pPr>
        <w:spacing w:before="92" w:line="221"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5.1.5</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生态环境影响分析</w:t>
      </w:r>
    </w:p>
    <w:p w14:paraId="6599FC75">
      <w:pPr>
        <w:spacing w:before="204" w:line="221" w:lineRule="auto"/>
        <w:ind w:left="14"/>
        <w:outlineLvl w:val="3"/>
        <w:rPr>
          <w:rFonts w:ascii="宋体" w:hAnsi="宋体" w:eastAsia="宋体" w:cs="宋体"/>
          <w:b/>
          <w:bCs/>
          <w:sz w:val="24"/>
          <w:szCs w:val="24"/>
        </w:rPr>
      </w:pPr>
      <w:r>
        <w:rPr>
          <w:b/>
          <w:bCs/>
        </w:rPr>
        <w:fldChar w:fldCharType="begin"/>
      </w:r>
      <w:r>
        <w:rPr>
          <w:b/>
          <w:bCs/>
        </w:rPr>
        <w:instrText xml:space="preserve"> HYPERLINK "5.1.5.1"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5.1.5.1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土地利用影响</w:t>
      </w:r>
    </w:p>
    <w:p w14:paraId="03D6104A">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sz w:val="24"/>
          <w:szCs w:val="24"/>
        </w:rPr>
      </w:pPr>
      <w:r>
        <w:rPr>
          <w:rFonts w:ascii="宋体" w:hAnsi="宋体" w:eastAsia="宋体" w:cs="宋体"/>
          <w:spacing w:val="-3"/>
          <w:sz w:val="24"/>
          <w:szCs w:val="24"/>
        </w:rPr>
        <w:t>本工程</w:t>
      </w:r>
      <w:r>
        <w:rPr>
          <w:rFonts w:hint="eastAsia" w:ascii="宋体" w:hAnsi="宋体" w:eastAsia="宋体" w:cs="宋体"/>
          <w:spacing w:val="-3"/>
          <w:sz w:val="24"/>
          <w:szCs w:val="24"/>
        </w:rPr>
        <w:t>本工程占地为渠道及管道占地，改建渠道及管道征占的原有渠道及管道和两侧的管理范围。从占地性质分析，项目区总占地面积675.81hm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，其中永久性征地面积为437.48hm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，均为主体工程的渠道工程区占地;临时性用地面积 238.33hm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其中主体工程的管线工程区临时征占地面积为31.72hm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，取料(弃渣)场临时征占地面积为 30.98hm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，临时生产生活区临时征占地面积为3.45hm</w:t>
      </w:r>
      <w:r>
        <w:rPr>
          <w:rFonts w:hint="eastAsia" w:ascii="宋体" w:hAnsi="宋体" w:eastAsia="宋体" w:cs="宋体"/>
          <w:spacing w:val="-3"/>
          <w:sz w:val="24"/>
          <w:szCs w:val="24"/>
          <w:lang w:val="en-US" w:eastAsia="zh-CN"/>
        </w:rPr>
        <w:t>2</w:t>
      </w:r>
      <w:r>
        <w:rPr>
          <w:rFonts w:hint="eastAsia" w:ascii="宋体" w:hAnsi="宋体" w:eastAsia="宋体" w:cs="宋体"/>
          <w:spacing w:val="-3"/>
          <w:sz w:val="24"/>
          <w:szCs w:val="24"/>
        </w:rPr>
        <w:t>，施工道路临时征占地面积为 172.18hm</w:t>
      </w:r>
      <w:r>
        <w:rPr>
          <w:rFonts w:hint="eastAsia" w:ascii="宋体" w:hAnsi="宋体" w:eastAsia="宋体" w:cs="宋体"/>
          <w:spacing w:val="-3"/>
          <w:sz w:val="24"/>
          <w:szCs w:val="24"/>
          <w:vertAlign w:val="superscript"/>
          <w:lang w:val="en-US" w:eastAsia="zh-CN"/>
        </w:rPr>
        <w:t>2</w:t>
      </w:r>
      <w:r>
        <w:rPr>
          <w:rFonts w:hint="eastAsia" w:ascii="宋体" w:hAnsi="宋体" w:eastAsia="宋体" w:cs="宋体"/>
          <w:spacing w:val="-3"/>
          <w:sz w:val="24"/>
          <w:szCs w:val="24"/>
        </w:rPr>
        <w:t>。</w:t>
      </w:r>
    </w:p>
    <w:p w14:paraId="1CEFF7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临时占地布置原则：施工布置采用分散与集中相结合的布置方案；充分利用工程</w:t>
      </w:r>
      <w:r>
        <w:rPr>
          <w:rFonts w:ascii="宋体" w:hAnsi="宋体" w:eastAsia="宋体" w:cs="宋体"/>
          <w:sz w:val="24"/>
          <w:szCs w:val="24"/>
        </w:rPr>
        <w:t>所在地的现有设施，尽量简化设施规模，少占耕地、好地，合</w:t>
      </w:r>
      <w:r>
        <w:rPr>
          <w:rFonts w:ascii="宋体" w:hAnsi="宋体" w:eastAsia="宋体" w:cs="宋体"/>
          <w:spacing w:val="-1"/>
          <w:sz w:val="24"/>
          <w:szCs w:val="24"/>
        </w:rPr>
        <w:t>理安排施工场地；在施</w:t>
      </w:r>
      <w:r>
        <w:rPr>
          <w:rFonts w:ascii="宋体" w:hAnsi="宋体" w:eastAsia="宋体" w:cs="宋体"/>
          <w:sz w:val="24"/>
          <w:szCs w:val="24"/>
        </w:rPr>
        <w:t>工布置时，要充分考虑噪声、粉尘对周边居民生活上的影响；</w:t>
      </w:r>
      <w:r>
        <w:rPr>
          <w:rFonts w:ascii="宋体" w:hAnsi="宋体" w:eastAsia="宋体" w:cs="宋体"/>
          <w:spacing w:val="-1"/>
          <w:sz w:val="24"/>
          <w:szCs w:val="24"/>
        </w:rPr>
        <w:t>尽量使土石方施工同一</w:t>
      </w:r>
      <w:r>
        <w:rPr>
          <w:rFonts w:ascii="宋体" w:hAnsi="宋体" w:eastAsia="宋体" w:cs="宋体"/>
          <w:spacing w:val="-3"/>
          <w:sz w:val="24"/>
          <w:szCs w:val="24"/>
        </w:rPr>
        <w:t>调配、平衡合理，充分考虑弃渣场的统一规划，达到安全、卫生和环保等规定的要求；</w:t>
      </w:r>
      <w:r>
        <w:rPr>
          <w:rFonts w:ascii="宋体" w:hAnsi="宋体" w:eastAsia="宋体" w:cs="宋体"/>
          <w:sz w:val="24"/>
          <w:szCs w:val="24"/>
        </w:rPr>
        <w:t>场地和工区划分布置符合有利于生产，易于管理，便于生活的</w:t>
      </w:r>
      <w:r>
        <w:rPr>
          <w:rFonts w:ascii="宋体" w:hAnsi="宋体" w:eastAsia="宋体" w:cs="宋体"/>
          <w:spacing w:val="-1"/>
          <w:sz w:val="24"/>
          <w:szCs w:val="24"/>
        </w:rPr>
        <w:t>原则，并符合国家有关安全防火、卫生和环保等规定；临时施工道路与设计的伴渠路相结合。</w:t>
      </w:r>
    </w:p>
    <w:p w14:paraId="7FA9E5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临时占地对土地利用的影响主要表现在施工期会造成少量生物损失，随着施工活动结束，可逐渐恢复其原有土地功能。</w:t>
      </w:r>
    </w:p>
    <w:p w14:paraId="2EA6A2F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综上，本工程建设对土地利用影响较小。</w:t>
      </w:r>
    </w:p>
    <w:p w14:paraId="0E6CD38A">
      <w:pPr>
        <w:spacing w:before="182" w:line="219" w:lineRule="auto"/>
        <w:ind w:left="14"/>
        <w:outlineLvl w:val="3"/>
        <w:rPr>
          <w:rFonts w:ascii="宋体" w:hAnsi="宋体" w:eastAsia="宋体" w:cs="宋体"/>
          <w:sz w:val="24"/>
          <w:szCs w:val="24"/>
        </w:rPr>
      </w:pPr>
      <w:r>
        <w:rPr>
          <w:b/>
          <w:bCs/>
        </w:rPr>
        <w:fldChar w:fldCharType="begin"/>
      </w:r>
      <w:r>
        <w:rPr>
          <w:b/>
          <w:bCs/>
        </w:rPr>
        <w:instrText xml:space="preserve"> HYPERLINK "5.1.5.2"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5.1.5.2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动植物影响</w:t>
      </w:r>
    </w:p>
    <w:p w14:paraId="6150548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永久占地影响</w:t>
      </w:r>
    </w:p>
    <w:p w14:paraId="653050F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永久占地中，渠道防渗工程主要在干渠原址基础上施工，干渠现状不存在植被生长，因此对生态环境影响较小；改(新)建建筑物施工均为点状小面积施工活动，占地面积小，丧失的植被对生态环境影响有限。</w:t>
      </w:r>
    </w:p>
    <w:p w14:paraId="2F2505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综上，本工程永久占地类型均为水域及水利设施用地(沟渠)，施工对植被产生永久破坏量有限，项目建设不会影响到植被群落整体的结构和功能，也不会影响沿线生态系统的稳定性，对于植物群落的多样性影响极其有限；植被连续性、生态系统空间结构完整性及生物多样性不会受到明显破坏，在严格按照环保措施进行施工建设的情况下，不会对当地自然生态产生明显影响。</w:t>
      </w:r>
    </w:p>
    <w:p w14:paraId="21EB198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临时占地影响</w:t>
      </w:r>
    </w:p>
    <w:p w14:paraId="7E51C1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为降低本工程对当地植被等生态环境影响，本工程临时占地尽量选择植被等生物量较小的空闲地及裸地。临时占地对植被的影响主要是土地占用对地表植被的清理及施工过程的碾压，开挖、临时设施占地几个方面。这些施工活动将破坏和影响该区域原有的地面植被，占地范围内造成少量植被损失，当地表植被局部被破坏后，其稳定性下降，防止水土流失的能力也随之下降，因此在施工期将产生一定的水土流失现象。临时占根据现场踏勘，主要以</w:t>
      </w:r>
      <w:r>
        <w:rPr>
          <w:rFonts w:hint="eastAsia" w:ascii="宋体" w:hAnsi="宋体" w:eastAsia="宋体" w:cs="宋体"/>
          <w:spacing w:val="2"/>
          <w:sz w:val="24"/>
          <w:szCs w:val="24"/>
          <w:lang w:val="en-US" w:eastAsia="zh-CN"/>
        </w:rPr>
        <w:t>杨树、骆驼测</w:t>
      </w:r>
      <w:r>
        <w:rPr>
          <w:rFonts w:ascii="宋体" w:hAnsi="宋体" w:eastAsia="宋体" w:cs="宋体"/>
          <w:spacing w:val="2"/>
          <w:sz w:val="24"/>
          <w:szCs w:val="24"/>
        </w:rPr>
        <w:t>、芦苇为主；除此之外临时占地类型均为其他土 地(裸地)和其他土地(空闲地)，地表植被覆盖度较低，约10%左右，施工结束后建设方将会对主体工程区及临时生产区的临时占地进行植草恢复，施工对植被密度和数量将产生一定影响，但不会导致区域植被种类和数量的严重减少，施工对植被影响有限。</w:t>
      </w:r>
    </w:p>
    <w:p w14:paraId="27916C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对陆生动物生态影响</w:t>
      </w:r>
    </w:p>
    <w:p w14:paraId="5F93B2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所在区域为人类活动较多的农业生产区域（农耕区），人类活动频繁，经现场勘查，区域无大型野生动物踪迹，野生动物以常有物种为主，主要是老鼠、野兔、麻雀等。施工开挖、运输、堆填等活动，可能会影响或缩小野生动物栖息空间和生存环境；施 工干扰会使野生动物受到惊吓，可能会影响野生动物的部分栖息地，也将被迫离开施 工区周围的栖息地或活动区域，使其迁往别处。本工程相对施工范围仅局限在渠道两侧，施工时间短、施工人数少、对野生动物的影响不集中体现。</w:t>
      </w:r>
    </w:p>
    <w:p w14:paraId="42C0319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lang w:eastAsia="zh-CN"/>
        </w:rPr>
        <w:t>）</w:t>
      </w:r>
      <w:r>
        <w:rPr>
          <w:rFonts w:ascii="宋体" w:hAnsi="宋体" w:eastAsia="宋体" w:cs="宋体"/>
          <w:spacing w:val="2"/>
          <w:sz w:val="24"/>
          <w:szCs w:val="24"/>
        </w:rPr>
        <w:t>对鸟类的影响分析</w:t>
      </w:r>
    </w:p>
    <w:p w14:paraId="78B842D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施工期，施工期间各种机械噪声以及产生的突发噪声，会使生活在附近的鸟类受到惊吓，迫使部分鸟类迁徙他处，远离施工范围，从而影响鸟类种群的分布。</w:t>
      </w:r>
    </w:p>
    <w:p w14:paraId="2C3D1E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施工机械对附近鸟类资源的影响是暂时的，当建设项目完工各种施工机械撤离后，这种影响就会消失。</w:t>
      </w:r>
    </w:p>
    <w:p w14:paraId="5987A1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5</w:t>
      </w:r>
      <w:r>
        <w:rPr>
          <w:rFonts w:hint="eastAsia" w:ascii="宋体" w:hAnsi="宋体" w:eastAsia="宋体" w:cs="宋体"/>
          <w:spacing w:val="2"/>
          <w:sz w:val="24"/>
          <w:szCs w:val="24"/>
          <w:lang w:eastAsia="zh-CN"/>
        </w:rPr>
        <w:t>）</w:t>
      </w:r>
      <w:r>
        <w:rPr>
          <w:rFonts w:ascii="宋体" w:hAnsi="宋体" w:eastAsia="宋体" w:cs="宋体"/>
          <w:spacing w:val="2"/>
          <w:sz w:val="24"/>
          <w:szCs w:val="24"/>
        </w:rPr>
        <w:t>对周边耕地环境的影响分析</w:t>
      </w:r>
    </w:p>
    <w:p w14:paraId="1DC574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本工程建设未占用耕地，但渠道两侧耕地较多，在施工的过程应注意保护耕地两侧 的农作物，在靠近耕地的区域设置围挡，尽量选择休耕期施工，缩小施工范围，不得践 踏农作物；进出路线按照规划路线走，禁止在耕地内丢弃垃圾；采取耕地周围设防护栏等措施；及时与当地农林行政主管部门进行沟通，接受其监督。</w:t>
      </w:r>
    </w:p>
    <w:p w14:paraId="71C71906">
      <w:pPr>
        <w:spacing w:before="183" w:line="221" w:lineRule="auto"/>
        <w:ind w:left="14"/>
        <w:outlineLvl w:val="3"/>
        <w:rPr>
          <w:rFonts w:ascii="宋体" w:hAnsi="宋体" w:eastAsia="宋体" w:cs="宋体"/>
          <w:b/>
          <w:bCs/>
          <w:sz w:val="24"/>
          <w:szCs w:val="24"/>
        </w:rPr>
      </w:pPr>
      <w:r>
        <w:rPr>
          <w:b/>
          <w:bCs/>
        </w:rPr>
        <w:fldChar w:fldCharType="begin"/>
      </w:r>
      <w:r>
        <w:rPr>
          <w:b/>
          <w:bCs/>
        </w:rPr>
        <w:instrText xml:space="preserve"> HYPERLINK "5.1.5.3"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5.1.5.3</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土壤影响</w:t>
      </w:r>
    </w:p>
    <w:p w14:paraId="6560EFB8">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80" w:firstLineChars="200"/>
        <w:textAlignment w:val="baseline"/>
        <w:rPr>
          <w:rFonts w:ascii="宋体" w:hAnsi="宋体" w:eastAsia="宋体" w:cs="宋体"/>
          <w:sz w:val="24"/>
          <w:szCs w:val="24"/>
        </w:rPr>
      </w:pPr>
      <w:r>
        <w:rPr>
          <w:rFonts w:ascii="宋体" w:hAnsi="宋体" w:eastAsia="宋体" w:cs="宋体"/>
          <w:sz w:val="24"/>
          <w:szCs w:val="24"/>
        </w:rPr>
        <w:t>本工程所在区域为冲洪积平原区，范围内土壤类型主要为沼泽土、草甸土、潮土、灌淤土，工程施工活动如清基、拆旧、土石方开挖回填等可能破坏地表保护层，土壤表层受干扰，降低地表稳定性，在风力、水力侵蚀的作用下，有可能使表土移动，加快该区域水土流失。此外，各种施工活动对区域的土壤环境造成局部性破坏和干扰，不同程度地破坏了局部区域土壤结构，施工中临时占地占用的其他土地（空闲地）、其他土地(裸土地)、林地(其他林地)、耕地（水浇地）内被机械碾压、人员践踏、土方翻放等，也会造成一定区域内的土壤板结，使土壤生产能力降低（尤其是农田）</w:t>
      </w:r>
      <w:r>
        <w:rPr>
          <w:rFonts w:hint="eastAsia" w:ascii="宋体" w:hAnsi="宋体" w:eastAsia="宋体" w:cs="宋体"/>
          <w:sz w:val="24"/>
          <w:szCs w:val="24"/>
          <w:lang w:eastAsia="zh-CN"/>
        </w:rPr>
        <w:t>。</w:t>
      </w:r>
      <w:r>
        <w:rPr>
          <w:rFonts w:ascii="宋体" w:hAnsi="宋体" w:eastAsia="宋体" w:cs="宋体"/>
          <w:sz w:val="24"/>
          <w:szCs w:val="24"/>
        </w:rPr>
        <w:t>项目在改造过程和改造完成后将进行永久和临时占地的清理和恢复，同时开展植草活动，在采取措施后项目所在各区域原土壤的抗外界侵蚀力将有所改善。</w:t>
      </w:r>
    </w:p>
    <w:p w14:paraId="4A885B4F">
      <w:pPr>
        <w:spacing w:before="184" w:line="219" w:lineRule="auto"/>
        <w:ind w:left="14"/>
        <w:outlineLvl w:val="3"/>
        <w:rPr>
          <w:rFonts w:ascii="宋体" w:hAnsi="宋体" w:eastAsia="宋体" w:cs="宋体"/>
          <w:sz w:val="24"/>
          <w:szCs w:val="24"/>
        </w:rPr>
      </w:pPr>
      <w:r>
        <w:rPr>
          <w:b/>
          <w:bCs/>
        </w:rPr>
        <w:fldChar w:fldCharType="begin"/>
      </w:r>
      <w:r>
        <w:rPr>
          <w:b/>
          <w:bCs/>
        </w:rPr>
        <w:instrText xml:space="preserve"> HYPERLINK "5.1.5.4"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5.1.5.4</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景观影响</w:t>
      </w:r>
    </w:p>
    <w:p w14:paraId="4ADBC729">
      <w:pPr>
        <w:spacing w:before="183" w:line="360" w:lineRule="auto"/>
        <w:ind w:left="7" w:right="108" w:firstLine="480"/>
        <w:jc w:val="both"/>
        <w:rPr>
          <w:rFonts w:ascii="宋体" w:hAnsi="宋体" w:eastAsia="宋体" w:cs="宋体"/>
          <w:sz w:val="24"/>
          <w:szCs w:val="24"/>
        </w:rPr>
      </w:pPr>
      <w:r>
        <w:rPr>
          <w:rFonts w:ascii="宋体" w:hAnsi="宋体" w:eastAsia="宋体" w:cs="宋体"/>
          <w:spacing w:val="2"/>
          <w:sz w:val="24"/>
          <w:szCs w:val="24"/>
        </w:rPr>
        <w:t>施工建筑材料、临时土石方的堆放，施工物料的运输、土方开挖回填等施工活动</w:t>
      </w:r>
      <w:r>
        <w:rPr>
          <w:rFonts w:ascii="宋体" w:hAnsi="宋体" w:eastAsia="宋体" w:cs="宋体"/>
          <w:spacing w:val="1"/>
          <w:sz w:val="24"/>
          <w:szCs w:val="24"/>
        </w:rPr>
        <w:t xml:space="preserve"> </w:t>
      </w:r>
      <w:r>
        <w:rPr>
          <w:rFonts w:ascii="宋体" w:hAnsi="宋体" w:eastAsia="宋体" w:cs="宋体"/>
          <w:spacing w:val="2"/>
          <w:sz w:val="24"/>
          <w:szCs w:val="24"/>
        </w:rPr>
        <w:t>将会对周围景观产生不良影响，但所在区域受到较多人为活动影响，渠道周边多</w:t>
      </w:r>
      <w:r>
        <w:rPr>
          <w:rFonts w:ascii="宋体" w:hAnsi="宋体" w:eastAsia="宋体" w:cs="宋体"/>
          <w:spacing w:val="1"/>
          <w:sz w:val="24"/>
          <w:szCs w:val="24"/>
        </w:rPr>
        <w:t>为空</w:t>
      </w:r>
      <w:r>
        <w:rPr>
          <w:rFonts w:ascii="宋体" w:hAnsi="宋体" w:eastAsia="宋体" w:cs="宋体"/>
          <w:sz w:val="24"/>
          <w:szCs w:val="24"/>
        </w:rPr>
        <w:t xml:space="preserve"> </w:t>
      </w:r>
      <w:r>
        <w:rPr>
          <w:rFonts w:ascii="宋体" w:hAnsi="宋体" w:eastAsia="宋体" w:cs="宋体"/>
          <w:spacing w:val="2"/>
          <w:sz w:val="24"/>
          <w:szCs w:val="24"/>
        </w:rPr>
        <w:t>地、农田，且上述施工行为为短期行为，施工结束后区域将进行清理恢复，因此</w:t>
      </w:r>
      <w:r>
        <w:rPr>
          <w:rFonts w:ascii="宋体" w:hAnsi="宋体" w:eastAsia="宋体" w:cs="宋体"/>
          <w:spacing w:val="1"/>
          <w:sz w:val="24"/>
          <w:szCs w:val="24"/>
        </w:rPr>
        <w:t>项目</w:t>
      </w:r>
      <w:r>
        <w:rPr>
          <w:rFonts w:ascii="宋体" w:hAnsi="宋体" w:eastAsia="宋体" w:cs="宋体"/>
          <w:sz w:val="24"/>
          <w:szCs w:val="24"/>
        </w:rPr>
        <w:t xml:space="preserve"> </w:t>
      </w:r>
      <w:r>
        <w:rPr>
          <w:rFonts w:ascii="宋体" w:hAnsi="宋体" w:eastAsia="宋体" w:cs="宋体"/>
          <w:spacing w:val="1"/>
          <w:sz w:val="24"/>
          <w:szCs w:val="24"/>
        </w:rPr>
        <w:t>实施对区域生态景观产生的影响不大。项目在施工活动中，</w:t>
      </w:r>
      <w:r>
        <w:rPr>
          <w:rFonts w:ascii="宋体" w:hAnsi="宋体" w:eastAsia="宋体" w:cs="宋体"/>
          <w:sz w:val="24"/>
          <w:szCs w:val="24"/>
        </w:rPr>
        <w:t>应注重施工活动与</w:t>
      </w:r>
      <w:r>
        <w:rPr>
          <w:rFonts w:ascii="宋体" w:hAnsi="宋体" w:eastAsia="宋体" w:cs="宋体"/>
          <w:spacing w:val="-45"/>
          <w:sz w:val="24"/>
          <w:szCs w:val="24"/>
        </w:rPr>
        <w:t xml:space="preserve"> </w:t>
      </w:r>
      <w:r>
        <w:rPr>
          <w:rFonts w:ascii="宋体" w:hAnsi="宋体" w:eastAsia="宋体" w:cs="宋体"/>
          <w:sz w:val="24"/>
          <w:szCs w:val="24"/>
        </w:rPr>
        <w:t>3</w:t>
      </w:r>
      <w:r>
        <w:rPr>
          <w:rFonts w:ascii="宋体" w:hAnsi="宋体" w:eastAsia="宋体" w:cs="宋体"/>
          <w:spacing w:val="-31"/>
          <w:sz w:val="24"/>
          <w:szCs w:val="24"/>
        </w:rPr>
        <w:t xml:space="preserve"> </w:t>
      </w:r>
      <w:r>
        <w:rPr>
          <w:rFonts w:ascii="宋体" w:hAnsi="宋体" w:eastAsia="宋体" w:cs="宋体"/>
          <w:sz w:val="24"/>
          <w:szCs w:val="24"/>
        </w:rPr>
        <w:t xml:space="preserve">区各 </w:t>
      </w:r>
      <w:r>
        <w:rPr>
          <w:rFonts w:ascii="宋体" w:hAnsi="宋体" w:eastAsia="宋体" w:cs="宋体"/>
          <w:spacing w:val="2"/>
          <w:sz w:val="24"/>
          <w:szCs w:val="24"/>
        </w:rPr>
        <w:t>自周围景观的协调性与完整性。建筑材料、土石方等临时堆放时主要利用空地（</w:t>
      </w:r>
      <w:r>
        <w:rPr>
          <w:rFonts w:ascii="宋体" w:hAnsi="宋体" w:eastAsia="宋体" w:cs="宋体"/>
          <w:spacing w:val="1"/>
          <w:sz w:val="24"/>
          <w:szCs w:val="24"/>
        </w:rPr>
        <w:t>空闲</w:t>
      </w:r>
      <w:r>
        <w:rPr>
          <w:rFonts w:ascii="宋体" w:hAnsi="宋体" w:eastAsia="宋体" w:cs="宋体"/>
          <w:sz w:val="24"/>
          <w:szCs w:val="24"/>
        </w:rPr>
        <w:t xml:space="preserve"> </w:t>
      </w:r>
      <w:r>
        <w:rPr>
          <w:rFonts w:ascii="宋体" w:hAnsi="宋体" w:eastAsia="宋体" w:cs="宋体"/>
          <w:spacing w:val="2"/>
          <w:sz w:val="24"/>
          <w:szCs w:val="24"/>
        </w:rPr>
        <w:t>地、裸土地、建设用地</w:t>
      </w:r>
      <w:r>
        <w:rPr>
          <w:rFonts w:ascii="宋体" w:hAnsi="宋体" w:eastAsia="宋体" w:cs="宋体"/>
          <w:spacing w:val="8"/>
          <w:sz w:val="24"/>
          <w:szCs w:val="24"/>
        </w:rPr>
        <w:t>），</w:t>
      </w:r>
      <w:r>
        <w:rPr>
          <w:rFonts w:ascii="宋体" w:hAnsi="宋体" w:eastAsia="宋体" w:cs="宋体"/>
          <w:spacing w:val="2"/>
          <w:sz w:val="24"/>
          <w:szCs w:val="24"/>
        </w:rPr>
        <w:t>堆放时应整齐，采用防</w:t>
      </w:r>
      <w:r>
        <w:rPr>
          <w:rFonts w:ascii="宋体" w:hAnsi="宋体" w:eastAsia="宋体" w:cs="宋体"/>
          <w:spacing w:val="1"/>
          <w:sz w:val="24"/>
          <w:szCs w:val="24"/>
        </w:rPr>
        <w:t>尘布覆盖。在采取上述措施后，施</w:t>
      </w:r>
    </w:p>
    <w:p w14:paraId="0B1FF05A">
      <w:pPr>
        <w:spacing w:line="360" w:lineRule="auto"/>
        <w:ind w:left="12"/>
        <w:rPr>
          <w:rFonts w:ascii="宋体" w:hAnsi="宋体" w:eastAsia="宋体" w:cs="宋体"/>
          <w:sz w:val="24"/>
          <w:szCs w:val="24"/>
        </w:rPr>
      </w:pPr>
      <w:r>
        <w:rPr>
          <w:rFonts w:ascii="宋体" w:hAnsi="宋体" w:eastAsia="宋体" w:cs="宋体"/>
          <w:spacing w:val="-1"/>
          <w:sz w:val="24"/>
          <w:szCs w:val="24"/>
        </w:rPr>
        <w:t>工期对景观的不利影响将减到最低程度。</w:t>
      </w:r>
    </w:p>
    <w:p w14:paraId="1C5C2EBC">
      <w:pPr>
        <w:spacing w:before="181" w:line="219" w:lineRule="auto"/>
        <w:ind w:left="14"/>
        <w:outlineLvl w:val="3"/>
        <w:rPr>
          <w:rFonts w:ascii="宋体" w:hAnsi="宋体" w:eastAsia="宋体" w:cs="宋体"/>
          <w:sz w:val="24"/>
          <w:szCs w:val="24"/>
        </w:rPr>
      </w:pPr>
      <w:r>
        <w:rPr>
          <w:b/>
          <w:bCs/>
        </w:rPr>
        <w:fldChar w:fldCharType="begin"/>
      </w:r>
      <w:r>
        <w:rPr>
          <w:b/>
          <w:bCs/>
        </w:rPr>
        <w:instrText xml:space="preserve"> HYPERLINK "5.1.5.5" </w:instrText>
      </w:r>
      <w:r>
        <w:rPr>
          <w:b/>
          <w:bCs/>
        </w:rPr>
        <w:fldChar w:fldCharType="separate"/>
      </w:r>
      <w:r>
        <w:rPr>
          <w:rFonts w:ascii="宋体" w:hAnsi="宋体" w:eastAsia="宋体" w:cs="宋体"/>
          <w:b/>
          <w:bCs/>
          <w:spacing w:val="-3"/>
          <w:sz w:val="24"/>
          <w:szCs w:val="24"/>
          <w14:textOutline w14:w="4358" w14:cap="sq" w14:cmpd="sng">
            <w14:solidFill>
              <w14:srgbClr w14:val="000000"/>
            </w14:solidFill>
            <w14:prstDash w14:val="solid"/>
            <w14:bevel/>
          </w14:textOutline>
        </w:rPr>
        <w:t>5.1.5.5</w:t>
      </w:r>
      <w:r>
        <w:rPr>
          <w:rFonts w:ascii="宋体" w:hAnsi="宋体" w:eastAsia="宋体" w:cs="宋体"/>
          <w:b/>
          <w:bCs/>
          <w:spacing w:val="-3"/>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3"/>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3"/>
          <w:sz w:val="24"/>
          <w:szCs w:val="24"/>
          <w14:textOutline w14:w="4358" w14:cap="sq" w14:cmpd="sng">
            <w14:solidFill>
              <w14:srgbClr w14:val="000000"/>
            </w14:solidFill>
            <w14:prstDash w14:val="solid"/>
            <w14:bevel/>
          </w14:textOutline>
        </w:rPr>
        <w:t>自然体系稳定性影响</w:t>
      </w:r>
    </w:p>
    <w:p w14:paraId="4A221C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由工程分析可知，项目实施对自然体系稳定状况的度量可从恢复稳定性和阻抗稳定性两个角度来度量。</w:t>
      </w:r>
    </w:p>
    <w:p w14:paraId="0E71EF8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对自然体系阻抗稳定性的度量，是通过对植被异质性程度的改变程度来度量的。评价范围内的土地利用类型主要为农业生态功能区的人工管理生态系统。从景观生态学角度看，人工管理的生态系统相对自然生态系统的稳定性调控能力不是很强。天然植被对自然系统有着较强的调控的能力，上述区域所在区域受人为活动影响较大，工程区域内天然植被被侵扰度为一般。因此，项目实施对区域自然体系稳定性将产生一定影响。</w:t>
      </w:r>
    </w:p>
    <w:p w14:paraId="224D4454">
      <w:pPr>
        <w:spacing w:before="183" w:line="219" w:lineRule="auto"/>
        <w:ind w:left="14"/>
        <w:outlineLvl w:val="3"/>
        <w:rPr>
          <w:rFonts w:ascii="宋体" w:hAnsi="宋体" w:eastAsia="宋体" w:cs="宋体"/>
          <w:sz w:val="24"/>
          <w:szCs w:val="24"/>
        </w:rPr>
      </w:pPr>
      <w:r>
        <w:rPr>
          <w:b/>
          <w:bCs/>
        </w:rPr>
        <w:fldChar w:fldCharType="begin"/>
      </w:r>
      <w:r>
        <w:rPr>
          <w:b/>
          <w:bCs/>
        </w:rPr>
        <w:instrText xml:space="preserve"> HYPERLINK "5.1.5.6"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5.1.5.6</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水土流失影响</w:t>
      </w:r>
    </w:p>
    <w:p w14:paraId="709CE96C">
      <w:pPr>
        <w:spacing w:before="180" w:line="360" w:lineRule="auto"/>
        <w:ind w:left="13" w:right="108" w:firstLine="475"/>
        <w:jc w:val="both"/>
        <w:rPr>
          <w:rFonts w:ascii="宋体" w:hAnsi="宋体" w:eastAsia="宋体" w:cs="宋体"/>
          <w:sz w:val="24"/>
          <w:szCs w:val="24"/>
        </w:rPr>
      </w:pPr>
      <w:r>
        <w:rPr>
          <w:rFonts w:ascii="宋体" w:hAnsi="宋体" w:eastAsia="宋体" w:cs="宋体"/>
          <w:spacing w:val="2"/>
          <w:sz w:val="24"/>
          <w:szCs w:val="24"/>
        </w:rPr>
        <w:t>施工期渠道清基、旧渠及旧渠系构筑物拆除、土方开挖、敷设垫层、土方回填等活动使工程区表层土受到扰动，土壤松动，施工过程在土石方堆存、</w:t>
      </w:r>
      <w:r>
        <w:rPr>
          <w:rFonts w:ascii="宋体" w:hAnsi="宋体" w:eastAsia="宋体" w:cs="宋体"/>
          <w:spacing w:val="1"/>
          <w:sz w:val="24"/>
          <w:szCs w:val="24"/>
        </w:rPr>
        <w:t>临时占地内出现</w:t>
      </w:r>
      <w:r>
        <w:rPr>
          <w:rFonts w:ascii="宋体" w:hAnsi="宋体" w:eastAsia="宋体" w:cs="宋体"/>
          <w:spacing w:val="-1"/>
          <w:sz w:val="24"/>
          <w:szCs w:val="24"/>
        </w:rPr>
        <w:t>机械碾压、人员践踏时，易发生水土流失。</w:t>
      </w:r>
      <w:r>
        <w:rPr>
          <w:rFonts w:hint="eastAsia" w:ascii="宋体" w:hAnsi="宋体" w:eastAsia="宋体" w:cs="宋体"/>
          <w:spacing w:val="-2"/>
          <w:sz w:val="24"/>
          <w:szCs w:val="24"/>
        </w:rPr>
        <w:t>按照水土流失类型相同，地形地貌相似，各区之间差异较大的原则，将本工程的水土流失防治区划分为一个一级防治分区，4个二级分区，水土流失防治范围总面积为 675.81hm</w:t>
      </w:r>
      <w:r>
        <w:rPr>
          <w:rFonts w:hint="eastAsia" w:ascii="宋体" w:hAnsi="宋体" w:eastAsia="宋体" w:cs="宋体"/>
          <w:spacing w:val="-2"/>
          <w:sz w:val="24"/>
          <w:szCs w:val="24"/>
          <w:vertAlign w:val="superscript"/>
          <w:lang w:val="en-US" w:eastAsia="zh-CN"/>
        </w:rPr>
        <w:t>2</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高昌区水土流失防治范围面积为186.61hm</w:t>
      </w:r>
      <w:r>
        <w:rPr>
          <w:rFonts w:hint="eastAsia" w:ascii="宋体" w:hAnsi="宋体" w:eastAsia="宋体" w:cs="宋体"/>
          <w:spacing w:val="-2"/>
          <w:sz w:val="24"/>
          <w:szCs w:val="24"/>
          <w:vertAlign w:val="superscript"/>
          <w:lang w:val="en-US" w:eastAsia="zh-CN"/>
        </w:rPr>
        <w:t>2</w:t>
      </w:r>
      <w:r>
        <w:rPr>
          <w:rFonts w:hint="eastAsia" w:ascii="宋体" w:hAnsi="宋体" w:eastAsia="宋体" w:cs="宋体"/>
          <w:spacing w:val="-2"/>
          <w:sz w:val="24"/>
          <w:szCs w:val="24"/>
        </w:rPr>
        <w:t>，鄯善县水土流失防治范围面积为202.37hm</w:t>
      </w:r>
      <w:r>
        <w:rPr>
          <w:rFonts w:hint="eastAsia" w:ascii="宋体" w:hAnsi="宋体" w:eastAsia="宋体" w:cs="宋体"/>
          <w:spacing w:val="-2"/>
          <w:sz w:val="24"/>
          <w:szCs w:val="24"/>
          <w:vertAlign w:val="superscript"/>
          <w:lang w:val="en-US" w:eastAsia="zh-CN"/>
        </w:rPr>
        <w:t>2</w:t>
      </w:r>
      <w:r>
        <w:rPr>
          <w:rFonts w:hint="eastAsia" w:ascii="宋体" w:hAnsi="宋体" w:eastAsia="宋体" w:cs="宋体"/>
          <w:spacing w:val="-2"/>
          <w:sz w:val="24"/>
          <w:szCs w:val="24"/>
        </w:rPr>
        <w:t>，托克逊县水土流失防治范围面积为286.83hm</w:t>
      </w:r>
      <w:r>
        <w:rPr>
          <w:rFonts w:hint="eastAsia" w:ascii="宋体" w:hAnsi="宋体" w:eastAsia="宋体" w:cs="宋体"/>
          <w:spacing w:val="-2"/>
          <w:sz w:val="24"/>
          <w:szCs w:val="24"/>
          <w:vertAlign w:val="superscript"/>
          <w:lang w:val="en-US" w:eastAsia="zh-CN"/>
        </w:rPr>
        <w:t>2</w:t>
      </w:r>
      <w:r>
        <w:rPr>
          <w:rFonts w:ascii="宋体" w:hAnsi="宋体" w:eastAsia="宋体" w:cs="宋体"/>
          <w:spacing w:val="-2"/>
          <w:sz w:val="24"/>
          <w:szCs w:val="24"/>
        </w:rPr>
        <w:t>。</w:t>
      </w:r>
    </w:p>
    <w:p w14:paraId="3F5340C8">
      <w:pPr>
        <w:keepNext w:val="0"/>
        <w:keepLines w:val="0"/>
        <w:pageBreakBefore w:val="0"/>
        <w:widowControl/>
        <w:kinsoku w:val="0"/>
        <w:wordWrap/>
        <w:overflowPunct/>
        <w:topLinePunct w:val="0"/>
        <w:autoSpaceDE w:val="0"/>
        <w:autoSpaceDN w:val="0"/>
        <w:bidi w:val="0"/>
        <w:adjustRightInd w:val="0"/>
        <w:snapToGrid w:val="0"/>
        <w:spacing w:line="360" w:lineRule="auto"/>
        <w:ind w:left="13" w:right="46" w:firstLine="488" w:firstLineChars="200"/>
        <w:textAlignment w:val="baseline"/>
        <w:rPr>
          <w:rFonts w:ascii="宋体" w:hAnsi="宋体" w:eastAsia="宋体" w:cs="宋体"/>
          <w:sz w:val="24"/>
          <w:szCs w:val="24"/>
        </w:rPr>
      </w:pPr>
      <w:r>
        <w:rPr>
          <w:rFonts w:ascii="宋体" w:hAnsi="宋体" w:eastAsia="宋体" w:cs="宋体"/>
          <w:spacing w:val="2"/>
          <w:sz w:val="24"/>
          <w:szCs w:val="24"/>
        </w:rPr>
        <w:t>项目施工过程中如不采取水土保持措施，将造成评价区渠道及</w:t>
      </w:r>
      <w:r>
        <w:rPr>
          <w:rFonts w:hint="eastAsia" w:ascii="宋体" w:hAnsi="宋体" w:eastAsia="宋体" w:cs="宋体"/>
          <w:spacing w:val="2"/>
          <w:sz w:val="24"/>
          <w:szCs w:val="24"/>
          <w:lang w:eastAsia="zh-CN"/>
        </w:rPr>
        <w:t>泵房</w:t>
      </w:r>
      <w:r>
        <w:rPr>
          <w:rFonts w:ascii="宋体" w:hAnsi="宋体" w:eastAsia="宋体" w:cs="宋体"/>
          <w:spacing w:val="1"/>
          <w:sz w:val="24"/>
          <w:szCs w:val="24"/>
        </w:rPr>
        <w:t>周边评价范</w:t>
      </w:r>
      <w:r>
        <w:rPr>
          <w:rFonts w:ascii="宋体" w:hAnsi="宋体" w:eastAsia="宋体" w:cs="宋体"/>
          <w:spacing w:val="-3"/>
          <w:sz w:val="24"/>
          <w:szCs w:val="24"/>
        </w:rPr>
        <w:t>围内水土流失加剧，其影响主要体现在：渠道周边土地肥力降低，在风力侵蚀作用下，</w:t>
      </w:r>
      <w:r>
        <w:rPr>
          <w:rFonts w:ascii="宋体" w:hAnsi="宋体" w:eastAsia="宋体" w:cs="宋体"/>
          <w:spacing w:val="3"/>
          <w:sz w:val="24"/>
          <w:szCs w:val="24"/>
        </w:rPr>
        <w:t>土地营养加速流失，进一步影响区域自然植被和农田耕种</w:t>
      </w:r>
      <w:r>
        <w:rPr>
          <w:rFonts w:ascii="宋体" w:hAnsi="宋体" w:eastAsia="宋体" w:cs="宋体"/>
          <w:spacing w:val="2"/>
          <w:sz w:val="24"/>
          <w:szCs w:val="24"/>
        </w:rPr>
        <w:t>植被生长；加速土壤沙化，沙化土壤迁移造成渠道内淤积和附近</w:t>
      </w:r>
      <w:r>
        <w:rPr>
          <w:rFonts w:hint="eastAsia" w:ascii="宋体" w:hAnsi="宋体" w:eastAsia="宋体" w:cs="宋体"/>
          <w:spacing w:val="2"/>
          <w:sz w:val="24"/>
          <w:szCs w:val="24"/>
          <w:lang w:eastAsia="zh-CN"/>
        </w:rPr>
        <w:t>艾丁湖</w:t>
      </w:r>
      <w:r>
        <w:rPr>
          <w:rFonts w:ascii="宋体" w:hAnsi="宋体" w:eastAsia="宋体" w:cs="宋体"/>
          <w:spacing w:val="2"/>
          <w:sz w:val="24"/>
          <w:szCs w:val="24"/>
        </w:rPr>
        <w:t>河河床泥沙淤积量增大，进</w:t>
      </w:r>
      <w:r>
        <w:rPr>
          <w:rFonts w:ascii="宋体" w:hAnsi="宋体" w:eastAsia="宋体" w:cs="宋体"/>
          <w:spacing w:val="1"/>
          <w:sz w:val="24"/>
          <w:szCs w:val="24"/>
        </w:rPr>
        <w:t>一步影响灌区</w:t>
      </w:r>
      <w:r>
        <w:rPr>
          <w:rFonts w:ascii="宋体" w:hAnsi="宋体" w:eastAsia="宋体" w:cs="宋体"/>
          <w:spacing w:val="2"/>
          <w:sz w:val="24"/>
          <w:szCs w:val="24"/>
        </w:rPr>
        <w:t>农灌，加大清淤成本；削弱</w:t>
      </w:r>
      <w:r>
        <w:rPr>
          <w:rFonts w:hint="eastAsia" w:ascii="宋体" w:hAnsi="宋体" w:eastAsia="宋体" w:cs="宋体"/>
          <w:spacing w:val="2"/>
          <w:sz w:val="24"/>
          <w:szCs w:val="24"/>
          <w:lang w:eastAsia="zh-CN"/>
        </w:rPr>
        <w:t>吐鲁番市</w:t>
      </w:r>
      <w:r>
        <w:rPr>
          <w:rFonts w:ascii="宋体" w:hAnsi="宋体" w:eastAsia="宋体" w:cs="宋体"/>
          <w:spacing w:val="2"/>
          <w:sz w:val="24"/>
          <w:szCs w:val="24"/>
        </w:rPr>
        <w:t>生态环境的调节功能，土壤调节水分功能会</w:t>
      </w:r>
      <w:r>
        <w:rPr>
          <w:rFonts w:ascii="宋体" w:hAnsi="宋体" w:eastAsia="宋体" w:cs="宋体"/>
          <w:spacing w:val="1"/>
          <w:sz w:val="24"/>
          <w:szCs w:val="24"/>
        </w:rPr>
        <w:t>出现区</w:t>
      </w:r>
      <w:r>
        <w:rPr>
          <w:rFonts w:ascii="宋体" w:hAnsi="宋体" w:eastAsia="宋体" w:cs="宋体"/>
          <w:spacing w:val="-1"/>
          <w:sz w:val="24"/>
          <w:szCs w:val="24"/>
        </w:rPr>
        <w:t>域性下降，增加旱灾的发生概率。</w:t>
      </w:r>
    </w:p>
    <w:p w14:paraId="0C5582A4">
      <w:pPr>
        <w:spacing w:before="180" w:line="220" w:lineRule="auto"/>
        <w:ind w:left="18"/>
        <w:outlineLvl w:val="3"/>
        <w:rPr>
          <w:rFonts w:ascii="宋体" w:hAnsi="宋体" w:eastAsia="宋体" w:cs="宋体"/>
          <w:sz w:val="24"/>
          <w:szCs w:val="24"/>
        </w:rPr>
      </w:pPr>
      <w:r>
        <w:rPr>
          <w:b/>
          <w:bCs/>
        </w:rPr>
        <w:fldChar w:fldCharType="begin"/>
      </w:r>
      <w:r>
        <w:rPr>
          <w:b/>
          <w:bCs/>
        </w:rPr>
        <w:instrText xml:space="preserve"> HYPERLINK "5.1.5.7" </w:instrText>
      </w:r>
      <w:r>
        <w:rPr>
          <w:b/>
          <w:bCs/>
        </w:rPr>
        <w:fldChar w:fldCharType="separate"/>
      </w:r>
      <w:r>
        <w:rPr>
          <w:rFonts w:ascii="宋体" w:hAnsi="宋体" w:eastAsia="宋体" w:cs="宋体"/>
          <w:b/>
          <w:bCs/>
          <w:spacing w:val="-3"/>
          <w:sz w:val="24"/>
          <w:szCs w:val="24"/>
          <w14:textOutline w14:w="4358" w14:cap="sq" w14:cmpd="sng">
            <w14:solidFill>
              <w14:srgbClr w14:val="000000"/>
            </w14:solidFill>
            <w14:prstDash w14:val="solid"/>
            <w14:bevel/>
          </w14:textOutline>
        </w:rPr>
        <w:t>5.1.5.7</w:t>
      </w:r>
      <w:r>
        <w:rPr>
          <w:rFonts w:ascii="宋体" w:hAnsi="宋体" w:eastAsia="宋体" w:cs="宋体"/>
          <w:b/>
          <w:bCs/>
          <w:spacing w:val="-3"/>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3"/>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3"/>
          <w:sz w:val="24"/>
          <w:szCs w:val="24"/>
          <w14:textOutline w14:w="4358" w14:cap="sq" w14:cmpd="sng">
            <w14:solidFill>
              <w14:srgbClr w14:val="000000"/>
            </w14:solidFill>
            <w14:prstDash w14:val="solid"/>
            <w14:bevel/>
          </w14:textOutline>
        </w:rPr>
        <w:t>下游农业影响</w:t>
      </w:r>
    </w:p>
    <w:p w14:paraId="4975A22B">
      <w:pPr>
        <w:spacing w:before="183" w:line="359" w:lineRule="auto"/>
        <w:ind w:left="13" w:right="108" w:firstLine="480"/>
        <w:rPr>
          <w:rFonts w:ascii="宋体" w:hAnsi="宋体" w:eastAsia="宋体" w:cs="宋体"/>
          <w:sz w:val="24"/>
          <w:szCs w:val="24"/>
        </w:rPr>
      </w:pPr>
      <w:r>
        <w:rPr>
          <w:rFonts w:ascii="宋体" w:hAnsi="宋体" w:eastAsia="宋体" w:cs="宋体"/>
          <w:spacing w:val="2"/>
          <w:sz w:val="24"/>
          <w:szCs w:val="24"/>
        </w:rPr>
        <w:t>本工程改造渠道主要为</w:t>
      </w:r>
      <w:r>
        <w:rPr>
          <w:rFonts w:hint="eastAsia" w:ascii="宋体" w:hAnsi="宋体" w:eastAsia="宋体" w:cs="宋体"/>
          <w:spacing w:val="2"/>
          <w:sz w:val="24"/>
          <w:szCs w:val="24"/>
          <w:lang w:eastAsia="zh-CN"/>
        </w:rPr>
        <w:t>艾丁湖流域</w:t>
      </w:r>
      <w:r>
        <w:rPr>
          <w:rFonts w:ascii="宋体" w:hAnsi="宋体" w:eastAsia="宋体" w:cs="宋体"/>
          <w:spacing w:val="2"/>
          <w:sz w:val="24"/>
          <w:szCs w:val="24"/>
        </w:rPr>
        <w:t>灌区输水，</w:t>
      </w:r>
      <w:r>
        <w:rPr>
          <w:rFonts w:ascii="宋体" w:hAnsi="宋体" w:eastAsia="宋体" w:cs="宋体"/>
          <w:spacing w:val="-1"/>
          <w:sz w:val="24"/>
          <w:szCs w:val="24"/>
        </w:rPr>
        <w:t>以不影响农田灌溉为原则，</w:t>
      </w:r>
      <w:r>
        <w:rPr>
          <w:rFonts w:hint="eastAsia" w:ascii="宋体" w:hAnsi="宋体" w:eastAsia="宋体" w:cs="宋体"/>
          <w:spacing w:val="-1"/>
          <w:sz w:val="24"/>
          <w:szCs w:val="24"/>
          <w:lang w:val="en-US" w:eastAsia="zh-CN"/>
        </w:rPr>
        <w:t>渠道</w:t>
      </w:r>
      <w:r>
        <w:rPr>
          <w:rFonts w:ascii="宋体" w:hAnsi="宋体" w:eastAsia="宋体" w:cs="宋体"/>
          <w:spacing w:val="2"/>
          <w:sz w:val="24"/>
          <w:szCs w:val="24"/>
        </w:rPr>
        <w:t>及渠系建筑物施工均安排在非灌溉期，枯水期结合非</w:t>
      </w:r>
      <w:r>
        <w:rPr>
          <w:rFonts w:ascii="宋体" w:hAnsi="宋体" w:eastAsia="宋体" w:cs="宋体"/>
          <w:spacing w:val="1"/>
          <w:sz w:val="24"/>
          <w:szCs w:val="24"/>
        </w:rPr>
        <w:t>灌溉期施</w:t>
      </w:r>
      <w:r>
        <w:rPr>
          <w:rFonts w:ascii="宋体" w:hAnsi="宋体" w:eastAsia="宋体" w:cs="宋体"/>
          <w:sz w:val="24"/>
          <w:szCs w:val="24"/>
        </w:rPr>
        <w:t>工</w:t>
      </w:r>
      <w:r>
        <w:rPr>
          <w:rFonts w:hint="eastAsia" w:ascii="宋体" w:hAnsi="宋体" w:eastAsia="宋体" w:cs="宋体"/>
          <w:sz w:val="24"/>
          <w:szCs w:val="24"/>
          <w:lang w:eastAsia="zh-CN"/>
        </w:rPr>
        <w:t>，</w:t>
      </w:r>
      <w:r>
        <w:rPr>
          <w:rFonts w:ascii="宋体" w:hAnsi="宋体" w:eastAsia="宋体" w:cs="宋体"/>
          <w:sz w:val="24"/>
          <w:szCs w:val="24"/>
        </w:rPr>
        <w:t>施工期间不设计导流渠，施工对评价区域灌区</w:t>
      </w:r>
      <w:r>
        <w:rPr>
          <w:rFonts w:ascii="宋体" w:hAnsi="宋体" w:eastAsia="宋体" w:cs="宋体"/>
          <w:spacing w:val="-1"/>
          <w:sz w:val="24"/>
          <w:szCs w:val="24"/>
        </w:rPr>
        <w:t>及下游灌区农业生产影响较小。</w:t>
      </w:r>
    </w:p>
    <w:p w14:paraId="6138A2C6">
      <w:pPr>
        <w:spacing w:before="182" w:line="220" w:lineRule="auto"/>
        <w:ind w:left="18"/>
        <w:outlineLvl w:val="3"/>
        <w:rPr>
          <w:rFonts w:ascii="宋体" w:hAnsi="宋体" w:eastAsia="宋体" w:cs="宋体"/>
          <w:b/>
          <w:bCs/>
          <w:sz w:val="24"/>
          <w:szCs w:val="24"/>
        </w:rPr>
      </w:pPr>
      <w:r>
        <w:rPr>
          <w:b/>
          <w:bCs/>
        </w:rPr>
        <w:fldChar w:fldCharType="begin"/>
      </w:r>
      <w:r>
        <w:rPr>
          <w:b/>
          <w:bCs/>
        </w:rPr>
        <w:instrText xml:space="preserve"> HYPERLINK "5.1.5.8"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5.1.5.8</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b/>
          <w:bCs/>
          <w:spacing w:val="-1"/>
          <w:sz w:val="24"/>
          <w:szCs w:val="24"/>
          <w:lang w:eastAsia="zh-CN"/>
          <w14:textOutline w14:w="4358" w14:cap="sq" w14:cmpd="sng">
            <w14:solidFill>
              <w14:srgbClr w14:val="000000"/>
            </w14:solidFill>
            <w14:prstDash w14:val="solid"/>
            <w14:bevel/>
          </w14:textOutline>
        </w:rPr>
        <w:t>艾丁湖</w:t>
      </w:r>
      <w:r>
        <w:rPr>
          <w:rFonts w:ascii="宋体" w:hAnsi="宋体" w:eastAsia="宋体" w:cs="宋体"/>
          <w:b/>
          <w:bCs/>
          <w:spacing w:val="-1"/>
          <w:sz w:val="24"/>
          <w:szCs w:val="24"/>
          <w14:textOutline w14:w="4358" w14:cap="sq" w14:cmpd="sng">
            <w14:solidFill>
              <w14:srgbClr w14:val="000000"/>
            </w14:solidFill>
            <w14:prstDash w14:val="solid"/>
            <w14:bevel/>
          </w14:textOutline>
        </w:rPr>
        <w:t>湿地影响</w:t>
      </w:r>
    </w:p>
    <w:p w14:paraId="414728C1">
      <w:pPr>
        <w:spacing w:before="183" w:line="360" w:lineRule="auto"/>
        <w:ind w:left="13" w:right="108" w:firstLine="480"/>
        <w:rPr>
          <w:rFonts w:ascii="宋体" w:hAnsi="宋体" w:eastAsia="宋体" w:cs="宋体"/>
          <w:sz w:val="24"/>
          <w:szCs w:val="24"/>
        </w:rPr>
      </w:pPr>
      <w:r>
        <w:rPr>
          <w:rFonts w:hint="eastAsia" w:ascii="宋体" w:hAnsi="宋体" w:eastAsia="宋体" w:cs="宋体"/>
          <w:sz w:val="24"/>
          <w:szCs w:val="24"/>
          <w:lang w:val="en-US" w:eastAsia="zh-CN"/>
        </w:rPr>
        <w:t>本项目</w:t>
      </w:r>
      <w:r>
        <w:rPr>
          <w:rFonts w:ascii="宋体" w:hAnsi="宋体" w:eastAsia="宋体" w:cs="宋体"/>
          <w:sz w:val="24"/>
          <w:szCs w:val="24"/>
        </w:rPr>
        <w:t>永久占地均在原渠道管理范围内，不涉及新增永久建设用地，施工结束后临时占地恢复原貌。工程在湿地占地范围内植被大多为芦苇</w:t>
      </w:r>
      <w:r>
        <w:rPr>
          <w:rFonts w:hint="eastAsia" w:ascii="宋体" w:hAnsi="宋体" w:eastAsia="宋体" w:cs="宋体"/>
          <w:sz w:val="24"/>
          <w:szCs w:val="24"/>
          <w:lang w:val="en-US" w:eastAsia="zh-CN"/>
        </w:rPr>
        <w:t>和骆驼测</w:t>
      </w:r>
      <w:r>
        <w:rPr>
          <w:rFonts w:ascii="宋体" w:hAnsi="宋体" w:eastAsia="宋体" w:cs="宋体"/>
          <w:sz w:val="24"/>
          <w:szCs w:val="24"/>
        </w:rPr>
        <w:t>，本工程建设规模小施工简单不影响当地 珍稀动物物种的保护和不降低生物多样性。工程建设对湿地公园地文资源和水文资源 的自然度、对生物资源多样度方面影响较小，对湿地公园整体环境质量的负面影响甚微，但随着施工期的结束，该影响也将减小。</w:t>
      </w:r>
    </w:p>
    <w:p w14:paraId="5B47DF64">
      <w:pPr>
        <w:pStyle w:val="3"/>
        <w:spacing w:line="356" w:lineRule="auto"/>
      </w:pPr>
    </w:p>
    <w:p w14:paraId="5C999E1F">
      <w:pPr>
        <w:spacing w:before="98" w:line="220" w:lineRule="auto"/>
        <w:ind w:left="18"/>
        <w:outlineLvl w:val="1"/>
        <w:rPr>
          <w:rFonts w:hint="eastAsia" w:ascii="黑体" w:hAnsi="黑体" w:eastAsia="黑体" w:cs="黑体"/>
          <w:sz w:val="30"/>
          <w:szCs w:val="30"/>
        </w:rPr>
      </w:pPr>
      <w:bookmarkStart w:id="33" w:name="bookmark29"/>
      <w:bookmarkEnd w:id="33"/>
      <w:r>
        <w:rPr>
          <w:rFonts w:hint="eastAsia" w:ascii="黑体" w:hAnsi="黑体" w:eastAsia="黑体" w:cs="黑体"/>
          <w:spacing w:val="1"/>
          <w:sz w:val="30"/>
          <w:szCs w:val="30"/>
          <w14:textOutline w14:w="5448" w14:cap="sq" w14:cmpd="sng">
            <w14:solidFill>
              <w14:srgbClr w14:val="000000"/>
            </w14:solidFill>
            <w14:prstDash w14:val="solid"/>
            <w14:bevel/>
          </w14:textOutline>
        </w:rPr>
        <w:t>5.2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运营期环境影响分析</w:t>
      </w:r>
    </w:p>
    <w:p w14:paraId="5F8E0292">
      <w:pPr>
        <w:spacing w:before="222" w:line="221"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5.2.1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大气环境影响分析</w:t>
      </w:r>
    </w:p>
    <w:p w14:paraId="3D6C1659">
      <w:pPr>
        <w:spacing w:before="204" w:line="360" w:lineRule="auto"/>
        <w:ind w:left="7" w:right="108" w:firstLine="510"/>
        <w:jc w:val="both"/>
        <w:rPr>
          <w:rFonts w:ascii="宋体" w:hAnsi="宋体" w:eastAsia="宋体" w:cs="宋体"/>
          <w:sz w:val="24"/>
          <w:szCs w:val="24"/>
        </w:rPr>
      </w:pPr>
      <w:r>
        <w:rPr>
          <w:rFonts w:ascii="宋体" w:hAnsi="宋体" w:eastAsia="宋体" w:cs="宋体"/>
          <w:spacing w:val="1"/>
          <w:sz w:val="24"/>
          <w:szCs w:val="24"/>
        </w:rPr>
        <w:t>由工程分析可知，项目渠道及渠系构筑物、</w:t>
      </w:r>
      <w:r>
        <w:rPr>
          <w:rFonts w:hint="eastAsia" w:ascii="宋体" w:hAnsi="宋体" w:eastAsia="宋体" w:cs="宋体"/>
          <w:spacing w:val="1"/>
          <w:sz w:val="24"/>
          <w:szCs w:val="24"/>
          <w:lang w:eastAsia="zh-CN"/>
        </w:rPr>
        <w:t>高效节水工程实施</w:t>
      </w:r>
      <w:r>
        <w:rPr>
          <w:rFonts w:ascii="宋体" w:hAnsi="宋体" w:eastAsia="宋体" w:cs="宋体"/>
          <w:spacing w:val="1"/>
          <w:sz w:val="24"/>
          <w:szCs w:val="24"/>
        </w:rPr>
        <w:t>后主要为</w:t>
      </w:r>
      <w:r>
        <w:rPr>
          <w:rFonts w:hint="eastAsia" w:ascii="宋体" w:hAnsi="宋体" w:eastAsia="宋体" w:cs="宋体"/>
          <w:spacing w:val="1"/>
          <w:sz w:val="24"/>
          <w:szCs w:val="24"/>
          <w:lang w:eastAsia="zh-CN"/>
        </w:rPr>
        <w:t>艾丁湖流域</w:t>
      </w:r>
      <w:r>
        <w:rPr>
          <w:rFonts w:ascii="宋体" w:hAnsi="宋体" w:eastAsia="宋体" w:cs="宋体"/>
          <w:spacing w:val="1"/>
          <w:sz w:val="24"/>
          <w:szCs w:val="24"/>
        </w:rPr>
        <w:t>灌区</w:t>
      </w:r>
      <w:r>
        <w:rPr>
          <w:rFonts w:ascii="宋体" w:hAnsi="宋体" w:eastAsia="宋体" w:cs="宋体"/>
          <w:spacing w:val="2"/>
          <w:sz w:val="24"/>
          <w:szCs w:val="24"/>
        </w:rPr>
        <w:t>进行农业灌溉输水</w:t>
      </w:r>
      <w:r>
        <w:rPr>
          <w:rFonts w:hint="eastAsia" w:ascii="宋体" w:hAnsi="宋体" w:eastAsia="宋体" w:cs="宋体"/>
          <w:spacing w:val="2"/>
          <w:sz w:val="24"/>
          <w:szCs w:val="24"/>
          <w:lang w:val="en-US" w:eastAsia="zh-CN"/>
        </w:rPr>
        <w:t>和生态补水</w:t>
      </w:r>
      <w:r>
        <w:rPr>
          <w:rFonts w:ascii="宋体" w:hAnsi="宋体" w:eastAsia="宋体" w:cs="宋体"/>
          <w:spacing w:val="2"/>
          <w:sz w:val="24"/>
          <w:szCs w:val="24"/>
        </w:rPr>
        <w:t>，工程运营期间无大气污染物产生。项目实施不会增加对区域</w:t>
      </w:r>
      <w:r>
        <w:rPr>
          <w:rFonts w:ascii="宋体" w:hAnsi="宋体" w:eastAsia="宋体" w:cs="宋体"/>
          <w:spacing w:val="1"/>
          <w:sz w:val="24"/>
          <w:szCs w:val="24"/>
        </w:rPr>
        <w:t>大气</w:t>
      </w:r>
      <w:r>
        <w:rPr>
          <w:rFonts w:ascii="宋体" w:hAnsi="宋体" w:eastAsia="宋体" w:cs="宋体"/>
          <w:spacing w:val="-2"/>
          <w:sz w:val="24"/>
          <w:szCs w:val="24"/>
        </w:rPr>
        <w:t>环境的负面影响。</w:t>
      </w:r>
    </w:p>
    <w:p w14:paraId="44787A19">
      <w:pPr>
        <w:spacing w:before="92" w:line="220" w:lineRule="auto"/>
        <w:ind w:left="16"/>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5.2.2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水环境影响分析</w:t>
      </w:r>
    </w:p>
    <w:p w14:paraId="0E05E1C0">
      <w:pPr>
        <w:spacing w:before="206" w:line="219" w:lineRule="auto"/>
        <w:ind w:left="14"/>
        <w:outlineLvl w:val="3"/>
        <w:rPr>
          <w:rFonts w:ascii="宋体" w:hAnsi="宋体" w:eastAsia="宋体" w:cs="宋体"/>
          <w:sz w:val="24"/>
          <w:szCs w:val="24"/>
        </w:rPr>
      </w:pPr>
      <w:r>
        <w:rPr>
          <w:b/>
          <w:bCs/>
        </w:rPr>
        <w:fldChar w:fldCharType="begin"/>
      </w:r>
      <w:r>
        <w:rPr>
          <w:b/>
          <w:bCs/>
        </w:rPr>
        <w:instrText xml:space="preserve"> HYPERLINK "5.2.2.1" </w:instrText>
      </w:r>
      <w:r>
        <w:rPr>
          <w:b/>
          <w:bCs/>
        </w:rPr>
        <w:fldChar w:fldCharType="separate"/>
      </w:r>
      <w:r>
        <w:rPr>
          <w:rFonts w:ascii="宋体" w:hAnsi="宋体" w:eastAsia="宋体" w:cs="宋体"/>
          <w:b/>
          <w:bCs/>
          <w:spacing w:val="-3"/>
          <w:sz w:val="24"/>
          <w:szCs w:val="24"/>
          <w14:textOutline w14:w="4358" w14:cap="sq" w14:cmpd="sng">
            <w14:solidFill>
              <w14:srgbClr w14:val="000000"/>
            </w14:solidFill>
            <w14:prstDash w14:val="solid"/>
            <w14:bevel/>
          </w14:textOutline>
        </w:rPr>
        <w:t>5.2.2.1</w:t>
      </w:r>
      <w:r>
        <w:rPr>
          <w:rFonts w:ascii="宋体" w:hAnsi="宋体" w:eastAsia="宋体" w:cs="宋体"/>
          <w:b/>
          <w:bCs/>
          <w:spacing w:val="-3"/>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3"/>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3"/>
          <w:sz w:val="24"/>
          <w:szCs w:val="24"/>
          <w14:textOutline w14:w="4358" w14:cap="sq" w14:cmpd="sng">
            <w14:solidFill>
              <w14:srgbClr w14:val="000000"/>
            </w14:solidFill>
            <w14:prstDash w14:val="solid"/>
            <w14:bevel/>
          </w14:textOutline>
        </w:rPr>
        <w:t>区域水资源利用影响</w:t>
      </w:r>
    </w:p>
    <w:p w14:paraId="28A86589">
      <w:pPr>
        <w:spacing w:before="181" w:line="360" w:lineRule="auto"/>
        <w:ind w:left="9" w:right="2" w:firstLine="483"/>
        <w:jc w:val="both"/>
        <w:rPr>
          <w:rFonts w:ascii="宋体" w:hAnsi="宋体" w:eastAsia="宋体" w:cs="宋体"/>
          <w:sz w:val="24"/>
          <w:szCs w:val="24"/>
        </w:rPr>
      </w:pPr>
      <w:r>
        <w:rPr>
          <w:rFonts w:ascii="宋体" w:hAnsi="宋体" w:eastAsia="宋体" w:cs="宋体"/>
          <w:spacing w:val="-8"/>
          <w:sz w:val="24"/>
          <w:szCs w:val="24"/>
        </w:rPr>
        <w:t>经平衡计算得，</w:t>
      </w:r>
      <w:r>
        <w:rPr>
          <w:rFonts w:hint="eastAsia" w:ascii="宋体" w:hAnsi="宋体" w:eastAsia="宋体" w:cs="宋体"/>
          <w:spacing w:val="-8"/>
          <w:sz w:val="24"/>
          <w:szCs w:val="24"/>
          <w:lang w:eastAsia="zh-CN"/>
        </w:rPr>
        <w:t>吐鲁番市</w:t>
      </w:r>
      <w:r>
        <w:rPr>
          <w:rFonts w:ascii="宋体" w:hAnsi="宋体" w:eastAsia="宋体" w:cs="宋体"/>
          <w:spacing w:val="-8"/>
          <w:sz w:val="24"/>
          <w:szCs w:val="24"/>
        </w:rPr>
        <w:t>随着农业节水措施措施的进一步实施，2</w:t>
      </w:r>
      <w:r>
        <w:rPr>
          <w:rFonts w:ascii="宋体" w:hAnsi="宋体" w:eastAsia="宋体" w:cs="宋体"/>
          <w:spacing w:val="-9"/>
          <w:sz w:val="24"/>
          <w:szCs w:val="24"/>
        </w:rPr>
        <w:t>023</w:t>
      </w:r>
      <w:r>
        <w:rPr>
          <w:rFonts w:ascii="宋体" w:hAnsi="宋体" w:eastAsia="宋体" w:cs="宋体"/>
          <w:spacing w:val="-2"/>
          <w:sz w:val="24"/>
          <w:szCs w:val="24"/>
        </w:rPr>
        <w:t>年按“三条红线</w:t>
      </w:r>
      <w:r>
        <w:rPr>
          <w:rFonts w:ascii="宋体" w:hAnsi="宋体" w:eastAsia="宋体" w:cs="宋体"/>
          <w:spacing w:val="-74"/>
          <w:sz w:val="24"/>
          <w:szCs w:val="24"/>
        </w:rPr>
        <w:t xml:space="preserve"> </w:t>
      </w:r>
      <w:r>
        <w:rPr>
          <w:rFonts w:ascii="宋体" w:hAnsi="宋体" w:eastAsia="宋体" w:cs="宋体"/>
          <w:spacing w:val="-2"/>
          <w:sz w:val="24"/>
          <w:szCs w:val="24"/>
        </w:rPr>
        <w:t>”控制指标供水目标，农业用水水资源供需平衡。</w:t>
      </w:r>
    </w:p>
    <w:p w14:paraId="3AE632F1">
      <w:pPr>
        <w:spacing w:before="185" w:line="219" w:lineRule="auto"/>
        <w:ind w:left="14"/>
        <w:outlineLvl w:val="3"/>
        <w:rPr>
          <w:rFonts w:ascii="宋体" w:hAnsi="宋体" w:eastAsia="宋体" w:cs="宋体"/>
          <w:sz w:val="24"/>
          <w:szCs w:val="24"/>
        </w:rPr>
      </w:pPr>
      <w:r>
        <w:rPr>
          <w:b/>
          <w:bCs/>
        </w:rPr>
        <w:fldChar w:fldCharType="begin"/>
      </w:r>
      <w:r>
        <w:rPr>
          <w:b/>
          <w:bCs/>
        </w:rPr>
        <w:instrText xml:space="preserve"> HYPERLINK "5.2.2.2"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5.2.2.2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项目区水资源配置影响</w:t>
      </w:r>
    </w:p>
    <w:p w14:paraId="24455C5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0" w:firstLineChars="200"/>
        <w:textAlignment w:val="baseline"/>
        <w:rPr>
          <w:rFonts w:ascii="宋体" w:hAnsi="宋体" w:eastAsia="宋体" w:cs="宋体"/>
          <w:spacing w:val="5"/>
          <w:sz w:val="24"/>
          <w:szCs w:val="24"/>
        </w:rPr>
      </w:pPr>
      <w:r>
        <w:rPr>
          <w:rFonts w:ascii="宋体" w:hAnsi="宋体" w:eastAsia="宋体" w:cs="宋体"/>
          <w:spacing w:val="5"/>
          <w:sz w:val="24"/>
          <w:szCs w:val="24"/>
        </w:rPr>
        <w:t>工程实施后，由于渠道防渗改建工程</w:t>
      </w:r>
      <w:r>
        <w:rPr>
          <w:rFonts w:hint="eastAsia" w:ascii="宋体" w:hAnsi="宋体" w:eastAsia="宋体" w:cs="宋体"/>
          <w:spacing w:val="5"/>
          <w:sz w:val="24"/>
          <w:szCs w:val="24"/>
          <w:lang w:val="en-US" w:eastAsia="zh-CN"/>
        </w:rPr>
        <w:t>和高效节水工程</w:t>
      </w:r>
      <w:r>
        <w:rPr>
          <w:rFonts w:ascii="宋体" w:hAnsi="宋体" w:eastAsia="宋体" w:cs="宋体"/>
          <w:spacing w:val="5"/>
          <w:sz w:val="24"/>
          <w:szCs w:val="24"/>
        </w:rPr>
        <w:t>的实施，将提高渠道灌溉引水保证率和水资源的利用率，对灌区的绿洲生态环境、灌区经济发展和社会稳定也将产生有利影响。本工程建成投入使用后，项目区灌溉水利用系数</w:t>
      </w:r>
      <w:r>
        <w:rPr>
          <w:rFonts w:hint="eastAsia" w:ascii="宋体" w:hAnsi="宋体" w:eastAsia="宋体" w:cs="宋体"/>
          <w:spacing w:val="5"/>
          <w:sz w:val="24"/>
          <w:szCs w:val="24"/>
          <w:lang w:val="en-US" w:eastAsia="zh-CN"/>
        </w:rPr>
        <w:t>得到提高</w:t>
      </w:r>
      <w:r>
        <w:rPr>
          <w:rFonts w:ascii="宋体" w:hAnsi="宋体" w:eastAsia="宋体" w:cs="宋体"/>
          <w:spacing w:val="5"/>
          <w:sz w:val="24"/>
          <w:szCs w:val="24"/>
        </w:rPr>
        <w:t>，使有限的水资源发挥其最大的效益。</w:t>
      </w:r>
    </w:p>
    <w:p w14:paraId="75DB2211">
      <w:pPr>
        <w:spacing w:before="79" w:line="219" w:lineRule="auto"/>
        <w:ind w:left="18"/>
        <w:outlineLvl w:val="3"/>
        <w:rPr>
          <w:rFonts w:ascii="宋体" w:hAnsi="宋体" w:eastAsia="宋体" w:cs="宋体"/>
          <w:sz w:val="24"/>
          <w:szCs w:val="24"/>
        </w:rPr>
      </w:pPr>
      <w:r>
        <w:rPr>
          <w:b/>
          <w:bCs/>
        </w:rPr>
        <w:fldChar w:fldCharType="begin"/>
      </w:r>
      <w:r>
        <w:rPr>
          <w:b/>
          <w:bCs/>
        </w:rPr>
        <w:instrText xml:space="preserve"> HYPERLINK "5.2.2.3"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5.2.2.3</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水文情势影响</w:t>
      </w:r>
    </w:p>
    <w:p w14:paraId="4E4AFF64">
      <w:pPr>
        <w:keepNext w:val="0"/>
        <w:keepLines w:val="0"/>
        <w:pageBreakBefore w:val="0"/>
        <w:widowControl/>
        <w:kinsoku w:val="0"/>
        <w:wordWrap/>
        <w:overflowPunct/>
        <w:topLinePunct w:val="0"/>
        <w:autoSpaceDE w:val="0"/>
        <w:autoSpaceDN w:val="0"/>
        <w:bidi w:val="0"/>
        <w:adjustRightInd w:val="0"/>
        <w:snapToGrid w:val="0"/>
        <w:spacing w:before="218" w:line="360" w:lineRule="auto"/>
        <w:ind w:left="17" w:firstLine="480" w:firstLineChars="200"/>
        <w:textAlignment w:val="baseline"/>
        <w:outlineLvl w:val="3"/>
        <w:rPr>
          <w:rFonts w:hint="eastAsia" w:eastAsia="宋体"/>
          <w:sz w:val="24"/>
          <w:szCs w:val="24"/>
          <w:lang w:val="en-US" w:eastAsia="zh-CN"/>
        </w:rPr>
      </w:pPr>
      <w:r>
        <w:rPr>
          <w:rFonts w:hint="eastAsia" w:eastAsia="宋体"/>
          <w:sz w:val="24"/>
          <w:szCs w:val="24"/>
          <w:lang w:val="en-US" w:eastAsia="zh-CN"/>
        </w:rPr>
        <w:t>本项目建设内容为灌区渠道和高效节水工程，不涉及渠首水源工程的改扩建，不新增渠首引水量，因此不会对地表径流水文情势产生影响。</w:t>
      </w:r>
    </w:p>
    <w:p w14:paraId="5E2307EC">
      <w:pPr>
        <w:keepNext w:val="0"/>
        <w:keepLines w:val="0"/>
        <w:pageBreakBefore w:val="0"/>
        <w:widowControl/>
        <w:kinsoku w:val="0"/>
        <w:wordWrap/>
        <w:overflowPunct/>
        <w:topLinePunct w:val="0"/>
        <w:autoSpaceDE w:val="0"/>
        <w:autoSpaceDN w:val="0"/>
        <w:bidi w:val="0"/>
        <w:adjustRightInd w:val="0"/>
        <w:snapToGrid w:val="0"/>
        <w:spacing w:line="360" w:lineRule="auto"/>
        <w:ind w:left="17" w:firstLine="480" w:firstLineChars="200"/>
        <w:textAlignment w:val="baseline"/>
        <w:outlineLvl w:val="3"/>
        <w:rPr>
          <w:rFonts w:hint="default" w:eastAsia="宋体"/>
          <w:sz w:val="24"/>
          <w:szCs w:val="24"/>
          <w:lang w:val="en-US" w:eastAsia="zh-CN"/>
        </w:rPr>
      </w:pPr>
      <w:r>
        <w:rPr>
          <w:rFonts w:hint="eastAsia" w:eastAsia="宋体"/>
          <w:sz w:val="24"/>
          <w:szCs w:val="24"/>
          <w:lang w:val="en-US" w:eastAsia="zh-CN"/>
        </w:rPr>
        <w:t>项目建成后将增加对艾丁湖生态补水量，增加艾丁湖水面面积，改善艾丁湖生态环境。</w:t>
      </w:r>
    </w:p>
    <w:p w14:paraId="54703630">
      <w:pPr>
        <w:spacing w:before="218" w:line="219" w:lineRule="auto"/>
        <w:ind w:left="18"/>
        <w:outlineLvl w:val="3"/>
        <w:rPr>
          <w:rFonts w:ascii="宋体" w:hAnsi="宋体" w:eastAsia="宋体" w:cs="宋体"/>
          <w:sz w:val="24"/>
          <w:szCs w:val="24"/>
        </w:rPr>
      </w:pPr>
      <w:r>
        <w:rPr>
          <w:b/>
          <w:bCs/>
        </w:rPr>
        <w:fldChar w:fldCharType="begin"/>
      </w:r>
      <w:r>
        <w:rPr>
          <w:b/>
          <w:bCs/>
        </w:rPr>
        <w:instrText xml:space="preserve"> HYPERLINK "5.2.2.4"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5.2.2.4</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渠水水质影响</w:t>
      </w:r>
    </w:p>
    <w:p w14:paraId="39224D82">
      <w:pPr>
        <w:spacing w:before="184" w:line="219" w:lineRule="auto"/>
        <w:ind w:left="18"/>
        <w:outlineLvl w:val="4"/>
        <w:rPr>
          <w:rFonts w:ascii="宋体" w:hAnsi="宋体" w:eastAsia="宋体" w:cs="宋体"/>
          <w:sz w:val="24"/>
          <w:szCs w:val="24"/>
        </w:rPr>
      </w:pPr>
      <w:r>
        <w:rPr>
          <w:rFonts w:ascii="宋体" w:hAnsi="宋体" w:eastAsia="宋体" w:cs="宋体"/>
          <w:spacing w:val="-2"/>
          <w:sz w:val="24"/>
          <w:szCs w:val="24"/>
        </w:rPr>
        <w:t>5.2.2.4.1</w:t>
      </w: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rPr>
        <w:t>渠道输水水质影响</w:t>
      </w:r>
    </w:p>
    <w:p w14:paraId="1556A2F8">
      <w:pPr>
        <w:spacing w:before="180" w:line="360" w:lineRule="auto"/>
        <w:ind w:left="12" w:right="46" w:firstLine="481"/>
        <w:jc w:val="both"/>
        <w:rPr>
          <w:rFonts w:ascii="宋体" w:hAnsi="宋体" w:eastAsia="宋体" w:cs="宋体"/>
          <w:sz w:val="24"/>
          <w:szCs w:val="24"/>
        </w:rPr>
      </w:pPr>
      <w:r>
        <w:rPr>
          <w:rFonts w:ascii="宋体" w:hAnsi="宋体" w:eastAsia="宋体" w:cs="宋体"/>
          <w:spacing w:val="1"/>
          <w:sz w:val="24"/>
          <w:szCs w:val="24"/>
        </w:rPr>
        <w:t>本工程经建新支渠向</w:t>
      </w:r>
      <w:r>
        <w:rPr>
          <w:rFonts w:hint="eastAsia" w:ascii="宋体" w:hAnsi="宋体" w:eastAsia="宋体" w:cs="宋体"/>
          <w:spacing w:val="1"/>
          <w:sz w:val="24"/>
          <w:szCs w:val="24"/>
          <w:lang w:eastAsia="zh-CN"/>
        </w:rPr>
        <w:t>艾丁湖流域</w:t>
      </w:r>
      <w:r>
        <w:rPr>
          <w:rFonts w:ascii="宋体" w:hAnsi="宋体" w:eastAsia="宋体" w:cs="宋体"/>
          <w:spacing w:val="1"/>
          <w:sz w:val="24"/>
          <w:szCs w:val="24"/>
        </w:rPr>
        <w:t>灌区输水，过程中不产生和排放“三废</w:t>
      </w:r>
      <w:r>
        <w:rPr>
          <w:rFonts w:ascii="宋体" w:hAnsi="宋体" w:eastAsia="宋体" w:cs="宋体"/>
          <w:spacing w:val="-84"/>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在长距离 </w:t>
      </w:r>
      <w:r>
        <w:rPr>
          <w:rFonts w:ascii="宋体" w:hAnsi="宋体" w:eastAsia="宋体" w:cs="宋体"/>
          <w:spacing w:val="-3"/>
          <w:sz w:val="24"/>
          <w:szCs w:val="24"/>
        </w:rPr>
        <w:t>输水过程中，涉及工程建设的</w:t>
      </w:r>
      <w:r>
        <w:rPr>
          <w:rFonts w:hint="eastAsia" w:ascii="宋体" w:hAnsi="宋体" w:eastAsia="宋体" w:cs="宋体"/>
          <w:spacing w:val="-3"/>
          <w:sz w:val="24"/>
          <w:szCs w:val="24"/>
          <w:lang w:eastAsia="zh-CN"/>
        </w:rPr>
        <w:t>艾丁湖</w:t>
      </w:r>
      <w:r>
        <w:rPr>
          <w:rFonts w:ascii="宋体" w:hAnsi="宋体" w:eastAsia="宋体" w:cs="宋体"/>
          <w:spacing w:val="-3"/>
          <w:sz w:val="24"/>
          <w:szCs w:val="24"/>
        </w:rPr>
        <w:t>断面水质不会受到因本工程的建设而产生的影响，</w:t>
      </w:r>
      <w:r>
        <w:rPr>
          <w:rFonts w:ascii="宋体" w:hAnsi="宋体" w:eastAsia="宋体" w:cs="宋体"/>
          <w:spacing w:val="7"/>
          <w:sz w:val="24"/>
          <w:szCs w:val="24"/>
        </w:rPr>
        <w:t xml:space="preserve"> </w:t>
      </w:r>
      <w:r>
        <w:rPr>
          <w:rFonts w:ascii="宋体" w:hAnsi="宋体" w:eastAsia="宋体" w:cs="宋体"/>
          <w:spacing w:val="2"/>
          <w:sz w:val="24"/>
          <w:szCs w:val="24"/>
        </w:rPr>
        <w:t>输水范围内增加渠道水体水质污染风险的行为主要是渠道经过居民集中生</w:t>
      </w:r>
      <w:r>
        <w:rPr>
          <w:rFonts w:ascii="宋体" w:hAnsi="宋体" w:eastAsia="宋体" w:cs="宋体"/>
          <w:spacing w:val="1"/>
          <w:sz w:val="24"/>
          <w:szCs w:val="24"/>
        </w:rPr>
        <w:t>活村庄时人</w:t>
      </w:r>
      <w:r>
        <w:rPr>
          <w:rFonts w:ascii="宋体" w:hAnsi="宋体" w:eastAsia="宋体" w:cs="宋体"/>
          <w:sz w:val="24"/>
          <w:szCs w:val="24"/>
        </w:rPr>
        <w:t xml:space="preserve"> </w:t>
      </w:r>
      <w:r>
        <w:rPr>
          <w:rFonts w:ascii="宋体" w:hAnsi="宋体" w:eastAsia="宋体" w:cs="宋体"/>
          <w:spacing w:val="3"/>
          <w:sz w:val="24"/>
          <w:szCs w:val="24"/>
        </w:rPr>
        <w:t>畜粪便、生活污水和生活垃圾的无序排放。</w:t>
      </w:r>
      <w:r>
        <w:rPr>
          <w:rFonts w:ascii="宋体" w:hAnsi="宋体" w:eastAsia="宋体" w:cs="宋体"/>
          <w:spacing w:val="2"/>
          <w:sz w:val="24"/>
          <w:szCs w:val="24"/>
        </w:rPr>
        <w:t>因此建设方应加强输水范围内及途径、穿</w:t>
      </w:r>
      <w:r>
        <w:rPr>
          <w:rFonts w:ascii="宋体" w:hAnsi="宋体" w:eastAsia="宋体" w:cs="宋体"/>
          <w:spacing w:val="-1"/>
          <w:sz w:val="24"/>
          <w:szCs w:val="24"/>
        </w:rPr>
        <w:t>越村庄时的渠道运行管理，杜绝此类污染发生。</w:t>
      </w:r>
    </w:p>
    <w:p w14:paraId="5A41B395">
      <w:pPr>
        <w:spacing w:before="184" w:line="219" w:lineRule="auto"/>
        <w:ind w:left="18"/>
        <w:outlineLvl w:val="4"/>
        <w:rPr>
          <w:rFonts w:ascii="宋体" w:hAnsi="宋体" w:eastAsia="宋体" w:cs="宋体"/>
          <w:sz w:val="24"/>
          <w:szCs w:val="24"/>
        </w:rPr>
      </w:pPr>
      <w:r>
        <w:rPr>
          <w:rFonts w:ascii="宋体" w:hAnsi="宋体" w:eastAsia="宋体" w:cs="宋体"/>
          <w:spacing w:val="-2"/>
          <w:sz w:val="24"/>
          <w:szCs w:val="24"/>
        </w:rPr>
        <w:t>5.2.2.4.2</w:t>
      </w: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rPr>
        <w:t>灌区退水水质影响</w:t>
      </w:r>
    </w:p>
    <w:p w14:paraId="17A916FD">
      <w:pPr>
        <w:spacing w:before="182" w:line="360" w:lineRule="auto"/>
        <w:ind w:left="16" w:right="108" w:firstLine="478"/>
        <w:jc w:val="both"/>
        <w:rPr>
          <w:rFonts w:ascii="宋体" w:hAnsi="宋体" w:eastAsia="宋体" w:cs="宋体"/>
          <w:sz w:val="24"/>
          <w:szCs w:val="24"/>
        </w:rPr>
      </w:pPr>
      <w:r>
        <w:rPr>
          <w:rFonts w:ascii="宋体" w:hAnsi="宋体" w:eastAsia="宋体" w:cs="宋体"/>
          <w:spacing w:val="2"/>
          <w:sz w:val="24"/>
          <w:szCs w:val="24"/>
        </w:rPr>
        <w:t>本工程对灌区引水渠道及渠系构筑物进行改造，项目实施后，可解决现状渠道输水渗漏问题，使渠道输水量恢复设计水平，灌区用水可实现供需平衡，</w:t>
      </w:r>
      <w:r>
        <w:rPr>
          <w:rFonts w:ascii="宋体" w:hAnsi="宋体" w:eastAsia="宋体" w:cs="宋体"/>
          <w:spacing w:val="1"/>
          <w:sz w:val="24"/>
          <w:szCs w:val="24"/>
        </w:rPr>
        <w:t>项目渠道及渠</w:t>
      </w:r>
      <w:r>
        <w:rPr>
          <w:rFonts w:ascii="宋体" w:hAnsi="宋体" w:eastAsia="宋体" w:cs="宋体"/>
          <w:spacing w:val="2"/>
          <w:sz w:val="24"/>
          <w:szCs w:val="24"/>
        </w:rPr>
        <w:t>系构筑物改造不会改变灌区的农灌方式和退水方式，改造前和改</w:t>
      </w:r>
      <w:r>
        <w:rPr>
          <w:rFonts w:ascii="宋体" w:hAnsi="宋体" w:eastAsia="宋体" w:cs="宋体"/>
          <w:spacing w:val="1"/>
          <w:sz w:val="24"/>
          <w:szCs w:val="24"/>
        </w:rPr>
        <w:t>造后灌区退水</w:t>
      </w:r>
      <w:r>
        <w:rPr>
          <w:rFonts w:ascii="宋体" w:hAnsi="宋体" w:eastAsia="宋体" w:cs="宋体"/>
          <w:sz w:val="24"/>
          <w:szCs w:val="24"/>
        </w:rPr>
        <w:t>水质也不会发生变化。因此，本环评认为项</w:t>
      </w:r>
      <w:r>
        <w:rPr>
          <w:rFonts w:ascii="宋体" w:hAnsi="宋体" w:eastAsia="宋体" w:cs="宋体"/>
          <w:spacing w:val="-1"/>
          <w:sz w:val="24"/>
          <w:szCs w:val="24"/>
        </w:rPr>
        <w:t>目实施不会影响灌区退水水质。</w:t>
      </w:r>
    </w:p>
    <w:p w14:paraId="23FC0361">
      <w:pPr>
        <w:spacing w:before="184" w:line="219" w:lineRule="auto"/>
        <w:ind w:left="18"/>
        <w:outlineLvl w:val="3"/>
        <w:rPr>
          <w:rFonts w:ascii="宋体" w:hAnsi="宋体" w:eastAsia="宋体" w:cs="宋体"/>
          <w:b/>
          <w:bCs/>
          <w:sz w:val="24"/>
          <w:szCs w:val="24"/>
        </w:rPr>
      </w:pPr>
      <w:r>
        <w:rPr>
          <w:b/>
          <w:bCs/>
        </w:rPr>
        <w:fldChar w:fldCharType="begin"/>
      </w:r>
      <w:r>
        <w:rPr>
          <w:b/>
          <w:bCs/>
        </w:rPr>
        <w:instrText xml:space="preserve"> HYPERLINK "5.2.2.5"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5.2.2.5</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地下水影响</w:t>
      </w:r>
    </w:p>
    <w:p w14:paraId="0D54E049">
      <w:pPr>
        <w:spacing w:before="181" w:line="360" w:lineRule="auto"/>
        <w:ind w:left="12" w:right="108" w:firstLine="486"/>
        <w:rPr>
          <w:rFonts w:ascii="宋体" w:hAnsi="宋体" w:eastAsia="宋体" w:cs="宋体"/>
          <w:spacing w:val="-2"/>
          <w:sz w:val="24"/>
          <w:szCs w:val="24"/>
        </w:rPr>
      </w:pPr>
      <w:r>
        <w:rPr>
          <w:rFonts w:ascii="宋体" w:hAnsi="宋体" w:eastAsia="宋体" w:cs="宋体"/>
          <w:spacing w:val="2"/>
          <w:sz w:val="24"/>
          <w:szCs w:val="24"/>
        </w:rPr>
        <w:t>原渠道原年久失修，造成渗漏严重，抬高了渠道两侧沿线的地下水位</w:t>
      </w:r>
      <w:r>
        <w:rPr>
          <w:rFonts w:ascii="宋体" w:hAnsi="宋体" w:eastAsia="宋体" w:cs="宋体"/>
          <w:spacing w:val="1"/>
          <w:sz w:val="24"/>
          <w:szCs w:val="24"/>
        </w:rPr>
        <w:t>。本工程实</w:t>
      </w:r>
      <w:r>
        <w:rPr>
          <w:rFonts w:ascii="宋体" w:hAnsi="宋体" w:eastAsia="宋体" w:cs="宋体"/>
          <w:spacing w:val="2"/>
          <w:sz w:val="24"/>
          <w:szCs w:val="24"/>
        </w:rPr>
        <w:t>施后，对底部做了防渗处理，渗漏量减少，将使沿途地下水的补给减少而降低</w:t>
      </w:r>
      <w:r>
        <w:rPr>
          <w:rFonts w:ascii="宋体" w:hAnsi="宋体" w:eastAsia="宋体" w:cs="宋体"/>
          <w:spacing w:val="1"/>
          <w:sz w:val="24"/>
          <w:szCs w:val="24"/>
        </w:rPr>
        <w:t>两侧沿</w:t>
      </w:r>
      <w:r>
        <w:rPr>
          <w:rFonts w:ascii="宋体" w:hAnsi="宋体" w:eastAsia="宋体" w:cs="宋体"/>
          <w:spacing w:val="-2"/>
          <w:sz w:val="24"/>
          <w:szCs w:val="24"/>
        </w:rPr>
        <w:t>线的地下水位。</w:t>
      </w:r>
    </w:p>
    <w:p w14:paraId="5F2E3D41">
      <w:pPr>
        <w:spacing w:before="1" w:line="360" w:lineRule="auto"/>
        <w:ind w:left="16" w:firstLine="488" w:firstLineChars="200"/>
        <w:rPr>
          <w:rFonts w:ascii="宋体" w:hAnsi="宋体" w:eastAsia="宋体" w:cs="宋体"/>
          <w:spacing w:val="-1"/>
          <w:sz w:val="24"/>
          <w:szCs w:val="24"/>
        </w:rPr>
      </w:pPr>
      <w:r>
        <w:rPr>
          <w:rFonts w:ascii="宋体" w:hAnsi="宋体" w:eastAsia="宋体" w:cs="宋体"/>
          <w:spacing w:val="2"/>
          <w:sz w:val="24"/>
          <w:szCs w:val="24"/>
        </w:rPr>
        <w:t>工程运行期对渠道中输水的水质不产生影</w:t>
      </w:r>
      <w:r>
        <w:rPr>
          <w:rFonts w:ascii="宋体" w:hAnsi="宋体" w:eastAsia="宋体" w:cs="宋体"/>
          <w:spacing w:val="1"/>
          <w:sz w:val="24"/>
          <w:szCs w:val="24"/>
        </w:rPr>
        <w:t>响，由于渠道做了防渗处理，</w:t>
      </w:r>
      <w:r>
        <w:rPr>
          <w:rFonts w:hint="eastAsia" w:ascii="宋体" w:hAnsi="宋体" w:eastAsia="宋体" w:cs="宋体"/>
          <w:spacing w:val="1"/>
          <w:sz w:val="24"/>
          <w:szCs w:val="24"/>
          <w:lang w:val="en-US" w:eastAsia="zh-CN"/>
        </w:rPr>
        <w:t>同时采取了高效节水灌溉方式后，渠道及田间</w:t>
      </w:r>
      <w:r>
        <w:rPr>
          <w:rFonts w:ascii="宋体" w:hAnsi="宋体" w:eastAsia="宋体" w:cs="宋体"/>
          <w:spacing w:val="1"/>
          <w:sz w:val="24"/>
          <w:szCs w:val="24"/>
        </w:rPr>
        <w:t>渗漏量减小，减弱了地表水对地下水的稀释作用，地下水中</w:t>
      </w:r>
      <w:r>
        <w:rPr>
          <w:rFonts w:ascii="宋体" w:hAnsi="宋体" w:eastAsia="宋体" w:cs="宋体"/>
          <w:sz w:val="24"/>
          <w:szCs w:val="24"/>
        </w:rPr>
        <w:t>盐分浓度将会增大，对沿线浅层地下水的水质有一</w:t>
      </w:r>
      <w:r>
        <w:rPr>
          <w:rFonts w:ascii="宋体" w:hAnsi="宋体" w:eastAsia="宋体" w:cs="宋体"/>
          <w:spacing w:val="-1"/>
          <w:sz w:val="24"/>
          <w:szCs w:val="24"/>
        </w:rPr>
        <w:t>定的不利影响，但影响有限。</w:t>
      </w:r>
    </w:p>
    <w:p w14:paraId="3E3BC7AF">
      <w:pPr>
        <w:spacing w:before="180" w:line="360" w:lineRule="auto"/>
        <w:ind w:right="108"/>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5.2.3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声环境影响分析</w:t>
      </w:r>
    </w:p>
    <w:p w14:paraId="2F5642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本工程运营期噪声主要来自</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各类水泵等设备噪声，运行噪声一般在 75~85dB(A)之间，会对周围声环境带来一定影响。</w:t>
      </w:r>
    </w:p>
    <w:p w14:paraId="4E70244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本工程按《环境影响评价技术导则 声环境》 (HJ 2.4-2021)的规定，机械设备可简化为点声源。选用点源模式，根据噪声衰减特性，分别预测厂界贡献值。</w:t>
      </w:r>
    </w:p>
    <w:p w14:paraId="4DD3E5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本工程噪声源产生的噪声值昼间、夜间均能满足《工业企业厂界环境噪声排放标准》 (GB12348-2008)</w:t>
      </w: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 xml:space="preserve"> 类区标准的要求。由此可见，本工程的实施不会降低声环境质量等级。</w:t>
      </w:r>
    </w:p>
    <w:p w14:paraId="2C1F38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项目运行产生的噪声不会对周围环境产生明显影响，但设备的噪声将对</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内 环境有一定影响。在建设过程中应选择低噪声设备，将噪声设备尽量布置在厂区中间 及室内。为了更进一步降低本工程运行时产生的噪声对周围环境的影响，应根据不同 的噪声源的声级及现场使用情况，对各类噪声设备分别进行基础减振，建筑隔音等措施以及高效的维护和管理，来减少噪声对周围环境的危害，同时采取合理的平面布局，使高噪声设备远离厂界和环境保护目标。</w:t>
      </w:r>
    </w:p>
    <w:p w14:paraId="08CA66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pacing w:val="2"/>
          <w:sz w:val="24"/>
          <w:szCs w:val="24"/>
        </w:rPr>
      </w:pPr>
      <w:r>
        <w:rPr>
          <w:rFonts w:ascii="宋体" w:hAnsi="宋体" w:eastAsia="宋体" w:cs="宋体"/>
          <w:spacing w:val="2"/>
          <w:sz w:val="24"/>
          <w:szCs w:val="24"/>
        </w:rPr>
        <w:t>综上所述，这些设备都是室内安装，采用常规的消声、隔声、减振处理及局部作</w:t>
      </w:r>
    </w:p>
    <w:p w14:paraId="5D6AB4D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ascii="宋体" w:hAnsi="宋体" w:eastAsia="宋体" w:cs="宋体"/>
          <w:spacing w:val="2"/>
          <w:sz w:val="24"/>
          <w:szCs w:val="24"/>
        </w:rPr>
      </w:pPr>
      <w:r>
        <w:rPr>
          <w:rFonts w:ascii="宋体" w:hAnsi="宋体" w:eastAsia="宋体" w:cs="宋体"/>
          <w:spacing w:val="2"/>
          <w:sz w:val="24"/>
          <w:szCs w:val="24"/>
        </w:rPr>
        <w:t>吸声处理后，本工程运营产生的设备噪声对环境影响较小。</w:t>
      </w:r>
    </w:p>
    <w:p w14:paraId="427A9332">
      <w:pPr>
        <w:spacing w:line="240" w:lineRule="auto"/>
        <w:ind w:left="0" w:right="0" w:firstLine="0"/>
        <w:jc w:val="both"/>
        <w:rPr>
          <w:rFonts w:ascii="宋体" w:hAnsi="宋体" w:eastAsia="宋体" w:cs="宋体"/>
          <w:spacing w:val="2"/>
          <w:sz w:val="24"/>
          <w:szCs w:val="24"/>
        </w:rPr>
      </w:pPr>
    </w:p>
    <w:p w14:paraId="16B5B143">
      <w:pPr>
        <w:spacing w:before="92" w:line="221" w:lineRule="auto"/>
        <w:ind w:left="16"/>
        <w:outlineLvl w:val="2"/>
        <w:rPr>
          <w:rFonts w:ascii="宋体" w:hAnsi="宋体" w:eastAsia="宋体" w:cs="宋体"/>
          <w:sz w:val="28"/>
          <w:szCs w:val="28"/>
        </w:rPr>
      </w:pPr>
      <w:r>
        <w:rPr>
          <w:rFonts w:ascii="宋体" w:hAnsi="宋体" w:eastAsia="宋体" w:cs="宋体"/>
          <w:b/>
          <w:bCs/>
          <w:spacing w:val="-3"/>
          <w:sz w:val="28"/>
          <w:szCs w:val="28"/>
          <w14:textOutline w14:w="5103" w14:cap="sq" w14:cmpd="sng">
            <w14:solidFill>
              <w14:srgbClr w14:val="000000"/>
            </w14:solidFill>
            <w14:prstDash w14:val="solid"/>
            <w14:bevel/>
          </w14:textOutline>
        </w:rPr>
        <w:t>5.2.4</w:t>
      </w:r>
      <w:r>
        <w:rPr>
          <w:rFonts w:hint="eastAsia" w:ascii="宋体" w:hAnsi="宋体" w:eastAsia="宋体" w:cs="宋体"/>
          <w:b/>
          <w:bCs/>
          <w:spacing w:val="-3"/>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3"/>
          <w:sz w:val="28"/>
          <w:szCs w:val="28"/>
          <w14:textOutline w14:w="5103" w14:cap="sq" w14:cmpd="sng">
            <w14:solidFill>
              <w14:srgbClr w14:val="000000"/>
            </w14:solidFill>
            <w14:prstDash w14:val="solid"/>
            <w14:bevel/>
          </w14:textOutline>
        </w:rPr>
        <w:t>固体废物影响分析</w:t>
      </w:r>
    </w:p>
    <w:p w14:paraId="478465ED">
      <w:pPr>
        <w:spacing w:before="206" w:line="360" w:lineRule="auto"/>
        <w:ind w:left="8" w:right="108" w:firstLine="481"/>
        <w:rPr>
          <w:rFonts w:ascii="宋体" w:hAnsi="宋体" w:eastAsia="宋体" w:cs="宋体"/>
          <w:sz w:val="24"/>
          <w:szCs w:val="24"/>
        </w:rPr>
      </w:pPr>
      <w:r>
        <w:rPr>
          <w:rFonts w:ascii="宋体" w:hAnsi="宋体" w:eastAsia="宋体" w:cs="宋体"/>
          <w:spacing w:val="2"/>
          <w:sz w:val="24"/>
          <w:szCs w:val="24"/>
        </w:rPr>
        <w:t>本工程运营期不新增运维人员，无生活垃圾产生。运营期产生的固体废物</w:t>
      </w:r>
      <w:r>
        <w:rPr>
          <w:rFonts w:ascii="宋体" w:hAnsi="宋体" w:eastAsia="宋体" w:cs="宋体"/>
          <w:spacing w:val="1"/>
          <w:sz w:val="24"/>
          <w:szCs w:val="24"/>
        </w:rPr>
        <w:t>为顺渠</w:t>
      </w:r>
      <w:r>
        <w:rPr>
          <w:rFonts w:ascii="宋体" w:hAnsi="宋体" w:eastAsia="宋体" w:cs="宋体"/>
          <w:spacing w:val="2"/>
          <w:sz w:val="24"/>
          <w:szCs w:val="24"/>
        </w:rPr>
        <w:t>而下的杂物垃圾以及定期清理干渠所产生的污泥，杂物垃圾顺水而下具有流动</w:t>
      </w:r>
      <w:r>
        <w:rPr>
          <w:rFonts w:ascii="宋体" w:hAnsi="宋体" w:eastAsia="宋体" w:cs="宋体"/>
          <w:spacing w:val="1"/>
          <w:sz w:val="24"/>
          <w:szCs w:val="24"/>
        </w:rPr>
        <w:t>性，根</w:t>
      </w:r>
      <w:r>
        <w:rPr>
          <w:rFonts w:ascii="宋体" w:hAnsi="宋体" w:eastAsia="宋体" w:cs="宋体"/>
          <w:spacing w:val="2"/>
          <w:sz w:val="24"/>
          <w:szCs w:val="24"/>
        </w:rPr>
        <w:t>据灌渠的性质，此部分垃圾统一清理、统一收集，禁止随意倾倒，造成渠道的</w:t>
      </w:r>
      <w:r>
        <w:rPr>
          <w:rFonts w:ascii="宋体" w:hAnsi="宋体" w:eastAsia="宋体" w:cs="宋体"/>
          <w:spacing w:val="1"/>
          <w:sz w:val="24"/>
          <w:szCs w:val="24"/>
        </w:rPr>
        <w:t>堵塞。</w:t>
      </w:r>
      <w:r>
        <w:rPr>
          <w:rFonts w:ascii="宋体" w:hAnsi="宋体" w:eastAsia="宋体" w:cs="宋体"/>
          <w:spacing w:val="2"/>
          <w:sz w:val="24"/>
          <w:szCs w:val="24"/>
        </w:rPr>
        <w:t>渠道流经时间较长，渠中将会定期清理出部分淤泥，在灌溉期产生清淤淤泥，</w:t>
      </w:r>
      <w:r>
        <w:rPr>
          <w:rFonts w:ascii="宋体" w:hAnsi="宋体" w:eastAsia="宋体" w:cs="宋体"/>
          <w:spacing w:val="1"/>
          <w:sz w:val="24"/>
          <w:szCs w:val="24"/>
        </w:rPr>
        <w:t>定期清</w:t>
      </w:r>
      <w:r>
        <w:rPr>
          <w:rFonts w:ascii="宋体" w:hAnsi="宋体" w:eastAsia="宋体" w:cs="宋体"/>
          <w:spacing w:val="2"/>
          <w:sz w:val="24"/>
          <w:szCs w:val="24"/>
        </w:rPr>
        <w:t>理至渠道两侧洼地，用于平整土地。采取以上措施后，运营期产生的固体废物</w:t>
      </w:r>
      <w:r>
        <w:rPr>
          <w:rFonts w:ascii="宋体" w:hAnsi="宋体" w:eastAsia="宋体" w:cs="宋体"/>
          <w:spacing w:val="1"/>
          <w:sz w:val="24"/>
          <w:szCs w:val="24"/>
        </w:rPr>
        <w:t>对环境</w:t>
      </w:r>
    </w:p>
    <w:p w14:paraId="4B477F24">
      <w:pPr>
        <w:spacing w:before="1" w:line="360" w:lineRule="auto"/>
        <w:ind w:left="9"/>
        <w:rPr>
          <w:rFonts w:ascii="宋体" w:hAnsi="宋体" w:eastAsia="宋体" w:cs="宋体"/>
          <w:sz w:val="24"/>
          <w:szCs w:val="24"/>
        </w:rPr>
      </w:pPr>
      <w:r>
        <w:rPr>
          <w:rFonts w:ascii="宋体" w:hAnsi="宋体" w:eastAsia="宋体" w:cs="宋体"/>
          <w:spacing w:val="-2"/>
          <w:sz w:val="24"/>
          <w:szCs w:val="24"/>
        </w:rPr>
        <w:t>影响较小。</w:t>
      </w:r>
    </w:p>
    <w:p w14:paraId="706E32FA">
      <w:pPr>
        <w:pStyle w:val="3"/>
        <w:spacing w:line="251" w:lineRule="auto"/>
      </w:pPr>
    </w:p>
    <w:p w14:paraId="32A86E7C">
      <w:pPr>
        <w:spacing w:before="92" w:line="221"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5.2.5</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生态环境影响分析</w:t>
      </w:r>
    </w:p>
    <w:p w14:paraId="78A0EDBF">
      <w:pPr>
        <w:spacing w:before="204" w:line="221" w:lineRule="auto"/>
        <w:ind w:left="14"/>
        <w:outlineLvl w:val="3"/>
        <w:rPr>
          <w:rFonts w:ascii="宋体" w:hAnsi="宋体" w:eastAsia="宋体" w:cs="宋体"/>
          <w:sz w:val="24"/>
          <w:szCs w:val="24"/>
        </w:rPr>
      </w:pPr>
      <w:r>
        <w:rPr>
          <w:b/>
          <w:bCs/>
        </w:rPr>
        <w:fldChar w:fldCharType="begin"/>
      </w:r>
      <w:r>
        <w:rPr>
          <w:b/>
          <w:bCs/>
        </w:rPr>
        <w:instrText xml:space="preserve"> HYPERLINK "5.2.5.1"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5.2.5.1</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土壤影响</w:t>
      </w:r>
    </w:p>
    <w:p w14:paraId="7476AD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为灌区配套节水改造工程，工程实施将提高各渠道供水能力及供水安全，降低水量渗漏损失，提高水资源利用效率，使得水资源得以更合理分配，利于土壤肥力和熟化程度的提高，也会降低因渠水渗漏导致的下游区域地下水水位上升，减轻土壤的盐渍化程度，使工程评价范围内及下游土壤得到改良。项目实施对渠道沿线及下游土壤环境生态有正向影响。同时，本工程实施后，通过防止渠道沿线地下水位上升，通过控制地下水位防止土壤次生盐渍化，可以有效的提高植被生长期土壤的通气透水能力，提高土壤肥力。</w:t>
      </w:r>
    </w:p>
    <w:p w14:paraId="3D22763A">
      <w:pPr>
        <w:spacing w:before="181" w:line="219" w:lineRule="auto"/>
        <w:ind w:left="14"/>
        <w:rPr>
          <w:rFonts w:ascii="宋体" w:hAnsi="宋体" w:eastAsia="宋体" w:cs="宋体"/>
          <w:sz w:val="24"/>
          <w:szCs w:val="24"/>
        </w:rPr>
      </w:pPr>
      <w:r>
        <w:rPr>
          <w:b/>
          <w:bCs/>
        </w:rPr>
        <w:fldChar w:fldCharType="begin"/>
      </w:r>
      <w:r>
        <w:rPr>
          <w:b/>
          <w:bCs/>
        </w:rPr>
        <w:instrText xml:space="preserve"> HYPERLINK "5.2.5.2"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5.2.5.2</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植被影响</w:t>
      </w:r>
    </w:p>
    <w:p w14:paraId="15CE8D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both"/>
        <w:textAlignment w:val="baseline"/>
        <w:rPr>
          <w:rFonts w:ascii="宋体" w:hAnsi="宋体" w:eastAsia="宋体" w:cs="宋体"/>
          <w:sz w:val="24"/>
          <w:szCs w:val="24"/>
        </w:rPr>
      </w:pPr>
      <w:r>
        <w:rPr>
          <w:rFonts w:ascii="宋体" w:hAnsi="宋体" w:eastAsia="宋体" w:cs="宋体"/>
          <w:spacing w:val="1"/>
          <w:sz w:val="24"/>
          <w:szCs w:val="24"/>
        </w:rPr>
        <w:t>由于渠道进行改建后，渠道的利用系数得以提高，两侧渗漏量将减小，这对于渠</w:t>
      </w:r>
      <w:r>
        <w:rPr>
          <w:rFonts w:ascii="宋体" w:hAnsi="宋体" w:eastAsia="宋体" w:cs="宋体"/>
          <w:spacing w:val="6"/>
          <w:sz w:val="24"/>
          <w:szCs w:val="24"/>
        </w:rPr>
        <w:t xml:space="preserve"> </w:t>
      </w:r>
      <w:r>
        <w:rPr>
          <w:rFonts w:ascii="宋体" w:hAnsi="宋体" w:eastAsia="宋体" w:cs="宋体"/>
          <w:spacing w:val="2"/>
          <w:sz w:val="24"/>
          <w:szCs w:val="24"/>
        </w:rPr>
        <w:t>道两侧靠地下水生长的植被有一定不利影响。但是由于渠道在灌区中穿行，两</w:t>
      </w:r>
      <w:r>
        <w:rPr>
          <w:rFonts w:ascii="宋体" w:hAnsi="宋体" w:eastAsia="宋体" w:cs="宋体"/>
          <w:spacing w:val="1"/>
          <w:sz w:val="24"/>
          <w:szCs w:val="24"/>
        </w:rPr>
        <w:t>边多靠</w:t>
      </w:r>
      <w:r>
        <w:rPr>
          <w:rFonts w:ascii="宋体" w:hAnsi="宋体" w:eastAsia="宋体" w:cs="宋体"/>
          <w:sz w:val="24"/>
          <w:szCs w:val="24"/>
        </w:rPr>
        <w:t xml:space="preserve"> </w:t>
      </w:r>
      <w:r>
        <w:rPr>
          <w:rFonts w:ascii="宋体" w:hAnsi="宋体" w:eastAsia="宋体" w:cs="宋体"/>
          <w:spacing w:val="2"/>
          <w:sz w:val="24"/>
          <w:szCs w:val="24"/>
        </w:rPr>
        <w:t>近耕地，故两侧地下水位变化不会明显，完全可靠灌溉水维持生长，所以对植</w:t>
      </w:r>
      <w:r>
        <w:rPr>
          <w:rFonts w:ascii="宋体" w:hAnsi="宋体" w:eastAsia="宋体" w:cs="宋体"/>
          <w:spacing w:val="1"/>
          <w:sz w:val="24"/>
          <w:szCs w:val="24"/>
        </w:rPr>
        <w:t>被的影</w:t>
      </w:r>
      <w:r>
        <w:rPr>
          <w:rFonts w:ascii="宋体" w:hAnsi="宋体" w:eastAsia="宋体" w:cs="宋体"/>
          <w:spacing w:val="-3"/>
          <w:sz w:val="24"/>
          <w:szCs w:val="24"/>
        </w:rPr>
        <w:t>响不大。田间荒地上植被生长主要依赖耕地灌溉水下渗润育，工程对其影响可以忽略。</w:t>
      </w:r>
    </w:p>
    <w:p w14:paraId="1EACD521">
      <w:pPr>
        <w:spacing w:before="181" w:line="219" w:lineRule="auto"/>
        <w:ind w:left="14"/>
        <w:outlineLvl w:val="3"/>
        <w:rPr>
          <w:rFonts w:ascii="宋体" w:hAnsi="宋体" w:eastAsia="宋体" w:cs="宋体"/>
          <w:sz w:val="24"/>
          <w:szCs w:val="24"/>
        </w:rPr>
      </w:pPr>
      <w:r>
        <w:rPr>
          <w:b/>
          <w:bCs/>
        </w:rPr>
        <w:fldChar w:fldCharType="begin"/>
      </w:r>
      <w:r>
        <w:rPr>
          <w:b/>
          <w:bCs/>
        </w:rPr>
        <w:instrText xml:space="preserve"> HYPERLINK "5.2.5.3" </w:instrText>
      </w:r>
      <w:r>
        <w:rPr>
          <w:b/>
          <w:bCs/>
        </w:rPr>
        <w:fldChar w:fldCharType="separate"/>
      </w:r>
      <w:r>
        <w:rPr>
          <w:rFonts w:ascii="宋体" w:hAnsi="宋体" w:eastAsia="宋体" w:cs="宋体"/>
          <w:b/>
          <w:bCs/>
          <w:spacing w:val="-3"/>
          <w:sz w:val="24"/>
          <w:szCs w:val="24"/>
          <w14:textOutline w14:w="4358" w14:cap="sq" w14:cmpd="sng">
            <w14:solidFill>
              <w14:srgbClr w14:val="000000"/>
            </w14:solidFill>
            <w14:prstDash w14:val="solid"/>
            <w14:bevel/>
          </w14:textOutline>
        </w:rPr>
        <w:t>5.2.5.3</w:t>
      </w:r>
      <w:r>
        <w:rPr>
          <w:rFonts w:ascii="宋体" w:hAnsi="宋体" w:eastAsia="宋体" w:cs="宋体"/>
          <w:b/>
          <w:bCs/>
          <w:spacing w:val="-3"/>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3"/>
          <w:sz w:val="24"/>
          <w:szCs w:val="24"/>
          <w:lang w:val="en-US" w:eastAsia="zh-CN"/>
          <w14:textOutline w14:w="4358" w14:cap="sq" w14:cmpd="sng">
            <w14:solidFill>
              <w14:srgbClr w14:val="000000"/>
            </w14:solidFill>
            <w14:prstDash w14:val="solid"/>
            <w14:bevel/>
          </w14:textOutline>
        </w:rPr>
        <w:t xml:space="preserve"> 对</w:t>
      </w:r>
      <w:r>
        <w:rPr>
          <w:rFonts w:ascii="宋体" w:hAnsi="宋体" w:eastAsia="宋体" w:cs="宋体"/>
          <w:b/>
          <w:bCs/>
          <w:spacing w:val="-3"/>
          <w:sz w:val="24"/>
          <w:szCs w:val="24"/>
          <w14:textOutline w14:w="4358" w14:cap="sq" w14:cmpd="sng">
            <w14:solidFill>
              <w14:srgbClr w14:val="000000"/>
            </w14:solidFill>
            <w14:prstDash w14:val="solid"/>
            <w14:bevel/>
          </w14:textOutline>
        </w:rPr>
        <w:t>灌区影响</w:t>
      </w:r>
    </w:p>
    <w:p w14:paraId="487F6E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z w:val="24"/>
          <w:szCs w:val="24"/>
        </w:rPr>
      </w:pPr>
      <w:r>
        <w:rPr>
          <w:rFonts w:ascii="宋体" w:hAnsi="宋体" w:eastAsia="宋体" w:cs="宋体"/>
          <w:spacing w:val="-3"/>
          <w:sz w:val="24"/>
          <w:szCs w:val="24"/>
        </w:rPr>
        <w:t>本工程完成后，解决了</w:t>
      </w:r>
      <w:r>
        <w:rPr>
          <w:rFonts w:hint="eastAsia" w:ascii="宋体" w:hAnsi="宋体" w:eastAsia="宋体" w:cs="宋体"/>
          <w:spacing w:val="-3"/>
          <w:sz w:val="24"/>
          <w:szCs w:val="24"/>
          <w:lang w:eastAsia="zh-CN"/>
        </w:rPr>
        <w:t>艾丁湖</w:t>
      </w:r>
      <w:r>
        <w:rPr>
          <w:rFonts w:ascii="宋体" w:hAnsi="宋体" w:eastAsia="宋体" w:cs="宋体"/>
          <w:spacing w:val="-3"/>
          <w:sz w:val="24"/>
          <w:szCs w:val="24"/>
        </w:rPr>
        <w:t>灌区</w:t>
      </w:r>
      <w:r>
        <w:rPr>
          <w:rFonts w:hint="eastAsia" w:ascii="宋体" w:hAnsi="宋体" w:eastAsia="宋体" w:cs="宋体"/>
          <w:spacing w:val="-3"/>
          <w:sz w:val="24"/>
          <w:szCs w:val="24"/>
          <w:lang w:val="en-US" w:eastAsia="zh-CN"/>
        </w:rPr>
        <w:t>渠道和渠系建筑物</w:t>
      </w:r>
      <w:r>
        <w:rPr>
          <w:rFonts w:ascii="宋体" w:hAnsi="宋体" w:eastAsia="宋体" w:cs="宋体"/>
          <w:spacing w:val="-3"/>
          <w:sz w:val="24"/>
          <w:szCs w:val="24"/>
        </w:rPr>
        <w:t>老化问题，</w:t>
      </w:r>
      <w:r>
        <w:rPr>
          <w:rFonts w:ascii="宋体" w:hAnsi="宋体" w:eastAsia="宋体" w:cs="宋体"/>
          <w:spacing w:val="2"/>
          <w:sz w:val="24"/>
          <w:szCs w:val="24"/>
        </w:rPr>
        <w:t>减少了输水对渠道和渠道岸坡的冲刷破坏，减少了水土流失发生。另外，</w:t>
      </w:r>
      <w:r>
        <w:rPr>
          <w:rFonts w:ascii="宋体" w:hAnsi="宋体" w:eastAsia="宋体" w:cs="宋体"/>
          <w:spacing w:val="1"/>
          <w:sz w:val="24"/>
          <w:szCs w:val="24"/>
        </w:rPr>
        <w:t>本工程的建</w:t>
      </w:r>
      <w:r>
        <w:rPr>
          <w:rFonts w:ascii="宋体" w:hAnsi="宋体" w:eastAsia="宋体" w:cs="宋体"/>
          <w:spacing w:val="2"/>
          <w:sz w:val="24"/>
          <w:szCs w:val="24"/>
        </w:rPr>
        <w:t>设可提高灌区的农田灌溉保证率，为灌区内农田增产及当地农业的稳产丰产创</w:t>
      </w:r>
      <w:r>
        <w:rPr>
          <w:rFonts w:ascii="宋体" w:hAnsi="宋体" w:eastAsia="宋体" w:cs="宋体"/>
          <w:spacing w:val="1"/>
          <w:sz w:val="24"/>
          <w:szCs w:val="24"/>
        </w:rPr>
        <w:t>造了条</w:t>
      </w:r>
      <w:r>
        <w:rPr>
          <w:rFonts w:ascii="宋体" w:hAnsi="宋体" w:eastAsia="宋体" w:cs="宋体"/>
          <w:spacing w:val="2"/>
          <w:sz w:val="24"/>
          <w:szCs w:val="24"/>
        </w:rPr>
        <w:t>件，同时可减轻灌区的水土流失，</w:t>
      </w:r>
      <w:r>
        <w:rPr>
          <w:rFonts w:hint="eastAsia" w:ascii="宋体" w:hAnsi="宋体" w:eastAsia="宋体" w:cs="宋体"/>
          <w:spacing w:val="2"/>
          <w:sz w:val="24"/>
          <w:szCs w:val="24"/>
          <w:lang w:val="en-US" w:eastAsia="zh-CN"/>
        </w:rPr>
        <w:t>增加对艾丁湖的生态补水量，</w:t>
      </w:r>
      <w:r>
        <w:rPr>
          <w:rFonts w:ascii="宋体" w:hAnsi="宋体" w:eastAsia="宋体" w:cs="宋体"/>
          <w:spacing w:val="2"/>
          <w:sz w:val="24"/>
          <w:szCs w:val="24"/>
        </w:rPr>
        <w:t>对促进当地社会经济稳定和可持续发展具有</w:t>
      </w:r>
      <w:r>
        <w:rPr>
          <w:rFonts w:ascii="宋体" w:hAnsi="宋体" w:eastAsia="宋体" w:cs="宋体"/>
          <w:spacing w:val="1"/>
          <w:sz w:val="24"/>
          <w:szCs w:val="24"/>
        </w:rPr>
        <w:t>重要作</w:t>
      </w:r>
      <w:r>
        <w:rPr>
          <w:rFonts w:ascii="宋体" w:hAnsi="宋体" w:eastAsia="宋体" w:cs="宋体"/>
          <w:spacing w:val="-1"/>
          <w:sz w:val="24"/>
          <w:szCs w:val="24"/>
        </w:rPr>
        <w:t>用。本次环评认为，项目运营期对灌区有正向影响作用。</w:t>
      </w:r>
    </w:p>
    <w:p w14:paraId="4BDA9BA6">
      <w:pPr>
        <w:spacing w:before="182" w:line="219" w:lineRule="auto"/>
        <w:ind w:left="14"/>
        <w:outlineLvl w:val="3"/>
        <w:rPr>
          <w:rFonts w:ascii="宋体" w:hAnsi="宋体" w:eastAsia="宋体" w:cs="宋体"/>
          <w:sz w:val="24"/>
          <w:szCs w:val="24"/>
        </w:rPr>
      </w:pPr>
      <w:r>
        <w:rPr>
          <w:b/>
          <w:bCs/>
        </w:rPr>
        <w:fldChar w:fldCharType="begin"/>
      </w:r>
      <w:r>
        <w:rPr>
          <w:b/>
          <w:bCs/>
        </w:rPr>
        <w:instrText xml:space="preserve"> HYPERLINK "5.2.5.4"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5.2.5.4</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水生生态影响</w:t>
      </w:r>
    </w:p>
    <w:p w14:paraId="47189B7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8" w:firstLineChars="200"/>
        <w:textAlignment w:val="baseline"/>
        <w:rPr>
          <w:rFonts w:hint="eastAsia" w:ascii="宋体" w:hAnsi="宋体" w:eastAsia="宋体" w:cs="宋体"/>
          <w:sz w:val="24"/>
          <w:szCs w:val="24"/>
          <w:lang w:eastAsia="zh-CN"/>
        </w:rPr>
      </w:pPr>
      <w:r>
        <w:rPr>
          <w:rFonts w:ascii="宋体" w:hAnsi="宋体" w:eastAsia="宋体" w:cs="宋体"/>
          <w:spacing w:val="2"/>
          <w:sz w:val="24"/>
          <w:szCs w:val="24"/>
        </w:rPr>
        <w:t>本工程为</w:t>
      </w:r>
      <w:r>
        <w:rPr>
          <w:rFonts w:hint="eastAsia" w:ascii="宋体" w:hAnsi="宋体" w:eastAsia="宋体" w:cs="宋体"/>
          <w:spacing w:val="2"/>
          <w:sz w:val="24"/>
          <w:szCs w:val="24"/>
          <w:lang w:eastAsia="zh-CN"/>
        </w:rPr>
        <w:t>灌区水利</w:t>
      </w:r>
      <w:r>
        <w:rPr>
          <w:rFonts w:ascii="宋体" w:hAnsi="宋体" w:eastAsia="宋体" w:cs="宋体"/>
          <w:spacing w:val="2"/>
          <w:sz w:val="24"/>
          <w:szCs w:val="24"/>
        </w:rPr>
        <w:t>项目，渠道工程改造不占用河道；</w:t>
      </w:r>
      <w:r>
        <w:rPr>
          <w:rFonts w:ascii="宋体" w:hAnsi="宋体" w:eastAsia="宋体" w:cs="宋体"/>
          <w:spacing w:val="1"/>
          <w:sz w:val="24"/>
          <w:szCs w:val="24"/>
        </w:rPr>
        <w:t>同时，本工程实施较改造前不新增引水量，改造主要针对渠道防渗修整和渠系构</w:t>
      </w:r>
      <w:r>
        <w:rPr>
          <w:rFonts w:ascii="宋体" w:hAnsi="宋体" w:eastAsia="宋体" w:cs="宋体"/>
          <w:spacing w:val="12"/>
          <w:sz w:val="24"/>
          <w:szCs w:val="24"/>
        </w:rPr>
        <w:t xml:space="preserve"> </w:t>
      </w:r>
      <w:r>
        <w:rPr>
          <w:rFonts w:ascii="宋体" w:hAnsi="宋体" w:eastAsia="宋体" w:cs="宋体"/>
          <w:spacing w:val="2"/>
          <w:sz w:val="24"/>
          <w:szCs w:val="24"/>
        </w:rPr>
        <w:t>筑物的维修，以及</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的改造，项目改造不会对上游流域、地表水饮用水水源保护区、下游流域内水生生</w:t>
      </w:r>
      <w:r>
        <w:rPr>
          <w:rFonts w:ascii="宋体" w:hAnsi="宋体" w:eastAsia="宋体" w:cs="宋体"/>
          <w:spacing w:val="1"/>
          <w:sz w:val="24"/>
          <w:szCs w:val="24"/>
        </w:rPr>
        <w:t>态产生</w:t>
      </w:r>
      <w:r>
        <w:rPr>
          <w:rFonts w:ascii="宋体" w:hAnsi="宋体" w:eastAsia="宋体" w:cs="宋体"/>
          <w:spacing w:val="2"/>
          <w:sz w:val="24"/>
          <w:szCs w:val="24"/>
        </w:rPr>
        <w:t>负面影响。另外工程建成后，将大幅度提高灌区水资源配置水平，</w:t>
      </w:r>
      <w:r>
        <w:rPr>
          <w:rFonts w:hint="eastAsia" w:ascii="宋体" w:hAnsi="宋体" w:eastAsia="宋体" w:cs="宋体"/>
          <w:spacing w:val="2"/>
          <w:sz w:val="24"/>
          <w:szCs w:val="24"/>
          <w:lang w:val="en-US" w:eastAsia="zh-CN"/>
        </w:rPr>
        <w:t>节约农业用水量，</w:t>
      </w:r>
      <w:r>
        <w:rPr>
          <w:rFonts w:hint="eastAsia" w:ascii="宋体" w:hAnsi="宋体" w:eastAsia="宋体" w:cs="宋体"/>
          <w:spacing w:val="-1"/>
          <w:sz w:val="24"/>
          <w:szCs w:val="24"/>
          <w:lang w:val="en-US" w:eastAsia="zh-CN"/>
        </w:rPr>
        <w:t>保障艾丁湖生态补水量，增加</w:t>
      </w:r>
      <w:r>
        <w:rPr>
          <w:rFonts w:hint="eastAsia" w:ascii="宋体" w:hAnsi="宋体" w:eastAsia="宋体" w:cs="宋体"/>
          <w:spacing w:val="1"/>
          <w:sz w:val="24"/>
          <w:szCs w:val="24"/>
          <w:lang w:val="en-US" w:eastAsia="zh-CN"/>
        </w:rPr>
        <w:t>艾丁湖</w:t>
      </w:r>
      <w:r>
        <w:rPr>
          <w:rFonts w:ascii="宋体" w:hAnsi="宋体" w:eastAsia="宋体" w:cs="宋体"/>
          <w:spacing w:val="1"/>
          <w:sz w:val="24"/>
          <w:szCs w:val="24"/>
        </w:rPr>
        <w:t>区</w:t>
      </w:r>
      <w:r>
        <w:rPr>
          <w:rFonts w:ascii="宋体" w:hAnsi="宋体" w:eastAsia="宋体" w:cs="宋体"/>
          <w:spacing w:val="-1"/>
          <w:sz w:val="24"/>
          <w:szCs w:val="24"/>
        </w:rPr>
        <w:t>域水面面积，这为区域水生生物提供了更为广阔的生存空间</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改善</w:t>
      </w:r>
      <w:r>
        <w:rPr>
          <w:rFonts w:hint="eastAsia" w:ascii="宋体" w:hAnsi="宋体" w:eastAsia="宋体" w:cs="宋体"/>
          <w:spacing w:val="2"/>
          <w:sz w:val="24"/>
          <w:szCs w:val="24"/>
          <w:lang w:eastAsia="zh-CN"/>
        </w:rPr>
        <w:t>艾丁湖</w:t>
      </w:r>
      <w:r>
        <w:rPr>
          <w:rFonts w:ascii="宋体" w:hAnsi="宋体" w:eastAsia="宋体" w:cs="宋体"/>
          <w:spacing w:val="2"/>
          <w:sz w:val="24"/>
          <w:szCs w:val="24"/>
        </w:rPr>
        <w:t>现有水生生物的生存</w:t>
      </w:r>
      <w:r>
        <w:rPr>
          <w:rFonts w:ascii="宋体" w:hAnsi="宋体" w:eastAsia="宋体" w:cs="宋体"/>
          <w:spacing w:val="1"/>
          <w:sz w:val="24"/>
          <w:szCs w:val="24"/>
        </w:rPr>
        <w:t>环境</w:t>
      </w:r>
      <w:r>
        <w:rPr>
          <w:rFonts w:hint="eastAsia" w:ascii="宋体" w:hAnsi="宋体" w:eastAsia="宋体" w:cs="宋体"/>
          <w:spacing w:val="1"/>
          <w:sz w:val="24"/>
          <w:szCs w:val="24"/>
          <w:lang w:eastAsia="zh-CN"/>
        </w:rPr>
        <w:t>。</w:t>
      </w:r>
    </w:p>
    <w:p w14:paraId="33406E99">
      <w:pPr>
        <w:spacing w:before="184" w:line="219" w:lineRule="auto"/>
        <w:ind w:left="14"/>
        <w:outlineLvl w:val="3"/>
        <w:rPr>
          <w:rFonts w:ascii="宋体" w:hAnsi="宋体" w:eastAsia="宋体" w:cs="宋体"/>
          <w:b/>
          <w:bCs/>
          <w:sz w:val="24"/>
          <w:szCs w:val="24"/>
        </w:rPr>
      </w:pPr>
      <w:r>
        <w:rPr>
          <w:b/>
          <w:bCs/>
        </w:rPr>
        <w:fldChar w:fldCharType="begin"/>
      </w:r>
      <w:r>
        <w:rPr>
          <w:b/>
          <w:bCs/>
        </w:rPr>
        <w:instrText xml:space="preserve"> HYPERLINK "5.2.5.5"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5.2.5.5</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景观影响</w:t>
      </w:r>
    </w:p>
    <w:p w14:paraId="4B1086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本工程的建成改善了渠道周围生态环境，调节水资源，改善了渠道两侧的水分、土壤、植被、气候条件。同时可以为野生动物创造一个良好的生存环境、</w:t>
      </w:r>
      <w:r>
        <w:rPr>
          <w:rFonts w:ascii="宋体" w:hAnsi="宋体" w:eastAsia="宋体" w:cs="宋体"/>
          <w:spacing w:val="1"/>
          <w:sz w:val="24"/>
          <w:szCs w:val="24"/>
        </w:rPr>
        <w:t>促进野生动</w:t>
      </w:r>
      <w:r>
        <w:rPr>
          <w:rFonts w:ascii="宋体" w:hAnsi="宋体" w:eastAsia="宋体" w:cs="宋体"/>
          <w:spacing w:val="-2"/>
          <w:sz w:val="24"/>
          <w:szCs w:val="24"/>
        </w:rPr>
        <w:t>物的栖息和繁衍，使野生动物在种类和数量上均有所增加</w:t>
      </w:r>
      <w:r>
        <w:rPr>
          <w:rFonts w:ascii="宋体" w:hAnsi="宋体" w:eastAsia="宋体" w:cs="宋体"/>
          <w:spacing w:val="-3"/>
          <w:sz w:val="24"/>
          <w:szCs w:val="24"/>
        </w:rPr>
        <w:t>，使</w:t>
      </w:r>
      <w:r>
        <w:rPr>
          <w:rFonts w:hint="eastAsia" w:ascii="宋体" w:hAnsi="宋体" w:eastAsia="宋体" w:cs="宋体"/>
          <w:spacing w:val="-3"/>
          <w:sz w:val="24"/>
          <w:szCs w:val="24"/>
          <w:lang w:val="en-US" w:eastAsia="zh-CN"/>
        </w:rPr>
        <w:t>项目区</w:t>
      </w:r>
      <w:r>
        <w:rPr>
          <w:rFonts w:ascii="宋体" w:hAnsi="宋体" w:eastAsia="宋体" w:cs="宋体"/>
          <w:spacing w:val="-3"/>
          <w:sz w:val="24"/>
          <w:szCs w:val="24"/>
        </w:rPr>
        <w:t>生物向多样化发展</w:t>
      </w:r>
    </w:p>
    <w:p w14:paraId="67620D45">
      <w:pPr>
        <w:spacing w:before="91" w:line="221"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5.2.6</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环境风险影响分析</w:t>
      </w:r>
    </w:p>
    <w:p w14:paraId="7C0150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根据工程特征和《建设项目环境风险评价技术导则》（HJ169-2018）附录 B，本工程运营过程中不涉及有毒有害、易燃易爆物质的生产、使用、储存，以及高温高压等工艺过程。根据导则，核算 Q=0，M=0，根据导则，风险潜势为 I，环境风险评价等级为简单分析。</w:t>
      </w:r>
    </w:p>
    <w:p w14:paraId="32C3FA0E">
      <w:pPr>
        <w:spacing w:before="300" w:line="220" w:lineRule="auto"/>
        <w:ind w:left="18"/>
        <w:outlineLvl w:val="3"/>
        <w:rPr>
          <w:rFonts w:ascii="宋体" w:hAnsi="宋体" w:eastAsia="宋体" w:cs="宋体"/>
          <w:sz w:val="24"/>
          <w:szCs w:val="24"/>
        </w:rPr>
      </w:pPr>
      <w:r>
        <w:rPr>
          <w:b/>
          <w:bCs/>
        </w:rPr>
        <w:fldChar w:fldCharType="begin"/>
      </w:r>
      <w:r>
        <w:rPr>
          <w:b/>
          <w:bCs/>
        </w:rPr>
        <w:instrText xml:space="preserve"> HYPERLINK "5.2.6.1"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5.2.6.1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环境风险识别</w:t>
      </w:r>
    </w:p>
    <w:p w14:paraId="6CA0E7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本工程实施后运营过程中不涉及环境风险物质及相关设施的生产、使用和存储，此外项目实施主要为恢复渠道原有设计输水量，不新增上游引水量，改造后灌区水量可达到供需平衡，灌区灌溉用水不会挤占</w:t>
      </w:r>
      <w:r>
        <w:rPr>
          <w:rFonts w:hint="eastAsia" w:ascii="宋体" w:hAnsi="宋体" w:eastAsia="宋体" w:cs="宋体"/>
          <w:sz w:val="24"/>
          <w:szCs w:val="24"/>
          <w:lang w:eastAsia="zh-CN"/>
        </w:rPr>
        <w:t>艾丁湖</w:t>
      </w:r>
      <w:r>
        <w:rPr>
          <w:rFonts w:ascii="宋体" w:hAnsi="宋体" w:eastAsia="宋体" w:cs="宋体"/>
          <w:sz w:val="24"/>
          <w:szCs w:val="24"/>
        </w:rPr>
        <w:t>生态用水。项目涉及的主要环境风险为渠道敷设的垫层基础破裂引起的渠道水渗漏；</w:t>
      </w:r>
      <w:r>
        <w:rPr>
          <w:rFonts w:hint="eastAsia" w:ascii="宋体" w:hAnsi="宋体" w:eastAsia="宋体" w:cs="宋体"/>
          <w:sz w:val="24"/>
          <w:szCs w:val="24"/>
          <w:lang w:eastAsia="zh-CN"/>
        </w:rPr>
        <w:t>泵房</w:t>
      </w:r>
      <w:r>
        <w:rPr>
          <w:rFonts w:ascii="宋体" w:hAnsi="宋体" w:eastAsia="宋体" w:cs="宋体"/>
          <w:sz w:val="24"/>
          <w:szCs w:val="24"/>
        </w:rPr>
        <w:t>因用电等不规范引起的火灾</w:t>
      </w:r>
      <w:r>
        <w:rPr>
          <w:rFonts w:ascii="宋体" w:hAnsi="宋体" w:eastAsia="宋体" w:cs="宋体"/>
          <w:spacing w:val="-8"/>
          <w:sz w:val="24"/>
          <w:szCs w:val="24"/>
        </w:rPr>
        <w:t>。</w:t>
      </w:r>
    </w:p>
    <w:p w14:paraId="26308751">
      <w:pPr>
        <w:spacing w:before="178" w:line="220" w:lineRule="auto"/>
        <w:ind w:left="18"/>
        <w:outlineLvl w:val="3"/>
        <w:rPr>
          <w:rFonts w:ascii="宋体" w:hAnsi="宋体" w:eastAsia="宋体" w:cs="宋体"/>
          <w:sz w:val="24"/>
          <w:szCs w:val="24"/>
        </w:rPr>
      </w:pPr>
      <w:r>
        <w:rPr>
          <w:b/>
          <w:bCs/>
        </w:rPr>
        <w:fldChar w:fldCharType="begin"/>
      </w:r>
      <w:r>
        <w:rPr>
          <w:b/>
          <w:bCs/>
        </w:rPr>
        <w:instrText xml:space="preserve"> HYPERLINK "5.2.6.2"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5.2.6.2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环境风险分析</w:t>
      </w:r>
    </w:p>
    <w:p w14:paraId="2C6057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（1）渠道敷设垫层基础破裂环境风险</w:t>
      </w:r>
    </w:p>
    <w:p w14:paraId="180634C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textAlignment w:val="baseline"/>
        <w:rPr>
          <w:rFonts w:ascii="宋体" w:hAnsi="宋体" w:eastAsia="宋体" w:cs="宋体"/>
          <w:sz w:val="24"/>
          <w:szCs w:val="24"/>
        </w:rPr>
      </w:pPr>
      <w:r>
        <w:rPr>
          <w:rFonts w:ascii="宋体" w:hAnsi="宋体" w:eastAsia="宋体" w:cs="宋体"/>
          <w:spacing w:val="1"/>
          <w:sz w:val="24"/>
          <w:szCs w:val="24"/>
        </w:rPr>
        <w:t>本工程改造后的渠道底层及侧面在长时间使用后产生破裂破损，引起渠</w:t>
      </w:r>
      <w:r>
        <w:rPr>
          <w:rFonts w:ascii="宋体" w:hAnsi="宋体" w:eastAsia="宋体" w:cs="宋体"/>
          <w:sz w:val="24"/>
          <w:szCs w:val="24"/>
        </w:rPr>
        <w:t xml:space="preserve">道内输水 </w:t>
      </w:r>
      <w:r>
        <w:rPr>
          <w:rFonts w:ascii="宋体" w:hAnsi="宋体" w:eastAsia="宋体" w:cs="宋体"/>
          <w:spacing w:val="2"/>
          <w:sz w:val="24"/>
          <w:szCs w:val="24"/>
        </w:rPr>
        <w:t>渗漏，在缺乏排水设施、地下水排水不畅情况下造成下游区域地下水</w:t>
      </w:r>
      <w:r>
        <w:rPr>
          <w:rFonts w:ascii="宋体" w:hAnsi="宋体" w:eastAsia="宋体" w:cs="宋体"/>
          <w:spacing w:val="1"/>
          <w:sz w:val="24"/>
          <w:szCs w:val="24"/>
        </w:rPr>
        <w:t>位上升，诱发区</w:t>
      </w:r>
      <w:r>
        <w:rPr>
          <w:rFonts w:ascii="宋体" w:hAnsi="宋体" w:eastAsia="宋体" w:cs="宋体"/>
          <w:spacing w:val="-2"/>
          <w:sz w:val="24"/>
          <w:szCs w:val="24"/>
        </w:rPr>
        <w:t>域土壤盐渍化。</w:t>
      </w:r>
    </w:p>
    <w:p w14:paraId="038F2AF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火灾环境风险</w:t>
      </w:r>
    </w:p>
    <w:p w14:paraId="26FF26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textAlignment w:val="baseline"/>
        <w:rPr>
          <w:rFonts w:ascii="宋体" w:hAnsi="宋体" w:eastAsia="宋体" w:cs="宋体"/>
          <w:sz w:val="24"/>
          <w:szCs w:val="24"/>
        </w:rPr>
      </w:pPr>
      <w:r>
        <w:rPr>
          <w:rFonts w:hint="eastAsia" w:ascii="宋体" w:hAnsi="宋体" w:eastAsia="宋体" w:cs="宋体"/>
          <w:spacing w:val="1"/>
          <w:sz w:val="24"/>
          <w:szCs w:val="24"/>
          <w:lang w:eastAsia="zh-CN"/>
        </w:rPr>
        <w:t>泵房</w:t>
      </w:r>
      <w:r>
        <w:rPr>
          <w:rFonts w:ascii="宋体" w:hAnsi="宋体" w:eastAsia="宋体" w:cs="宋体"/>
          <w:spacing w:val="1"/>
          <w:sz w:val="24"/>
          <w:szCs w:val="24"/>
        </w:rPr>
        <w:t>内的电器配置如不符合规范要求，电气设施老化、绝缘破损、短路、</w:t>
      </w:r>
      <w:r>
        <w:rPr>
          <w:rFonts w:ascii="宋体" w:hAnsi="宋体" w:eastAsia="宋体" w:cs="宋体"/>
          <w:sz w:val="24"/>
          <w:szCs w:val="24"/>
        </w:rPr>
        <w:t>私拉</w:t>
      </w:r>
      <w:r>
        <w:rPr>
          <w:rFonts w:ascii="宋体" w:hAnsi="宋体" w:eastAsia="宋体" w:cs="宋体"/>
          <w:spacing w:val="2"/>
          <w:sz w:val="24"/>
          <w:szCs w:val="24"/>
        </w:rPr>
        <w:t>乱接，或超负荷用电、过载、电器使用管理不当引起火灾，火灾可能引燃房</w:t>
      </w:r>
      <w:r>
        <w:rPr>
          <w:rFonts w:ascii="宋体" w:hAnsi="宋体" w:eastAsia="宋体" w:cs="宋体"/>
          <w:spacing w:val="1"/>
          <w:sz w:val="24"/>
          <w:szCs w:val="24"/>
        </w:rPr>
        <w:t>屋周边的</w:t>
      </w:r>
      <w:r>
        <w:rPr>
          <w:rFonts w:ascii="宋体" w:hAnsi="宋体" w:eastAsia="宋体" w:cs="宋体"/>
          <w:spacing w:val="-5"/>
          <w:sz w:val="24"/>
          <w:szCs w:val="24"/>
        </w:rPr>
        <w:t>绿化带，同时释放大量烟尘、CO</w:t>
      </w:r>
      <w:r>
        <w:rPr>
          <w:rFonts w:ascii="宋体" w:hAnsi="宋体" w:eastAsia="宋体" w:cs="宋体"/>
          <w:spacing w:val="-33"/>
          <w:sz w:val="24"/>
          <w:szCs w:val="24"/>
        </w:rPr>
        <w:t xml:space="preserve"> </w:t>
      </w:r>
      <w:r>
        <w:rPr>
          <w:rFonts w:ascii="宋体" w:hAnsi="宋体" w:eastAsia="宋体" w:cs="宋体"/>
          <w:spacing w:val="-5"/>
          <w:sz w:val="24"/>
          <w:szCs w:val="24"/>
        </w:rPr>
        <w:t>等有毒有害烟气，通过风和大气湍流作用向周边扩散，</w:t>
      </w:r>
      <w:r>
        <w:rPr>
          <w:rFonts w:ascii="宋体" w:hAnsi="宋体" w:eastAsia="宋体" w:cs="宋体"/>
          <w:spacing w:val="2"/>
          <w:sz w:val="24"/>
          <w:szCs w:val="24"/>
        </w:rPr>
        <w:t>特别是事故发生时主导风向方向，造成区域环境空气质量阶段性严重下降。</w:t>
      </w:r>
      <w:r>
        <w:rPr>
          <w:rFonts w:ascii="宋体" w:hAnsi="宋体" w:eastAsia="宋体" w:cs="宋体"/>
          <w:spacing w:val="1"/>
          <w:sz w:val="24"/>
          <w:szCs w:val="24"/>
        </w:rPr>
        <w:t>另外消防</w:t>
      </w:r>
      <w:r>
        <w:rPr>
          <w:rFonts w:ascii="宋体" w:hAnsi="宋体" w:eastAsia="宋体" w:cs="宋体"/>
          <w:spacing w:val="2"/>
          <w:sz w:val="24"/>
          <w:szCs w:val="24"/>
        </w:rPr>
        <w:t>救援产生的消防废水若不收集处置，通过管理用房及附近土壤下渗，对区域</w:t>
      </w:r>
      <w:r>
        <w:rPr>
          <w:rFonts w:ascii="宋体" w:hAnsi="宋体" w:eastAsia="宋体" w:cs="宋体"/>
          <w:spacing w:val="1"/>
          <w:sz w:val="24"/>
          <w:szCs w:val="24"/>
        </w:rPr>
        <w:t>土壤和地</w:t>
      </w:r>
      <w:r>
        <w:rPr>
          <w:rFonts w:ascii="宋体" w:hAnsi="宋体" w:eastAsia="宋体" w:cs="宋体"/>
          <w:spacing w:val="-2"/>
          <w:sz w:val="24"/>
          <w:szCs w:val="24"/>
        </w:rPr>
        <w:t>下水也将产生一定污染。</w:t>
      </w:r>
    </w:p>
    <w:p w14:paraId="3758CA47">
      <w:pPr>
        <w:spacing w:before="181" w:line="220" w:lineRule="auto"/>
        <w:ind w:left="18"/>
        <w:outlineLvl w:val="3"/>
        <w:rPr>
          <w:rFonts w:ascii="宋体" w:hAnsi="宋体" w:eastAsia="宋体" w:cs="宋体"/>
          <w:b/>
          <w:bCs/>
          <w:sz w:val="24"/>
          <w:szCs w:val="24"/>
        </w:rPr>
      </w:pPr>
      <w:r>
        <w:rPr>
          <w:b/>
          <w:bCs/>
        </w:rPr>
        <w:fldChar w:fldCharType="begin"/>
      </w:r>
      <w:r>
        <w:rPr>
          <w:b/>
          <w:bCs/>
        </w:rPr>
        <w:instrText xml:space="preserve"> HYPERLINK "5.2.6.3"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5.2.6.3</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分析结论</w:t>
      </w:r>
    </w:p>
    <w:p w14:paraId="696D3E73">
      <w:pPr>
        <w:spacing w:before="182" w:line="360" w:lineRule="auto"/>
        <w:ind w:left="16" w:right="44" w:firstLine="518"/>
        <w:jc w:val="both"/>
        <w:rPr>
          <w:rFonts w:ascii="宋体" w:hAnsi="宋体" w:eastAsia="宋体" w:cs="宋体"/>
          <w:sz w:val="24"/>
          <w:szCs w:val="24"/>
        </w:rPr>
      </w:pPr>
      <w:r>
        <w:rPr>
          <w:rFonts w:ascii="宋体" w:hAnsi="宋体" w:eastAsia="宋体" w:cs="宋体"/>
          <w:spacing w:val="1"/>
          <w:sz w:val="24"/>
          <w:szCs w:val="24"/>
        </w:rPr>
        <w:t>综上所述，只要建设单位能够认真执行本报告书中关于风险防范和</w:t>
      </w:r>
      <w:r>
        <w:rPr>
          <w:rFonts w:ascii="宋体" w:hAnsi="宋体" w:eastAsia="宋体" w:cs="宋体"/>
          <w:sz w:val="24"/>
          <w:szCs w:val="24"/>
        </w:rPr>
        <w:t>应急方面的内</w:t>
      </w:r>
      <w:r>
        <w:rPr>
          <w:rFonts w:ascii="宋体" w:hAnsi="宋体" w:eastAsia="宋体" w:cs="宋体"/>
          <w:spacing w:val="-8"/>
          <w:sz w:val="24"/>
          <w:szCs w:val="24"/>
        </w:rPr>
        <w:t>容，并充分落实、加强管理，完善各类风</w:t>
      </w:r>
      <w:r>
        <w:rPr>
          <w:rFonts w:ascii="宋体" w:hAnsi="宋体" w:eastAsia="宋体" w:cs="宋体"/>
          <w:spacing w:val="-9"/>
          <w:sz w:val="24"/>
          <w:szCs w:val="24"/>
        </w:rPr>
        <w:t>险防范和应急设备、设施，</w:t>
      </w:r>
      <w:r>
        <w:rPr>
          <w:rFonts w:ascii="宋体" w:hAnsi="宋体" w:eastAsia="宋体" w:cs="宋体"/>
          <w:spacing w:val="-3"/>
          <w:sz w:val="24"/>
          <w:szCs w:val="24"/>
        </w:rPr>
        <w:t>建立相应的风险管理制度并严格执行遵守，就能够保证环境风险管理措施有效、可靠，</w:t>
      </w:r>
      <w:r>
        <w:rPr>
          <w:rFonts w:ascii="宋体" w:hAnsi="宋体" w:eastAsia="宋体" w:cs="宋体"/>
          <w:spacing w:val="2"/>
          <w:sz w:val="24"/>
          <w:szCs w:val="24"/>
        </w:rPr>
        <w:t>降低项目的风险值，使本工程的环境风险达到可接受的水平。项目从环</w:t>
      </w:r>
      <w:r>
        <w:rPr>
          <w:rFonts w:ascii="宋体" w:hAnsi="宋体" w:eastAsia="宋体" w:cs="宋体"/>
          <w:spacing w:val="1"/>
          <w:sz w:val="24"/>
          <w:szCs w:val="24"/>
        </w:rPr>
        <w:t>境风险角度分</w:t>
      </w:r>
      <w:r>
        <w:rPr>
          <w:rFonts w:ascii="宋体" w:hAnsi="宋体" w:eastAsia="宋体" w:cs="宋体"/>
          <w:spacing w:val="-1"/>
          <w:sz w:val="24"/>
          <w:szCs w:val="24"/>
        </w:rPr>
        <w:t>析，项目建设是可以接受的。</w:t>
      </w:r>
    </w:p>
    <w:p w14:paraId="22467FD9">
      <w:pPr>
        <w:pStyle w:val="3"/>
        <w:spacing w:line="256" w:lineRule="auto"/>
      </w:pPr>
    </w:p>
    <w:p w14:paraId="282F7C4E">
      <w:pPr>
        <w:pStyle w:val="3"/>
        <w:spacing w:line="256" w:lineRule="auto"/>
      </w:pPr>
    </w:p>
    <w:p w14:paraId="042E79D0">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bookmarkStart w:id="34" w:name="bookmark31"/>
      <w:bookmarkEnd w:id="34"/>
      <w:bookmarkStart w:id="35" w:name="bookmark30"/>
      <w:bookmarkEnd w:id="35"/>
    </w:p>
    <w:p w14:paraId="21E377E8">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4EFD3160">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62B5762C">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551BD24B">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1895092">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1269A2E7">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2FB9AC70">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pPr>
    </w:p>
    <w:p w14:paraId="4EB1274C">
      <w:pPr>
        <w:spacing w:before="313" w:line="225" w:lineRule="auto"/>
        <w:ind w:left="15"/>
        <w:outlineLvl w:val="0"/>
        <w:rPr>
          <w:rFonts w:hint="eastAsia" w:ascii="黑体" w:hAnsi="黑体" w:eastAsia="黑体" w:cs="黑体"/>
          <w:spacing w:val="8"/>
          <w:sz w:val="32"/>
          <w:szCs w:val="32"/>
          <w14:textOutline w14:w="5793" w14:cap="sq" w14:cmpd="sng">
            <w14:solidFill>
              <w14:srgbClr w14:val="000000"/>
            </w14:solidFill>
            <w14:prstDash w14:val="solid"/>
            <w14:bevel/>
          </w14:textOutline>
        </w:rPr>
        <w:sectPr>
          <w:headerReference r:id="rId15" w:type="default"/>
          <w:footerReference r:id="rId16" w:type="default"/>
          <w:pgSz w:w="11906" w:h="16839"/>
          <w:pgMar w:top="1152" w:right="1417" w:bottom="1262" w:left="1418" w:header="882" w:footer="986" w:gutter="0"/>
          <w:pgBorders>
            <w:top w:val="none" w:sz="0" w:space="0"/>
            <w:left w:val="none" w:sz="0" w:space="0"/>
            <w:bottom w:val="none" w:sz="0" w:space="0"/>
            <w:right w:val="none" w:sz="0" w:space="0"/>
          </w:pgBorders>
          <w:pgNumType w:fmt="decimal"/>
          <w:cols w:space="720" w:num="1"/>
        </w:sectPr>
      </w:pPr>
    </w:p>
    <w:p w14:paraId="0B4823DA">
      <w:pPr>
        <w:spacing w:before="313" w:line="225" w:lineRule="auto"/>
        <w:ind w:left="15"/>
        <w:outlineLvl w:val="0"/>
        <w:rPr>
          <w:rFonts w:hint="eastAsia" w:ascii="黑体" w:hAnsi="黑体" w:eastAsia="黑体" w:cs="黑体"/>
          <w:sz w:val="32"/>
          <w:szCs w:val="32"/>
        </w:rPr>
      </w:pPr>
      <w:r>
        <w:rPr>
          <w:rFonts w:hint="eastAsia" w:ascii="黑体" w:hAnsi="黑体" w:eastAsia="黑体" w:cs="黑体"/>
          <w:spacing w:val="8"/>
          <w:sz w:val="32"/>
          <w:szCs w:val="32"/>
          <w14:textOutline w14:w="5793" w14:cap="sq" w14:cmpd="sng">
            <w14:solidFill>
              <w14:srgbClr w14:val="000000"/>
            </w14:solidFill>
            <w14:prstDash w14:val="solid"/>
            <w14:bevel/>
          </w14:textOutline>
        </w:rPr>
        <w:t>6</w:t>
      </w:r>
      <w:r>
        <w:rPr>
          <w:rFonts w:hint="eastAsia" w:ascii="黑体" w:hAnsi="黑体" w:eastAsia="黑体" w:cs="黑体"/>
          <w:spacing w:val="8"/>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8"/>
          <w:sz w:val="32"/>
          <w:szCs w:val="32"/>
          <w14:textOutline w14:w="5793" w14:cap="sq" w14:cmpd="sng">
            <w14:solidFill>
              <w14:srgbClr w14:val="000000"/>
            </w14:solidFill>
            <w14:prstDash w14:val="solid"/>
            <w14:bevel/>
          </w14:textOutline>
        </w:rPr>
        <w:t>环境保护措施及其技术、经济论证</w:t>
      </w:r>
    </w:p>
    <w:p w14:paraId="63A98595">
      <w:pPr>
        <w:spacing w:before="241" w:line="220" w:lineRule="auto"/>
        <w:ind w:left="14"/>
        <w:outlineLvl w:val="1"/>
        <w:rPr>
          <w:rFonts w:ascii="宋体" w:hAnsi="宋体" w:eastAsia="宋体" w:cs="宋体"/>
          <w:sz w:val="30"/>
          <w:szCs w:val="30"/>
        </w:rPr>
      </w:pPr>
      <w:r>
        <w:rPr>
          <w:rFonts w:hint="eastAsia" w:ascii="黑体" w:hAnsi="黑体" w:eastAsia="黑体" w:cs="黑体"/>
          <w:spacing w:val="1"/>
          <w:sz w:val="30"/>
          <w:szCs w:val="30"/>
          <w14:textOutline w14:w="5448" w14:cap="sq" w14:cmpd="sng">
            <w14:solidFill>
              <w14:srgbClr w14:val="000000"/>
            </w14:solidFill>
            <w14:prstDash w14:val="solid"/>
            <w14:bevel/>
          </w14:textOutline>
        </w:rPr>
        <w:t>6.1</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施工期环境保护措施及可行性</w:t>
      </w:r>
    </w:p>
    <w:p w14:paraId="3356477B">
      <w:pPr>
        <w:spacing w:before="222" w:line="221" w:lineRule="auto"/>
        <w:ind w:left="13"/>
        <w:outlineLvl w:val="2"/>
        <w:rPr>
          <w:rFonts w:ascii="宋体" w:hAnsi="宋体" w:eastAsia="宋体" w:cs="宋体"/>
          <w:b/>
          <w:bCs/>
          <w:sz w:val="28"/>
          <w:szCs w:val="28"/>
        </w:rPr>
      </w:pPr>
      <w:r>
        <w:rPr>
          <w:rFonts w:ascii="宋体" w:hAnsi="宋体" w:eastAsia="宋体" w:cs="宋体"/>
          <w:b/>
          <w:bCs/>
          <w:sz w:val="28"/>
          <w:szCs w:val="28"/>
          <w14:textOutline w14:w="5103" w14:cap="sq" w14:cmpd="sng">
            <w14:solidFill>
              <w14:srgbClr w14:val="000000"/>
            </w14:solidFill>
            <w14:prstDash w14:val="solid"/>
            <w14:bevel/>
          </w14:textOutline>
        </w:rPr>
        <w:t>6.1.1</w:t>
      </w:r>
      <w:r>
        <w:rPr>
          <w:rFonts w:hint="eastAsia" w:ascii="宋体" w:hAnsi="宋体" w:eastAsia="宋体" w:cs="宋体"/>
          <w:b/>
          <w:bCs/>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z w:val="28"/>
          <w:szCs w:val="28"/>
          <w14:textOutline w14:w="5103" w14:cap="sq" w14:cmpd="sng">
            <w14:solidFill>
              <w14:srgbClr w14:val="000000"/>
            </w14:solidFill>
            <w14:prstDash w14:val="solid"/>
            <w14:bevel/>
          </w14:textOutline>
        </w:rPr>
        <w:t>环境空气污染防治措施及可行性</w:t>
      </w:r>
    </w:p>
    <w:p w14:paraId="1F0F6C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施工期间大气环境污染物是渠道和渠系构筑物清基、拆旧、土石方开挖回填以及敷设垫层、安装预制件过程中产生的施工扬尘，混凝土拌合站、钢木加工生产过程中产生的粉尘，柴油发电机工作时产生的燃烧废气以及运送施工材料和设施的车辆、施工机械运行时排产生的燃油废气。</w:t>
      </w:r>
    </w:p>
    <w:p w14:paraId="752F0F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针对本工程施工期间的产污情况，本次环评提出的措施主要如下：</w:t>
      </w:r>
    </w:p>
    <w:p w14:paraId="00CC6AB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（1）渠道清基、拆旧、基础面夯实、土石方开挖、敷设垫层、土石方回填等易产尘施工活动采用水车定期进行洒水降尘，渠道两侧堆放的临时开挖土石方在区域分段施工时及时回填。</w:t>
      </w:r>
    </w:p>
    <w:p w14:paraId="39D124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（2）施工期必须严格按照“六不准 ”要求做好防尘。即不准露天搅拌混凝土；不准车辆带泥出门；不准运渣车辆超载、冒载；不准高空抛撒建渣；不准场地积水；不准现场焚烧废弃物。</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及建新支渠施工段土石方和建筑材料堆放过程中进行定期洒水降尘。</w:t>
      </w:r>
    </w:p>
    <w:p w14:paraId="282A07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（3）清基、拆旧、基础面夯实、土石方开挖等工序增加洒水降尘频率；对施工路段路面定期进行洒水降尘；施工车辆在驶出临时生产生活区之前，需清洗处理。</w:t>
      </w:r>
    </w:p>
    <w:p w14:paraId="06C35E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（4）运输混凝土、建筑垃圾及弃土的车辆装载高度应低于车箱上沿，不得超高超载。实行封闭运输。</w:t>
      </w:r>
    </w:p>
    <w:p w14:paraId="1CCE9C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（5）施工期间加强车辆和机械的维护管理，确保其始终处于正常使用状态，发电机工作区域应时刻处于良好通风状态，废气通过大气扩散排放。</w:t>
      </w:r>
    </w:p>
    <w:p w14:paraId="5B823AF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（6）搅拌机及木材加工区域定期洒水降尘。</w:t>
      </w:r>
    </w:p>
    <w:p w14:paraId="7B3926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（7）选用符合国家有关卫生标准的施工机械和运输工具，同时对大型柴油车辆安装尾气净化器，保证尾气达标排放。</w:t>
      </w:r>
    </w:p>
    <w:p w14:paraId="3051D6E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施工期间采用的水车洒水降尘、土石方及时回填、防尘篷布覆盖、施工围挡、控制车速、机械车辆清洗、车辆封闭运输等措施均属于目前较为常用的施工扬尘控制措施，可操作性强，方便实施，也是目前施工扬尘控制效率较高的方法，具有可行性。</w:t>
      </w:r>
    </w:p>
    <w:p w14:paraId="150762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1"/>
          <w:sz w:val="24"/>
          <w:szCs w:val="24"/>
        </w:rPr>
      </w:pPr>
      <w:r>
        <w:rPr>
          <w:rFonts w:ascii="宋体" w:hAnsi="宋体" w:eastAsia="宋体" w:cs="宋体"/>
          <w:spacing w:val="2"/>
          <w:sz w:val="24"/>
          <w:szCs w:val="24"/>
        </w:rPr>
        <w:t>综上所述，本工程施工期采取的大气污染防治措施均具备可行性。</w:t>
      </w:r>
    </w:p>
    <w:p w14:paraId="2D872E22">
      <w:pPr>
        <w:spacing w:before="306" w:line="220" w:lineRule="auto"/>
        <w:ind w:left="13"/>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6.1.2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水污染防治措施及可行性</w:t>
      </w:r>
    </w:p>
    <w:p w14:paraId="576F10B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pacing w:val="-3"/>
          <w:sz w:val="24"/>
          <w:szCs w:val="24"/>
        </w:rPr>
      </w:pPr>
      <w:r>
        <w:rPr>
          <w:rFonts w:ascii="宋体" w:hAnsi="宋体" w:eastAsia="宋体" w:cs="宋体"/>
          <w:spacing w:val="-3"/>
          <w:sz w:val="24"/>
          <w:szCs w:val="24"/>
        </w:rPr>
        <w:t>根据本工程施工特点，项目施工期对水环境产生影响的主要是基坑废水、混凝土拌和系统冲洗废水、施工人员产生的生活污水等。</w:t>
      </w:r>
    </w:p>
    <w:p w14:paraId="07CB2B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pacing w:val="-3"/>
          <w:sz w:val="24"/>
          <w:szCs w:val="24"/>
        </w:rPr>
      </w:pPr>
      <w:r>
        <w:rPr>
          <w:rFonts w:ascii="宋体" w:hAnsi="宋体" w:eastAsia="宋体" w:cs="宋体"/>
          <w:spacing w:val="-3"/>
          <w:sz w:val="24"/>
          <w:szCs w:val="24"/>
        </w:rPr>
        <w:t>基坑排水中主要污染物为悬浮物，一般浓度在2000mg/L，经沉淀后用于洒水降尘，不外排；移动式混凝土搅拌机冲洗废水量较小，经酸碱中和、絮凝沉淀法处理后回用，不外排；生活污水主要含有 COD、BOD</w:t>
      </w:r>
      <w:r>
        <w:rPr>
          <w:rFonts w:ascii="宋体" w:hAnsi="宋体" w:eastAsia="宋体" w:cs="宋体"/>
          <w:spacing w:val="-3"/>
          <w:sz w:val="24"/>
          <w:szCs w:val="24"/>
          <w:vertAlign w:val="subscript"/>
        </w:rPr>
        <w:t>5</w:t>
      </w:r>
      <w:r>
        <w:rPr>
          <w:rFonts w:ascii="宋体" w:hAnsi="宋体" w:eastAsia="宋体" w:cs="宋体"/>
          <w:spacing w:val="-3"/>
          <w:sz w:val="24"/>
          <w:szCs w:val="24"/>
        </w:rPr>
        <w:t>、SS、NH3-N 等污染物，施工人员主要租住附近民房，生活依托现有设施，生活污水纳入现有排水系统，不外排；需搭建简易彩板房时建议设置移动环保公厕，定期交由环卫部门采取吸污车拉运，施工结束后拆除。</w:t>
      </w:r>
    </w:p>
    <w:p w14:paraId="7E780AE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pacing w:val="-3"/>
          <w:sz w:val="24"/>
          <w:szCs w:val="24"/>
        </w:rPr>
      </w:pPr>
      <w:r>
        <w:rPr>
          <w:rFonts w:ascii="宋体" w:hAnsi="宋体" w:eastAsia="宋体" w:cs="宋体"/>
          <w:spacing w:val="-3"/>
          <w:sz w:val="24"/>
          <w:szCs w:val="24"/>
        </w:rPr>
        <w:t>从选址角度看，项目区附近村庄内均有可利用的空房，可满足施工人员临时生活需求；相关人员排放的废水主要为一般生活污水，不会对村庄生活环境产生负面影响。因此，施工生活污水处理方案和选址具有可行性。另外根据项目施工地点较分散的特 点，在各施工区均设置了临时生产区，可在该区内设置沉淀池，用于混凝土搅拌及冲洗废水的处理，废水循环利用具有可行性。</w:t>
      </w:r>
    </w:p>
    <w:p w14:paraId="2954D5FD">
      <w:pPr>
        <w:pStyle w:val="3"/>
        <w:spacing w:line="253" w:lineRule="auto"/>
      </w:pPr>
    </w:p>
    <w:p w14:paraId="7E975A05">
      <w:pPr>
        <w:spacing w:before="92" w:line="221" w:lineRule="auto"/>
        <w:ind w:left="13"/>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6.1.3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噪声污染防治措施及可行性</w:t>
      </w:r>
    </w:p>
    <w:p w14:paraId="35BF7BB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项目施工噪声主要来源于渠道和渠系构筑物施工中各类施工机械和运输车辆、钢木加工和混凝土加工设备。根据项目施工期的施工特点，本次环评提出的噪声防治措施如下：</w:t>
      </w:r>
    </w:p>
    <w:p w14:paraId="2B16E92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（1）合理安排施工机械使用，减少或限制高噪声设备的使用时间，加强各种施工机械的维修保养，噪声较大的作业如土石方填挖、清基、敷设垫层等安排在白天进行。</w:t>
      </w:r>
    </w:p>
    <w:p w14:paraId="3D21BB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设备选型上，在不影响施工质量的前提下，在清基、拆旧、基础夯实、土石方开挖、敷设垫层、土石方回填等过程应采用低噪声、低振动的设备，对施工设备进行定期维修保养，避免因设备性能减退而使噪声增强的现象发生。</w:t>
      </w:r>
    </w:p>
    <w:p w14:paraId="68F5AB4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（3）文明施工，对操作人员进行相应的环保知识教育；在清基、土石方开挖回填 阶段，必须严格控制推土机的一次推土量、挖掘机的装载量，并保证施工机械的正常运转，严禁超负荷运转。</w:t>
      </w:r>
    </w:p>
    <w:p w14:paraId="6CFCAE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（4）合理安排噪声施工机械的工作频次，合理调配车辆来往行车密度，车辆在芒南查干村、查干诺尔村等路段时应控制车速。</w:t>
      </w:r>
    </w:p>
    <w:p w14:paraId="490DA7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（5）在穿越和途径</w:t>
      </w:r>
      <w:r>
        <w:rPr>
          <w:rFonts w:hint="eastAsia" w:ascii="宋体" w:hAnsi="宋体" w:eastAsia="宋体" w:cs="宋体"/>
          <w:spacing w:val="2"/>
          <w:sz w:val="24"/>
          <w:szCs w:val="24"/>
          <w:lang w:eastAsia="zh-CN"/>
        </w:rPr>
        <w:t>村庄</w:t>
      </w:r>
      <w:r>
        <w:rPr>
          <w:rFonts w:hint="eastAsia" w:ascii="宋体" w:hAnsi="宋体" w:eastAsia="宋体" w:cs="宋体"/>
          <w:spacing w:val="2"/>
          <w:sz w:val="24"/>
          <w:szCs w:val="24"/>
        </w:rPr>
        <w:t>施工时，施工应安排在白天进行，夜间（22:00-次日 6:00）禁止施工，如因特殊情况需在夜间施工，不得使用挖掘机、发电机、振动碾等高噪声设备施工，同时应在村庄张贴告示，取得周边村庄居民的谅解</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加快施工进度，减少夜间扰民时间。</w:t>
      </w:r>
    </w:p>
    <w:p w14:paraId="5BFA56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6）</w:t>
      </w:r>
      <w:r>
        <w:rPr>
          <w:rFonts w:hint="eastAsia" w:ascii="宋体" w:hAnsi="宋体" w:eastAsia="宋体" w:cs="宋体"/>
          <w:spacing w:val="2"/>
          <w:sz w:val="24"/>
          <w:szCs w:val="24"/>
          <w:lang w:val="en-US" w:eastAsia="zh-CN"/>
        </w:rPr>
        <w:t>渠道</w:t>
      </w:r>
      <w:r>
        <w:rPr>
          <w:rFonts w:hint="eastAsia" w:ascii="宋体" w:hAnsi="宋体" w:eastAsia="宋体" w:cs="宋体"/>
          <w:spacing w:val="2"/>
          <w:sz w:val="24"/>
          <w:szCs w:val="24"/>
        </w:rPr>
        <w:t>途径</w:t>
      </w:r>
      <w:r>
        <w:rPr>
          <w:rFonts w:hint="eastAsia" w:ascii="宋体" w:hAnsi="宋体" w:eastAsia="宋体" w:cs="宋体"/>
          <w:spacing w:val="2"/>
          <w:sz w:val="24"/>
          <w:szCs w:val="24"/>
          <w:lang w:eastAsia="zh-CN"/>
        </w:rPr>
        <w:t>村庄</w:t>
      </w:r>
      <w:r>
        <w:rPr>
          <w:rFonts w:hint="eastAsia" w:ascii="宋体" w:hAnsi="宋体" w:eastAsia="宋体" w:cs="宋体"/>
          <w:spacing w:val="2"/>
          <w:sz w:val="24"/>
          <w:szCs w:val="24"/>
        </w:rPr>
        <w:t>附近段的临时生产区布设在距离</w:t>
      </w:r>
      <w:r>
        <w:rPr>
          <w:rFonts w:hint="eastAsia" w:ascii="宋体" w:hAnsi="宋体" w:eastAsia="宋体" w:cs="宋体"/>
          <w:spacing w:val="2"/>
          <w:sz w:val="24"/>
          <w:szCs w:val="24"/>
          <w:lang w:eastAsia="zh-CN"/>
        </w:rPr>
        <w:t>村庄</w:t>
      </w:r>
      <w:r>
        <w:rPr>
          <w:rFonts w:hint="eastAsia" w:ascii="宋体" w:hAnsi="宋体" w:eastAsia="宋体" w:cs="宋体"/>
          <w:spacing w:val="2"/>
          <w:sz w:val="24"/>
          <w:szCs w:val="24"/>
        </w:rPr>
        <w:t>居住区200m 范围外，以确保其不对村居住区产生影响。</w:t>
      </w:r>
    </w:p>
    <w:p w14:paraId="7A0B82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采取上述措施后可降低施工期噪声对周围环境的影响，其影响将随施工期的结束</w:t>
      </w:r>
    </w:p>
    <w:p w14:paraId="7611EA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rPr>
        <w:t>而消失。</w:t>
      </w:r>
    </w:p>
    <w:p w14:paraId="1F03741E">
      <w:pPr>
        <w:spacing w:before="92" w:line="221" w:lineRule="auto"/>
        <w:ind w:left="13"/>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6.1.4</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固体废物污染防治措施及可行性</w:t>
      </w:r>
    </w:p>
    <w:p w14:paraId="2BB8B1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本工程施工产生的固体废物主要是施工人员生活垃圾和施工区产生的剩余弃土、弃渣等。针对项目施工期固体废物种类及特点，环评提出如下防治措施：</w:t>
      </w:r>
    </w:p>
    <w:p w14:paraId="24D330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（1）临时土石方于渠道沿线就近堆放，回填前采取覆盖措施，覆盖率达到100%，定期进行洒水降尘。</w:t>
      </w:r>
    </w:p>
    <w:p w14:paraId="2CCA28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（2）禁止在</w:t>
      </w:r>
      <w:r>
        <w:rPr>
          <w:rFonts w:hint="eastAsia" w:ascii="宋体" w:hAnsi="宋体" w:eastAsia="宋体" w:cs="宋体"/>
          <w:spacing w:val="2"/>
          <w:sz w:val="24"/>
          <w:szCs w:val="24"/>
          <w:lang w:eastAsia="zh-CN"/>
        </w:rPr>
        <w:t>艾丁湖</w:t>
      </w:r>
      <w:r>
        <w:rPr>
          <w:rFonts w:ascii="宋体" w:hAnsi="宋体" w:eastAsia="宋体" w:cs="宋体"/>
          <w:spacing w:val="2"/>
          <w:sz w:val="24"/>
          <w:szCs w:val="24"/>
        </w:rPr>
        <w:t>国家湿地公园范围内堆放弃土；不得占 用耕地等农用地堆放弃土，施工后未利用的弃土及时清运。</w:t>
      </w:r>
    </w:p>
    <w:p w14:paraId="078E19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3）施工中产生的建筑垃圾（拆旧产生的废石块、废混凝土、废钢材），禁止随意乱丢弃，施工过程中于临时占地施工作业带内和清基表土分开暂存，暂存不得占用临时占地之外的土地，弃渣统一收集拉运至指定的专用建筑料弃渣场。</w:t>
      </w:r>
    </w:p>
    <w:p w14:paraId="59093F2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（4）钢木加工废料禁止随意乱丢弃，于临时生产区内固定地点集中存放，存放场地要求防风、防雨、防渗，定期和建筑垃圾一同处置。</w:t>
      </w:r>
    </w:p>
    <w:p w14:paraId="2451DA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（5）车辆运输弃土和建筑垃圾时，须采取覆盖措施，不得沿途漏撒；施工单位应在施工前 5 日向当地住建部门申报工程垃圾处置计划，如实填报建筑垃圾的种类、数量、运输路线及处置方案等事项，并与有关管理部门签订环境卫生责任书。</w:t>
      </w:r>
    </w:p>
    <w:p w14:paraId="07A26B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6）施工部门应当持当地住建部门核发的处置证明，向运输单位办理建筑垃圾托运手续。运输车辆在运输建筑垃圾时应携带处置证明，接受相关部门的检查，运输路线应按相关管理部门会同公安、交通管理部门规定的线路运输。</w:t>
      </w:r>
    </w:p>
    <w:p w14:paraId="43ABE4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（7）工程完工后应当将施工场地的所有建筑垃圾、弃土处置干净，不得占用临时占地外其他类型土地来堆放上述固体废物。</w:t>
      </w:r>
    </w:p>
    <w:p w14:paraId="497C00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各生产区配备一个垃圾箱，用于收集施工人员现场产生的日常垃圾，收集后定期清运至当地生活垃圾填埋场；施工人员不在生产区内住宿，产生的生活垃圾收集排放依托工程沿线村庄内收集设施（垃圾桶），后定期交由当地环卫部门拉运填埋处置。</w:t>
      </w:r>
    </w:p>
    <w:p w14:paraId="4292CA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采取上述措施可有效处置各类施工中产生的固体废物，确保固体废物不对项目区 周边环境产生二次污染，处置方案可行。此外，</w:t>
      </w:r>
      <w:r>
        <w:rPr>
          <w:rFonts w:hint="eastAsia" w:ascii="宋体" w:hAnsi="宋体" w:eastAsia="宋体" w:cs="宋体"/>
          <w:spacing w:val="2"/>
          <w:sz w:val="24"/>
          <w:szCs w:val="24"/>
          <w:lang w:eastAsia="zh-CN"/>
        </w:rPr>
        <w:t>吐鲁番市</w:t>
      </w:r>
      <w:r>
        <w:rPr>
          <w:rFonts w:ascii="宋体" w:hAnsi="宋体" w:eastAsia="宋体" w:cs="宋体"/>
          <w:spacing w:val="2"/>
          <w:sz w:val="24"/>
          <w:szCs w:val="24"/>
        </w:rPr>
        <w:t>与工程改造设施相近的村庄 内均配有完整的垃圾收集设施（垃圾箱），生活垃圾收集方便，施工人员生活垃圾可依托已有收集设施，处置方案可行。</w:t>
      </w:r>
    </w:p>
    <w:p w14:paraId="7FD28DA9">
      <w:pPr>
        <w:spacing w:line="240" w:lineRule="auto"/>
        <w:ind w:left="0" w:right="0" w:firstLine="0" w:firstLineChars="0"/>
        <w:rPr>
          <w:rFonts w:ascii="宋体" w:hAnsi="宋体" w:eastAsia="宋体" w:cs="宋体"/>
          <w:spacing w:val="2"/>
          <w:sz w:val="24"/>
          <w:szCs w:val="24"/>
        </w:rPr>
      </w:pPr>
    </w:p>
    <w:p w14:paraId="0C48479F">
      <w:pPr>
        <w:spacing w:before="91" w:line="221" w:lineRule="auto"/>
        <w:ind w:left="13"/>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6.1.5</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生态环境保护措施及可行性</w:t>
      </w:r>
    </w:p>
    <w:p w14:paraId="07D86968">
      <w:pPr>
        <w:spacing w:before="205" w:line="220" w:lineRule="auto"/>
        <w:ind w:left="11"/>
        <w:outlineLvl w:val="3"/>
        <w:rPr>
          <w:rFonts w:ascii="宋体" w:hAnsi="宋体" w:eastAsia="宋体" w:cs="宋体"/>
          <w:b/>
          <w:bCs/>
          <w:sz w:val="24"/>
          <w:szCs w:val="24"/>
        </w:rPr>
      </w:pPr>
      <w:r>
        <w:rPr>
          <w:b/>
          <w:bCs/>
        </w:rPr>
        <w:fldChar w:fldCharType="begin"/>
      </w:r>
      <w:r>
        <w:rPr>
          <w:b/>
          <w:bCs/>
        </w:rPr>
        <w:instrText xml:space="preserve"> HYPERLINK "6.1.5.1"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6.1.5.1</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总体措施</w:t>
      </w:r>
    </w:p>
    <w:p w14:paraId="78EE8A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lang w:val="en-US" w:eastAsia="en-US"/>
        </w:rPr>
        <w:t>（1）</w:t>
      </w:r>
      <w:r>
        <w:rPr>
          <w:rFonts w:ascii="宋体" w:hAnsi="宋体" w:eastAsia="宋体" w:cs="宋体"/>
          <w:spacing w:val="-18"/>
          <w:sz w:val="24"/>
          <w:szCs w:val="24"/>
        </w:rPr>
        <w:t>生态保护意识教育</w:t>
      </w:r>
    </w:p>
    <w:p w14:paraId="6C7D0D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根据《中华人民共和国野生动物保护法》、《中华人民共和国野生植物保护条例》、《中华人民共和国自然保护区条例》、《中华人民共和国陆生野生动物保护实施条例》等法律及条例，加强对施工人员的环境保护意识教育，要求文明施工，不得滥采滥挖滥伐，不得捡拾鸟卵、捕捉野生动物及其幼体等。</w:t>
      </w:r>
    </w:p>
    <w:p w14:paraId="16CB31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hint="eastAsia" w:ascii="宋体" w:hAnsi="宋体" w:eastAsia="宋体" w:cs="宋体"/>
          <w:spacing w:val="-18"/>
          <w:sz w:val="24"/>
          <w:szCs w:val="24"/>
          <w:lang w:eastAsia="zh-CN"/>
        </w:rPr>
        <w:t>（</w:t>
      </w:r>
      <w:r>
        <w:rPr>
          <w:rFonts w:hint="eastAsia" w:ascii="宋体" w:hAnsi="宋体" w:eastAsia="宋体" w:cs="宋体"/>
          <w:spacing w:val="-18"/>
          <w:sz w:val="24"/>
          <w:szCs w:val="24"/>
          <w:lang w:val="en-US" w:eastAsia="zh-CN"/>
        </w:rPr>
        <w:t>2</w:t>
      </w:r>
      <w:r>
        <w:rPr>
          <w:rFonts w:hint="eastAsia" w:ascii="宋体" w:hAnsi="宋体" w:eastAsia="宋体" w:cs="宋体"/>
          <w:spacing w:val="-18"/>
          <w:sz w:val="24"/>
          <w:szCs w:val="24"/>
          <w:lang w:eastAsia="zh-CN"/>
        </w:rPr>
        <w:t>）</w:t>
      </w:r>
      <w:r>
        <w:rPr>
          <w:rFonts w:ascii="宋体" w:hAnsi="宋体" w:eastAsia="宋体" w:cs="宋体"/>
          <w:spacing w:val="-18"/>
          <w:sz w:val="24"/>
          <w:szCs w:val="24"/>
        </w:rPr>
        <w:t>划定施工范围</w:t>
      </w:r>
    </w:p>
    <w:p w14:paraId="6276FC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根据工程施工点位，合理划定施工范围，施工必须设置围栏，禁止随意扩大施工范围。</w:t>
      </w:r>
    </w:p>
    <w:p w14:paraId="2FFA338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（3）施工组织方式优化</w:t>
      </w:r>
    </w:p>
    <w:p w14:paraId="6B8EE37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合理安排工期，避免大风天气及雨季施工，提高施工效率，缩短施工时间，减少生态影响；可根据天气情况及时调整施工工序，工序布设紧凑合理，避免因工序安排不当而造成的大面积地表裸露，将水土流失控制在最低程度。</w:t>
      </w:r>
    </w:p>
    <w:p w14:paraId="4B037B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（4）加强施工人员管理</w:t>
      </w:r>
    </w:p>
    <w:p w14:paraId="4E7454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加强施工人员管理，尽可能减少进入施工区域的施工人员，尽可能缩短施工人员在施工期内的停留时间，禁止施工人员打猎、捡拾鸟卵。</w:t>
      </w:r>
    </w:p>
    <w:p w14:paraId="061358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（5）定期清理污染物</w:t>
      </w:r>
    </w:p>
    <w:p w14:paraId="184487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施工时，建设项目污染物排放不得超过国家和地方规定的污染物排放标准，定期安排人员收集垃圾和污水，禁止随意散排废水、乱扔垃圾等。</w:t>
      </w:r>
    </w:p>
    <w:p w14:paraId="2D0C452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（6）加强水土保持和植被恢复措施</w:t>
      </w:r>
    </w:p>
    <w:p w14:paraId="1938DF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pacing w:val="-18"/>
          <w:sz w:val="24"/>
          <w:szCs w:val="24"/>
        </w:rPr>
      </w:pPr>
      <w:r>
        <w:rPr>
          <w:rFonts w:ascii="宋体" w:hAnsi="宋体" w:eastAsia="宋体" w:cs="宋体"/>
          <w:spacing w:val="-18"/>
          <w:sz w:val="24"/>
          <w:szCs w:val="24"/>
        </w:rPr>
        <w:t>工程施工应当尽量减少破坏植被；因工程建设使植被受到破坏的，必须采取措施恢复表土层和植被。</w:t>
      </w:r>
    </w:p>
    <w:p w14:paraId="60B88E7A">
      <w:pPr>
        <w:spacing w:before="300" w:line="220" w:lineRule="auto"/>
        <w:ind w:left="11"/>
        <w:outlineLvl w:val="3"/>
        <w:rPr>
          <w:rFonts w:ascii="宋体" w:hAnsi="宋体" w:eastAsia="宋体" w:cs="宋体"/>
          <w:b/>
          <w:bCs/>
          <w:sz w:val="24"/>
          <w:szCs w:val="24"/>
        </w:rPr>
      </w:pPr>
      <w:r>
        <w:rPr>
          <w:b/>
          <w:bCs/>
        </w:rPr>
        <w:fldChar w:fldCharType="begin"/>
      </w:r>
      <w:r>
        <w:rPr>
          <w:b/>
          <w:bCs/>
        </w:rPr>
        <w:instrText xml:space="preserve"> HYPERLINK "6.1.5.2" </w:instrText>
      </w:r>
      <w:r>
        <w:rPr>
          <w:b/>
          <w:bCs/>
        </w:rPr>
        <w:fldChar w:fldCharType="separate"/>
      </w:r>
      <w:r>
        <w:rPr>
          <w:rFonts w:ascii="宋体" w:hAnsi="宋体" w:eastAsia="宋体" w:cs="宋体"/>
          <w:b/>
          <w:bCs/>
          <w:spacing w:val="-2"/>
          <w:sz w:val="24"/>
          <w:szCs w:val="24"/>
          <w14:textOutline w14:w="4358" w14:cap="sq" w14:cmpd="sng">
            <w14:solidFill>
              <w14:srgbClr w14:val="000000"/>
            </w14:solidFill>
            <w14:prstDash w14:val="solid"/>
            <w14:bevel/>
          </w14:textOutline>
        </w:rPr>
        <w:t>6.1.5.2</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2"/>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占地设置要求及恢复措施</w:t>
      </w:r>
    </w:p>
    <w:p w14:paraId="31C26DBF">
      <w:pPr>
        <w:spacing w:before="179" w:line="360" w:lineRule="auto"/>
        <w:ind w:left="8" w:right="108" w:firstLine="480"/>
        <w:jc w:val="left"/>
        <w:rPr>
          <w:rFonts w:ascii="宋体" w:hAnsi="宋体" w:eastAsia="宋体" w:cs="宋体"/>
          <w:sz w:val="24"/>
          <w:szCs w:val="24"/>
        </w:rPr>
      </w:pPr>
      <w:r>
        <w:rPr>
          <w:rFonts w:ascii="宋体" w:hAnsi="宋体" w:eastAsia="宋体" w:cs="宋体"/>
          <w:spacing w:val="2"/>
          <w:sz w:val="24"/>
          <w:szCs w:val="24"/>
        </w:rPr>
        <w:t>施工阶段的施工主体工程区、土方挖填活动将导致一定量的生物损失；本工程周</w:t>
      </w:r>
      <w:r>
        <w:rPr>
          <w:rFonts w:ascii="宋体" w:hAnsi="宋体" w:eastAsia="宋体" w:cs="宋体"/>
          <w:spacing w:val="1"/>
          <w:sz w:val="24"/>
          <w:szCs w:val="24"/>
        </w:rPr>
        <w:t>边自然生态条件较好，</w:t>
      </w:r>
      <w:r>
        <w:rPr>
          <w:rFonts w:ascii="宋体" w:hAnsi="宋体" w:eastAsia="宋体" w:cs="宋体"/>
          <w:spacing w:val="-69"/>
          <w:sz w:val="24"/>
          <w:szCs w:val="24"/>
        </w:rPr>
        <w:t xml:space="preserve"> </w:t>
      </w:r>
      <w:r>
        <w:rPr>
          <w:rFonts w:ascii="宋体" w:hAnsi="宋体" w:eastAsia="宋体" w:cs="宋体"/>
          <w:spacing w:val="1"/>
          <w:sz w:val="24"/>
          <w:szCs w:val="24"/>
        </w:rPr>
        <w:t>自然恢复力较强，施工</w:t>
      </w:r>
      <w:r>
        <w:rPr>
          <w:rFonts w:ascii="宋体" w:hAnsi="宋体" w:eastAsia="宋体" w:cs="宋体"/>
          <w:sz w:val="24"/>
          <w:szCs w:val="24"/>
        </w:rPr>
        <w:t>结束后对临时占地采取恢复措施后，渠道两侧可在3～5年内恢复，临时占地对植</w:t>
      </w:r>
      <w:r>
        <w:rPr>
          <w:rFonts w:ascii="宋体" w:hAnsi="宋体" w:eastAsia="宋体" w:cs="宋体"/>
          <w:spacing w:val="-1"/>
          <w:sz w:val="24"/>
          <w:szCs w:val="24"/>
        </w:rPr>
        <w:t>被的影响可完全消除。</w:t>
      </w:r>
    </w:p>
    <w:p w14:paraId="581626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本工程</w:t>
      </w:r>
      <w:r>
        <w:rPr>
          <w:rFonts w:hint="eastAsia" w:ascii="宋体" w:hAnsi="宋体" w:eastAsia="宋体" w:cs="宋体"/>
          <w:sz w:val="24"/>
          <w:szCs w:val="24"/>
          <w:lang w:val="en-US" w:eastAsia="zh-CN"/>
        </w:rPr>
        <w:t>渠道</w:t>
      </w:r>
      <w:r>
        <w:rPr>
          <w:rFonts w:ascii="宋体" w:hAnsi="宋体" w:eastAsia="宋体" w:cs="宋体"/>
          <w:sz w:val="24"/>
          <w:szCs w:val="24"/>
        </w:rPr>
        <w:t>及渠系建筑物，以及</w:t>
      </w:r>
      <w:r>
        <w:rPr>
          <w:rFonts w:hint="eastAsia" w:ascii="宋体" w:hAnsi="宋体" w:eastAsia="宋体" w:cs="宋体"/>
          <w:sz w:val="24"/>
          <w:szCs w:val="24"/>
          <w:lang w:eastAsia="zh-CN"/>
        </w:rPr>
        <w:t>泵房</w:t>
      </w:r>
      <w:r>
        <w:rPr>
          <w:rFonts w:hint="eastAsia" w:ascii="宋体" w:hAnsi="宋体" w:eastAsia="宋体" w:cs="宋体"/>
          <w:sz w:val="24"/>
          <w:szCs w:val="24"/>
          <w:lang w:val="en-US" w:eastAsia="zh-CN"/>
        </w:rPr>
        <w:t>占地</w:t>
      </w:r>
      <w:r>
        <w:rPr>
          <w:rFonts w:ascii="宋体" w:hAnsi="宋体" w:eastAsia="宋体" w:cs="宋体"/>
          <w:sz w:val="24"/>
          <w:szCs w:val="24"/>
        </w:rPr>
        <w:t>为本工程施工渠道管理范围占地；本工程施工活动区域应尽可能控制在主体工程管理范围内，不对其外围的非管理范围内的原地表地貌进行扰动、土地及植被进行破坏。</w:t>
      </w:r>
    </w:p>
    <w:p w14:paraId="0EF2E7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针对于施工工区(施工营地、施工道路)、弃土场的临时占地，应严格控制施工 活动在规定的范围内，其面积不应大于设计给定面积，不得随意向外扩展，禁止随意超标占地。</w:t>
      </w:r>
    </w:p>
    <w:p w14:paraId="2197B75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施工运输车辆按照指定运输道路路线行驶，禁止加开新路肆意碾压周边植被等绿化带，减少对地表植被的破坏；同时注意做好路面洒水等防尘工作，减少扬尘影响。</w:t>
      </w:r>
    </w:p>
    <w:p w14:paraId="122575F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ascii="宋体" w:hAnsi="宋体" w:eastAsia="宋体" w:cs="宋体"/>
          <w:sz w:val="24"/>
          <w:szCs w:val="24"/>
        </w:rPr>
        <w:t>施工进度安排应紧凑合理，尽量缩短施工工期和地表的裸露时间；各施工片区建设完成后，应及时对施工场地进行土地整治，恢复植被。</w:t>
      </w:r>
    </w:p>
    <w:p w14:paraId="3C42FD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ascii="宋体" w:hAnsi="宋体" w:eastAsia="宋体" w:cs="宋体"/>
          <w:sz w:val="24"/>
          <w:szCs w:val="24"/>
        </w:rPr>
        <w:t>施工结束后，分层覆盖腐殖土、表土，同时对临时占地破坏区域进行播撒草种，使其植被自然恢复。</w:t>
      </w:r>
    </w:p>
    <w:p w14:paraId="4BC4C5CC">
      <w:pPr>
        <w:spacing w:before="181" w:line="220" w:lineRule="auto"/>
        <w:ind w:left="11"/>
        <w:outlineLvl w:val="3"/>
        <w:rPr>
          <w:rFonts w:ascii="宋体" w:hAnsi="宋体" w:eastAsia="宋体" w:cs="宋体"/>
          <w:sz w:val="24"/>
          <w:szCs w:val="24"/>
        </w:rPr>
      </w:pPr>
      <w:r>
        <w:rPr>
          <w:b/>
          <w:bCs/>
        </w:rPr>
        <w:fldChar w:fldCharType="begin"/>
      </w:r>
      <w:r>
        <w:rPr>
          <w:b/>
          <w:bCs/>
        </w:rPr>
        <w:instrText xml:space="preserve"> HYPERLINK "6.1.5.3"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6.1.5.3</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生态避让措施</w:t>
      </w:r>
    </w:p>
    <w:p w14:paraId="36D6171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为减缓施工期对植被的影响，应加强管理，减少对施工作业区周围植被的破坏；在选择临时用地时，注意根据实际需要控制临时占地的面积，选择植被覆盖率较低的空闲地及裸地。</w:t>
      </w:r>
    </w:p>
    <w:p w14:paraId="4BA2F35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本工程永久占地类型均为水域及水利设施用地(沟渠)； 临时占地已避让</w:t>
      </w:r>
      <w:r>
        <w:rPr>
          <w:rFonts w:hint="eastAsia" w:ascii="宋体" w:hAnsi="宋体" w:eastAsia="宋体" w:cs="宋体"/>
          <w:spacing w:val="-2"/>
          <w:sz w:val="24"/>
          <w:szCs w:val="24"/>
          <w:lang w:val="en-US" w:eastAsia="zh-CN"/>
        </w:rPr>
        <w:t>植被集中</w:t>
      </w:r>
      <w:r>
        <w:rPr>
          <w:rFonts w:ascii="宋体" w:hAnsi="宋体" w:eastAsia="宋体" w:cs="宋体"/>
          <w:spacing w:val="-2"/>
          <w:sz w:val="24"/>
          <w:szCs w:val="24"/>
        </w:rPr>
        <w:t>区域。</w:t>
      </w:r>
    </w:p>
    <w:p w14:paraId="3C9DB09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施工运输过程中对施工道路进行合理的选择，尽量选择单行道，避免过多扰动原地貌，施工车辆在固定道路上行驶，禁止碾压破坏施工区域的植被及林木。</w:t>
      </w:r>
    </w:p>
    <w:p w14:paraId="2AE120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lang w:eastAsia="zh-CN"/>
        </w:rPr>
        <w:t>）</w:t>
      </w:r>
      <w:r>
        <w:rPr>
          <w:rFonts w:ascii="宋体" w:hAnsi="宋体" w:eastAsia="宋体" w:cs="宋体"/>
          <w:spacing w:val="-2"/>
          <w:sz w:val="24"/>
          <w:szCs w:val="24"/>
        </w:rPr>
        <w:t>严禁明火，加强林地生态管理，合理规划施工方案，避免砍伐林木，对于不能避免的应尽可能减少树木砍伐，强化施工人员保护林木意识，施工结束后由相关部门按照规定进行“ 占一补一，占卜平衡 ”的林木恢复。</w:t>
      </w:r>
    </w:p>
    <w:p w14:paraId="05BF274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5</w:t>
      </w:r>
      <w:r>
        <w:rPr>
          <w:rFonts w:hint="eastAsia" w:ascii="宋体" w:hAnsi="宋体" w:eastAsia="宋体" w:cs="宋体"/>
          <w:spacing w:val="-2"/>
          <w:sz w:val="24"/>
          <w:szCs w:val="24"/>
          <w:lang w:eastAsia="zh-CN"/>
        </w:rPr>
        <w:t>）</w:t>
      </w:r>
      <w:r>
        <w:rPr>
          <w:rFonts w:ascii="宋体" w:hAnsi="宋体" w:eastAsia="宋体" w:cs="宋体"/>
          <w:spacing w:val="-2"/>
          <w:sz w:val="24"/>
          <w:szCs w:val="24"/>
        </w:rPr>
        <w:t>本工程在靠近耕地周围施工时，严禁超红外线作业、严禁随意碾压和踩踏施工区外的耕地及农作物，施工材料在用地红线内堆放，并用抑尘网覆盖等措施，弃土场等临时占地禁止设在耕地范围内。采取以上措施后，将对周围耕地的影响较小。</w:t>
      </w:r>
    </w:p>
    <w:p w14:paraId="77F3DF5F">
      <w:pPr>
        <w:spacing w:before="181" w:line="219" w:lineRule="auto"/>
        <w:ind w:left="11"/>
        <w:outlineLvl w:val="3"/>
        <w:rPr>
          <w:rFonts w:ascii="宋体" w:hAnsi="宋体" w:eastAsia="宋体" w:cs="宋体"/>
          <w:sz w:val="24"/>
          <w:szCs w:val="24"/>
        </w:rPr>
      </w:pPr>
      <w:r>
        <w:rPr>
          <w:b/>
          <w:bCs/>
        </w:rPr>
        <w:fldChar w:fldCharType="begin"/>
      </w:r>
      <w:r>
        <w:rPr>
          <w:b/>
          <w:bCs/>
        </w:rPr>
        <w:instrText xml:space="preserve"> HYPERLINK "6.1.5.4"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6.1.5.4</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生态减缓和植被恢复措施</w:t>
      </w:r>
    </w:p>
    <w:p w14:paraId="2C08206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严格按照设计文件确定征占土地范围，进行地表植被的清理工作。</w:t>
      </w:r>
    </w:p>
    <w:p w14:paraId="099E06B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工程施工过程中，禁止将工程临时废渣随处乱排；场内运输车辆严格按照指定运输道路行驶。</w:t>
      </w:r>
    </w:p>
    <w:p w14:paraId="4A0C27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对工程永久占地施工破坏两岸植被而造成裸露的土地应在施工结束后立即整 治利用，尽量采用当地植被进行草籽播撒等恢复措施，保证项目建设后生物量不减少，生态环境质量不降低。</w:t>
      </w:r>
    </w:p>
    <w:p w14:paraId="1D7A5A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lang w:eastAsia="zh-CN"/>
        </w:rPr>
        <w:t>）</w:t>
      </w:r>
      <w:r>
        <w:rPr>
          <w:rFonts w:ascii="宋体" w:hAnsi="宋体" w:eastAsia="宋体" w:cs="宋体"/>
          <w:spacing w:val="-2"/>
          <w:sz w:val="24"/>
          <w:szCs w:val="24"/>
        </w:rPr>
        <w:t>项目在挖方工程中土方用于回填，临时堆场采取临时防护措施：设土袋挡护、拍实、表层覆盖草垫或苫盖纤维布等其它覆盖物，以减少水土流失现象发生；在施工结束后，临时占地应立即恢复植被。</w:t>
      </w:r>
    </w:p>
    <w:p w14:paraId="0892C0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5</w:t>
      </w:r>
      <w:r>
        <w:rPr>
          <w:rFonts w:hint="eastAsia" w:ascii="宋体" w:hAnsi="宋体" w:eastAsia="宋体" w:cs="宋体"/>
          <w:spacing w:val="-2"/>
          <w:sz w:val="24"/>
          <w:szCs w:val="24"/>
          <w:lang w:eastAsia="zh-CN"/>
        </w:rPr>
        <w:t>）</w:t>
      </w:r>
      <w:r>
        <w:rPr>
          <w:rFonts w:ascii="宋体" w:hAnsi="宋体" w:eastAsia="宋体" w:cs="宋体"/>
          <w:spacing w:val="-2"/>
          <w:sz w:val="24"/>
          <w:szCs w:val="24"/>
        </w:rPr>
        <w:t>工程弃料、建筑垃圾、生活垃圾要定点堆放，及时清运，严格控制施工过程中 扬尘污染，对施工废水不得随意乱排，收集后回用于路面洒水降尘，施工结束后，做到完工，料尽、场地清。</w:t>
      </w:r>
    </w:p>
    <w:p w14:paraId="1394C2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6</w:t>
      </w:r>
      <w:r>
        <w:rPr>
          <w:rFonts w:hint="eastAsia" w:ascii="宋体" w:hAnsi="宋体" w:eastAsia="宋体" w:cs="宋体"/>
          <w:spacing w:val="-2"/>
          <w:sz w:val="24"/>
          <w:szCs w:val="24"/>
          <w:lang w:eastAsia="zh-CN"/>
        </w:rPr>
        <w:t>）</w:t>
      </w:r>
      <w:r>
        <w:rPr>
          <w:rFonts w:ascii="宋体" w:hAnsi="宋体" w:eastAsia="宋体" w:cs="宋体"/>
          <w:spacing w:val="-2"/>
          <w:sz w:val="24"/>
          <w:szCs w:val="24"/>
        </w:rPr>
        <w:t>土方开挖活动应做到分层开挖，分层堆放，分层回填，以利于后期的植被及生态恢复；对表层腐殖质土进行分层剥离与堆放，同时采取拦护等措施。</w:t>
      </w:r>
    </w:p>
    <w:p w14:paraId="3E9B3F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7</w:t>
      </w:r>
      <w:r>
        <w:rPr>
          <w:rFonts w:hint="eastAsia" w:ascii="宋体" w:hAnsi="宋体" w:eastAsia="宋体" w:cs="宋体"/>
          <w:spacing w:val="-2"/>
          <w:sz w:val="24"/>
          <w:szCs w:val="24"/>
          <w:lang w:eastAsia="zh-CN"/>
        </w:rPr>
        <w:t>）</w:t>
      </w:r>
      <w:r>
        <w:rPr>
          <w:rFonts w:ascii="宋体" w:hAnsi="宋体" w:eastAsia="宋体" w:cs="宋体"/>
          <w:spacing w:val="-2"/>
          <w:sz w:val="24"/>
          <w:szCs w:val="24"/>
        </w:rPr>
        <w:t>土料场的取土、弃土活动均在规划的场地进行，项目分段施工，料场依托 21 团正达砂石料场和片石料场，不新增料场占地。施工结束后，应及时对1#弃土场场进行平整夯实，覆盖表土，同时对土料场进行播撒草种，植被恢复。</w:t>
      </w:r>
    </w:p>
    <w:p w14:paraId="30C360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8</w:t>
      </w:r>
      <w:r>
        <w:rPr>
          <w:rFonts w:hint="eastAsia" w:ascii="宋体" w:hAnsi="宋体" w:eastAsia="宋体" w:cs="宋体"/>
          <w:spacing w:val="-2"/>
          <w:sz w:val="24"/>
          <w:szCs w:val="24"/>
          <w:lang w:eastAsia="zh-CN"/>
        </w:rPr>
        <w:t>）</w:t>
      </w:r>
      <w:r>
        <w:rPr>
          <w:rFonts w:ascii="宋体" w:hAnsi="宋体" w:eastAsia="宋体" w:cs="宋体"/>
          <w:spacing w:val="-2"/>
          <w:sz w:val="24"/>
          <w:szCs w:val="24"/>
        </w:rPr>
        <w:t>强化施工人员的生态环保教育，提高施工人员的保护意识。</w:t>
      </w:r>
    </w:p>
    <w:p w14:paraId="43CBE246">
      <w:pPr>
        <w:spacing w:before="180" w:line="220" w:lineRule="auto"/>
        <w:ind w:left="11"/>
        <w:outlineLvl w:val="3"/>
        <w:rPr>
          <w:rFonts w:ascii="宋体" w:hAnsi="宋体" w:eastAsia="宋体" w:cs="宋体"/>
          <w:b/>
          <w:bCs/>
          <w:sz w:val="24"/>
          <w:szCs w:val="24"/>
        </w:rPr>
      </w:pPr>
      <w:r>
        <w:rPr>
          <w:b/>
          <w:bCs/>
        </w:rPr>
        <w:fldChar w:fldCharType="begin"/>
      </w:r>
      <w:r>
        <w:rPr>
          <w:b/>
          <w:bCs/>
        </w:rPr>
        <w:instrText xml:space="preserve"> HYPERLINK "6.1.5.5"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6.1.5.5</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野生动物保护措施</w:t>
      </w:r>
    </w:p>
    <w:p w14:paraId="4C9910D1">
      <w:pPr>
        <w:spacing w:before="181" w:line="359" w:lineRule="auto"/>
        <w:ind w:left="9" w:firstLine="483"/>
        <w:rPr>
          <w:rFonts w:ascii="宋体" w:hAnsi="宋体" w:eastAsia="宋体" w:cs="宋体"/>
          <w:sz w:val="24"/>
          <w:szCs w:val="24"/>
        </w:rPr>
      </w:pPr>
      <w:r>
        <w:rPr>
          <w:rFonts w:ascii="宋体" w:hAnsi="宋体" w:eastAsia="宋体" w:cs="宋体"/>
          <w:sz w:val="24"/>
          <w:szCs w:val="24"/>
        </w:rPr>
        <w:t>项目施工区内无大型兽类分布，但施工区周边有鸟、小型啮齿类等野生动</w:t>
      </w:r>
      <w:r>
        <w:rPr>
          <w:rFonts w:ascii="宋体" w:hAnsi="宋体" w:eastAsia="宋体" w:cs="宋体"/>
          <w:spacing w:val="-1"/>
          <w:sz w:val="24"/>
          <w:szCs w:val="24"/>
        </w:rPr>
        <w:t>物活动，</w:t>
      </w:r>
      <w:r>
        <w:rPr>
          <w:rFonts w:ascii="宋体" w:hAnsi="宋体" w:eastAsia="宋体" w:cs="宋体"/>
          <w:spacing w:val="-2"/>
          <w:sz w:val="24"/>
          <w:szCs w:val="24"/>
        </w:rPr>
        <w:t>且绝大多数种类在施工期间可主动避开施工区。另工程设计应尽量减少施工占地面积和</w:t>
      </w:r>
      <w:r>
        <w:rPr>
          <w:rFonts w:ascii="宋体" w:hAnsi="宋体" w:eastAsia="宋体" w:cs="宋体"/>
          <w:spacing w:val="-6"/>
          <w:sz w:val="24"/>
          <w:szCs w:val="24"/>
        </w:rPr>
        <w:t>扰动面积，施工期间将施工活动和人员活动限制在预先划定的区域内，保护</w:t>
      </w:r>
      <w:r>
        <w:rPr>
          <w:rFonts w:ascii="宋体" w:hAnsi="宋体" w:eastAsia="宋体" w:cs="宋体"/>
          <w:spacing w:val="-7"/>
          <w:sz w:val="24"/>
          <w:szCs w:val="24"/>
        </w:rPr>
        <w:t>现有的植被，</w:t>
      </w:r>
      <w:r>
        <w:rPr>
          <w:rFonts w:ascii="宋体" w:hAnsi="宋体" w:eastAsia="宋体" w:cs="宋体"/>
          <w:spacing w:val="-1"/>
          <w:sz w:val="24"/>
          <w:szCs w:val="24"/>
        </w:rPr>
        <w:t>减少工程施工对动物栖息地造成的不利影响。</w:t>
      </w:r>
    </w:p>
    <w:p w14:paraId="4CBF6315">
      <w:pPr>
        <w:spacing w:before="183" w:line="219" w:lineRule="auto"/>
        <w:ind w:left="11"/>
        <w:outlineLvl w:val="3"/>
        <w:rPr>
          <w:rFonts w:ascii="宋体" w:hAnsi="宋体" w:eastAsia="宋体" w:cs="宋体"/>
          <w:sz w:val="24"/>
          <w:szCs w:val="24"/>
        </w:rPr>
      </w:pPr>
      <w:r>
        <w:rPr>
          <w:b/>
          <w:bCs/>
        </w:rPr>
        <w:fldChar w:fldCharType="begin"/>
      </w:r>
      <w:r>
        <w:rPr>
          <w:b/>
          <w:bCs/>
        </w:rPr>
        <w:instrText xml:space="preserve"> HYPERLINK "6.1.5.6" </w:instrText>
      </w:r>
      <w:r>
        <w:rPr>
          <w:b/>
          <w:bCs/>
        </w:rPr>
        <w:fldChar w:fldCharType="separate"/>
      </w:r>
      <w:r>
        <w:rPr>
          <w:rFonts w:ascii="宋体" w:hAnsi="宋体" w:eastAsia="宋体" w:cs="宋体"/>
          <w:b/>
          <w:bCs/>
          <w:sz w:val="24"/>
          <w:szCs w:val="24"/>
          <w14:textOutline w14:w="4358" w14:cap="sq" w14:cmpd="sng">
            <w14:solidFill>
              <w14:srgbClr w14:val="000000"/>
            </w14:solidFill>
            <w14:prstDash w14:val="solid"/>
            <w14:bevel/>
          </w14:textOutline>
        </w:rPr>
        <w:t>6.1.5.6</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取弃土(渣)场生态恢复方案</w:t>
      </w:r>
      <w:r>
        <w:rPr>
          <w:rFonts w:ascii="宋体" w:hAnsi="宋体" w:eastAsia="宋体" w:cs="宋体"/>
          <w:b/>
          <w:bCs/>
          <w:spacing w:val="-1"/>
          <w:sz w:val="24"/>
          <w:szCs w:val="24"/>
          <w14:textOutline w14:w="4358" w14:cap="sq" w14:cmpd="sng">
            <w14:solidFill>
              <w14:srgbClr w14:val="000000"/>
            </w14:solidFill>
            <w14:prstDash w14:val="solid"/>
            <w14:bevel/>
          </w14:textOutline>
        </w:rPr>
        <w:t>和措施</w:t>
      </w:r>
    </w:p>
    <w:p w14:paraId="7162763C">
      <w:pPr>
        <w:spacing w:before="181" w:line="360" w:lineRule="auto"/>
        <w:ind w:left="14" w:right="169" w:firstLine="481"/>
        <w:rPr>
          <w:rFonts w:ascii="宋体" w:hAnsi="宋体" w:eastAsia="宋体" w:cs="宋体"/>
          <w:spacing w:val="2"/>
          <w:sz w:val="24"/>
          <w:szCs w:val="24"/>
        </w:rPr>
      </w:pPr>
      <w:r>
        <w:rPr>
          <w:rFonts w:hint="eastAsia" w:ascii="宋体" w:hAnsi="宋体" w:eastAsia="宋体" w:cs="宋体"/>
          <w:spacing w:val="2"/>
          <w:sz w:val="24"/>
          <w:szCs w:val="24"/>
        </w:rPr>
        <w:t>本项目取土场设在戈壁地上，避开植被高覆盖度地区，选在稀疏植被区、无植被区，不占用农田；不在河流两岸、干线公路两侧规划控制范围内进行取土，取土场周围没有居民区、学校、医院等声环境敏感目标，周围也不存在敏感区，取土场的选址也不位于江河、湖泊、水库等人工蓄水设施的最高水位线以下的淹没区和洪泛区以内，地址条件满足要求，由此可知本项目的取土场选址合理。建设单位应与国土部门签订协议后，方可取土。此外，本项目取土场选址还应遵循以下原则：①结合当地的国土资源综合开发规划，选择贫瘠地段集中取土，尽量减少取土个数，优先选取荒漠草地、戈壁地取土，禁止占用农田、生态公益林；②取料场选择在比较隐蔽的区域，远离河道，以减少水土流失；③取料场应交通便利，避免运距过长，造成施工便道的修建对沿线林地和草地的破坏。</w:t>
      </w:r>
    </w:p>
    <w:p w14:paraId="2A6DE930">
      <w:pPr>
        <w:spacing w:before="181" w:line="360" w:lineRule="auto"/>
        <w:ind w:left="14" w:right="169" w:firstLine="481"/>
        <w:rPr>
          <w:rFonts w:ascii="宋体" w:hAnsi="宋体" w:eastAsia="宋体" w:cs="宋体"/>
          <w:sz w:val="24"/>
          <w:szCs w:val="24"/>
        </w:rPr>
      </w:pPr>
      <w:r>
        <w:rPr>
          <w:rFonts w:ascii="宋体" w:hAnsi="宋体" w:eastAsia="宋体" w:cs="宋体"/>
          <w:spacing w:val="2"/>
          <w:sz w:val="24"/>
          <w:szCs w:val="24"/>
        </w:rPr>
        <w:t>为减少工程占地及水土流失，施工中</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工程土方回填完全利用开挖</w:t>
      </w:r>
      <w:r>
        <w:rPr>
          <w:rFonts w:ascii="宋体" w:hAnsi="宋体" w:eastAsia="宋体" w:cs="宋体"/>
          <w:spacing w:val="1"/>
          <w:sz w:val="24"/>
          <w:szCs w:val="24"/>
        </w:rPr>
        <w:t>料，多余未</w:t>
      </w:r>
      <w:r>
        <w:rPr>
          <w:rFonts w:ascii="宋体" w:hAnsi="宋体" w:eastAsia="宋体" w:cs="宋体"/>
          <w:spacing w:val="2"/>
          <w:sz w:val="24"/>
          <w:szCs w:val="24"/>
        </w:rPr>
        <w:t>利用开挖土方量就近平整；渠道工程清基土方量及开挖料未利用土</w:t>
      </w:r>
      <w:r>
        <w:rPr>
          <w:rFonts w:ascii="宋体" w:hAnsi="宋体" w:eastAsia="宋体" w:cs="宋体"/>
          <w:spacing w:val="1"/>
          <w:sz w:val="24"/>
          <w:szCs w:val="24"/>
        </w:rPr>
        <w:t>方拉运至弃土场</w:t>
      </w:r>
      <w:r>
        <w:rPr>
          <w:rFonts w:ascii="宋体" w:hAnsi="宋体" w:eastAsia="宋体" w:cs="宋体"/>
          <w:spacing w:val="2"/>
          <w:sz w:val="24"/>
          <w:szCs w:val="24"/>
        </w:rPr>
        <w:t>处理。根据工程施工总体布置，弃土场位于工程沿线，地势较平坦区域。对</w:t>
      </w:r>
      <w:r>
        <w:rPr>
          <w:rFonts w:ascii="宋体" w:hAnsi="宋体" w:eastAsia="宋体" w:cs="宋体"/>
          <w:spacing w:val="1"/>
          <w:sz w:val="24"/>
          <w:szCs w:val="24"/>
        </w:rPr>
        <w:t>临时堆料</w:t>
      </w:r>
      <w:r>
        <w:rPr>
          <w:rFonts w:ascii="宋体" w:hAnsi="宋体" w:eastAsia="宋体" w:cs="宋体"/>
          <w:spacing w:val="2"/>
          <w:sz w:val="24"/>
          <w:szCs w:val="24"/>
        </w:rPr>
        <w:t>要进行临时防护，为了防止风蚀，应对堆土表面进行拍实，并采用防</w:t>
      </w:r>
      <w:r>
        <w:rPr>
          <w:rFonts w:ascii="宋体" w:hAnsi="宋体" w:eastAsia="宋体" w:cs="宋体"/>
          <w:spacing w:val="1"/>
          <w:sz w:val="24"/>
          <w:szCs w:val="24"/>
        </w:rPr>
        <w:t>尘网进行覆盖。</w:t>
      </w:r>
    </w:p>
    <w:p w14:paraId="7BACE09D">
      <w:pPr>
        <w:spacing w:before="79" w:line="219" w:lineRule="auto"/>
        <w:ind w:left="15"/>
        <w:outlineLvl w:val="3"/>
        <w:rPr>
          <w:rFonts w:ascii="宋体" w:hAnsi="宋体" w:eastAsia="宋体" w:cs="宋体"/>
          <w:sz w:val="24"/>
          <w:szCs w:val="24"/>
        </w:rPr>
      </w:pPr>
      <w:r>
        <w:rPr>
          <w:b/>
          <w:bCs/>
        </w:rPr>
        <w:fldChar w:fldCharType="begin"/>
      </w:r>
      <w:r>
        <w:rPr>
          <w:b/>
          <w:bCs/>
        </w:rPr>
        <w:instrText xml:space="preserve"> HYPERLINK "6.1.5.8"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6.1.5.8</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生态敏感区</w:t>
      </w:r>
      <w:r>
        <w:rPr>
          <w:rFonts w:hint="eastAsia" w:ascii="宋体" w:hAnsi="宋体" w:eastAsia="宋体" w:cs="宋体"/>
          <w:b/>
          <w:bCs/>
          <w:spacing w:val="-1"/>
          <w:sz w:val="24"/>
          <w:szCs w:val="24"/>
          <w:lang w:eastAsia="zh-CN"/>
          <w14:textOutline w14:w="4358" w14:cap="sq" w14:cmpd="sng">
            <w14:solidFill>
              <w14:srgbClr w14:val="000000"/>
            </w14:solidFill>
            <w14:prstDash w14:val="solid"/>
            <w14:bevel/>
          </w14:textOutline>
        </w:rPr>
        <w:t>（</w:t>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艾丁湖湿地公园</w:t>
      </w:r>
      <w:r>
        <w:rPr>
          <w:rFonts w:hint="eastAsia" w:ascii="宋体" w:hAnsi="宋体" w:eastAsia="宋体" w:cs="宋体"/>
          <w:b/>
          <w:bCs/>
          <w:spacing w:val="-1"/>
          <w:sz w:val="24"/>
          <w:szCs w:val="24"/>
          <w:lang w:eastAsia="zh-CN"/>
          <w14:textOutline w14:w="4358" w14:cap="sq" w14:cmpd="sng">
            <w14:solidFill>
              <w14:srgbClr w14:val="000000"/>
            </w14:solidFill>
            <w14:prstDash w14:val="solid"/>
            <w14:bevel/>
          </w14:textOutline>
        </w:rPr>
        <w:t>）</w:t>
      </w:r>
      <w:r>
        <w:rPr>
          <w:rFonts w:ascii="宋体" w:hAnsi="宋体" w:eastAsia="宋体" w:cs="宋体"/>
          <w:b/>
          <w:bCs/>
          <w:spacing w:val="-1"/>
          <w:sz w:val="24"/>
          <w:szCs w:val="24"/>
          <w14:textOutline w14:w="4358" w14:cap="sq" w14:cmpd="sng">
            <w14:solidFill>
              <w14:srgbClr w14:val="000000"/>
            </w14:solidFill>
            <w14:prstDash w14:val="solid"/>
            <w14:bevel/>
          </w14:textOutline>
        </w:rPr>
        <w:t>生态保护措施</w:t>
      </w:r>
    </w:p>
    <w:p w14:paraId="473A99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ascii="宋体" w:hAnsi="宋体" w:eastAsia="宋体" w:cs="宋体"/>
          <w:position w:val="24"/>
          <w:sz w:val="24"/>
          <w:szCs w:val="24"/>
        </w:rPr>
      </w:pPr>
      <w:r>
        <w:rPr>
          <w:rFonts w:ascii="宋体" w:hAnsi="宋体" w:eastAsia="宋体" w:cs="宋体"/>
          <w:position w:val="24"/>
          <w:sz w:val="24"/>
          <w:szCs w:val="24"/>
        </w:rPr>
        <w:t>（1）加强水资源管理：合理分配水资源，确保湖水供应充足。同时，加强用水监管，减少浪费，提高用水效率。</w:t>
      </w:r>
    </w:p>
    <w:p w14:paraId="2495D5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ascii="宋体" w:hAnsi="宋体" w:eastAsia="宋体" w:cs="宋体"/>
          <w:position w:val="24"/>
          <w:sz w:val="24"/>
          <w:szCs w:val="24"/>
        </w:rPr>
      </w:pPr>
      <w:r>
        <w:rPr>
          <w:rFonts w:ascii="宋体" w:hAnsi="宋体" w:eastAsia="宋体" w:cs="宋体"/>
          <w:position w:val="24"/>
          <w:sz w:val="24"/>
          <w:szCs w:val="24"/>
        </w:rPr>
        <w:t>（2）改善流域生态环境：加强流域植被恢复，提高水源涵养能力。通过植树造林、退耕还林等措施，增加植被覆盖面积，减少水土流失。</w:t>
      </w:r>
    </w:p>
    <w:p w14:paraId="0C92E0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ascii="宋体" w:hAnsi="宋体" w:eastAsia="宋体" w:cs="宋体"/>
          <w:position w:val="24"/>
          <w:sz w:val="24"/>
          <w:szCs w:val="24"/>
        </w:rPr>
      </w:pPr>
      <w:r>
        <w:rPr>
          <w:rFonts w:ascii="宋体" w:hAnsi="宋体" w:eastAsia="宋体" w:cs="宋体"/>
          <w:position w:val="24"/>
          <w:sz w:val="24"/>
          <w:szCs w:val="24"/>
        </w:rPr>
        <w:t>（3）灌区实施节水灌溉：推广节水灌溉技术，提高农业用水效率。</w:t>
      </w:r>
    </w:p>
    <w:p w14:paraId="590D39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ascii="宋体" w:hAnsi="宋体" w:eastAsia="宋体" w:cs="宋体"/>
          <w:position w:val="24"/>
          <w:sz w:val="24"/>
          <w:szCs w:val="24"/>
        </w:rPr>
      </w:pPr>
      <w:r>
        <w:rPr>
          <w:rFonts w:ascii="宋体" w:hAnsi="宋体" w:eastAsia="宋体" w:cs="宋体"/>
          <w:position w:val="24"/>
          <w:sz w:val="24"/>
          <w:szCs w:val="24"/>
        </w:rPr>
        <w:t>（4）加强生态补水：通过外流域引水、调水等方式，向艾丁湖注入新的水源，增加湖水补给。同时，加强水质监测，确保补水水质符合要求。</w:t>
      </w:r>
    </w:p>
    <w:p w14:paraId="111D9B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ascii="宋体" w:hAnsi="宋体" w:eastAsia="宋体" w:cs="宋体"/>
          <w:position w:val="24"/>
          <w:sz w:val="24"/>
          <w:szCs w:val="24"/>
        </w:rPr>
      </w:pPr>
      <w:r>
        <w:rPr>
          <w:rFonts w:ascii="宋体" w:hAnsi="宋体" w:eastAsia="宋体" w:cs="宋体"/>
          <w:position w:val="24"/>
          <w:sz w:val="24"/>
          <w:szCs w:val="24"/>
        </w:rPr>
        <w:t>（5）加强生态监测：对艾丁湖周边生态环境开展长期监测，结合水源补给情况视监测结果和生态环境变化调整监测方案。</w:t>
      </w:r>
    </w:p>
    <w:p w14:paraId="561226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hint="eastAsia" w:ascii="宋体" w:hAnsi="宋体" w:eastAsia="宋体" w:cs="宋体"/>
          <w:position w:val="24"/>
          <w:sz w:val="24"/>
          <w:szCs w:val="24"/>
          <w:lang w:eastAsia="zh-CN"/>
        </w:rPr>
      </w:pPr>
      <w:r>
        <w:rPr>
          <w:rFonts w:ascii="宋体" w:hAnsi="宋体" w:eastAsia="宋体" w:cs="宋体"/>
          <w:position w:val="24"/>
          <w:sz w:val="24"/>
          <w:szCs w:val="24"/>
        </w:rPr>
        <w:t>（6）开展生态保护与修复：加强艾丁湖周边生态环境保护，禁止破坏生态环境的活动。同时，开展生态修复工程，恢复湖泊生态系统功能</w:t>
      </w:r>
      <w:r>
        <w:rPr>
          <w:rFonts w:hint="eastAsia" w:ascii="宋体" w:hAnsi="宋体" w:eastAsia="宋体" w:cs="宋体"/>
          <w:position w:val="24"/>
          <w:sz w:val="24"/>
          <w:szCs w:val="24"/>
          <w:lang w:eastAsia="zh-CN"/>
        </w:rPr>
        <w:t>。</w:t>
      </w:r>
    </w:p>
    <w:p w14:paraId="040C0DA4">
      <w:pPr>
        <w:keepNext w:val="0"/>
        <w:keepLines w:val="0"/>
        <w:pageBreakBefore w:val="0"/>
        <w:widowControl/>
        <w:kinsoku w:val="0"/>
        <w:wordWrap/>
        <w:overflowPunct/>
        <w:topLinePunct w:val="0"/>
        <w:autoSpaceDE w:val="0"/>
        <w:autoSpaceDN w:val="0"/>
        <w:bidi w:val="0"/>
        <w:adjustRightInd w:val="0"/>
        <w:snapToGrid w:val="0"/>
        <w:spacing w:before="78" w:line="360" w:lineRule="auto"/>
        <w:ind w:left="17"/>
        <w:textAlignment w:val="baseline"/>
        <w:outlineLvl w:val="3"/>
        <w:rPr>
          <w:rFonts w:hint="eastAsia" w:ascii="宋体" w:hAnsi="宋体" w:eastAsia="宋体" w:cs="宋体"/>
          <w:b/>
          <w:bCs/>
          <w:sz w:val="24"/>
          <w:szCs w:val="24"/>
          <w:lang w:eastAsia="zh-CN"/>
        </w:rPr>
      </w:pPr>
      <w:r>
        <w:rPr>
          <w:b/>
          <w:bCs/>
        </w:rPr>
        <w:fldChar w:fldCharType="begin"/>
      </w:r>
      <w:r>
        <w:rPr>
          <w:b/>
          <w:bCs/>
        </w:rPr>
        <w:instrText xml:space="preserve"> HYPERLINK "6.1.5.9"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6.1.5.9</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b/>
          <w:bCs/>
          <w:sz w:val="24"/>
          <w:szCs w:val="24"/>
          <w:lang w:eastAsia="zh-CN"/>
        </w:rPr>
        <w:t>施工迹地恢复措施</w:t>
      </w:r>
    </w:p>
    <w:p w14:paraId="0A4F4ED1">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工程完工后，对临时生产场地的施工迹地进行填埋坑道、拆除临时建筑，地表清理，尽可能的恢复周围植被，栽种的植被需与施工前植被一致，避免造成景观不协调。严格执行水土保持措施，防治水土流失。</w:t>
      </w:r>
    </w:p>
    <w:p w14:paraId="292EFDE7">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临时工程是为工程建设服务的，沉淀池拆除后填埋，拌合站等全部拆除，使用结束后恢复至原状，临时用地在施工结束后将拆除临时建筑物，产生的建筑垃圾统一清运，清理平整后进行生态恢复。</w:t>
      </w:r>
    </w:p>
    <w:p w14:paraId="7BC8D48F">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建设单位和施工单位应重视临时施工用地在工程结束前的清理和植被恢复工作，减少临时占地对生态的影响。为保障植物成活率，植物措施所需的草种应是良种。遵循破坏多少，恢复多少，优先采用原生表土及乡土物种进行恢复。设计草种应适宜当地，且防止生物入侵，由建设单位具体负责，按有关规定安排时间、地点、草种等，保质保量的进行植被恢复，植被恢复面积与占用面积相当。在施工场地结束施工后进行场地平整，为了避免种植地点的土壤过于贫瘠，应在建设地点覆盖20～30cm的优良土，或翻松表土并加入适量的腐殖质，以改良土壤性状，栽植时按照上述的配置方案进行混合种植，高密度的混合种植的方式可使幼苗的生长环境更加接近自然状况，同时也有利于环境对植物的自然选择。种植草籽后应立即在地表覆盖稻草或类似的东西，这样可防止杂草生长，保持土壤湿润，采取以上措施，草种的成活率较高，有利于恢复生态环境。</w:t>
      </w:r>
    </w:p>
    <w:p w14:paraId="70826921">
      <w:pPr>
        <w:spacing w:before="78" w:line="220" w:lineRule="auto"/>
        <w:ind w:left="15"/>
        <w:outlineLvl w:val="3"/>
        <w:rPr>
          <w:rFonts w:ascii="宋体" w:hAnsi="宋体" w:eastAsia="宋体" w:cs="宋体"/>
          <w:sz w:val="24"/>
          <w:szCs w:val="24"/>
        </w:rPr>
      </w:pPr>
      <w:r>
        <w:rPr>
          <w:b/>
          <w:bCs/>
        </w:rPr>
        <w:fldChar w:fldCharType="begin"/>
      </w:r>
      <w:r>
        <w:rPr>
          <w:b/>
          <w:bCs/>
        </w:rPr>
        <w:instrText xml:space="preserve"> HYPERLINK "6.1.5.9"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6.1.5.9</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其他生态保护措施</w:t>
      </w:r>
    </w:p>
    <w:p w14:paraId="2BCA6B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工程监理人员、管理人员和施工人员应熟悉各施工点及其周边的主要植物种类及分布，以便在施工过程中进行严格的监理和管理，减少不必要的破坏。对施工人员进行环境教育、生物多样性保护教育及有关法律、法规的宣传教育，破坏生物多样性将要承担相应的法律责任。虽然在现状调查期间工程区内未发现珍稀保护动植物，一旦发现，及时采取措施，并及时上报，管理部门应遵循就地保护优先、迀地保护其次的原则，确保保护植物不受或少受工程影响。在施工过程中，如发现重点保护野生植物，应立即上报林业等相关部门，采取就地或迀地保护。</w:t>
      </w:r>
    </w:p>
    <w:p w14:paraId="3CA3F7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在施工区设置植被保护警示牌。施工结束后，应及时进行迹地恢复等生态恢复措施，以恢复区域动物栖息地环境。</w:t>
      </w:r>
    </w:p>
    <w:p w14:paraId="7FDFE6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严格执行施工规划，不得随意扩大作业面。施工人员在施工过程中应尽量避免对现有植物的干扰，严格执行施工规划，不得滥采滥伐。施工过程中应尽量减少高噪声施工。在工程初设阶级应进一步优化施工组织设计，减少对于周边动物的扰动；同时，做好车辆及各施工机械的保养和维护，减小噪声以减轻对周边活动的动物影响。建立生态破坏惩罚制度，严禁施工人员非法猎捕偶尔飞过的鸟类等野生动物。</w:t>
      </w:r>
    </w:p>
    <w:p w14:paraId="5B189A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lang w:eastAsia="zh-CN"/>
        </w:rPr>
        <w:t>）</w:t>
      </w:r>
      <w:r>
        <w:rPr>
          <w:rFonts w:ascii="宋体" w:hAnsi="宋体" w:eastAsia="宋体" w:cs="宋体"/>
          <w:spacing w:val="-2"/>
          <w:sz w:val="24"/>
          <w:szCs w:val="24"/>
        </w:rPr>
        <w:t>在施工结束后，施工人员撤离，应及时拆除临时设施，清除碎石、砖块、施工废物等影响植物生存和影响区域景观美学的施工杂物，恢复景观斑块的连通性，以利于植物生长。施工活动结束后，应及时清场，以便尽快恢复植被，将施工对生态环境的影响降到最低程度。</w:t>
      </w:r>
    </w:p>
    <w:p w14:paraId="4DF39B5B">
      <w:pPr>
        <w:spacing w:before="98" w:line="220" w:lineRule="auto"/>
        <w:ind w:left="14"/>
        <w:outlineLvl w:val="1"/>
        <w:rPr>
          <w:rFonts w:hint="eastAsia" w:ascii="黑体" w:hAnsi="黑体" w:eastAsia="黑体" w:cs="黑体"/>
          <w:sz w:val="30"/>
          <w:szCs w:val="30"/>
        </w:rPr>
      </w:pPr>
      <w:bookmarkStart w:id="36" w:name="bookmark32"/>
      <w:bookmarkEnd w:id="36"/>
      <w:r>
        <w:rPr>
          <w:rFonts w:hint="eastAsia" w:ascii="黑体" w:hAnsi="黑体" w:eastAsia="黑体" w:cs="黑体"/>
          <w:spacing w:val="1"/>
          <w:sz w:val="30"/>
          <w:szCs w:val="30"/>
          <w14:textOutline w14:w="5448" w14:cap="sq" w14:cmpd="sng">
            <w14:solidFill>
              <w14:srgbClr w14:val="000000"/>
            </w14:solidFill>
            <w14:prstDash w14:val="solid"/>
            <w14:bevel/>
          </w14:textOutline>
        </w:rPr>
        <w:t>6.2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运营期环境保护措施及可行性</w:t>
      </w:r>
    </w:p>
    <w:p w14:paraId="549CE9D7">
      <w:pPr>
        <w:spacing w:before="220" w:line="221" w:lineRule="auto"/>
        <w:ind w:left="13"/>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6.2.1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大气环境保护措施</w:t>
      </w:r>
    </w:p>
    <w:p w14:paraId="65C4F451">
      <w:pPr>
        <w:spacing w:before="204" w:line="219" w:lineRule="auto"/>
        <w:ind w:left="490"/>
        <w:rPr>
          <w:rFonts w:ascii="宋体" w:hAnsi="宋体" w:eastAsia="宋体" w:cs="宋体"/>
          <w:sz w:val="24"/>
          <w:szCs w:val="24"/>
        </w:rPr>
      </w:pPr>
      <w:r>
        <w:rPr>
          <w:rFonts w:ascii="宋体" w:hAnsi="宋体" w:eastAsia="宋体" w:cs="宋体"/>
          <w:spacing w:val="-1"/>
          <w:sz w:val="24"/>
          <w:szCs w:val="24"/>
        </w:rPr>
        <w:t>本工程运营后对大气环境无影响。</w:t>
      </w:r>
    </w:p>
    <w:p w14:paraId="47BF921F">
      <w:pPr>
        <w:pStyle w:val="3"/>
        <w:spacing w:line="281" w:lineRule="auto"/>
      </w:pPr>
    </w:p>
    <w:p w14:paraId="03219967">
      <w:pPr>
        <w:spacing w:before="92" w:line="221" w:lineRule="auto"/>
        <w:ind w:left="13"/>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6.2.2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声环境保护措施</w:t>
      </w:r>
    </w:p>
    <w:p w14:paraId="17A555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本工程运营期噪声主要来自</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各类水泵等设备噪声，运行噪声一般在 75~ 85dB(A)之间，会对周围声环境带来一定影响，主要采取以下措施降低发声源对外环境的影响。</w:t>
      </w:r>
    </w:p>
    <w:p w14:paraId="41EF42D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设计部门应严格遵守《工业企业噪声控制设计规范》中的有关规定进行噪声控制设计。</w:t>
      </w:r>
    </w:p>
    <w:p w14:paraId="67E283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尽量选用低噪声设备，严把定、进货渠道，对设备供货商提出降低和控制设备噪声的要求，力求在根源上解决问题。</w:t>
      </w:r>
    </w:p>
    <w:p w14:paraId="1BAFA7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生产设备机械噪声采取减振措施；鼓引风机采取减震、鼓风机房隔声措施；泵类采取半地下安置、减震、隔声措施。</w:t>
      </w:r>
    </w:p>
    <w:p w14:paraId="3685DB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本工程各噪声源在采取相应的措施情况下，典型</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厂界昼间、夜间噪声值均能满足《工业企业厂界环境噪声排放标准》 (GB12348-2008)</w:t>
      </w:r>
      <w:r>
        <w:rPr>
          <w:rFonts w:hint="eastAsia" w:ascii="宋体" w:hAnsi="宋体" w:eastAsia="宋体" w:cs="宋体"/>
          <w:spacing w:val="-2"/>
          <w:sz w:val="24"/>
          <w:szCs w:val="24"/>
          <w:lang w:eastAsia="zh-CN"/>
        </w:rPr>
        <w:t>2</w:t>
      </w:r>
      <w:r>
        <w:rPr>
          <w:rFonts w:ascii="宋体" w:hAnsi="宋体" w:eastAsia="宋体" w:cs="宋体"/>
          <w:spacing w:val="-2"/>
          <w:sz w:val="24"/>
          <w:szCs w:val="24"/>
        </w:rPr>
        <w:t xml:space="preserve"> 类区标准的要求。由此可见，本工程运营期噪声对周围环境影响较小，不会改变当地声环境功能，措施可行。</w:t>
      </w:r>
    </w:p>
    <w:p w14:paraId="37282E4C">
      <w:pPr>
        <w:pStyle w:val="3"/>
        <w:spacing w:line="279" w:lineRule="auto"/>
      </w:pPr>
    </w:p>
    <w:p w14:paraId="7EA85373">
      <w:pPr>
        <w:spacing w:before="92" w:line="220" w:lineRule="auto"/>
        <w:ind w:left="13"/>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6.2.3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水环境保护措施</w:t>
      </w:r>
    </w:p>
    <w:p w14:paraId="34ED5183">
      <w:pPr>
        <w:spacing w:line="360" w:lineRule="auto"/>
        <w:ind w:left="0" w:firstLine="476" w:firstLineChars="200"/>
      </w:pPr>
      <w:r>
        <w:rPr>
          <w:rFonts w:ascii="宋体" w:hAnsi="宋体" w:eastAsia="宋体" w:cs="宋体"/>
          <w:spacing w:val="-1"/>
          <w:sz w:val="24"/>
          <w:szCs w:val="24"/>
        </w:rPr>
        <w:t>本工程为非污染生态类项目，营运期无废水产生，对水环境无影响。</w:t>
      </w:r>
    </w:p>
    <w:p w14:paraId="0C4F8ABB">
      <w:pPr>
        <w:spacing w:before="91" w:line="221" w:lineRule="auto"/>
        <w:ind w:left="13"/>
        <w:outlineLvl w:val="2"/>
        <w:rPr>
          <w:rFonts w:ascii="宋体" w:hAnsi="宋体" w:eastAsia="宋体" w:cs="宋体"/>
          <w:sz w:val="28"/>
          <w:szCs w:val="28"/>
        </w:rPr>
      </w:pPr>
      <w:r>
        <w:rPr>
          <w:rFonts w:ascii="宋体" w:hAnsi="宋体" w:eastAsia="宋体" w:cs="宋体"/>
          <w:b/>
          <w:bCs/>
          <w:spacing w:val="-3"/>
          <w:sz w:val="28"/>
          <w:szCs w:val="28"/>
          <w14:textOutline w14:w="5103" w14:cap="sq" w14:cmpd="sng">
            <w14:solidFill>
              <w14:srgbClr w14:val="000000"/>
            </w14:solidFill>
            <w14:prstDash w14:val="solid"/>
            <w14:bevel/>
          </w14:textOutline>
        </w:rPr>
        <w:t>6.2.4</w:t>
      </w:r>
      <w:r>
        <w:rPr>
          <w:rFonts w:hint="eastAsia" w:ascii="宋体" w:hAnsi="宋体" w:eastAsia="宋体" w:cs="宋体"/>
          <w:b/>
          <w:bCs/>
          <w:spacing w:val="-3"/>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3"/>
          <w:sz w:val="28"/>
          <w:szCs w:val="28"/>
          <w14:textOutline w14:w="5103" w14:cap="sq" w14:cmpd="sng">
            <w14:solidFill>
              <w14:srgbClr w14:val="000000"/>
            </w14:solidFill>
            <w14:prstDash w14:val="solid"/>
            <w14:bevel/>
          </w14:textOutline>
        </w:rPr>
        <w:t>固体废物保护措施</w:t>
      </w:r>
    </w:p>
    <w:p w14:paraId="403BBAF3">
      <w:pPr>
        <w:spacing w:line="360" w:lineRule="auto"/>
        <w:ind w:left="0" w:firstLine="472" w:firstLineChars="200"/>
        <w:jc w:val="both"/>
        <w:rPr>
          <w:rFonts w:ascii="宋体" w:hAnsi="宋体" w:eastAsia="宋体" w:cs="宋体"/>
          <w:sz w:val="24"/>
          <w:szCs w:val="24"/>
        </w:rPr>
      </w:pPr>
      <w:r>
        <w:rPr>
          <w:rFonts w:ascii="宋体" w:hAnsi="宋体" w:eastAsia="宋体" w:cs="宋体"/>
          <w:spacing w:val="-2"/>
          <w:sz w:val="24"/>
          <w:szCs w:val="24"/>
        </w:rPr>
        <w:t>本工程建成后，设立明显标志，加强水环境保护的宣传力度，严禁在渠道及两侧范围内倾倒垃圾，防止水质污染和阻塞渠道行洪。顺渠而下的杂物垃圾以及定期清理干渠产生的污泥，统一清理、统一收集，禁止随意倾倒，造成渠道的堵塞。干渠流经时间较</w:t>
      </w:r>
      <w:r>
        <w:rPr>
          <w:rFonts w:ascii="宋体" w:hAnsi="宋体" w:eastAsia="宋体" w:cs="宋体"/>
          <w:spacing w:val="-6"/>
          <w:sz w:val="24"/>
          <w:szCs w:val="24"/>
        </w:rPr>
        <w:t>长，渠中将会定期清理出部分淤泥，在灌溉期产生清淤淤泥，定期清理至渠</w:t>
      </w:r>
      <w:r>
        <w:rPr>
          <w:rFonts w:ascii="宋体" w:hAnsi="宋体" w:eastAsia="宋体" w:cs="宋体"/>
          <w:spacing w:val="-7"/>
          <w:sz w:val="24"/>
          <w:szCs w:val="24"/>
        </w:rPr>
        <w:t>道两侧洼地，</w:t>
      </w:r>
      <w:r>
        <w:rPr>
          <w:rFonts w:ascii="宋体" w:hAnsi="宋体" w:eastAsia="宋体" w:cs="宋体"/>
          <w:spacing w:val="-2"/>
          <w:sz w:val="24"/>
          <w:szCs w:val="24"/>
        </w:rPr>
        <w:t>用于平整土地。</w:t>
      </w:r>
    </w:p>
    <w:p w14:paraId="318C16C2">
      <w:pPr>
        <w:pStyle w:val="3"/>
        <w:spacing w:line="251" w:lineRule="auto"/>
      </w:pPr>
    </w:p>
    <w:p w14:paraId="5EB42729">
      <w:pPr>
        <w:spacing w:before="91" w:line="221" w:lineRule="auto"/>
        <w:ind w:left="13"/>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6.2.5</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生态保护措施</w:t>
      </w:r>
    </w:p>
    <w:p w14:paraId="754D8679">
      <w:pPr>
        <w:spacing w:line="360" w:lineRule="auto"/>
        <w:ind w:left="0" w:right="0" w:firstLine="488" w:firstLineChars="200"/>
        <w:jc w:val="both"/>
        <w:rPr>
          <w:rFonts w:ascii="宋体" w:hAnsi="宋体" w:eastAsia="宋体" w:cs="宋体"/>
          <w:color w:val="auto"/>
          <w:sz w:val="24"/>
          <w:szCs w:val="24"/>
        </w:rPr>
      </w:pPr>
      <w:r>
        <w:rPr>
          <w:rFonts w:ascii="宋体" w:hAnsi="宋体" w:eastAsia="宋体" w:cs="宋体"/>
          <w:spacing w:val="2"/>
          <w:sz w:val="24"/>
          <w:szCs w:val="24"/>
        </w:rPr>
        <w:t>本工程为</w:t>
      </w:r>
      <w:r>
        <w:rPr>
          <w:rFonts w:hint="eastAsia" w:ascii="宋体" w:hAnsi="宋体" w:eastAsia="宋体" w:cs="宋体"/>
          <w:spacing w:val="2"/>
          <w:sz w:val="24"/>
          <w:szCs w:val="24"/>
          <w:lang w:eastAsia="zh-CN"/>
        </w:rPr>
        <w:t>灌区水利</w:t>
      </w:r>
      <w:r>
        <w:rPr>
          <w:rFonts w:ascii="宋体" w:hAnsi="宋体" w:eastAsia="宋体" w:cs="宋体"/>
          <w:spacing w:val="2"/>
          <w:sz w:val="24"/>
          <w:szCs w:val="24"/>
        </w:rPr>
        <w:t>项目，通过渠道防渗改建，更新灌区水利</w:t>
      </w:r>
      <w:r>
        <w:rPr>
          <w:rFonts w:ascii="宋体" w:hAnsi="宋体" w:eastAsia="宋体" w:cs="宋体"/>
          <w:spacing w:val="1"/>
          <w:sz w:val="24"/>
          <w:szCs w:val="24"/>
        </w:rPr>
        <w:t>灌溉基</w:t>
      </w:r>
      <w:r>
        <w:rPr>
          <w:rFonts w:ascii="宋体" w:hAnsi="宋体" w:eastAsia="宋体" w:cs="宋体"/>
          <w:spacing w:val="2"/>
          <w:sz w:val="24"/>
          <w:szCs w:val="24"/>
        </w:rPr>
        <w:t>础设施，改善灌区运行管理条件，提高水资源利用率，提升灌区管理水平，把</w:t>
      </w:r>
      <w:r>
        <w:rPr>
          <w:rFonts w:ascii="宋体" w:hAnsi="宋体" w:eastAsia="宋体" w:cs="宋体"/>
          <w:spacing w:val="1"/>
          <w:sz w:val="24"/>
          <w:szCs w:val="24"/>
        </w:rPr>
        <w:t>项目区</w:t>
      </w:r>
      <w:r>
        <w:rPr>
          <w:rFonts w:ascii="宋体" w:hAnsi="宋体" w:eastAsia="宋体" w:cs="宋体"/>
          <w:sz w:val="24"/>
          <w:szCs w:val="24"/>
        </w:rPr>
        <w:t xml:space="preserve"> </w:t>
      </w:r>
      <w:r>
        <w:rPr>
          <w:rFonts w:ascii="宋体" w:hAnsi="宋体" w:eastAsia="宋体" w:cs="宋体"/>
          <w:spacing w:val="2"/>
          <w:sz w:val="24"/>
          <w:szCs w:val="24"/>
        </w:rPr>
        <w:t>建成技术领先、设施完善、管理规范、效益显著的现代农业生产区，为灌区的</w:t>
      </w:r>
      <w:r>
        <w:rPr>
          <w:rFonts w:ascii="宋体" w:hAnsi="宋体" w:eastAsia="宋体" w:cs="宋体"/>
          <w:spacing w:val="1"/>
          <w:sz w:val="24"/>
          <w:szCs w:val="24"/>
        </w:rPr>
        <w:t>社会稳</w:t>
      </w:r>
      <w:r>
        <w:rPr>
          <w:rFonts w:ascii="宋体" w:hAnsi="宋体" w:eastAsia="宋体" w:cs="宋体"/>
          <w:sz w:val="24"/>
          <w:szCs w:val="24"/>
        </w:rPr>
        <w:t xml:space="preserve"> </w:t>
      </w:r>
      <w:r>
        <w:rPr>
          <w:rFonts w:ascii="宋体" w:hAnsi="宋体" w:eastAsia="宋体" w:cs="宋体"/>
          <w:spacing w:val="2"/>
          <w:sz w:val="24"/>
          <w:szCs w:val="24"/>
        </w:rPr>
        <w:t>定和经济发展提供水利支撑。本工程建成投入使用后，</w:t>
      </w:r>
      <w:r>
        <w:rPr>
          <w:rFonts w:hint="eastAsia" w:ascii="宋体" w:hAnsi="宋体" w:eastAsia="宋体" w:cs="宋体"/>
          <w:color w:val="auto"/>
          <w:spacing w:val="2"/>
          <w:sz w:val="24"/>
          <w:szCs w:val="24"/>
          <w:lang w:val="en-US" w:eastAsia="zh-CN"/>
        </w:rPr>
        <w:t>提高</w:t>
      </w:r>
      <w:r>
        <w:rPr>
          <w:rFonts w:ascii="宋体" w:hAnsi="宋体" w:eastAsia="宋体" w:cs="宋体"/>
          <w:color w:val="auto"/>
          <w:spacing w:val="2"/>
          <w:sz w:val="24"/>
          <w:szCs w:val="24"/>
        </w:rPr>
        <w:t>项目区灌溉水利用</w:t>
      </w:r>
      <w:r>
        <w:rPr>
          <w:rFonts w:ascii="宋体" w:hAnsi="宋体" w:eastAsia="宋体" w:cs="宋体"/>
          <w:color w:val="auto"/>
          <w:spacing w:val="1"/>
          <w:sz w:val="24"/>
          <w:szCs w:val="24"/>
        </w:rPr>
        <w:t>系数</w:t>
      </w:r>
      <w:r>
        <w:rPr>
          <w:rFonts w:ascii="宋体" w:hAnsi="宋体" w:eastAsia="宋体" w:cs="宋体"/>
          <w:color w:val="auto"/>
          <w:spacing w:val="-1"/>
          <w:sz w:val="24"/>
          <w:szCs w:val="24"/>
        </w:rPr>
        <w:t>，使</w:t>
      </w:r>
      <w:r>
        <w:rPr>
          <w:rFonts w:ascii="宋体" w:hAnsi="宋体" w:eastAsia="宋体" w:cs="宋体"/>
          <w:color w:val="auto"/>
          <w:spacing w:val="-2"/>
          <w:sz w:val="24"/>
          <w:szCs w:val="24"/>
        </w:rPr>
        <w:t>有限</w:t>
      </w:r>
      <w:r>
        <w:rPr>
          <w:rFonts w:ascii="宋体" w:hAnsi="宋体" w:eastAsia="宋体" w:cs="宋体"/>
          <w:color w:val="auto"/>
          <w:spacing w:val="-3"/>
          <w:sz w:val="24"/>
          <w:szCs w:val="24"/>
        </w:rPr>
        <w:t>的水资源发挥其最大的效益。</w:t>
      </w:r>
    </w:p>
    <w:p w14:paraId="13BDAB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pacing w:val="-3"/>
          <w:sz w:val="24"/>
          <w:szCs w:val="24"/>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w:t>
      </w:r>
      <w:r>
        <w:rPr>
          <w:rFonts w:ascii="宋体" w:hAnsi="宋体" w:eastAsia="宋体" w:cs="宋体"/>
          <w:spacing w:val="-3"/>
          <w:sz w:val="24"/>
          <w:szCs w:val="24"/>
        </w:rPr>
        <w:t>根据现场调查及有关资料显示，本工程</w:t>
      </w:r>
      <w:r>
        <w:rPr>
          <w:rFonts w:hint="eastAsia" w:ascii="宋体" w:hAnsi="宋体" w:eastAsia="宋体" w:cs="宋体"/>
          <w:spacing w:val="-3"/>
          <w:sz w:val="24"/>
          <w:szCs w:val="24"/>
          <w:lang w:val="en-US" w:eastAsia="zh-CN"/>
        </w:rPr>
        <w:t>施工</w:t>
      </w:r>
      <w:r>
        <w:rPr>
          <w:rFonts w:ascii="宋体" w:hAnsi="宋体" w:eastAsia="宋体" w:cs="宋体"/>
          <w:spacing w:val="-3"/>
          <w:sz w:val="24"/>
          <w:szCs w:val="24"/>
        </w:rPr>
        <w:t>区域内没有大型野生动物，只有一些小型的鼠类、鸟类等。工程对其影响只在施工期产生，施工结束后影响自然也就消失了，因此本工程运营期对陆生动物基本没有影响。</w:t>
      </w:r>
    </w:p>
    <w:p w14:paraId="6FDEC9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pacing w:val="-3"/>
          <w:sz w:val="24"/>
          <w:szCs w:val="24"/>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2</w:t>
      </w:r>
      <w:r>
        <w:rPr>
          <w:rFonts w:hint="eastAsia" w:ascii="宋体" w:hAnsi="宋体" w:eastAsia="宋体" w:cs="宋体"/>
          <w:spacing w:val="-3"/>
          <w:sz w:val="24"/>
          <w:szCs w:val="24"/>
          <w:lang w:eastAsia="zh-CN"/>
        </w:rPr>
        <w:t>）</w:t>
      </w:r>
      <w:r>
        <w:rPr>
          <w:rFonts w:ascii="宋体" w:hAnsi="宋体" w:eastAsia="宋体" w:cs="宋体"/>
          <w:spacing w:val="-3"/>
          <w:sz w:val="24"/>
          <w:szCs w:val="24"/>
        </w:rPr>
        <w:t>本工程运行后严禁在渠道两侧 30m 范围内堆放垃圾和取土。</w:t>
      </w:r>
    </w:p>
    <w:p w14:paraId="2C220C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pacing w:val="-3"/>
          <w:sz w:val="24"/>
          <w:szCs w:val="24"/>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3</w:t>
      </w:r>
      <w:r>
        <w:rPr>
          <w:rFonts w:hint="eastAsia" w:ascii="宋体" w:hAnsi="宋体" w:eastAsia="宋体" w:cs="宋体"/>
          <w:spacing w:val="-3"/>
          <w:sz w:val="24"/>
          <w:szCs w:val="24"/>
          <w:lang w:eastAsia="zh-CN"/>
        </w:rPr>
        <w:t>）</w:t>
      </w:r>
      <w:r>
        <w:rPr>
          <w:rFonts w:ascii="宋体" w:hAnsi="宋体" w:eastAsia="宋体" w:cs="宋体"/>
          <w:spacing w:val="-3"/>
          <w:sz w:val="24"/>
          <w:szCs w:val="24"/>
        </w:rPr>
        <w:t>加强对有关人员的管理，提高其环境保护意识，同时制定相应的环保规定，制作相关环境保护手册、警示牌、管理制度等。</w:t>
      </w:r>
    </w:p>
    <w:p w14:paraId="00A9D668">
      <w:pPr>
        <w:pStyle w:val="3"/>
        <w:spacing w:line="279" w:lineRule="auto"/>
      </w:pPr>
    </w:p>
    <w:p w14:paraId="7D0122EB">
      <w:pPr>
        <w:spacing w:before="91" w:line="221" w:lineRule="auto"/>
        <w:ind w:left="13"/>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6.2.6</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环境风险防范措施及应急要求</w:t>
      </w:r>
    </w:p>
    <w:p w14:paraId="30BE4C0A">
      <w:pPr>
        <w:spacing w:before="205" w:line="220" w:lineRule="auto"/>
        <w:ind w:left="11"/>
        <w:outlineLvl w:val="3"/>
        <w:rPr>
          <w:rFonts w:ascii="宋体" w:hAnsi="宋体" w:eastAsia="宋体" w:cs="宋体"/>
          <w:sz w:val="24"/>
          <w:szCs w:val="24"/>
        </w:rPr>
      </w:pPr>
      <w:r>
        <w:rPr>
          <w:b/>
          <w:bCs/>
        </w:rPr>
        <w:fldChar w:fldCharType="begin"/>
      </w:r>
      <w:r>
        <w:rPr>
          <w:b/>
          <w:bCs/>
        </w:rPr>
        <w:instrText xml:space="preserve"> HYPERLINK "6.2.6.1"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6.2.6.1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环境风险防范措施</w:t>
      </w:r>
    </w:p>
    <w:p w14:paraId="59152F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（1）</w:t>
      </w:r>
      <w:r>
        <w:rPr>
          <w:rFonts w:hint="eastAsia" w:ascii="宋体" w:hAnsi="宋体" w:eastAsia="宋体" w:cs="宋体"/>
          <w:spacing w:val="-1"/>
          <w:sz w:val="24"/>
          <w:szCs w:val="24"/>
          <w:lang w:eastAsia="zh-CN"/>
        </w:rPr>
        <w:t>泵房</w:t>
      </w:r>
      <w:r>
        <w:rPr>
          <w:rFonts w:ascii="宋体" w:hAnsi="宋体" w:eastAsia="宋体" w:cs="宋体"/>
          <w:spacing w:val="-1"/>
          <w:sz w:val="24"/>
          <w:szCs w:val="24"/>
        </w:rPr>
        <w:t>规范用电，定期检查电路设备，出现线路老化情况时及时更换维修线 路；禁止用电出现私拉乱接现象，插板禁止过多插用大功率电器，用电结束后及时关闭电源，避免电器插电时间过长。</w:t>
      </w:r>
    </w:p>
    <w:p w14:paraId="383886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2）建立环境保护监督检查和风险隐患排查制度，制定《环保设施检查制度》和《环境风险隐患排查及整改制度》，日常巡检、专项检查、定期检查及领导监督检查、风险隐患排查规范化、制度化、程序化，发现问题、隐患要立即整改。</w:t>
      </w:r>
    </w:p>
    <w:p w14:paraId="4E4A68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（3）</w:t>
      </w:r>
      <w:r>
        <w:rPr>
          <w:rFonts w:hint="eastAsia" w:ascii="宋体" w:hAnsi="宋体" w:eastAsia="宋体" w:cs="宋体"/>
          <w:spacing w:val="-1"/>
          <w:sz w:val="24"/>
          <w:szCs w:val="24"/>
          <w:lang w:eastAsia="zh-CN"/>
        </w:rPr>
        <w:t>泵房</w:t>
      </w:r>
      <w:r>
        <w:rPr>
          <w:rFonts w:ascii="宋体" w:hAnsi="宋体" w:eastAsia="宋体" w:cs="宋体"/>
          <w:spacing w:val="-1"/>
          <w:sz w:val="24"/>
          <w:szCs w:val="24"/>
        </w:rPr>
        <w:t>按照《建筑设计防火规范》（GB50016-2014）及局部修订条文（2018 版）设置灭火器及消火栓等防火消防设施，定期检查消防设施情况，保证消防设施处于正常有效状态。</w:t>
      </w:r>
    </w:p>
    <w:p w14:paraId="44A460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（4）按照本环评提出的风险防范及应急措施做好风险防范和应急工作。</w:t>
      </w:r>
    </w:p>
    <w:p w14:paraId="642090C2">
      <w:pPr>
        <w:spacing w:before="183" w:line="220" w:lineRule="auto"/>
        <w:ind w:left="15"/>
        <w:outlineLvl w:val="3"/>
        <w:rPr>
          <w:rFonts w:ascii="宋体" w:hAnsi="宋体" w:eastAsia="宋体" w:cs="宋体"/>
          <w:sz w:val="24"/>
          <w:szCs w:val="24"/>
        </w:rPr>
      </w:pPr>
      <w:r>
        <w:rPr>
          <w:b/>
          <w:bCs/>
        </w:rPr>
        <w:fldChar w:fldCharType="begin"/>
      </w:r>
      <w:r>
        <w:rPr>
          <w:b/>
          <w:bCs/>
        </w:rPr>
        <w:instrText xml:space="preserve"> HYPERLINK "6.2.6.2"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6.2.6.2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环境风险应急措施</w:t>
      </w:r>
    </w:p>
    <w:p w14:paraId="152787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（1）输水渠道应根据每段设计流量和实际流量监控统计的差异，定期对渠道进行</w:t>
      </w:r>
      <w:r>
        <w:rPr>
          <w:rFonts w:ascii="宋体" w:hAnsi="宋体" w:eastAsia="宋体" w:cs="宋体"/>
          <w:spacing w:val="11"/>
          <w:sz w:val="24"/>
          <w:szCs w:val="24"/>
        </w:rPr>
        <w:t xml:space="preserve"> </w:t>
      </w:r>
      <w:r>
        <w:rPr>
          <w:rFonts w:ascii="宋体" w:hAnsi="宋体" w:eastAsia="宋体" w:cs="宋体"/>
          <w:spacing w:val="-3"/>
          <w:sz w:val="24"/>
          <w:szCs w:val="24"/>
        </w:rPr>
        <w:t>巡查，如发现渠道实际输水量和设计流量差别较大，及时检查相应段是否有渗漏现象，</w:t>
      </w:r>
      <w:r>
        <w:rPr>
          <w:rFonts w:ascii="宋体" w:hAnsi="宋体" w:eastAsia="宋体" w:cs="宋体"/>
          <w:spacing w:val="-1"/>
          <w:sz w:val="24"/>
          <w:szCs w:val="24"/>
        </w:rPr>
        <w:t>及时商讨设计维修方案进行衬层更换补漏。</w:t>
      </w:r>
    </w:p>
    <w:p w14:paraId="6B3C9F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（2）如发生</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火灾，应及时用灭火器、消防栓等进行初期灭火，火势较大超</w:t>
      </w:r>
      <w:r>
        <w:rPr>
          <w:rFonts w:ascii="宋体" w:hAnsi="宋体" w:eastAsia="宋体" w:cs="宋体"/>
          <w:spacing w:val="11"/>
          <w:sz w:val="24"/>
          <w:szCs w:val="24"/>
        </w:rPr>
        <w:t xml:space="preserve"> </w:t>
      </w:r>
      <w:r>
        <w:rPr>
          <w:rFonts w:ascii="宋体" w:hAnsi="宋体" w:eastAsia="宋体" w:cs="宋体"/>
          <w:spacing w:val="1"/>
          <w:sz w:val="24"/>
          <w:szCs w:val="24"/>
        </w:rPr>
        <w:t>出自行应急处置能力范围时，所有人员立即撤离现场并通知当地政府应急管理部门，</w:t>
      </w:r>
      <w:r>
        <w:rPr>
          <w:rFonts w:ascii="宋体" w:hAnsi="宋体" w:eastAsia="宋体" w:cs="宋体"/>
          <w:spacing w:val="-2"/>
          <w:sz w:val="24"/>
          <w:szCs w:val="24"/>
        </w:rPr>
        <w:t>请求支援。</w:t>
      </w:r>
    </w:p>
    <w:p w14:paraId="2C7AC7B0">
      <w:pPr>
        <w:spacing w:before="315" w:line="225" w:lineRule="auto"/>
        <w:ind w:left="20"/>
        <w:outlineLvl w:val="0"/>
        <w:rPr>
          <w:rFonts w:ascii="宋体" w:hAnsi="宋体" w:eastAsia="宋体" w:cs="宋体"/>
          <w:spacing w:val="-2"/>
          <w:sz w:val="24"/>
          <w:szCs w:val="24"/>
        </w:rPr>
      </w:pPr>
    </w:p>
    <w:p w14:paraId="0ECAC5CD">
      <w:pPr>
        <w:spacing w:before="315" w:line="225" w:lineRule="auto"/>
        <w:ind w:left="20"/>
        <w:outlineLvl w:val="0"/>
        <w:rPr>
          <w:rFonts w:hint="eastAsia" w:ascii="黑体" w:hAnsi="黑体" w:eastAsia="黑体" w:cs="黑体"/>
          <w:spacing w:val="6"/>
          <w:sz w:val="32"/>
          <w:szCs w:val="32"/>
          <w14:textOutline w14:w="5793" w14:cap="sq" w14:cmpd="sng">
            <w14:solidFill>
              <w14:srgbClr w14:val="000000"/>
            </w14:solidFill>
            <w14:prstDash w14:val="solid"/>
            <w14:bevel/>
          </w14:textOutline>
        </w:rPr>
      </w:pPr>
    </w:p>
    <w:p w14:paraId="004874E3">
      <w:pPr>
        <w:spacing w:before="315" w:line="225" w:lineRule="auto"/>
        <w:ind w:left="20"/>
        <w:outlineLvl w:val="0"/>
        <w:rPr>
          <w:rFonts w:hint="eastAsia" w:ascii="黑体" w:hAnsi="黑体" w:eastAsia="黑体" w:cs="黑体"/>
          <w:spacing w:val="6"/>
          <w:sz w:val="32"/>
          <w:szCs w:val="32"/>
          <w14:textOutline w14:w="5793" w14:cap="sq" w14:cmpd="sng">
            <w14:solidFill>
              <w14:srgbClr w14:val="000000"/>
            </w14:solidFill>
            <w14:prstDash w14:val="solid"/>
            <w14:bevel/>
          </w14:textOutline>
        </w:rPr>
      </w:pPr>
    </w:p>
    <w:p w14:paraId="4444743C">
      <w:pPr>
        <w:spacing w:before="315" w:line="225" w:lineRule="auto"/>
        <w:ind w:left="20"/>
        <w:outlineLvl w:val="0"/>
        <w:rPr>
          <w:rFonts w:hint="eastAsia" w:ascii="黑体" w:hAnsi="黑体" w:eastAsia="黑体" w:cs="黑体"/>
          <w:spacing w:val="6"/>
          <w:sz w:val="32"/>
          <w:szCs w:val="32"/>
          <w14:textOutline w14:w="5793" w14:cap="sq" w14:cmpd="sng">
            <w14:solidFill>
              <w14:srgbClr w14:val="000000"/>
            </w14:solidFill>
            <w14:prstDash w14:val="solid"/>
            <w14:bevel/>
          </w14:textOutline>
        </w:rPr>
        <w:sectPr>
          <w:pgSz w:w="11906" w:h="16839"/>
          <w:pgMar w:top="1152" w:right="1417" w:bottom="1262" w:left="1418" w:header="882" w:footer="986" w:gutter="0"/>
          <w:pgBorders>
            <w:top w:val="none" w:sz="0" w:space="0"/>
            <w:left w:val="none" w:sz="0" w:space="0"/>
            <w:bottom w:val="none" w:sz="0" w:space="0"/>
            <w:right w:val="none" w:sz="0" w:space="0"/>
          </w:pgBorders>
          <w:pgNumType w:fmt="decimal"/>
          <w:cols w:space="720" w:num="1"/>
        </w:sectPr>
      </w:pPr>
    </w:p>
    <w:p w14:paraId="68E33266">
      <w:pPr>
        <w:spacing w:before="315" w:line="225" w:lineRule="auto"/>
        <w:ind w:left="20"/>
        <w:outlineLvl w:val="0"/>
        <w:rPr>
          <w:rFonts w:hint="eastAsia" w:ascii="黑体" w:hAnsi="黑体" w:eastAsia="黑体" w:cs="黑体"/>
          <w:sz w:val="32"/>
          <w:szCs w:val="32"/>
        </w:rPr>
      </w:pPr>
      <w:r>
        <w:rPr>
          <w:rFonts w:hint="eastAsia" w:ascii="黑体" w:hAnsi="黑体" w:eastAsia="黑体" w:cs="黑体"/>
          <w:spacing w:val="6"/>
          <w:sz w:val="32"/>
          <w:szCs w:val="32"/>
          <w14:textOutline w14:w="5793" w14:cap="sq" w14:cmpd="sng">
            <w14:solidFill>
              <w14:srgbClr w14:val="000000"/>
            </w14:solidFill>
            <w14:prstDash w14:val="solid"/>
            <w14:bevel/>
          </w14:textOutline>
        </w:rPr>
        <w:t>7</w:t>
      </w:r>
      <w:r>
        <w:rPr>
          <w:rFonts w:hint="eastAsia" w:ascii="黑体" w:hAnsi="黑体" w:eastAsia="黑体" w:cs="黑体"/>
          <w:spacing w:val="6"/>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6"/>
          <w:sz w:val="32"/>
          <w:szCs w:val="32"/>
          <w14:textOutline w14:w="5793" w14:cap="sq" w14:cmpd="sng">
            <w14:solidFill>
              <w14:srgbClr w14:val="000000"/>
            </w14:solidFill>
            <w14:prstDash w14:val="solid"/>
            <w14:bevel/>
          </w14:textOutline>
        </w:rPr>
        <w:t>环境经济损益分析</w:t>
      </w:r>
    </w:p>
    <w:p w14:paraId="0ECB68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环境影响经济损益分析的主要任务是衡量项目的环保投资所能收到的环境效益和经济效益；建设项目应力争达到经济效益、社会效益、环境效益的统一，</w:t>
      </w:r>
      <w:r>
        <w:rPr>
          <w:rFonts w:ascii="宋体" w:hAnsi="宋体" w:eastAsia="宋体" w:cs="宋体"/>
          <w:spacing w:val="1"/>
          <w:sz w:val="24"/>
          <w:szCs w:val="24"/>
        </w:rPr>
        <w:t>这样可符合</w:t>
      </w:r>
      <w:r>
        <w:rPr>
          <w:rFonts w:ascii="宋体" w:hAnsi="宋体" w:eastAsia="宋体" w:cs="宋体"/>
          <w:spacing w:val="2"/>
          <w:sz w:val="24"/>
          <w:szCs w:val="24"/>
        </w:rPr>
        <w:t>可持续发展的要求，实现经济的持续发展和环境质量的不断改善。本工程属</w:t>
      </w:r>
      <w:r>
        <w:rPr>
          <w:rFonts w:ascii="宋体" w:hAnsi="宋体" w:eastAsia="宋体" w:cs="宋体"/>
          <w:spacing w:val="1"/>
          <w:sz w:val="24"/>
          <w:szCs w:val="24"/>
        </w:rPr>
        <w:t>于灌区配</w:t>
      </w:r>
      <w:r>
        <w:rPr>
          <w:rFonts w:ascii="宋体" w:hAnsi="宋体" w:eastAsia="宋体" w:cs="宋体"/>
          <w:spacing w:val="-3"/>
          <w:sz w:val="24"/>
          <w:szCs w:val="24"/>
        </w:rPr>
        <w:t>套节水设施改造工程，其施工建设在一定程度上会给周围生态环境带来一些负面影响，</w:t>
      </w:r>
      <w:r>
        <w:rPr>
          <w:rFonts w:ascii="宋体" w:hAnsi="宋体" w:eastAsia="宋体" w:cs="宋体"/>
          <w:spacing w:val="2"/>
          <w:sz w:val="24"/>
          <w:szCs w:val="24"/>
        </w:rPr>
        <w:t>因此有必要进行经济效益、社会效益、环境效益的综合分析，使项目的建</w:t>
      </w:r>
      <w:r>
        <w:rPr>
          <w:rFonts w:ascii="宋体" w:hAnsi="宋体" w:eastAsia="宋体" w:cs="宋体"/>
          <w:spacing w:val="1"/>
          <w:sz w:val="24"/>
          <w:szCs w:val="24"/>
        </w:rPr>
        <w:t>设论证更加</w:t>
      </w:r>
      <w:r>
        <w:rPr>
          <w:rFonts w:ascii="宋体" w:hAnsi="宋体" w:eastAsia="宋体" w:cs="宋体"/>
          <w:spacing w:val="2"/>
          <w:sz w:val="24"/>
          <w:szCs w:val="24"/>
        </w:rPr>
        <w:t>充分可靠，工程的设计和实施更加完善，以实现经济的持续增长、社会的</w:t>
      </w:r>
      <w:r>
        <w:rPr>
          <w:rFonts w:ascii="宋体" w:hAnsi="宋体" w:eastAsia="宋体" w:cs="宋体"/>
          <w:spacing w:val="1"/>
          <w:sz w:val="24"/>
          <w:szCs w:val="24"/>
        </w:rPr>
        <w:t>良性发展和</w:t>
      </w:r>
      <w:r>
        <w:rPr>
          <w:rFonts w:ascii="宋体" w:hAnsi="宋体" w:eastAsia="宋体" w:cs="宋体"/>
          <w:spacing w:val="-1"/>
          <w:sz w:val="24"/>
          <w:szCs w:val="24"/>
        </w:rPr>
        <w:t>环境质量的保持与改善。</w:t>
      </w:r>
    </w:p>
    <w:p w14:paraId="42591162">
      <w:pPr>
        <w:spacing w:before="191" w:line="220" w:lineRule="auto"/>
        <w:ind w:left="19"/>
        <w:outlineLvl w:val="1"/>
        <w:rPr>
          <w:rFonts w:ascii="宋体" w:hAnsi="宋体" w:eastAsia="宋体" w:cs="宋体"/>
          <w:sz w:val="30"/>
          <w:szCs w:val="30"/>
        </w:rPr>
      </w:pPr>
      <w:bookmarkStart w:id="37" w:name="bookmark35"/>
      <w:bookmarkEnd w:id="37"/>
      <w:r>
        <w:rPr>
          <w:rFonts w:hint="eastAsia" w:ascii="黑体" w:hAnsi="黑体" w:eastAsia="黑体" w:cs="黑体"/>
          <w:spacing w:val="1"/>
          <w:sz w:val="30"/>
          <w:szCs w:val="30"/>
          <w14:textOutline w14:w="5448" w14:cap="sq" w14:cmpd="sng">
            <w14:solidFill>
              <w14:srgbClr w14:val="000000"/>
            </w14:solidFill>
            <w14:prstDash w14:val="solid"/>
            <w14:bevel/>
          </w14:textOutline>
        </w:rPr>
        <w:t>7.1</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效益分析</w:t>
      </w:r>
    </w:p>
    <w:p w14:paraId="67BA22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r>
        <w:rPr>
          <w:rFonts w:hint="eastAsia" w:ascii="宋体" w:hAnsi="宋体" w:eastAsia="宋体" w:cs="宋体"/>
          <w:sz w:val="24"/>
          <w:szCs w:val="24"/>
        </w:rPr>
        <w:t>本工程总投资</w:t>
      </w:r>
      <w:r>
        <w:rPr>
          <w:rFonts w:hint="eastAsia" w:ascii="宋体" w:hAnsi="宋体" w:eastAsia="宋体" w:cs="宋体"/>
          <w:sz w:val="24"/>
          <w:szCs w:val="24"/>
          <w:lang w:eastAsia="zh-CN"/>
        </w:rPr>
        <w:t>100377.93</w:t>
      </w:r>
      <w:r>
        <w:rPr>
          <w:rFonts w:hint="eastAsia" w:ascii="宋体" w:hAnsi="宋体" w:eastAsia="宋体" w:cs="宋体"/>
          <w:sz w:val="24"/>
          <w:szCs w:val="24"/>
        </w:rPr>
        <w:t>万元，包括建筑工程投资、机电设备及安装投资、金属结构及安装投资、临时工程投资、独立费用投资、水土保持和环境保护专项投资等。本工程的效益主要分析灌溉效益、节水效益、生态效益和社会效益</w:t>
      </w:r>
      <w:r>
        <w:rPr>
          <w:rFonts w:ascii="宋体" w:hAnsi="宋体" w:eastAsia="宋体" w:cs="宋体"/>
          <w:spacing w:val="-1"/>
          <w:sz w:val="24"/>
          <w:szCs w:val="24"/>
        </w:rPr>
        <w:t>。</w:t>
      </w:r>
    </w:p>
    <w:p w14:paraId="15517F94">
      <w:pPr>
        <w:spacing w:before="189" w:line="220" w:lineRule="auto"/>
        <w:ind w:left="18"/>
        <w:outlineLvl w:val="2"/>
        <w:rPr>
          <w:rFonts w:ascii="宋体" w:hAnsi="宋体" w:eastAsia="宋体" w:cs="宋体"/>
          <w:b/>
          <w:bCs/>
          <w:sz w:val="28"/>
          <w:szCs w:val="28"/>
        </w:rPr>
      </w:pPr>
      <w:r>
        <w:rPr>
          <w:rFonts w:ascii="宋体" w:hAnsi="宋体" w:eastAsia="宋体" w:cs="宋体"/>
          <w:b/>
          <w:bCs/>
          <w:spacing w:val="-3"/>
          <w:sz w:val="28"/>
          <w:szCs w:val="28"/>
          <w14:textOutline w14:w="5103" w14:cap="sq" w14:cmpd="sng">
            <w14:solidFill>
              <w14:srgbClr w14:val="000000"/>
            </w14:solidFill>
            <w14:prstDash w14:val="solid"/>
            <w14:bevel/>
          </w14:textOutline>
        </w:rPr>
        <w:t>7.1.1</w:t>
      </w:r>
      <w:r>
        <w:rPr>
          <w:rFonts w:hint="eastAsia" w:ascii="宋体" w:hAnsi="宋体" w:eastAsia="宋体" w:cs="宋体"/>
          <w:b/>
          <w:bCs/>
          <w:spacing w:val="-3"/>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3"/>
          <w:sz w:val="28"/>
          <w:szCs w:val="28"/>
          <w14:textOutline w14:w="5103" w14:cap="sq" w14:cmpd="sng">
            <w14:solidFill>
              <w14:srgbClr w14:val="000000"/>
            </w14:solidFill>
            <w14:prstDash w14:val="solid"/>
            <w14:bevel/>
          </w14:textOutline>
        </w:rPr>
        <w:t>灌溉效益</w:t>
      </w:r>
    </w:p>
    <w:p w14:paraId="7BF74A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color w:val="auto"/>
          <w:sz w:val="24"/>
          <w:szCs w:val="24"/>
        </w:rPr>
      </w:pPr>
      <w:r>
        <w:rPr>
          <w:rFonts w:hint="eastAsia" w:ascii="宋体" w:hAnsi="宋体" w:eastAsia="宋体" w:cs="宋体"/>
          <w:color w:val="auto"/>
          <w:spacing w:val="2"/>
          <w:sz w:val="24"/>
          <w:szCs w:val="24"/>
          <w:lang w:val="en-US" w:eastAsia="zh-CN"/>
        </w:rPr>
        <w:t>项目建成后将提高渠道水利用系数，降低农业用水量，从而降低农民水费负担</w:t>
      </w:r>
      <w:r>
        <w:rPr>
          <w:rFonts w:ascii="宋体" w:hAnsi="宋体" w:eastAsia="宋体" w:cs="宋体"/>
          <w:color w:val="auto"/>
          <w:spacing w:val="-2"/>
          <w:sz w:val="24"/>
          <w:szCs w:val="24"/>
        </w:rPr>
        <w:t>。</w:t>
      </w:r>
    </w:p>
    <w:p w14:paraId="05BC7607">
      <w:pPr>
        <w:spacing w:before="91" w:line="220" w:lineRule="auto"/>
        <w:ind w:left="18"/>
        <w:outlineLvl w:val="2"/>
        <w:rPr>
          <w:rFonts w:ascii="宋体" w:hAnsi="宋体" w:eastAsia="宋体" w:cs="宋体"/>
          <w:color w:val="auto"/>
          <w:sz w:val="28"/>
          <w:szCs w:val="28"/>
        </w:rPr>
      </w:pPr>
      <w:r>
        <w:rPr>
          <w:rFonts w:ascii="宋体" w:hAnsi="宋体" w:eastAsia="宋体" w:cs="宋体"/>
          <w:b/>
          <w:bCs/>
          <w:color w:val="auto"/>
          <w:spacing w:val="-2"/>
          <w:sz w:val="28"/>
          <w:szCs w:val="28"/>
          <w14:textOutline w14:w="5103" w14:cap="sq" w14:cmpd="sng">
            <w14:solidFill>
              <w14:srgbClr w14:val="000000"/>
            </w14:solidFill>
            <w14:prstDash w14:val="solid"/>
            <w14:bevel/>
          </w14:textOutline>
        </w:rPr>
        <w:t>7.1.2</w:t>
      </w:r>
      <w:r>
        <w:rPr>
          <w:rFonts w:hint="eastAsia" w:ascii="宋体" w:hAnsi="宋体" w:eastAsia="宋体" w:cs="宋体"/>
          <w:b/>
          <w:bCs/>
          <w:color w:val="auto"/>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color w:val="auto"/>
          <w:spacing w:val="-2"/>
          <w:sz w:val="28"/>
          <w:szCs w:val="28"/>
          <w14:textOutline w14:w="5103" w14:cap="sq" w14:cmpd="sng">
            <w14:solidFill>
              <w14:srgbClr w14:val="000000"/>
            </w14:solidFill>
            <w14:prstDash w14:val="solid"/>
            <w14:bevel/>
          </w14:textOutline>
        </w:rPr>
        <w:t>节水效益</w:t>
      </w:r>
    </w:p>
    <w:p w14:paraId="1A90509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outlineLvl w:val="2"/>
        <w:rPr>
          <w:rFonts w:ascii="宋体" w:hAnsi="宋体" w:eastAsia="宋体" w:cs="宋体"/>
          <w:color w:val="auto"/>
          <w:spacing w:val="2"/>
          <w:sz w:val="24"/>
          <w:szCs w:val="24"/>
        </w:rPr>
      </w:pPr>
      <w:r>
        <w:rPr>
          <w:rFonts w:ascii="宋体" w:hAnsi="宋体" w:eastAsia="宋体" w:cs="宋体"/>
          <w:color w:val="auto"/>
          <w:spacing w:val="-4"/>
          <w:sz w:val="24"/>
          <w:szCs w:val="24"/>
        </w:rPr>
        <w:t>通过灌区</w:t>
      </w:r>
      <w:r>
        <w:rPr>
          <w:rFonts w:hint="eastAsia" w:ascii="宋体" w:hAnsi="宋体" w:eastAsia="宋体" w:cs="宋体"/>
          <w:color w:val="auto"/>
          <w:spacing w:val="-4"/>
          <w:sz w:val="24"/>
          <w:szCs w:val="24"/>
          <w:lang w:val="en-US" w:eastAsia="zh-CN"/>
        </w:rPr>
        <w:t>水利设施改造</w:t>
      </w:r>
      <w:r>
        <w:rPr>
          <w:rFonts w:ascii="宋体" w:hAnsi="宋体" w:eastAsia="宋体" w:cs="宋体"/>
          <w:color w:val="auto"/>
          <w:spacing w:val="2"/>
          <w:sz w:val="24"/>
          <w:szCs w:val="24"/>
        </w:rPr>
        <w:t>，减少输水渗漏损失，提高灌溉水利用效</w:t>
      </w:r>
      <w:r>
        <w:rPr>
          <w:rFonts w:ascii="宋体" w:hAnsi="宋体" w:eastAsia="宋体" w:cs="宋体"/>
          <w:color w:val="auto"/>
          <w:spacing w:val="1"/>
          <w:sz w:val="24"/>
          <w:szCs w:val="24"/>
        </w:rPr>
        <w:t>率，降低</w:t>
      </w:r>
      <w:r>
        <w:rPr>
          <w:rFonts w:ascii="宋体" w:hAnsi="宋体" w:eastAsia="宋体" w:cs="宋体"/>
          <w:color w:val="auto"/>
          <w:spacing w:val="2"/>
          <w:sz w:val="24"/>
          <w:szCs w:val="24"/>
        </w:rPr>
        <w:t>灌区的毛灌溉定额，提高灌区灌溉保证率，产生了显著的节水效益。</w:t>
      </w:r>
    </w:p>
    <w:p w14:paraId="56AB6427">
      <w:pPr>
        <w:spacing w:before="91" w:line="221" w:lineRule="auto"/>
        <w:ind w:left="18"/>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7.1.3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生态效益</w:t>
      </w:r>
    </w:p>
    <w:p w14:paraId="2AC62F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80" w:firstLineChars="200"/>
        <w:textAlignment w:val="baseline"/>
        <w:rPr>
          <w:rFonts w:ascii="宋体" w:hAnsi="宋体" w:eastAsia="宋体" w:cs="宋体"/>
          <w:sz w:val="24"/>
          <w:szCs w:val="24"/>
        </w:rPr>
      </w:pPr>
      <w:r>
        <w:rPr>
          <w:rFonts w:hint="eastAsia"/>
          <w:sz w:val="24"/>
          <w:szCs w:val="24"/>
          <w:lang w:val="en-GB"/>
        </w:rPr>
        <w:t>项目实施后，将有效减缓艾丁湖北侧地表植被退缩、地下水位下降以及为该区域内珍惜动植物的延续生存提供了强有力的保障。能有效降低干旱、干热风、大风、雪灾等恶劣自然灾害，减弱自然灾害对农业生产的危害程度，增强区域抵御自然灾害的能力，促进农牧业生产持续稳定发展。与此同时，工程建设将在一定程度上提高全区的森林覆盖率，这对改善</w:t>
      </w:r>
      <w:r>
        <w:rPr>
          <w:rFonts w:hint="eastAsia" w:eastAsia="宋体"/>
          <w:sz w:val="24"/>
          <w:szCs w:val="24"/>
          <w:lang w:val="en-US" w:eastAsia="zh-CN"/>
        </w:rPr>
        <w:t>项目区</w:t>
      </w:r>
      <w:r>
        <w:rPr>
          <w:rFonts w:hint="eastAsia"/>
          <w:sz w:val="24"/>
          <w:szCs w:val="24"/>
          <w:lang w:val="en-GB"/>
        </w:rPr>
        <w:t>自然环境，改善人民的生存环境，提高农田生产力必将发挥极其重要的作用</w:t>
      </w:r>
      <w:r>
        <w:rPr>
          <w:rFonts w:hint="eastAsia" w:eastAsia="宋体"/>
          <w:sz w:val="24"/>
          <w:szCs w:val="24"/>
          <w:lang w:val="en-GB" w:eastAsia="zh-CN"/>
        </w:rPr>
        <w:t>。</w:t>
      </w:r>
    </w:p>
    <w:p w14:paraId="73E294DF">
      <w:pPr>
        <w:spacing w:before="306" w:line="219" w:lineRule="auto"/>
        <w:ind w:left="18"/>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7.1.4</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社会效益</w:t>
      </w:r>
    </w:p>
    <w:p w14:paraId="0AFA75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工程的实施强化了水利基础设施建设，提高了灌区水资源利用效率，为灌区</w:t>
      </w:r>
      <w:r>
        <w:rPr>
          <w:rFonts w:ascii="宋体" w:hAnsi="宋体" w:eastAsia="宋体" w:cs="宋体"/>
          <w:spacing w:val="1"/>
          <w:sz w:val="24"/>
          <w:szCs w:val="24"/>
        </w:rPr>
        <w:t>灌溉</w:t>
      </w:r>
      <w:r>
        <w:rPr>
          <w:rFonts w:ascii="宋体" w:hAnsi="宋体" w:eastAsia="宋体" w:cs="宋体"/>
          <w:sz w:val="24"/>
          <w:szCs w:val="24"/>
        </w:rPr>
        <w:t xml:space="preserve"> </w:t>
      </w:r>
      <w:r>
        <w:rPr>
          <w:rFonts w:ascii="宋体" w:hAnsi="宋体" w:eastAsia="宋体" w:cs="宋体"/>
          <w:spacing w:val="2"/>
          <w:sz w:val="24"/>
          <w:szCs w:val="24"/>
        </w:rPr>
        <w:t>用水提供了保障，实现了区域水资源优化配置，</w:t>
      </w:r>
      <w:r>
        <w:rPr>
          <w:rFonts w:hint="eastAsia" w:ascii="宋体" w:hAnsi="宋体" w:eastAsia="宋体" w:cs="宋体"/>
          <w:spacing w:val="2"/>
          <w:sz w:val="24"/>
          <w:szCs w:val="24"/>
          <w:lang w:val="en-US" w:eastAsia="zh-CN"/>
        </w:rPr>
        <w:t>改善艾丁湖生态环境，</w:t>
      </w:r>
      <w:r>
        <w:rPr>
          <w:rFonts w:ascii="宋体" w:hAnsi="宋体" w:eastAsia="宋体" w:cs="宋体"/>
          <w:spacing w:val="2"/>
          <w:sz w:val="24"/>
          <w:szCs w:val="24"/>
        </w:rPr>
        <w:t>可带动当地经济发展，增</w:t>
      </w:r>
      <w:r>
        <w:rPr>
          <w:rFonts w:ascii="宋体" w:hAnsi="宋体" w:eastAsia="宋体" w:cs="宋体"/>
          <w:spacing w:val="1"/>
          <w:sz w:val="24"/>
          <w:szCs w:val="24"/>
        </w:rPr>
        <w:t>加贫困人口</w:t>
      </w:r>
      <w:r>
        <w:rPr>
          <w:rFonts w:ascii="宋体" w:hAnsi="宋体" w:eastAsia="宋体" w:cs="宋体"/>
          <w:spacing w:val="2"/>
          <w:sz w:val="24"/>
          <w:szCs w:val="24"/>
        </w:rPr>
        <w:t>收入，巩固少数民族地区脱贫成果，有利于实现乡村振兴战略，有利于保</w:t>
      </w:r>
      <w:r>
        <w:rPr>
          <w:rFonts w:ascii="宋体" w:hAnsi="宋体" w:eastAsia="宋体" w:cs="宋体"/>
          <w:spacing w:val="1"/>
          <w:sz w:val="24"/>
          <w:szCs w:val="24"/>
        </w:rPr>
        <w:t>障边疆少数</w:t>
      </w:r>
      <w:r>
        <w:rPr>
          <w:rFonts w:ascii="宋体" w:hAnsi="宋体" w:eastAsia="宋体" w:cs="宋体"/>
          <w:spacing w:val="-2"/>
          <w:sz w:val="24"/>
          <w:szCs w:val="24"/>
        </w:rPr>
        <w:t>民族地区稳定，稳固国家边防，社会效益显著。</w:t>
      </w:r>
    </w:p>
    <w:p w14:paraId="6931F3B7">
      <w:pPr>
        <w:spacing w:before="97" w:line="220" w:lineRule="auto"/>
        <w:ind w:left="19"/>
        <w:outlineLvl w:val="1"/>
        <w:rPr>
          <w:rFonts w:hint="eastAsia" w:ascii="黑体" w:hAnsi="黑体" w:eastAsia="黑体" w:cs="黑体"/>
          <w:spacing w:val="1"/>
          <w:sz w:val="30"/>
          <w:szCs w:val="30"/>
          <w14:textOutline w14:w="5448" w14:cap="sq" w14:cmpd="sng">
            <w14:solidFill>
              <w14:srgbClr w14:val="000000"/>
            </w14:solidFill>
            <w14:prstDash w14:val="solid"/>
            <w14:bevel/>
          </w14:textOutline>
        </w:rPr>
      </w:pPr>
      <w:bookmarkStart w:id="38" w:name="bookmark36"/>
      <w:bookmarkEnd w:id="38"/>
    </w:p>
    <w:p w14:paraId="3193BAE1">
      <w:pPr>
        <w:spacing w:before="97" w:line="220" w:lineRule="auto"/>
        <w:ind w:left="19"/>
        <w:outlineLvl w:val="1"/>
        <w:rPr>
          <w:rFonts w:hint="eastAsia" w:ascii="黑体" w:hAnsi="黑体" w:eastAsia="黑体" w:cs="黑体"/>
          <w:sz w:val="30"/>
          <w:szCs w:val="30"/>
        </w:rPr>
      </w:pPr>
      <w:r>
        <w:rPr>
          <w:rFonts w:hint="eastAsia" w:ascii="黑体" w:hAnsi="黑体" w:eastAsia="黑体" w:cs="黑体"/>
          <w:spacing w:val="1"/>
          <w:sz w:val="30"/>
          <w:szCs w:val="30"/>
          <w14:textOutline w14:w="5448" w14:cap="sq" w14:cmpd="sng">
            <w14:solidFill>
              <w14:srgbClr w14:val="000000"/>
            </w14:solidFill>
            <w14:prstDash w14:val="solid"/>
            <w14:bevel/>
          </w14:textOutline>
        </w:rPr>
        <w:t>7.2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环境影响经济损益分析结论</w:t>
      </w:r>
    </w:p>
    <w:p w14:paraId="449CEA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综上分析，本工程的实施在促进地方经济发展、增加当地财政收入、提升水</w:t>
      </w:r>
      <w:r>
        <w:rPr>
          <w:rFonts w:ascii="宋体" w:hAnsi="宋体" w:eastAsia="宋体" w:cs="宋体"/>
          <w:spacing w:val="1"/>
          <w:sz w:val="24"/>
          <w:szCs w:val="24"/>
        </w:rPr>
        <w:t>资源</w:t>
      </w:r>
      <w:r>
        <w:rPr>
          <w:rFonts w:ascii="宋体" w:hAnsi="宋体" w:eastAsia="宋体" w:cs="宋体"/>
          <w:spacing w:val="2"/>
          <w:sz w:val="24"/>
          <w:szCs w:val="24"/>
        </w:rPr>
        <w:t>利用能力的同时又具有良好的社会效益，同时可提高人民生活水平，所以从</w:t>
      </w:r>
      <w:r>
        <w:rPr>
          <w:rFonts w:ascii="宋体" w:hAnsi="宋体" w:eastAsia="宋体" w:cs="宋体"/>
          <w:spacing w:val="1"/>
          <w:sz w:val="24"/>
          <w:szCs w:val="24"/>
        </w:rPr>
        <w:t>社会经济</w:t>
      </w:r>
      <w:r>
        <w:rPr>
          <w:rFonts w:ascii="宋体" w:hAnsi="宋体" w:eastAsia="宋体" w:cs="宋体"/>
          <w:spacing w:val="2"/>
          <w:sz w:val="24"/>
          <w:szCs w:val="24"/>
        </w:rPr>
        <w:t>角度看是可行的。同时，项目在保证环保投资到位的前提下，能够实现污染</w:t>
      </w:r>
      <w:r>
        <w:rPr>
          <w:rFonts w:ascii="宋体" w:hAnsi="宋体" w:eastAsia="宋体" w:cs="宋体"/>
          <w:spacing w:val="1"/>
          <w:sz w:val="24"/>
          <w:szCs w:val="24"/>
        </w:rPr>
        <w:t>物对环境</w:t>
      </w:r>
      <w:r>
        <w:rPr>
          <w:rFonts w:ascii="宋体" w:hAnsi="宋体" w:eastAsia="宋体" w:cs="宋体"/>
          <w:spacing w:val="2"/>
          <w:sz w:val="24"/>
          <w:szCs w:val="24"/>
        </w:rPr>
        <w:t>影响的最小化，环境效益比较明显，因此从环境经济角度来看也是合理可行</w:t>
      </w:r>
      <w:r>
        <w:rPr>
          <w:rFonts w:ascii="宋体" w:hAnsi="宋体" w:eastAsia="宋体" w:cs="宋体"/>
          <w:spacing w:val="1"/>
          <w:sz w:val="24"/>
          <w:szCs w:val="24"/>
        </w:rPr>
        <w:t>的。综上</w:t>
      </w:r>
      <w:r>
        <w:rPr>
          <w:rFonts w:ascii="宋体" w:hAnsi="宋体" w:eastAsia="宋体" w:cs="宋体"/>
          <w:spacing w:val="-1"/>
          <w:sz w:val="24"/>
          <w:szCs w:val="24"/>
        </w:rPr>
        <w:t>所述，本工程具有较好的经济效益、社会效益和环境效益。</w:t>
      </w:r>
    </w:p>
    <w:p w14:paraId="4ECBB38D">
      <w:pPr>
        <w:spacing w:line="218" w:lineRule="auto"/>
        <w:rPr>
          <w:rFonts w:ascii="宋体" w:hAnsi="宋体" w:eastAsia="宋体" w:cs="宋体"/>
          <w:spacing w:val="1"/>
          <w:sz w:val="30"/>
          <w:szCs w:val="30"/>
          <w14:textOutline w14:w="5448" w14:cap="sq" w14:cmpd="sng">
            <w14:solidFill>
              <w14:srgbClr w14:val="000000"/>
            </w14:solidFill>
            <w14:prstDash w14:val="solid"/>
            <w14:bevel/>
          </w14:textOutline>
        </w:rPr>
      </w:pPr>
    </w:p>
    <w:p w14:paraId="6268D4B8">
      <w:pPr>
        <w:spacing w:line="218" w:lineRule="auto"/>
        <w:rPr>
          <w:rFonts w:hint="eastAsia" w:ascii="宋体" w:hAnsi="宋体" w:eastAsia="宋体" w:cs="宋体"/>
          <w:spacing w:val="1"/>
          <w:sz w:val="30"/>
          <w:szCs w:val="30"/>
          <w:lang w:val="en-US" w:eastAsia="zh-CN"/>
          <w14:textOutline w14:w="5448" w14:cap="sq" w14:cmpd="sng">
            <w14:solidFill>
              <w14:srgbClr w14:val="000000"/>
            </w14:solidFill>
            <w14:prstDash w14:val="solid"/>
            <w14:bevel/>
          </w14:textOutline>
        </w:rPr>
      </w:pPr>
      <w:r>
        <w:rPr>
          <w:rFonts w:hint="eastAsia" w:ascii="黑体" w:hAnsi="黑体" w:eastAsia="黑体" w:cs="黑体"/>
          <w:spacing w:val="1"/>
          <w:sz w:val="30"/>
          <w:szCs w:val="30"/>
          <w14:textOutline w14:w="5448" w14:cap="sq" w14:cmpd="sng">
            <w14:solidFill>
              <w14:srgbClr w14:val="000000"/>
            </w14:solidFill>
            <w14:prstDash w14:val="solid"/>
            <w14:bevel/>
          </w14:textOutline>
        </w:rPr>
        <w:t>7.</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3 环保投资分析</w:t>
      </w:r>
    </w:p>
    <w:p w14:paraId="0242BF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s="宋体"/>
          <w:spacing w:val="1"/>
          <w:sz w:val="24"/>
          <w:szCs w:val="24"/>
          <w:highlight w:val="none"/>
          <w:lang w:val="en-US" w:eastAsia="zh-CN"/>
          <w14:textOutline w14:w="5448" w14:cap="sq" w14:cmpd="sng">
            <w14:solidFill>
              <w14:srgbClr w14:val="000000"/>
            </w14:solidFill>
            <w14:prstDash w14:val="solid"/>
            <w14:bevel/>
          </w14:textOutline>
        </w:rPr>
      </w:pPr>
      <w:r>
        <w:rPr>
          <w:rFonts w:hint="eastAsia" w:ascii="宋体" w:hAnsi="宋体" w:eastAsia="宋体" w:cs="宋体"/>
          <w:sz w:val="24"/>
          <w:szCs w:val="24"/>
          <w:lang w:val="en-GB"/>
        </w:rPr>
        <w:t>根据《水利水电工程环境保护概估算编制规程》，结合项目的实际情况，本次环境保护工程项目共划分为四个部分，分别为：环境保护措施、环境监测措施、环境保护临时措施。水土保持防治措施投资已列入主体工程和水土保持专项投资中。本项目</w:t>
      </w:r>
      <w:r>
        <w:rPr>
          <w:rFonts w:hint="eastAsia" w:ascii="宋体" w:hAnsi="宋体" w:eastAsia="宋体" w:cs="宋体"/>
          <w:sz w:val="24"/>
          <w:szCs w:val="24"/>
          <w:highlight w:val="none"/>
          <w:lang w:val="en-GB"/>
        </w:rPr>
        <w:t>总投资100377.93</w:t>
      </w:r>
      <w:r>
        <w:rPr>
          <w:rFonts w:hint="eastAsia" w:ascii="宋体" w:hAnsi="宋体" w:eastAsia="宋体" w:cs="宋体"/>
          <w:sz w:val="24"/>
          <w:szCs w:val="24"/>
          <w:highlight w:val="none"/>
        </w:rPr>
        <w:t>万元</w:t>
      </w:r>
      <w:r>
        <w:rPr>
          <w:rFonts w:hint="eastAsia" w:ascii="宋体" w:hAnsi="宋体" w:eastAsia="宋体" w:cs="宋体"/>
          <w:sz w:val="24"/>
          <w:szCs w:val="24"/>
          <w:highlight w:val="none"/>
          <w:lang w:val="en-GB"/>
        </w:rPr>
        <w:t>，用于降低、减免项目建设不利影响和补偿的环境保护费用</w:t>
      </w:r>
      <w:r>
        <w:rPr>
          <w:rFonts w:hint="eastAsia" w:ascii="宋体" w:hAnsi="宋体" w:eastAsia="宋体" w:cs="宋体"/>
          <w:sz w:val="24"/>
          <w:szCs w:val="24"/>
          <w:highlight w:val="none"/>
          <w:lang w:val="en-US" w:eastAsia="zh-CN"/>
        </w:rPr>
        <w:t>270</w:t>
      </w:r>
      <w:r>
        <w:rPr>
          <w:rFonts w:hint="eastAsia" w:ascii="宋体" w:hAnsi="宋体" w:eastAsia="宋体" w:cs="宋体"/>
          <w:sz w:val="24"/>
          <w:szCs w:val="24"/>
          <w:highlight w:val="none"/>
          <w:lang w:val="en-GB"/>
        </w:rPr>
        <w:t>万元，占项目总投资的0.</w:t>
      </w: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lang w:val="en-GB"/>
        </w:rPr>
        <w:t>%。项目环保设施及投资估算详见表</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val="en-GB"/>
        </w:rPr>
        <w:t>.2-1。</w:t>
      </w:r>
    </w:p>
    <w:p w14:paraId="7EA1094E">
      <w:pPr>
        <w:pStyle w:val="23"/>
        <w:spacing w:before="32" w:after="32"/>
      </w:pPr>
      <w:r>
        <w:rPr>
          <w:rFonts w:hint="eastAsia"/>
        </w:rPr>
        <w:t>表</w:t>
      </w:r>
      <w:r>
        <w:rPr>
          <w:rFonts w:hint="eastAsia"/>
          <w:lang w:val="en-US" w:eastAsia="zh-CN"/>
        </w:rPr>
        <w:t>9</w:t>
      </w:r>
      <w:r>
        <w:t xml:space="preserve">.2-1    </w:t>
      </w:r>
      <w:r>
        <w:rPr>
          <w:rFonts w:hint="eastAsia"/>
        </w:rPr>
        <w:t>项目环保设施投资估算一览表</w:t>
      </w:r>
    </w:p>
    <w:tbl>
      <w:tblPr>
        <w:tblStyle w:val="1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3113"/>
        <w:gridCol w:w="1488"/>
        <w:gridCol w:w="2963"/>
      </w:tblGrid>
      <w:tr w14:paraId="4150B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tcBorders>
              <w:tl2br w:val="nil"/>
              <w:tr2bl w:val="nil"/>
            </w:tcBorders>
            <w:vAlign w:val="center"/>
          </w:tcPr>
          <w:p w14:paraId="041C9E57">
            <w:pPr>
              <w:pStyle w:val="22"/>
              <w:rPr>
                <w:lang w:val="en-GB"/>
              </w:rPr>
            </w:pPr>
            <w:r>
              <w:rPr>
                <w:rFonts w:hint="eastAsia"/>
                <w:lang w:val="en-GB"/>
              </w:rPr>
              <w:t>类别</w:t>
            </w:r>
          </w:p>
        </w:tc>
        <w:tc>
          <w:tcPr>
            <w:tcW w:w="1676" w:type="pct"/>
            <w:tcBorders>
              <w:tl2br w:val="nil"/>
              <w:tr2bl w:val="nil"/>
            </w:tcBorders>
            <w:vAlign w:val="center"/>
          </w:tcPr>
          <w:p w14:paraId="1DEA2787">
            <w:pPr>
              <w:pStyle w:val="22"/>
              <w:rPr>
                <w:lang w:val="en-GB"/>
              </w:rPr>
            </w:pPr>
            <w:r>
              <w:rPr>
                <w:rFonts w:hint="eastAsia"/>
                <w:lang w:val="en-GB"/>
              </w:rPr>
              <w:t>环保措施</w:t>
            </w:r>
          </w:p>
        </w:tc>
        <w:tc>
          <w:tcPr>
            <w:tcW w:w="801" w:type="pct"/>
            <w:tcBorders>
              <w:tl2br w:val="nil"/>
              <w:tr2bl w:val="nil"/>
            </w:tcBorders>
            <w:vAlign w:val="center"/>
          </w:tcPr>
          <w:p w14:paraId="01920CDC">
            <w:pPr>
              <w:pStyle w:val="22"/>
              <w:rPr>
                <w:lang w:val="en-GB"/>
              </w:rPr>
            </w:pPr>
            <w:r>
              <w:rPr>
                <w:rFonts w:hint="eastAsia"/>
                <w:lang w:val="en-GB"/>
              </w:rPr>
              <w:t>投资</w:t>
            </w:r>
          </w:p>
          <w:p w14:paraId="315E6CDE">
            <w:pPr>
              <w:pStyle w:val="22"/>
              <w:rPr>
                <w:lang w:val="en-GB"/>
              </w:rPr>
            </w:pPr>
            <w:r>
              <w:rPr>
                <w:lang w:val="en-GB"/>
              </w:rPr>
              <w:t>(</w:t>
            </w:r>
            <w:r>
              <w:rPr>
                <w:rFonts w:hint="eastAsia"/>
                <w:lang w:val="en-GB"/>
              </w:rPr>
              <w:t>万元</w:t>
            </w:r>
            <w:r>
              <w:rPr>
                <w:lang w:val="en-GB"/>
              </w:rPr>
              <w:t>)</w:t>
            </w:r>
          </w:p>
        </w:tc>
        <w:tc>
          <w:tcPr>
            <w:tcW w:w="1595" w:type="pct"/>
            <w:tcBorders>
              <w:tl2br w:val="nil"/>
              <w:tr2bl w:val="nil"/>
            </w:tcBorders>
            <w:vAlign w:val="center"/>
          </w:tcPr>
          <w:p w14:paraId="5C882C31">
            <w:pPr>
              <w:pStyle w:val="22"/>
              <w:rPr>
                <w:lang w:val="en-GB"/>
              </w:rPr>
            </w:pPr>
            <w:r>
              <w:rPr>
                <w:rFonts w:hint="eastAsia"/>
                <w:lang w:val="en-GB"/>
              </w:rPr>
              <w:t>环境效益</w:t>
            </w:r>
          </w:p>
        </w:tc>
      </w:tr>
      <w:tr w14:paraId="58976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vMerge w:val="restart"/>
            <w:tcBorders>
              <w:tl2br w:val="nil"/>
              <w:tr2bl w:val="nil"/>
            </w:tcBorders>
            <w:vAlign w:val="center"/>
          </w:tcPr>
          <w:p w14:paraId="68AA0276">
            <w:pPr>
              <w:pStyle w:val="22"/>
              <w:rPr>
                <w:lang w:val="en-GB"/>
              </w:rPr>
            </w:pPr>
            <w:r>
              <w:rPr>
                <w:rFonts w:hint="eastAsia"/>
                <w:lang w:val="en-GB"/>
              </w:rPr>
              <w:t>施工期</w:t>
            </w:r>
          </w:p>
          <w:p w14:paraId="07590EB3">
            <w:pPr>
              <w:pStyle w:val="22"/>
              <w:rPr>
                <w:lang w:val="en-GB"/>
              </w:rPr>
            </w:pPr>
            <w:r>
              <w:rPr>
                <w:rFonts w:hint="eastAsia"/>
                <w:lang w:val="en-GB"/>
              </w:rPr>
              <w:t>污染治理</w:t>
            </w:r>
          </w:p>
        </w:tc>
        <w:tc>
          <w:tcPr>
            <w:tcW w:w="1676" w:type="pct"/>
            <w:tcBorders>
              <w:tl2br w:val="nil"/>
              <w:tr2bl w:val="nil"/>
            </w:tcBorders>
            <w:vAlign w:val="center"/>
          </w:tcPr>
          <w:p w14:paraId="283BA919">
            <w:pPr>
              <w:pStyle w:val="22"/>
              <w:rPr>
                <w:lang w:val="en-GB"/>
              </w:rPr>
            </w:pPr>
            <w:r>
              <w:rPr>
                <w:rFonts w:hint="eastAsia"/>
                <w:lang w:val="en-GB"/>
              </w:rPr>
              <w:t>施工期扬尘</w:t>
            </w:r>
          </w:p>
        </w:tc>
        <w:tc>
          <w:tcPr>
            <w:tcW w:w="801" w:type="pct"/>
            <w:tcBorders>
              <w:tl2br w:val="nil"/>
              <w:tr2bl w:val="nil"/>
            </w:tcBorders>
            <w:vAlign w:val="center"/>
          </w:tcPr>
          <w:p w14:paraId="7FAA1885">
            <w:pPr>
              <w:pStyle w:val="22"/>
              <w:rPr>
                <w:lang w:val="en-GB"/>
              </w:rPr>
            </w:pPr>
            <w:r>
              <w:rPr>
                <w:rFonts w:hint="eastAsia" w:eastAsia="宋体"/>
                <w:lang w:val="en-US" w:eastAsia="zh-CN"/>
              </w:rPr>
              <w:t>3</w:t>
            </w:r>
            <w:r>
              <w:rPr>
                <w:lang w:val="en-GB"/>
              </w:rPr>
              <w:t>0</w:t>
            </w:r>
          </w:p>
        </w:tc>
        <w:tc>
          <w:tcPr>
            <w:tcW w:w="1595" w:type="pct"/>
            <w:tcBorders>
              <w:tl2br w:val="nil"/>
              <w:tr2bl w:val="nil"/>
            </w:tcBorders>
            <w:vAlign w:val="center"/>
          </w:tcPr>
          <w:p w14:paraId="1F1D2B3B">
            <w:pPr>
              <w:pStyle w:val="22"/>
              <w:rPr>
                <w:lang w:val="en-GB"/>
              </w:rPr>
            </w:pPr>
            <w:r>
              <w:rPr>
                <w:rFonts w:hint="eastAsia"/>
                <w:lang w:val="en-GB"/>
              </w:rPr>
              <w:t>减缓施工期扬尘对环境空气的污染</w:t>
            </w:r>
          </w:p>
        </w:tc>
      </w:tr>
      <w:tr w14:paraId="232DE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vMerge w:val="continue"/>
            <w:tcBorders>
              <w:tl2br w:val="nil"/>
              <w:tr2bl w:val="nil"/>
            </w:tcBorders>
            <w:vAlign w:val="center"/>
          </w:tcPr>
          <w:p w14:paraId="137743F0">
            <w:pPr>
              <w:pStyle w:val="22"/>
              <w:rPr>
                <w:lang w:val="en-GB"/>
              </w:rPr>
            </w:pPr>
          </w:p>
        </w:tc>
        <w:tc>
          <w:tcPr>
            <w:tcW w:w="1676" w:type="pct"/>
            <w:tcBorders>
              <w:tl2br w:val="nil"/>
              <w:tr2bl w:val="nil"/>
            </w:tcBorders>
            <w:vAlign w:val="center"/>
          </w:tcPr>
          <w:p w14:paraId="059F0975">
            <w:pPr>
              <w:pStyle w:val="22"/>
              <w:rPr>
                <w:lang w:val="en-GB"/>
              </w:rPr>
            </w:pPr>
            <w:r>
              <w:rPr>
                <w:rFonts w:hint="eastAsia"/>
                <w:lang w:val="en-GB"/>
              </w:rPr>
              <w:t>施工期：生活污水、施工废水</w:t>
            </w:r>
          </w:p>
        </w:tc>
        <w:tc>
          <w:tcPr>
            <w:tcW w:w="801" w:type="pct"/>
            <w:tcBorders>
              <w:tl2br w:val="nil"/>
              <w:tr2bl w:val="nil"/>
            </w:tcBorders>
            <w:vAlign w:val="center"/>
          </w:tcPr>
          <w:p w14:paraId="7271ECE0">
            <w:pPr>
              <w:pStyle w:val="22"/>
              <w:rPr>
                <w:lang w:val="en-GB"/>
              </w:rPr>
            </w:pPr>
            <w:r>
              <w:rPr>
                <w:lang w:val="en-GB"/>
              </w:rPr>
              <w:t>35</w:t>
            </w:r>
          </w:p>
        </w:tc>
        <w:tc>
          <w:tcPr>
            <w:tcW w:w="1595" w:type="pct"/>
            <w:tcBorders>
              <w:tl2br w:val="nil"/>
              <w:tr2bl w:val="nil"/>
            </w:tcBorders>
            <w:vAlign w:val="center"/>
          </w:tcPr>
          <w:p w14:paraId="38A197DF">
            <w:pPr>
              <w:pStyle w:val="22"/>
              <w:rPr>
                <w:lang w:val="en-GB"/>
              </w:rPr>
            </w:pPr>
            <w:r>
              <w:rPr>
                <w:rFonts w:hint="eastAsia"/>
                <w:lang w:val="en-GB"/>
              </w:rPr>
              <w:t>避免水体的污染</w:t>
            </w:r>
          </w:p>
        </w:tc>
      </w:tr>
      <w:tr w14:paraId="6A26D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vMerge w:val="continue"/>
            <w:tcBorders>
              <w:tl2br w:val="nil"/>
              <w:tr2bl w:val="nil"/>
            </w:tcBorders>
            <w:vAlign w:val="center"/>
          </w:tcPr>
          <w:p w14:paraId="5D778716">
            <w:pPr>
              <w:pStyle w:val="22"/>
              <w:rPr>
                <w:lang w:val="en-GB"/>
              </w:rPr>
            </w:pPr>
          </w:p>
        </w:tc>
        <w:tc>
          <w:tcPr>
            <w:tcW w:w="1676" w:type="pct"/>
            <w:tcBorders>
              <w:tl2br w:val="nil"/>
              <w:tr2bl w:val="nil"/>
            </w:tcBorders>
            <w:vAlign w:val="center"/>
          </w:tcPr>
          <w:p w14:paraId="4C007F34">
            <w:pPr>
              <w:pStyle w:val="22"/>
              <w:rPr>
                <w:lang w:val="en-GB"/>
              </w:rPr>
            </w:pPr>
            <w:r>
              <w:rPr>
                <w:rFonts w:hint="eastAsia"/>
                <w:lang w:val="en-GB"/>
              </w:rPr>
              <w:t>施工期噪声</w:t>
            </w:r>
          </w:p>
        </w:tc>
        <w:tc>
          <w:tcPr>
            <w:tcW w:w="801" w:type="pct"/>
            <w:tcBorders>
              <w:tl2br w:val="nil"/>
              <w:tr2bl w:val="nil"/>
            </w:tcBorders>
            <w:vAlign w:val="center"/>
          </w:tcPr>
          <w:p w14:paraId="1027DA3D">
            <w:pPr>
              <w:pStyle w:val="22"/>
              <w:rPr>
                <w:lang w:val="en-GB"/>
              </w:rPr>
            </w:pPr>
            <w:r>
              <w:rPr>
                <w:lang w:val="en-GB"/>
              </w:rPr>
              <w:t>10</w:t>
            </w:r>
          </w:p>
        </w:tc>
        <w:tc>
          <w:tcPr>
            <w:tcW w:w="1595" w:type="pct"/>
            <w:tcBorders>
              <w:tl2br w:val="nil"/>
              <w:tr2bl w:val="nil"/>
            </w:tcBorders>
            <w:vAlign w:val="center"/>
          </w:tcPr>
          <w:p w14:paraId="1D59801D">
            <w:pPr>
              <w:pStyle w:val="22"/>
              <w:rPr>
                <w:lang w:val="en-GB"/>
              </w:rPr>
            </w:pPr>
            <w:r>
              <w:rPr>
                <w:rFonts w:hint="eastAsia"/>
                <w:lang w:val="en-GB"/>
              </w:rPr>
              <w:t>减少对沿线</w:t>
            </w:r>
            <w:r>
              <w:rPr>
                <w:rFonts w:hint="eastAsia" w:eastAsia="宋体"/>
                <w:lang w:val="en-US" w:eastAsia="zh-CN"/>
              </w:rPr>
              <w:t>居</w:t>
            </w:r>
            <w:r>
              <w:rPr>
                <w:rFonts w:hint="eastAsia"/>
                <w:lang w:val="en-GB"/>
              </w:rPr>
              <w:t>民的影响</w:t>
            </w:r>
          </w:p>
        </w:tc>
      </w:tr>
      <w:tr w14:paraId="61A6E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tcBorders>
              <w:tl2br w:val="nil"/>
              <w:tr2bl w:val="nil"/>
            </w:tcBorders>
            <w:vAlign w:val="center"/>
          </w:tcPr>
          <w:p w14:paraId="5CF88776">
            <w:pPr>
              <w:pStyle w:val="22"/>
              <w:rPr>
                <w:lang w:val="en-GB"/>
              </w:rPr>
            </w:pPr>
            <w:r>
              <w:rPr>
                <w:rFonts w:hint="eastAsia"/>
                <w:lang w:val="en-GB"/>
              </w:rPr>
              <w:t>生态环境</w:t>
            </w:r>
          </w:p>
          <w:p w14:paraId="07E4BC4B">
            <w:pPr>
              <w:pStyle w:val="22"/>
              <w:rPr>
                <w:lang w:val="en-GB"/>
              </w:rPr>
            </w:pPr>
            <w:r>
              <w:rPr>
                <w:rFonts w:hint="eastAsia"/>
                <w:lang w:val="en-GB"/>
              </w:rPr>
              <w:t>保护</w:t>
            </w:r>
          </w:p>
        </w:tc>
        <w:tc>
          <w:tcPr>
            <w:tcW w:w="1676" w:type="pct"/>
            <w:tcBorders>
              <w:tl2br w:val="nil"/>
              <w:tr2bl w:val="nil"/>
            </w:tcBorders>
            <w:vAlign w:val="center"/>
          </w:tcPr>
          <w:p w14:paraId="19E1F8AD">
            <w:pPr>
              <w:pStyle w:val="22"/>
              <w:rPr>
                <w:lang w:val="en-GB"/>
              </w:rPr>
            </w:pPr>
            <w:r>
              <w:rPr>
                <w:rFonts w:hint="eastAsia"/>
                <w:lang w:val="en-GB"/>
              </w:rPr>
              <w:t>生态补偿</w:t>
            </w:r>
            <w:r>
              <w:rPr>
                <w:lang w:val="en-GB"/>
              </w:rPr>
              <w:t>(</w:t>
            </w:r>
            <w:r>
              <w:rPr>
                <w:rFonts w:hint="eastAsia"/>
                <w:lang w:val="en-GB"/>
              </w:rPr>
              <w:t>临时用地</w:t>
            </w:r>
            <w:r>
              <w:rPr>
                <w:rFonts w:hint="eastAsia" w:eastAsia="宋体"/>
                <w:lang w:val="en-US" w:eastAsia="zh-CN"/>
              </w:rPr>
              <w:t>恢复</w:t>
            </w:r>
            <w:r>
              <w:rPr>
                <w:rFonts w:hint="eastAsia"/>
                <w:lang w:val="en-GB"/>
              </w:rPr>
              <w:t>、复垦补偿</w:t>
            </w:r>
            <w:r>
              <w:rPr>
                <w:lang w:val="en-GB"/>
              </w:rPr>
              <w:t>)</w:t>
            </w:r>
          </w:p>
        </w:tc>
        <w:tc>
          <w:tcPr>
            <w:tcW w:w="801" w:type="pct"/>
            <w:tcBorders>
              <w:tl2br w:val="nil"/>
              <w:tr2bl w:val="nil"/>
            </w:tcBorders>
            <w:vAlign w:val="center"/>
          </w:tcPr>
          <w:p w14:paraId="47EF0367">
            <w:pPr>
              <w:pStyle w:val="22"/>
              <w:rPr>
                <w:rFonts w:hint="default"/>
                <w:lang w:val="en-US"/>
              </w:rPr>
            </w:pPr>
            <w:r>
              <w:rPr>
                <w:rFonts w:hint="eastAsia"/>
                <w:lang w:val="en-US" w:eastAsia="zh-CN"/>
              </w:rPr>
              <w:t>165</w:t>
            </w:r>
          </w:p>
        </w:tc>
        <w:tc>
          <w:tcPr>
            <w:tcW w:w="1595" w:type="pct"/>
            <w:tcBorders>
              <w:tl2br w:val="nil"/>
              <w:tr2bl w:val="nil"/>
            </w:tcBorders>
            <w:vAlign w:val="center"/>
          </w:tcPr>
          <w:p w14:paraId="706A1B7F">
            <w:pPr>
              <w:pStyle w:val="22"/>
              <w:rPr>
                <w:lang w:val="en-GB"/>
              </w:rPr>
            </w:pPr>
            <w:r>
              <w:rPr>
                <w:rFonts w:hint="eastAsia"/>
                <w:lang w:val="en-GB"/>
              </w:rPr>
              <w:t>工程占地得到恢复、减轻生态影响</w:t>
            </w:r>
          </w:p>
        </w:tc>
      </w:tr>
      <w:tr w14:paraId="40746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tcBorders>
              <w:tl2br w:val="nil"/>
              <w:tr2bl w:val="nil"/>
            </w:tcBorders>
            <w:vAlign w:val="center"/>
          </w:tcPr>
          <w:p w14:paraId="34F57843">
            <w:pPr>
              <w:pStyle w:val="22"/>
              <w:rPr>
                <w:lang w:val="en-GB"/>
              </w:rPr>
            </w:pPr>
            <w:r>
              <w:rPr>
                <w:rFonts w:hint="eastAsia"/>
                <w:lang w:val="en-GB"/>
              </w:rPr>
              <w:t>环境风险</w:t>
            </w:r>
          </w:p>
        </w:tc>
        <w:tc>
          <w:tcPr>
            <w:tcW w:w="1676" w:type="pct"/>
            <w:tcBorders>
              <w:tl2br w:val="nil"/>
              <w:tr2bl w:val="nil"/>
            </w:tcBorders>
            <w:vAlign w:val="center"/>
          </w:tcPr>
          <w:p w14:paraId="3FF112CF">
            <w:pPr>
              <w:pStyle w:val="22"/>
              <w:rPr>
                <w:lang w:val="en-GB"/>
              </w:rPr>
            </w:pPr>
            <w:r>
              <w:rPr>
                <w:rFonts w:hint="eastAsia"/>
              </w:rPr>
              <w:t>跨渠农桥设置防撞护栏与警示标示</w:t>
            </w:r>
          </w:p>
        </w:tc>
        <w:tc>
          <w:tcPr>
            <w:tcW w:w="801" w:type="pct"/>
            <w:tcBorders>
              <w:tl2br w:val="nil"/>
              <w:tr2bl w:val="nil"/>
            </w:tcBorders>
            <w:vAlign w:val="center"/>
          </w:tcPr>
          <w:p w14:paraId="0554F627">
            <w:pPr>
              <w:pStyle w:val="22"/>
              <w:rPr>
                <w:lang w:val="en-GB"/>
              </w:rPr>
            </w:pPr>
            <w:r>
              <w:rPr>
                <w:rFonts w:hint="eastAsia"/>
                <w:lang w:val="en-GB"/>
              </w:rPr>
              <w:t>计入主体投资</w:t>
            </w:r>
          </w:p>
        </w:tc>
        <w:tc>
          <w:tcPr>
            <w:tcW w:w="1595" w:type="pct"/>
            <w:tcBorders>
              <w:tl2br w:val="nil"/>
              <w:tr2bl w:val="nil"/>
            </w:tcBorders>
            <w:vAlign w:val="center"/>
          </w:tcPr>
          <w:p w14:paraId="69327757">
            <w:pPr>
              <w:pStyle w:val="22"/>
              <w:rPr>
                <w:lang w:val="en-GB"/>
              </w:rPr>
            </w:pPr>
            <w:r>
              <w:rPr>
                <w:rFonts w:hint="eastAsia"/>
                <w:lang w:val="en-GB"/>
              </w:rPr>
              <w:t>避免对水体影响</w:t>
            </w:r>
          </w:p>
        </w:tc>
      </w:tr>
      <w:tr w14:paraId="3A5F2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tcBorders>
              <w:tl2br w:val="nil"/>
              <w:tr2bl w:val="nil"/>
            </w:tcBorders>
            <w:vAlign w:val="center"/>
          </w:tcPr>
          <w:p w14:paraId="522A7847">
            <w:pPr>
              <w:pStyle w:val="22"/>
              <w:rPr>
                <w:rFonts w:hint="default" w:eastAsia="宋体"/>
                <w:lang w:val="en-US" w:eastAsia="zh-CN"/>
              </w:rPr>
            </w:pPr>
            <w:r>
              <w:rPr>
                <w:rFonts w:hint="eastAsia" w:eastAsia="宋体"/>
                <w:lang w:val="en-US" w:eastAsia="zh-CN"/>
              </w:rPr>
              <w:t>施工期环境监测</w:t>
            </w:r>
          </w:p>
        </w:tc>
        <w:tc>
          <w:tcPr>
            <w:tcW w:w="1676" w:type="pct"/>
            <w:tcBorders>
              <w:tl2br w:val="nil"/>
              <w:tr2bl w:val="nil"/>
            </w:tcBorders>
            <w:vAlign w:val="center"/>
          </w:tcPr>
          <w:p w14:paraId="75DFF002">
            <w:pPr>
              <w:pStyle w:val="22"/>
              <w:rPr>
                <w:lang w:val="en-GB"/>
              </w:rPr>
            </w:pPr>
            <w:r>
              <w:rPr>
                <w:rFonts w:hint="eastAsia" w:eastAsia="宋体"/>
                <w:lang w:val="en-US" w:eastAsia="zh-CN"/>
              </w:rPr>
              <w:t>施工期扬尘、噪声</w:t>
            </w:r>
            <w:r>
              <w:rPr>
                <w:rFonts w:hint="eastAsia"/>
                <w:lang w:val="en-GB"/>
              </w:rPr>
              <w:t>监测</w:t>
            </w:r>
          </w:p>
        </w:tc>
        <w:tc>
          <w:tcPr>
            <w:tcW w:w="801" w:type="pct"/>
            <w:tcBorders>
              <w:tl2br w:val="nil"/>
              <w:tr2bl w:val="nil"/>
            </w:tcBorders>
            <w:vAlign w:val="center"/>
          </w:tcPr>
          <w:p w14:paraId="67AD750A">
            <w:pPr>
              <w:pStyle w:val="22"/>
              <w:rPr>
                <w:lang w:val="en-GB"/>
              </w:rPr>
            </w:pPr>
            <w:r>
              <w:rPr>
                <w:rFonts w:hint="eastAsia" w:eastAsia="宋体"/>
                <w:lang w:val="en-US" w:eastAsia="zh-CN"/>
              </w:rPr>
              <w:t>2</w:t>
            </w:r>
            <w:r>
              <w:rPr>
                <w:lang w:val="en-GB"/>
              </w:rPr>
              <w:t>0</w:t>
            </w:r>
          </w:p>
        </w:tc>
        <w:tc>
          <w:tcPr>
            <w:tcW w:w="1595" w:type="pct"/>
            <w:tcBorders>
              <w:tl2br w:val="nil"/>
              <w:tr2bl w:val="nil"/>
            </w:tcBorders>
            <w:vAlign w:val="center"/>
          </w:tcPr>
          <w:p w14:paraId="5F404E66">
            <w:pPr>
              <w:pStyle w:val="22"/>
              <w:rPr>
                <w:lang w:val="en-GB"/>
              </w:rPr>
            </w:pPr>
            <w:r>
              <w:rPr>
                <w:rFonts w:hint="eastAsia"/>
                <w:lang w:val="en-GB"/>
              </w:rPr>
              <w:t>加强环境管理</w:t>
            </w:r>
          </w:p>
        </w:tc>
      </w:tr>
      <w:tr w14:paraId="0B529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tcBorders>
              <w:tl2br w:val="nil"/>
              <w:tr2bl w:val="nil"/>
            </w:tcBorders>
            <w:vAlign w:val="center"/>
          </w:tcPr>
          <w:p w14:paraId="3C8EB300">
            <w:pPr>
              <w:pStyle w:val="22"/>
              <w:rPr>
                <w:rFonts w:hint="default" w:eastAsia="宋体"/>
                <w:lang w:val="en-US" w:eastAsia="zh-CN"/>
              </w:rPr>
            </w:pPr>
            <w:r>
              <w:rPr>
                <w:rFonts w:hint="eastAsia" w:eastAsia="宋体"/>
                <w:lang w:val="en-US" w:eastAsia="zh-CN"/>
              </w:rPr>
              <w:t>环境保护验收</w:t>
            </w:r>
          </w:p>
        </w:tc>
        <w:tc>
          <w:tcPr>
            <w:tcW w:w="1676" w:type="pct"/>
            <w:tcBorders>
              <w:tl2br w:val="nil"/>
              <w:tr2bl w:val="nil"/>
            </w:tcBorders>
            <w:vAlign w:val="center"/>
          </w:tcPr>
          <w:p w14:paraId="0CF22D17">
            <w:pPr>
              <w:pStyle w:val="22"/>
              <w:rPr>
                <w:rFonts w:hint="default" w:eastAsia="宋体"/>
                <w:lang w:val="en-US" w:eastAsia="zh-CN"/>
              </w:rPr>
            </w:pPr>
            <w:r>
              <w:rPr>
                <w:rFonts w:hint="eastAsia" w:eastAsia="宋体"/>
                <w:lang w:val="en-US" w:eastAsia="zh-CN"/>
              </w:rPr>
              <w:t>竣工环境保护验收调查</w:t>
            </w:r>
          </w:p>
        </w:tc>
        <w:tc>
          <w:tcPr>
            <w:tcW w:w="801" w:type="pct"/>
            <w:tcBorders>
              <w:tl2br w:val="nil"/>
              <w:tr2bl w:val="nil"/>
            </w:tcBorders>
            <w:vAlign w:val="center"/>
          </w:tcPr>
          <w:p w14:paraId="04F02B77">
            <w:pPr>
              <w:pStyle w:val="22"/>
              <w:rPr>
                <w:rFonts w:hint="default" w:eastAsia="宋体"/>
                <w:lang w:val="en-US" w:eastAsia="zh-CN"/>
              </w:rPr>
            </w:pPr>
            <w:r>
              <w:rPr>
                <w:rFonts w:hint="eastAsia" w:eastAsia="宋体"/>
                <w:lang w:val="en-US" w:eastAsia="zh-CN"/>
              </w:rPr>
              <w:t>10</w:t>
            </w:r>
          </w:p>
        </w:tc>
        <w:tc>
          <w:tcPr>
            <w:tcW w:w="1595" w:type="pct"/>
            <w:tcBorders>
              <w:tl2br w:val="nil"/>
              <w:tr2bl w:val="nil"/>
            </w:tcBorders>
            <w:vAlign w:val="center"/>
          </w:tcPr>
          <w:p w14:paraId="43E33AF9">
            <w:pPr>
              <w:pStyle w:val="22"/>
              <w:rPr>
                <w:rFonts w:hint="eastAsia"/>
                <w:lang w:val="en-GB"/>
              </w:rPr>
            </w:pPr>
          </w:p>
        </w:tc>
      </w:tr>
      <w:tr w14:paraId="44380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6" w:type="pct"/>
            <w:tcBorders>
              <w:tl2br w:val="nil"/>
              <w:tr2bl w:val="nil"/>
            </w:tcBorders>
            <w:vAlign w:val="center"/>
          </w:tcPr>
          <w:p w14:paraId="34FA4A74">
            <w:pPr>
              <w:pStyle w:val="22"/>
              <w:rPr>
                <w:rFonts w:hint="eastAsia" w:eastAsia="宋体"/>
                <w:lang w:val="en-US" w:eastAsia="zh-CN"/>
              </w:rPr>
            </w:pPr>
            <w:r>
              <w:rPr>
                <w:rFonts w:hint="eastAsia" w:eastAsia="宋体"/>
                <w:lang w:val="en-US" w:eastAsia="zh-CN"/>
              </w:rPr>
              <w:t>合计</w:t>
            </w:r>
          </w:p>
        </w:tc>
        <w:tc>
          <w:tcPr>
            <w:tcW w:w="1676" w:type="pct"/>
            <w:tcBorders>
              <w:tl2br w:val="nil"/>
              <w:tr2bl w:val="nil"/>
            </w:tcBorders>
            <w:vAlign w:val="center"/>
          </w:tcPr>
          <w:p w14:paraId="3A9A1731">
            <w:pPr>
              <w:pStyle w:val="22"/>
              <w:rPr>
                <w:rFonts w:hint="eastAsia" w:eastAsia="宋体"/>
                <w:lang w:val="en-US" w:eastAsia="zh-CN"/>
              </w:rPr>
            </w:pPr>
          </w:p>
        </w:tc>
        <w:tc>
          <w:tcPr>
            <w:tcW w:w="801" w:type="pct"/>
            <w:tcBorders>
              <w:tl2br w:val="nil"/>
              <w:tr2bl w:val="nil"/>
            </w:tcBorders>
            <w:vAlign w:val="center"/>
          </w:tcPr>
          <w:p w14:paraId="50EB4DF2">
            <w:pPr>
              <w:pStyle w:val="22"/>
              <w:rPr>
                <w:rFonts w:hint="default" w:eastAsia="宋体"/>
                <w:lang w:val="en-US" w:eastAsia="zh-CN"/>
              </w:rPr>
            </w:pPr>
            <w:r>
              <w:rPr>
                <w:rFonts w:hint="eastAsia" w:eastAsia="宋体"/>
                <w:lang w:val="en-US" w:eastAsia="zh-CN"/>
              </w:rPr>
              <w:t>270</w:t>
            </w:r>
          </w:p>
        </w:tc>
        <w:tc>
          <w:tcPr>
            <w:tcW w:w="1595" w:type="pct"/>
            <w:tcBorders>
              <w:tl2br w:val="nil"/>
              <w:tr2bl w:val="nil"/>
            </w:tcBorders>
            <w:vAlign w:val="center"/>
          </w:tcPr>
          <w:p w14:paraId="264259E6">
            <w:pPr>
              <w:pStyle w:val="22"/>
              <w:rPr>
                <w:rFonts w:hint="eastAsia"/>
                <w:lang w:val="en-GB"/>
              </w:rPr>
            </w:pPr>
          </w:p>
        </w:tc>
      </w:tr>
    </w:tbl>
    <w:p w14:paraId="6F6D5D7D">
      <w:pPr>
        <w:spacing w:before="313" w:line="225" w:lineRule="auto"/>
        <w:ind w:left="14"/>
        <w:outlineLvl w:val="0"/>
        <w:rPr>
          <w:rFonts w:ascii="宋体" w:hAnsi="宋体" w:eastAsia="宋体" w:cs="宋体"/>
          <w:spacing w:val="7"/>
          <w:sz w:val="31"/>
          <w:szCs w:val="31"/>
          <w14:textOutline w14:w="5793" w14:cap="sq" w14:cmpd="sng">
            <w14:solidFill>
              <w14:srgbClr w14:val="000000"/>
            </w14:solidFill>
            <w14:prstDash w14:val="solid"/>
            <w14:bevel/>
          </w14:textOutline>
        </w:rPr>
      </w:pPr>
      <w:bookmarkStart w:id="39" w:name="bookmark37"/>
      <w:bookmarkEnd w:id="39"/>
      <w:bookmarkStart w:id="40" w:name="bookmark38"/>
      <w:bookmarkEnd w:id="40"/>
    </w:p>
    <w:p w14:paraId="21275412">
      <w:pPr>
        <w:spacing w:before="313" w:line="225" w:lineRule="auto"/>
        <w:ind w:left="14"/>
        <w:outlineLvl w:val="0"/>
        <w:rPr>
          <w:rFonts w:hint="eastAsia" w:ascii="黑体" w:hAnsi="黑体" w:eastAsia="黑体" w:cs="黑体"/>
          <w:spacing w:val="7"/>
          <w:sz w:val="32"/>
          <w:szCs w:val="32"/>
          <w14:textOutline w14:w="5793" w14:cap="sq" w14:cmpd="sng">
            <w14:solidFill>
              <w14:srgbClr w14:val="000000"/>
            </w14:solidFill>
            <w14:prstDash w14:val="solid"/>
            <w14:bevel/>
          </w14:textOutline>
        </w:rPr>
      </w:pPr>
    </w:p>
    <w:p w14:paraId="4C0D728C">
      <w:pPr>
        <w:spacing w:before="313" w:line="225" w:lineRule="auto"/>
        <w:ind w:left="14"/>
        <w:outlineLvl w:val="0"/>
        <w:rPr>
          <w:rFonts w:hint="eastAsia" w:ascii="黑体" w:hAnsi="黑体" w:eastAsia="黑体" w:cs="黑体"/>
          <w:spacing w:val="7"/>
          <w:sz w:val="32"/>
          <w:szCs w:val="32"/>
          <w14:textOutline w14:w="5793" w14:cap="sq" w14:cmpd="sng">
            <w14:solidFill>
              <w14:srgbClr w14:val="000000"/>
            </w14:solidFill>
            <w14:prstDash w14:val="solid"/>
            <w14:bevel/>
          </w14:textOutline>
        </w:rPr>
      </w:pPr>
    </w:p>
    <w:p w14:paraId="5807BB21">
      <w:pPr>
        <w:spacing w:before="313" w:line="225" w:lineRule="auto"/>
        <w:ind w:left="14"/>
        <w:outlineLvl w:val="0"/>
        <w:rPr>
          <w:rFonts w:hint="eastAsia" w:ascii="黑体" w:hAnsi="黑体" w:eastAsia="黑体" w:cs="黑体"/>
          <w:spacing w:val="7"/>
          <w:sz w:val="32"/>
          <w:szCs w:val="32"/>
          <w14:textOutline w14:w="5793" w14:cap="sq" w14:cmpd="sng">
            <w14:solidFill>
              <w14:srgbClr w14:val="000000"/>
            </w14:solidFill>
            <w14:prstDash w14:val="solid"/>
            <w14:bevel/>
          </w14:textOutline>
        </w:rPr>
      </w:pPr>
    </w:p>
    <w:p w14:paraId="4CCE7EE6">
      <w:pPr>
        <w:spacing w:before="313" w:line="225" w:lineRule="auto"/>
        <w:ind w:left="14"/>
        <w:outlineLvl w:val="0"/>
        <w:rPr>
          <w:rFonts w:hint="eastAsia" w:ascii="黑体" w:hAnsi="黑体" w:eastAsia="黑体" w:cs="黑体"/>
          <w:sz w:val="32"/>
          <w:szCs w:val="32"/>
        </w:rPr>
      </w:pPr>
      <w:r>
        <w:rPr>
          <w:rFonts w:hint="eastAsia" w:ascii="黑体" w:hAnsi="黑体" w:eastAsia="黑体" w:cs="黑体"/>
          <w:spacing w:val="7"/>
          <w:sz w:val="32"/>
          <w:szCs w:val="32"/>
          <w14:textOutline w14:w="5793" w14:cap="sq" w14:cmpd="sng">
            <w14:solidFill>
              <w14:srgbClr w14:val="000000"/>
            </w14:solidFill>
            <w14:prstDash w14:val="solid"/>
            <w14:bevel/>
          </w14:textOutline>
        </w:rPr>
        <w:t>8</w:t>
      </w:r>
      <w:r>
        <w:rPr>
          <w:rFonts w:hint="eastAsia" w:ascii="黑体" w:hAnsi="黑体" w:eastAsia="黑体" w:cs="黑体"/>
          <w:spacing w:val="7"/>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7"/>
          <w:sz w:val="32"/>
          <w:szCs w:val="32"/>
          <w14:textOutline w14:w="5793" w14:cap="sq" w14:cmpd="sng">
            <w14:solidFill>
              <w14:srgbClr w14:val="000000"/>
            </w14:solidFill>
            <w14:prstDash w14:val="solid"/>
            <w14:bevel/>
          </w14:textOutline>
        </w:rPr>
        <w:t>环境管理与监测计划</w:t>
      </w:r>
    </w:p>
    <w:p w14:paraId="405D9B5B">
      <w:pPr>
        <w:spacing w:before="241" w:line="219" w:lineRule="auto"/>
        <w:ind w:left="13"/>
        <w:outlineLvl w:val="1"/>
        <w:rPr>
          <w:rFonts w:ascii="宋体" w:hAnsi="宋体" w:eastAsia="宋体" w:cs="宋体"/>
          <w:sz w:val="30"/>
          <w:szCs w:val="30"/>
        </w:rPr>
      </w:pPr>
      <w:r>
        <w:rPr>
          <w:rFonts w:hint="eastAsia" w:ascii="黑体" w:hAnsi="黑体" w:eastAsia="黑体" w:cs="黑体"/>
          <w:spacing w:val="2"/>
          <w:sz w:val="30"/>
          <w:szCs w:val="30"/>
          <w14:textOutline w14:w="5448" w14:cap="sq" w14:cmpd="sng">
            <w14:solidFill>
              <w14:srgbClr w14:val="000000"/>
            </w14:solidFill>
            <w14:prstDash w14:val="solid"/>
            <w14:bevel/>
          </w14:textOutline>
        </w:rPr>
        <w:t>8.1</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环境管理</w:t>
      </w:r>
    </w:p>
    <w:p w14:paraId="7D3A9A0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jc w:val="left"/>
        <w:textAlignment w:val="baseline"/>
        <w:rPr>
          <w:rFonts w:ascii="宋体" w:hAnsi="宋体" w:eastAsia="宋体" w:cs="宋体"/>
          <w:sz w:val="24"/>
          <w:szCs w:val="24"/>
        </w:rPr>
      </w:pPr>
      <w:r>
        <w:rPr>
          <w:rFonts w:ascii="宋体" w:hAnsi="宋体" w:eastAsia="宋体" w:cs="宋体"/>
          <w:spacing w:val="-1"/>
          <w:sz w:val="24"/>
          <w:szCs w:val="24"/>
        </w:rPr>
        <w:t>环境管理应从环境管理机构、设计施工招标阶段环境管理、施工期环境管理、竣工环境保护验收、运行期环境管理、环境保护培训、与相关公众的协调等方面做出规定。</w:t>
      </w:r>
    </w:p>
    <w:p w14:paraId="6C0CC5F6">
      <w:pPr>
        <w:spacing w:before="189" w:line="219" w:lineRule="auto"/>
        <w:ind w:left="12"/>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8.1.1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环境管理机构</w:t>
      </w:r>
    </w:p>
    <w:p w14:paraId="329FDDF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建设单位、施工单位、负责运行的单位应在各自管理机构内配备 1～2 名专职或兼职人员，负责环境保护管理工作。</w:t>
      </w:r>
    </w:p>
    <w:p w14:paraId="374DB27D">
      <w:pPr>
        <w:spacing w:before="92" w:line="220" w:lineRule="auto"/>
        <w:ind w:left="12"/>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8.1.2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各阶段环境管理要求</w:t>
      </w:r>
    </w:p>
    <w:p w14:paraId="17E0CA62">
      <w:pPr>
        <w:spacing w:before="204" w:line="219" w:lineRule="auto"/>
        <w:ind w:left="10"/>
        <w:outlineLvl w:val="3"/>
        <w:rPr>
          <w:rFonts w:ascii="宋体" w:hAnsi="宋体" w:eastAsia="宋体" w:cs="宋体"/>
          <w:b/>
          <w:bCs/>
          <w:sz w:val="24"/>
          <w:szCs w:val="24"/>
        </w:rPr>
      </w:pPr>
      <w:r>
        <w:rPr>
          <w:b/>
          <w:bCs/>
        </w:rPr>
        <w:fldChar w:fldCharType="begin"/>
      </w:r>
      <w:r>
        <w:rPr>
          <w:b/>
          <w:bCs/>
        </w:rPr>
        <w:instrText xml:space="preserve"> HYPERLINK "8.1.2.1"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8.1.2.1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设计、施工招标阶段的环境管理</w:t>
      </w:r>
    </w:p>
    <w:p w14:paraId="298B3B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主体工程设计单位应在下阶段设计中，将环评报告中提出的措施纳入工程设计中。设计中应统筹安排施工时序，合理安排环保措施的实施进度。</w:t>
      </w:r>
    </w:p>
    <w:p w14:paraId="16724C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设计单位应遵循有关环保法规，严格按有关规程和法规进行设计。设计施工文件中详细说明施工期应注意的环保问题，按设计文件执行并同时作好记录。</w:t>
      </w:r>
    </w:p>
    <w:p w14:paraId="3E0CB5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建设单位应将施工环保措施纳入施工招标文件中，明确验收标准和细则。</w:t>
      </w:r>
    </w:p>
    <w:p w14:paraId="39CCA1A6">
      <w:pPr>
        <w:spacing w:before="183" w:line="219" w:lineRule="auto"/>
        <w:ind w:left="10"/>
        <w:outlineLvl w:val="3"/>
        <w:rPr>
          <w:rFonts w:ascii="宋体" w:hAnsi="宋体" w:eastAsia="宋体" w:cs="宋体"/>
          <w:sz w:val="24"/>
          <w:szCs w:val="24"/>
        </w:rPr>
      </w:pPr>
      <w:r>
        <w:rPr>
          <w:b/>
          <w:bCs/>
        </w:rPr>
        <w:fldChar w:fldCharType="begin"/>
      </w:r>
      <w:r>
        <w:rPr>
          <w:b/>
          <w:bCs/>
        </w:rPr>
        <w:instrText xml:space="preserve"> HYPERLINK "8.1.2.2"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8.1.2.2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施工期环境管理及监理</w:t>
      </w:r>
    </w:p>
    <w:p w14:paraId="449143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lang w:val="en-US" w:eastAsia="zh-CN"/>
        </w:rPr>
        <w:t>1</w:t>
      </w: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rPr>
        <w:t>在工程的承包合同中明确环境保护要求，承包商应严格执行设计和环境影响评价中提出的各项污染防治措施，遵守环境保护方面的法律法规。</w:t>
      </w:r>
    </w:p>
    <w:p w14:paraId="33E47F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lang w:val="en-US" w:eastAsia="zh-CN"/>
        </w:rPr>
        <w:t>2</w:t>
      </w: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rPr>
        <w:t>施工期的环境管理由施工单位具体负责，建设单位和</w:t>
      </w:r>
      <w:r>
        <w:rPr>
          <w:rFonts w:hint="eastAsia" w:asciiTheme="minorEastAsia" w:hAnsiTheme="minorEastAsia" w:eastAsiaTheme="minorEastAsia" w:cstheme="minorEastAsia"/>
          <w:spacing w:val="-5"/>
          <w:sz w:val="24"/>
          <w:szCs w:val="24"/>
          <w:lang w:val="en-US" w:eastAsia="zh-CN"/>
        </w:rPr>
        <w:t>工程</w:t>
      </w:r>
      <w:r>
        <w:rPr>
          <w:rFonts w:hint="eastAsia" w:asciiTheme="minorEastAsia" w:hAnsiTheme="minorEastAsia" w:eastAsiaTheme="minorEastAsia" w:cstheme="minorEastAsia"/>
          <w:spacing w:val="-5"/>
          <w:sz w:val="24"/>
          <w:szCs w:val="24"/>
        </w:rPr>
        <w:t>监理单位负责监督。施工单位在施工前应组织施工人员学习《中华人民共和国环境保护法》等环保法律、法规，做到施工人员知法、懂法、守法。</w:t>
      </w:r>
    </w:p>
    <w:p w14:paraId="567C78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lang w:val="en-US" w:eastAsia="zh-CN"/>
        </w:rPr>
        <w:t>3</w:t>
      </w: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rPr>
        <w:t>环境管理机构及工程监理人员应对施工活动进行全过程环境监督，通过严格检查确保施工中的每一道工序满足环保要求，使施工期环境保护措施得到全面落实。</w:t>
      </w:r>
    </w:p>
    <w:p w14:paraId="2169302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lang w:val="en-US" w:eastAsia="zh-CN"/>
        </w:rPr>
        <w:t>4</w:t>
      </w: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rPr>
        <w:t>施工参与各方要积极收集、整理、推广和实施工程建设中各项环境保护的先进经验和技术。</w:t>
      </w:r>
    </w:p>
    <w:p w14:paraId="4294123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lang w:val="en-US" w:eastAsia="zh-CN"/>
        </w:rPr>
        <w:t>5</w:t>
      </w:r>
      <w:r>
        <w:rPr>
          <w:rFonts w:hint="eastAsia" w:asciiTheme="minorEastAsia" w:hAnsiTheme="minorEastAsia" w:eastAsiaTheme="minorEastAsia" w:cstheme="minorEastAsia"/>
          <w:spacing w:val="-5"/>
          <w:sz w:val="24"/>
          <w:szCs w:val="24"/>
          <w:lang w:eastAsia="zh-CN"/>
        </w:rPr>
        <w:t>）</w:t>
      </w:r>
      <w:r>
        <w:rPr>
          <w:rFonts w:hint="eastAsia" w:asciiTheme="minorEastAsia" w:hAnsiTheme="minorEastAsia" w:eastAsiaTheme="minorEastAsia" w:cstheme="minorEastAsia"/>
          <w:spacing w:val="-5"/>
          <w:sz w:val="24"/>
          <w:szCs w:val="24"/>
        </w:rPr>
        <w:t>施工单位要做好施工中各种环境问题的收集、记录、建档和处理工作，并根据问题严重程度及时或定期向各有关部门汇报。</w:t>
      </w:r>
    </w:p>
    <w:p w14:paraId="6B577E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val="en-US" w:eastAsia="zh-CN"/>
        </w:rPr>
        <w:t>（6）</w:t>
      </w:r>
      <w:r>
        <w:rPr>
          <w:rFonts w:hint="eastAsia" w:asciiTheme="minorEastAsia" w:hAnsiTheme="minorEastAsia" w:eastAsiaTheme="minorEastAsia" w:cstheme="minorEastAsia"/>
          <w:spacing w:val="-5"/>
          <w:sz w:val="24"/>
          <w:szCs w:val="24"/>
        </w:rPr>
        <w:t>严格落实对线路所经湿地公园及生态红线的生态保护措施应开展线路工程环境监理。</w:t>
      </w:r>
    </w:p>
    <w:p w14:paraId="6E9A4454">
      <w:pPr>
        <w:numPr>
          <w:ilvl w:val="0"/>
          <w:numId w:val="0"/>
        </w:numPr>
        <w:spacing w:before="301" w:line="219" w:lineRule="auto"/>
        <w:outlineLvl w:val="3"/>
        <w:rPr>
          <w:rFonts w:ascii="宋体" w:hAnsi="宋体" w:eastAsia="宋体" w:cs="宋体"/>
          <w:sz w:val="24"/>
          <w:szCs w:val="24"/>
        </w:rPr>
      </w:pPr>
      <w:r>
        <w:rPr>
          <w:b/>
          <w:bCs/>
        </w:rPr>
        <w:fldChar w:fldCharType="begin"/>
      </w:r>
      <w:r>
        <w:rPr>
          <w:b/>
          <w:bCs/>
        </w:rPr>
        <w:instrText xml:space="preserve"> HYPERLINK "8.1.2.3"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8.1.2.3</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环境保护设施竣工验收</w:t>
      </w:r>
    </w:p>
    <w:p w14:paraId="1FC94B49">
      <w:pPr>
        <w:spacing w:before="183" w:line="360" w:lineRule="auto"/>
        <w:ind w:left="8" w:firstLine="480"/>
        <w:jc w:val="both"/>
        <w:rPr>
          <w:rFonts w:ascii="宋体" w:hAnsi="宋体" w:eastAsia="宋体" w:cs="宋体"/>
          <w:spacing w:val="-2"/>
          <w:sz w:val="24"/>
          <w:szCs w:val="24"/>
          <w:highlight w:val="none"/>
        </w:rPr>
      </w:pPr>
      <w:r>
        <w:rPr>
          <w:rFonts w:ascii="宋体" w:hAnsi="宋体" w:eastAsia="宋体" w:cs="宋体"/>
          <w:spacing w:val="-2"/>
          <w:sz w:val="24"/>
          <w:szCs w:val="24"/>
        </w:rPr>
        <w:t>根据《建设项目竣工环境保护验收暂行办法》公告的精神“建设单位是建设项目竣工环境保护验收的责任主体，应当按照本办法规定的程序和标准，组织对配套建设的环境保护设施进行验收，编制验收报告，公开相关信息，接受社会监督，确保建设项目需</w:t>
      </w:r>
      <w:r>
        <w:rPr>
          <w:rFonts w:ascii="宋体" w:hAnsi="宋体" w:eastAsia="宋体" w:cs="宋体"/>
          <w:spacing w:val="-7"/>
          <w:sz w:val="24"/>
          <w:szCs w:val="24"/>
        </w:rPr>
        <w:t>要配套建设的环境保护设施与主体工程同时投产或者使用</w:t>
      </w:r>
      <w:r>
        <w:rPr>
          <w:rFonts w:ascii="宋体" w:hAnsi="宋体" w:eastAsia="宋体" w:cs="宋体"/>
          <w:spacing w:val="-86"/>
          <w:sz w:val="24"/>
          <w:szCs w:val="24"/>
        </w:rPr>
        <w:t xml:space="preserve"> </w:t>
      </w:r>
      <w:r>
        <w:rPr>
          <w:rFonts w:ascii="宋体" w:hAnsi="宋体" w:eastAsia="宋体" w:cs="宋体"/>
          <w:spacing w:val="-7"/>
          <w:sz w:val="24"/>
          <w:szCs w:val="24"/>
        </w:rPr>
        <w:t>”。建设项目正式投产运行前，</w:t>
      </w:r>
      <w:r>
        <w:rPr>
          <w:rFonts w:ascii="宋体" w:hAnsi="宋体" w:eastAsia="宋体" w:cs="宋体"/>
          <w:spacing w:val="-2"/>
          <w:sz w:val="24"/>
          <w:szCs w:val="24"/>
        </w:rPr>
        <w:t>业主应及时开展环保设施竣工验收工作。本工程为生态类建设项目，污染工序主要集中</w:t>
      </w:r>
      <w:r>
        <w:rPr>
          <w:rFonts w:ascii="宋体" w:hAnsi="宋体" w:eastAsia="宋体" w:cs="宋体"/>
          <w:spacing w:val="16"/>
          <w:sz w:val="24"/>
          <w:szCs w:val="24"/>
        </w:rPr>
        <w:t xml:space="preserve"> </w:t>
      </w:r>
      <w:r>
        <w:rPr>
          <w:rFonts w:ascii="宋体" w:hAnsi="宋体" w:eastAsia="宋体" w:cs="宋体"/>
          <w:spacing w:val="-1"/>
          <w:sz w:val="24"/>
          <w:szCs w:val="24"/>
        </w:rPr>
        <w:t>在施工期，项目竣工后验收内容主要为施工主体工程区、临时占地等</w:t>
      </w:r>
      <w:r>
        <w:rPr>
          <w:rFonts w:ascii="宋体" w:hAnsi="宋体" w:eastAsia="宋体" w:cs="宋体"/>
          <w:spacing w:val="-2"/>
          <w:sz w:val="24"/>
          <w:szCs w:val="24"/>
        </w:rPr>
        <w:t>生态恢复措施。</w:t>
      </w:r>
      <w:r>
        <w:rPr>
          <w:rFonts w:ascii="宋体" w:hAnsi="宋体" w:eastAsia="宋体" w:cs="宋体"/>
          <w:spacing w:val="-2"/>
          <w:sz w:val="24"/>
          <w:szCs w:val="24"/>
          <w:highlight w:val="none"/>
        </w:rPr>
        <w:t>具体内容见表</w:t>
      </w:r>
      <w:r>
        <w:rPr>
          <w:rFonts w:ascii="宋体" w:hAnsi="宋体" w:eastAsia="宋体" w:cs="宋体"/>
          <w:spacing w:val="-49"/>
          <w:sz w:val="24"/>
          <w:szCs w:val="24"/>
          <w:highlight w:val="none"/>
        </w:rPr>
        <w:t xml:space="preserve"> </w:t>
      </w:r>
      <w:r>
        <w:rPr>
          <w:rFonts w:ascii="宋体" w:hAnsi="宋体" w:eastAsia="宋体" w:cs="宋体"/>
          <w:spacing w:val="-2"/>
          <w:sz w:val="24"/>
          <w:szCs w:val="24"/>
          <w:highlight w:val="none"/>
        </w:rPr>
        <w:t>8-2-5。</w:t>
      </w:r>
    </w:p>
    <w:p w14:paraId="397C5E96">
      <w:pPr>
        <w:keepNext w:val="0"/>
        <w:keepLines w:val="0"/>
        <w:pageBreakBefore w:val="0"/>
        <w:widowControl/>
        <w:kinsoku w:val="0"/>
        <w:wordWrap/>
        <w:overflowPunct/>
        <w:topLinePunct w:val="0"/>
        <w:autoSpaceDE w:val="0"/>
        <w:autoSpaceDN w:val="0"/>
        <w:bidi w:val="0"/>
        <w:adjustRightInd w:val="0"/>
        <w:snapToGrid w:val="0"/>
        <w:spacing w:before="183" w:line="360" w:lineRule="auto"/>
        <w:ind w:left="6" w:firstLine="0"/>
        <w:jc w:val="center"/>
        <w:textAlignment w:val="baseline"/>
        <w:rPr>
          <w:rFonts w:ascii="宋体" w:hAnsi="宋体" w:eastAsia="宋体" w:cs="宋体"/>
          <w:spacing w:val="-2"/>
          <w:sz w:val="24"/>
          <w:szCs w:val="24"/>
          <w:highlight w:val="yellow"/>
        </w:rPr>
      </w:pPr>
      <w:r>
        <w:rPr>
          <w:b/>
          <w:bCs/>
          <w:color w:val="000000" w:themeColor="text1"/>
          <w:szCs w:val="21"/>
          <w14:textFill>
            <w14:solidFill>
              <w14:schemeClr w14:val="tx1"/>
            </w14:solidFill>
          </w14:textFill>
        </w:rPr>
        <w:t>表</w:t>
      </w:r>
      <w:r>
        <w:rPr>
          <w:rFonts w:hint="eastAsia" w:eastAsia="宋体"/>
          <w:b/>
          <w:bCs/>
          <w:color w:val="000000" w:themeColor="text1"/>
          <w:szCs w:val="21"/>
          <w:lang w:val="en-US" w:eastAsia="zh-CN"/>
          <w14:textFill>
            <w14:solidFill>
              <w14:schemeClr w14:val="tx1"/>
            </w14:solidFill>
          </w14:textFill>
        </w:rPr>
        <w:t xml:space="preserve">8-2-5  </w:t>
      </w:r>
      <w:r>
        <w:rPr>
          <w:b/>
          <w:bCs/>
          <w:color w:val="000000" w:themeColor="text1"/>
          <w:szCs w:val="21"/>
          <w14:textFill>
            <w14:solidFill>
              <w14:schemeClr w14:val="tx1"/>
            </w14:solidFill>
          </w14:textFill>
        </w:rPr>
        <w:t xml:space="preserve">    项目三同时验收</w:t>
      </w:r>
      <w:r>
        <w:rPr>
          <w:rFonts w:hint="eastAsia" w:eastAsia="宋体"/>
          <w:b/>
          <w:bCs/>
          <w:color w:val="000000" w:themeColor="text1"/>
          <w:szCs w:val="21"/>
          <w:lang w:val="en-US" w:eastAsia="zh-CN"/>
          <w14:textFill>
            <w14:solidFill>
              <w14:schemeClr w14:val="tx1"/>
            </w14:solidFill>
          </w14:textFill>
        </w:rPr>
        <w:t>一览</w:t>
      </w:r>
      <w:r>
        <w:rPr>
          <w:rFonts w:hint="eastAsia"/>
          <w:b/>
          <w:bCs/>
          <w:color w:val="000000" w:themeColor="text1"/>
          <w:szCs w:val="21"/>
          <w:lang w:eastAsia="zh-CN"/>
          <w14:textFill>
            <w14:solidFill>
              <w14:schemeClr w14:val="tx1"/>
            </w14:solidFill>
          </w14:textFill>
        </w:rPr>
        <w:t>表</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720"/>
        <w:gridCol w:w="3543"/>
        <w:gridCol w:w="3161"/>
      </w:tblGrid>
      <w:tr w14:paraId="3725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noWrap w:val="0"/>
            <w:vAlign w:val="center"/>
          </w:tcPr>
          <w:p w14:paraId="79D50279">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时期</w:t>
            </w:r>
          </w:p>
        </w:tc>
        <w:tc>
          <w:tcPr>
            <w:tcW w:w="926" w:type="pct"/>
            <w:noWrap w:val="0"/>
            <w:vAlign w:val="center"/>
          </w:tcPr>
          <w:p w14:paraId="3881F574">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污染源</w:t>
            </w:r>
          </w:p>
        </w:tc>
        <w:tc>
          <w:tcPr>
            <w:tcW w:w="1908" w:type="pct"/>
            <w:noWrap w:val="0"/>
            <w:vAlign w:val="center"/>
          </w:tcPr>
          <w:p w14:paraId="5B96DA79">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环保措施</w:t>
            </w:r>
          </w:p>
        </w:tc>
        <w:tc>
          <w:tcPr>
            <w:tcW w:w="1702" w:type="pct"/>
            <w:noWrap w:val="0"/>
            <w:vAlign w:val="center"/>
          </w:tcPr>
          <w:p w14:paraId="0E94BA03">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排放情况</w:t>
            </w:r>
          </w:p>
        </w:tc>
      </w:tr>
      <w:tr w14:paraId="3A97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62" w:type="pct"/>
            <w:vMerge w:val="restart"/>
            <w:noWrap w:val="0"/>
            <w:vAlign w:val="center"/>
          </w:tcPr>
          <w:p w14:paraId="7C4641FE">
            <w:pPr>
              <w:overflowPunct w:val="0"/>
              <w:snapToGrid w:val="0"/>
              <w:spacing w:line="240" w:lineRule="atLeast"/>
              <w:jc w:val="center"/>
              <w:rPr>
                <w:rFonts w:hint="eastAsia" w:eastAsiaTheme="minor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施工期</w:t>
            </w:r>
          </w:p>
        </w:tc>
        <w:tc>
          <w:tcPr>
            <w:tcW w:w="926" w:type="pct"/>
            <w:noWrap w:val="0"/>
            <w:vAlign w:val="center"/>
          </w:tcPr>
          <w:p w14:paraId="237D153E">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扬尘</w:t>
            </w:r>
          </w:p>
        </w:tc>
        <w:tc>
          <w:tcPr>
            <w:tcW w:w="1908" w:type="pct"/>
            <w:noWrap w:val="0"/>
            <w:vAlign w:val="center"/>
          </w:tcPr>
          <w:p w14:paraId="150AA36A">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定时洒水、车辆运输时覆盖帆布等</w:t>
            </w:r>
          </w:p>
        </w:tc>
        <w:tc>
          <w:tcPr>
            <w:tcW w:w="1702" w:type="pct"/>
            <w:noWrap w:val="0"/>
            <w:vAlign w:val="center"/>
          </w:tcPr>
          <w:p w14:paraId="53C34AA5">
            <w:pP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《大气污染物综合排放标准》(GB16297－1996) (1mg/m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w:t>
            </w:r>
          </w:p>
        </w:tc>
      </w:tr>
      <w:tr w14:paraId="68F5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vMerge w:val="continue"/>
            <w:noWrap w:val="0"/>
            <w:vAlign w:val="center"/>
          </w:tcPr>
          <w:p w14:paraId="26000BF0">
            <w:pPr>
              <w:overflowPunct w:val="0"/>
              <w:snapToGrid w:val="0"/>
              <w:spacing w:line="240" w:lineRule="atLeast"/>
              <w:jc w:val="center"/>
              <w:rPr>
                <w:bCs/>
                <w:color w:val="000000" w:themeColor="text1"/>
                <w:szCs w:val="21"/>
                <w14:textFill>
                  <w14:solidFill>
                    <w14:schemeClr w14:val="tx1"/>
                  </w14:solidFill>
                </w14:textFill>
              </w:rPr>
            </w:pPr>
          </w:p>
        </w:tc>
        <w:tc>
          <w:tcPr>
            <w:tcW w:w="926" w:type="pct"/>
            <w:noWrap w:val="0"/>
            <w:vAlign w:val="center"/>
          </w:tcPr>
          <w:p w14:paraId="7A530E32">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1908" w:type="pct"/>
            <w:noWrap w:val="0"/>
            <w:vAlign w:val="center"/>
          </w:tcPr>
          <w:p w14:paraId="69B5266F">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合理安排施工时间，采取降噪措施</w:t>
            </w:r>
          </w:p>
        </w:tc>
        <w:tc>
          <w:tcPr>
            <w:tcW w:w="1702" w:type="pct"/>
            <w:noWrap w:val="0"/>
            <w:vAlign w:val="center"/>
          </w:tcPr>
          <w:p w14:paraId="762E4883">
            <w:pPr>
              <w:overflowPunct w:val="0"/>
              <w:snapToGrid w:val="0"/>
              <w:spacing w:line="240" w:lineRule="atLeas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《建筑施工场界噪声排放限值》</w:t>
            </w:r>
          </w:p>
        </w:tc>
      </w:tr>
      <w:tr w14:paraId="48A3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vMerge w:val="continue"/>
            <w:noWrap w:val="0"/>
            <w:vAlign w:val="center"/>
          </w:tcPr>
          <w:p w14:paraId="0FC74D83">
            <w:pPr>
              <w:overflowPunct w:val="0"/>
              <w:snapToGrid w:val="0"/>
              <w:spacing w:line="240" w:lineRule="atLeast"/>
              <w:jc w:val="center"/>
              <w:rPr>
                <w:bCs/>
                <w:color w:val="000000" w:themeColor="text1"/>
                <w:szCs w:val="21"/>
                <w14:textFill>
                  <w14:solidFill>
                    <w14:schemeClr w14:val="tx1"/>
                  </w14:solidFill>
                </w14:textFill>
              </w:rPr>
            </w:pPr>
          </w:p>
        </w:tc>
        <w:tc>
          <w:tcPr>
            <w:tcW w:w="926" w:type="pct"/>
            <w:noWrap w:val="0"/>
            <w:vAlign w:val="center"/>
          </w:tcPr>
          <w:p w14:paraId="6F541ECF">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固废、生活垃圾</w:t>
            </w:r>
          </w:p>
        </w:tc>
        <w:tc>
          <w:tcPr>
            <w:tcW w:w="1908" w:type="pct"/>
            <w:noWrap w:val="0"/>
            <w:vAlign w:val="center"/>
          </w:tcPr>
          <w:p w14:paraId="3E046705">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废土渣全部用于周边低洼处填平，生活垃圾运至生活垃圾填埋场填埋处理</w:t>
            </w:r>
          </w:p>
        </w:tc>
        <w:tc>
          <w:tcPr>
            <w:tcW w:w="1702" w:type="pct"/>
            <w:noWrap w:val="0"/>
            <w:vAlign w:val="center"/>
          </w:tcPr>
          <w:p w14:paraId="476CEC08">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不产生二次污染</w:t>
            </w:r>
          </w:p>
        </w:tc>
      </w:tr>
      <w:tr w14:paraId="5EB6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vMerge w:val="continue"/>
            <w:noWrap w:val="0"/>
            <w:vAlign w:val="center"/>
          </w:tcPr>
          <w:p w14:paraId="08D7D7B5">
            <w:pPr>
              <w:overflowPunct w:val="0"/>
              <w:snapToGrid w:val="0"/>
              <w:spacing w:line="240" w:lineRule="atLeast"/>
              <w:jc w:val="center"/>
              <w:rPr>
                <w:bCs/>
                <w:color w:val="000000" w:themeColor="text1"/>
                <w:szCs w:val="21"/>
                <w14:textFill>
                  <w14:solidFill>
                    <w14:schemeClr w14:val="tx1"/>
                  </w14:solidFill>
                </w14:textFill>
              </w:rPr>
            </w:pPr>
          </w:p>
        </w:tc>
        <w:tc>
          <w:tcPr>
            <w:tcW w:w="926" w:type="pct"/>
            <w:noWrap w:val="0"/>
            <w:vAlign w:val="center"/>
          </w:tcPr>
          <w:p w14:paraId="293BC4D6">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施工废水</w:t>
            </w:r>
          </w:p>
        </w:tc>
        <w:tc>
          <w:tcPr>
            <w:tcW w:w="1908" w:type="pct"/>
            <w:noWrap w:val="0"/>
            <w:vAlign w:val="center"/>
          </w:tcPr>
          <w:p w14:paraId="423F38FD">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修建沉淀池，施工废水集中收集，经过沉淀后用于洒水降尘使用。基坑废水投加絮凝剂沉淀</w:t>
            </w:r>
          </w:p>
        </w:tc>
        <w:tc>
          <w:tcPr>
            <w:tcW w:w="1702" w:type="pct"/>
            <w:noWrap w:val="0"/>
            <w:vAlign w:val="center"/>
          </w:tcPr>
          <w:p w14:paraId="38E85986">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洒水降尘</w:t>
            </w:r>
          </w:p>
        </w:tc>
      </w:tr>
      <w:tr w14:paraId="7397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vMerge w:val="continue"/>
            <w:noWrap w:val="0"/>
            <w:vAlign w:val="center"/>
          </w:tcPr>
          <w:p w14:paraId="66FDBB28">
            <w:pPr>
              <w:overflowPunct w:val="0"/>
              <w:snapToGrid w:val="0"/>
              <w:spacing w:line="240" w:lineRule="atLeast"/>
              <w:jc w:val="center"/>
              <w:rPr>
                <w:bCs/>
                <w:color w:val="000000" w:themeColor="text1"/>
                <w:szCs w:val="21"/>
                <w14:textFill>
                  <w14:solidFill>
                    <w14:schemeClr w14:val="tx1"/>
                  </w14:solidFill>
                </w14:textFill>
              </w:rPr>
            </w:pPr>
          </w:p>
        </w:tc>
        <w:tc>
          <w:tcPr>
            <w:tcW w:w="926" w:type="pct"/>
            <w:noWrap w:val="0"/>
            <w:vAlign w:val="center"/>
          </w:tcPr>
          <w:p w14:paraId="35FF6C00">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临时占地</w:t>
            </w:r>
          </w:p>
        </w:tc>
        <w:tc>
          <w:tcPr>
            <w:tcW w:w="1908" w:type="pct"/>
            <w:noWrap w:val="0"/>
            <w:vAlign w:val="center"/>
          </w:tcPr>
          <w:p w14:paraId="7C2D2C11">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占用荒地</w:t>
            </w:r>
            <w:r>
              <w:rPr>
                <w:rFonts w:hint="eastAsia"/>
                <w:bCs/>
                <w:color w:val="000000" w:themeColor="text1"/>
                <w:szCs w:val="21"/>
                <w:lang w:val="en-US" w:eastAsia="zh-CN"/>
                <w14:textFill>
                  <w14:solidFill>
                    <w14:schemeClr w14:val="tx1"/>
                  </w14:solidFill>
                </w14:textFill>
              </w:rPr>
              <w:t>和水利设施用地</w:t>
            </w:r>
            <w:r>
              <w:rPr>
                <w:bCs/>
                <w:color w:val="000000" w:themeColor="text1"/>
                <w:szCs w:val="21"/>
                <w14:textFill>
                  <w14:solidFill>
                    <w14:schemeClr w14:val="tx1"/>
                  </w14:solidFill>
                </w14:textFill>
              </w:rPr>
              <w:t>，施工结束后要及时</w:t>
            </w:r>
            <w:r>
              <w:rPr>
                <w:rFonts w:hint="eastAsia"/>
                <w:bCs/>
                <w:color w:val="000000" w:themeColor="text1"/>
                <w:szCs w:val="21"/>
                <w:lang w:eastAsia="zh-CN"/>
                <w14:textFill>
                  <w14:solidFill>
                    <w14:schemeClr w14:val="tx1"/>
                  </w14:solidFill>
                </w14:textFill>
              </w:rPr>
              <w:t>全部</w:t>
            </w:r>
            <w:r>
              <w:rPr>
                <w:bCs/>
                <w:color w:val="000000" w:themeColor="text1"/>
                <w:szCs w:val="21"/>
                <w14:textFill>
                  <w14:solidFill>
                    <w14:schemeClr w14:val="tx1"/>
                  </w14:solidFill>
                </w14:textFill>
              </w:rPr>
              <w:t>拆除并清除临时施工建筑物，对施工场地进行平整和覆土，绿化等措施</w:t>
            </w:r>
          </w:p>
        </w:tc>
        <w:tc>
          <w:tcPr>
            <w:tcW w:w="1702" w:type="pct"/>
            <w:noWrap w:val="0"/>
            <w:vAlign w:val="center"/>
          </w:tcPr>
          <w:p w14:paraId="13D695EE">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生态恢复</w:t>
            </w:r>
          </w:p>
        </w:tc>
      </w:tr>
      <w:tr w14:paraId="37B1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vMerge w:val="restart"/>
            <w:noWrap w:val="0"/>
            <w:vAlign w:val="center"/>
          </w:tcPr>
          <w:p w14:paraId="4232BAB6">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w:t>
            </w:r>
          </w:p>
          <w:p w14:paraId="33AACED8">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营</w:t>
            </w:r>
          </w:p>
          <w:p w14:paraId="75752488">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w:t>
            </w:r>
          </w:p>
        </w:tc>
        <w:tc>
          <w:tcPr>
            <w:tcW w:w="926" w:type="pct"/>
            <w:noWrap w:val="0"/>
            <w:vAlign w:val="center"/>
          </w:tcPr>
          <w:p w14:paraId="0C2BC7BC">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渠中垃圾淤泥</w:t>
            </w:r>
          </w:p>
        </w:tc>
        <w:tc>
          <w:tcPr>
            <w:tcW w:w="1908" w:type="pct"/>
            <w:noWrap w:val="0"/>
            <w:vAlign w:val="center"/>
          </w:tcPr>
          <w:p w14:paraId="0B4CCBAA">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定期清理</w:t>
            </w:r>
          </w:p>
        </w:tc>
        <w:tc>
          <w:tcPr>
            <w:tcW w:w="1702" w:type="pct"/>
            <w:noWrap w:val="0"/>
            <w:vAlign w:val="center"/>
          </w:tcPr>
          <w:p w14:paraId="787BAD0D">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垃圾统一收集，淤泥</w:t>
            </w:r>
            <w:r>
              <w:rPr>
                <w:color w:val="000000" w:themeColor="text1"/>
                <w:szCs w:val="21"/>
                <w14:textFill>
                  <w14:solidFill>
                    <w14:schemeClr w14:val="tx1"/>
                  </w14:solidFill>
                </w14:textFill>
              </w:rPr>
              <w:t>定期清理至渠道两侧洼地，经干化处理后融入农田。</w:t>
            </w:r>
          </w:p>
        </w:tc>
      </w:tr>
      <w:tr w14:paraId="7B7F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2" w:type="pct"/>
            <w:vMerge w:val="continue"/>
            <w:noWrap w:val="0"/>
            <w:vAlign w:val="center"/>
          </w:tcPr>
          <w:p w14:paraId="14188C37">
            <w:pPr>
              <w:overflowPunct w:val="0"/>
              <w:snapToGrid w:val="0"/>
              <w:spacing w:line="240" w:lineRule="atLeast"/>
              <w:jc w:val="center"/>
              <w:rPr>
                <w:bCs/>
                <w:color w:val="000000" w:themeColor="text1"/>
                <w:szCs w:val="21"/>
                <w14:textFill>
                  <w14:solidFill>
                    <w14:schemeClr w14:val="tx1"/>
                  </w14:solidFill>
                </w14:textFill>
              </w:rPr>
            </w:pPr>
          </w:p>
        </w:tc>
        <w:tc>
          <w:tcPr>
            <w:tcW w:w="926" w:type="pct"/>
            <w:noWrap w:val="0"/>
            <w:vAlign w:val="center"/>
          </w:tcPr>
          <w:p w14:paraId="5B58EA6B">
            <w:pPr>
              <w:widowControl/>
              <w:jc w:val="left"/>
              <w:rPr>
                <w:bCs/>
                <w:color w:val="000000" w:themeColor="text1"/>
                <w14:textFill>
                  <w14:solidFill>
                    <w14:schemeClr w14:val="tx1"/>
                  </w14:solidFill>
                </w14:textFill>
              </w:rPr>
            </w:pPr>
            <w:r>
              <w:rPr>
                <w:bCs/>
                <w:color w:val="000000" w:themeColor="text1"/>
                <w:szCs w:val="21"/>
                <w:lang w:bidi="ar"/>
                <w14:textFill>
                  <w14:solidFill>
                    <w14:schemeClr w14:val="tx1"/>
                  </w14:solidFill>
                </w14:textFill>
              </w:rPr>
              <w:t>环境管理制度</w:t>
            </w:r>
            <w:r>
              <w:rPr>
                <w:bCs/>
                <w:color w:val="000000" w:themeColor="text1"/>
                <w:sz w:val="24"/>
                <w:lang w:bidi="ar"/>
                <w14:textFill>
                  <w14:solidFill>
                    <w14:schemeClr w14:val="tx1"/>
                  </w14:solidFill>
                </w14:textFill>
              </w:rPr>
              <w:t xml:space="preserve"> </w:t>
            </w:r>
          </w:p>
          <w:p w14:paraId="3E77F708">
            <w:pPr>
              <w:overflowPunct w:val="0"/>
              <w:snapToGrid w:val="0"/>
              <w:spacing w:line="240" w:lineRule="atLeast"/>
              <w:jc w:val="center"/>
              <w:rPr>
                <w:bCs/>
                <w:color w:val="000000" w:themeColor="text1"/>
                <w:szCs w:val="21"/>
                <w14:textFill>
                  <w14:solidFill>
                    <w14:schemeClr w14:val="tx1"/>
                  </w14:solidFill>
                </w14:textFill>
              </w:rPr>
            </w:pPr>
          </w:p>
        </w:tc>
        <w:tc>
          <w:tcPr>
            <w:tcW w:w="1908" w:type="pct"/>
            <w:noWrap w:val="0"/>
            <w:vAlign w:val="center"/>
          </w:tcPr>
          <w:p w14:paraId="726D9013">
            <w:pPr>
              <w:widowControl/>
              <w:jc w:val="left"/>
              <w:rPr>
                <w:bCs/>
                <w:color w:val="000000" w:themeColor="text1"/>
                <w:szCs w:val="21"/>
                <w14:textFill>
                  <w14:solidFill>
                    <w14:schemeClr w14:val="tx1"/>
                  </w14:solidFill>
                </w14:textFill>
              </w:rPr>
            </w:pPr>
            <w:r>
              <w:rPr>
                <w:bCs/>
                <w:snapToGrid w:val="0"/>
                <w:color w:val="000000" w:themeColor="text1"/>
                <w:szCs w:val="21"/>
                <w:lang w:bidi="ar"/>
                <w14:textFill>
                  <w14:solidFill>
                    <w14:schemeClr w14:val="tx1"/>
                  </w14:solidFill>
                </w14:textFill>
              </w:rPr>
              <w:t>环境管理制度是否建立并完善，环保机构及人员是否设置到位</w:t>
            </w:r>
            <w:r>
              <w:rPr>
                <w:bCs/>
                <w:color w:val="000000" w:themeColor="text1"/>
                <w:sz w:val="24"/>
                <w:lang w:bidi="ar"/>
                <w14:textFill>
                  <w14:solidFill>
                    <w14:schemeClr w14:val="tx1"/>
                  </w14:solidFill>
                </w14:textFill>
              </w:rPr>
              <w:t xml:space="preserve"> </w:t>
            </w:r>
          </w:p>
        </w:tc>
        <w:tc>
          <w:tcPr>
            <w:tcW w:w="1702" w:type="pct"/>
            <w:noWrap w:val="0"/>
            <w:vAlign w:val="center"/>
          </w:tcPr>
          <w:p w14:paraId="2B1E03DD">
            <w:pPr>
              <w:overflowPunct w:val="0"/>
              <w:snapToGrid w:val="0"/>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bl>
    <w:p w14:paraId="0D230B14">
      <w:pPr>
        <w:spacing w:before="180" w:line="219" w:lineRule="auto"/>
        <w:ind w:left="10"/>
        <w:outlineLvl w:val="3"/>
        <w:rPr>
          <w:rFonts w:ascii="宋体" w:hAnsi="宋体" w:eastAsia="宋体" w:cs="宋体"/>
          <w:b/>
          <w:bCs/>
          <w:sz w:val="24"/>
          <w:szCs w:val="24"/>
        </w:rPr>
      </w:pPr>
      <w:r>
        <w:rPr>
          <w:b/>
          <w:bCs/>
        </w:rPr>
        <w:fldChar w:fldCharType="begin"/>
      </w:r>
      <w:r>
        <w:rPr>
          <w:b/>
          <w:bCs/>
        </w:rPr>
        <w:instrText xml:space="preserve"> HYPERLINK "8.1.2.4"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8.1.2.4</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运营期环境管理</w:t>
      </w:r>
    </w:p>
    <w:p w14:paraId="2C2E87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ascii="宋体" w:hAnsi="宋体" w:eastAsia="宋体" w:cs="宋体"/>
          <w:spacing w:val="-2"/>
          <w:sz w:val="24"/>
          <w:szCs w:val="24"/>
        </w:rPr>
        <w:t>运行主管单位应设环境管理部门，配备相应专业的管理人员。环保管理人员应在各自的岗位责任制中明确所负的环保责任。监督国家法规、条例的贯彻执行情况，制订和贯彻环保管理制度，监控建设项目主要污染源，对各部门、操作岗位进行环境保护监督和考核。</w:t>
      </w:r>
    </w:p>
    <w:p w14:paraId="153DB69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ascii="宋体" w:hAnsi="宋体" w:eastAsia="宋体" w:cs="宋体"/>
          <w:spacing w:val="-2"/>
          <w:sz w:val="24"/>
          <w:szCs w:val="24"/>
        </w:rPr>
        <w:t>环境管理的职能为：</w:t>
      </w:r>
    </w:p>
    <w:p w14:paraId="553C0BE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ascii="宋体" w:hAnsi="宋体" w:eastAsia="宋体" w:cs="宋体"/>
          <w:spacing w:val="-2"/>
          <w:sz w:val="24"/>
          <w:szCs w:val="24"/>
        </w:rPr>
        <w:t>制定和实施各项环境管理计划。</w:t>
      </w:r>
    </w:p>
    <w:p w14:paraId="6AFBFC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lang w:eastAsia="zh-CN"/>
        </w:rPr>
        <w:t>）</w:t>
      </w:r>
      <w:r>
        <w:rPr>
          <w:rFonts w:ascii="宋体" w:hAnsi="宋体" w:eastAsia="宋体" w:cs="宋体"/>
          <w:spacing w:val="-2"/>
          <w:sz w:val="24"/>
          <w:szCs w:val="24"/>
        </w:rPr>
        <w:t>建立环境监测、生态环境现状数据档案，并定期向当地环境保护行政主管部门申报。</w:t>
      </w:r>
    </w:p>
    <w:p w14:paraId="78A619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ascii="宋体" w:hAnsi="宋体" w:eastAsia="宋体" w:cs="宋体"/>
          <w:spacing w:val="-2"/>
          <w:sz w:val="24"/>
          <w:szCs w:val="24"/>
        </w:rPr>
        <w:t>掌握项目所在地周围的环境特征和重点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环保主管部门申报。</w:t>
      </w:r>
    </w:p>
    <w:p w14:paraId="138B1A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hint="eastAsia" w:ascii="宋体" w:hAnsi="宋体" w:eastAsia="宋体" w:cs="宋体"/>
          <w:spacing w:val="-2"/>
          <w:sz w:val="24"/>
          <w:szCs w:val="24"/>
          <w:lang w:val="en-US" w:eastAsia="zh-CN"/>
        </w:rPr>
        <w:t>（4）</w:t>
      </w:r>
      <w:r>
        <w:rPr>
          <w:rFonts w:ascii="宋体" w:hAnsi="宋体" w:eastAsia="宋体" w:cs="宋体"/>
          <w:spacing w:val="-2"/>
          <w:sz w:val="24"/>
          <w:szCs w:val="24"/>
        </w:rPr>
        <w:t>检查治理设施运行情况，及时处理出现的问题，保证治理设施的正常运行。</w:t>
      </w:r>
    </w:p>
    <w:p w14:paraId="496443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5</w:t>
      </w:r>
      <w:r>
        <w:rPr>
          <w:rFonts w:hint="eastAsia" w:ascii="宋体" w:hAnsi="宋体" w:eastAsia="宋体" w:cs="宋体"/>
          <w:spacing w:val="-2"/>
          <w:sz w:val="24"/>
          <w:szCs w:val="24"/>
          <w:lang w:eastAsia="zh-CN"/>
        </w:rPr>
        <w:t>）</w:t>
      </w:r>
      <w:r>
        <w:rPr>
          <w:rFonts w:ascii="宋体" w:hAnsi="宋体" w:eastAsia="宋体" w:cs="宋体"/>
          <w:spacing w:val="-2"/>
          <w:sz w:val="24"/>
          <w:szCs w:val="24"/>
        </w:rPr>
        <w:t>不定期地巡查工程各段，特别是各环境保护对象，保护生态环境不被破坏，保证保护生态与工程运行相协调。</w:t>
      </w:r>
    </w:p>
    <w:p w14:paraId="2F486E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pacing w:val="-2"/>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6</w:t>
      </w:r>
      <w:r>
        <w:rPr>
          <w:rFonts w:hint="eastAsia" w:ascii="宋体" w:hAnsi="宋体" w:eastAsia="宋体" w:cs="宋体"/>
          <w:spacing w:val="-2"/>
          <w:sz w:val="24"/>
          <w:szCs w:val="24"/>
          <w:lang w:eastAsia="zh-CN"/>
        </w:rPr>
        <w:t>）</w:t>
      </w:r>
      <w:r>
        <w:rPr>
          <w:rFonts w:ascii="宋体" w:hAnsi="宋体" w:eastAsia="宋体" w:cs="宋体"/>
          <w:spacing w:val="-2"/>
          <w:sz w:val="24"/>
          <w:szCs w:val="24"/>
        </w:rPr>
        <w:t>协调配合上级生态环境主管部门所进行的环境调查，生态调查等活动。</w:t>
      </w:r>
    </w:p>
    <w:p w14:paraId="7CB4A257">
      <w:pPr>
        <w:spacing w:line="240" w:lineRule="auto"/>
        <w:ind w:left="0" w:right="0" w:firstLine="0" w:firstLineChars="0"/>
        <w:jc w:val="left"/>
        <w:rPr>
          <w:rFonts w:ascii="宋体" w:hAnsi="宋体" w:eastAsia="宋体" w:cs="宋体"/>
          <w:spacing w:val="-2"/>
          <w:sz w:val="24"/>
          <w:szCs w:val="24"/>
        </w:rPr>
      </w:pPr>
    </w:p>
    <w:p w14:paraId="5870AE62">
      <w:pPr>
        <w:spacing w:before="92" w:line="220" w:lineRule="auto"/>
        <w:ind w:left="12"/>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8.1.3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环境管理计划</w:t>
      </w:r>
    </w:p>
    <w:p w14:paraId="639197BC">
      <w:pPr>
        <w:spacing w:before="205" w:line="219" w:lineRule="auto"/>
        <w:ind w:left="490"/>
        <w:rPr>
          <w:rFonts w:ascii="宋体" w:hAnsi="宋体" w:eastAsia="宋体" w:cs="宋体"/>
          <w:sz w:val="24"/>
          <w:szCs w:val="24"/>
        </w:rPr>
      </w:pPr>
      <w:r>
        <w:rPr>
          <w:rFonts w:ascii="宋体" w:hAnsi="宋体" w:eastAsia="宋体" w:cs="宋体"/>
          <w:spacing w:val="-2"/>
          <w:sz w:val="24"/>
          <w:szCs w:val="24"/>
        </w:rPr>
        <w:t>本工程环境管理计划见表</w:t>
      </w:r>
      <w:r>
        <w:rPr>
          <w:rFonts w:ascii="宋体" w:hAnsi="宋体" w:eastAsia="宋体" w:cs="宋体"/>
          <w:spacing w:val="-38"/>
          <w:sz w:val="24"/>
          <w:szCs w:val="24"/>
        </w:rPr>
        <w:t xml:space="preserve"> </w:t>
      </w:r>
      <w:r>
        <w:rPr>
          <w:rFonts w:ascii="宋体" w:hAnsi="宋体" w:eastAsia="宋体" w:cs="宋体"/>
          <w:spacing w:val="-2"/>
          <w:sz w:val="24"/>
          <w:szCs w:val="24"/>
        </w:rPr>
        <w:t>8-1-1。</w:t>
      </w:r>
    </w:p>
    <w:p w14:paraId="1103F60F">
      <w:pPr>
        <w:spacing w:before="184" w:line="212" w:lineRule="auto"/>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8-1-1</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项目环境管</w:t>
      </w:r>
      <w:r>
        <w:rPr>
          <w:rFonts w:ascii="宋体" w:hAnsi="宋体" w:eastAsia="宋体" w:cs="宋体"/>
          <w:spacing w:val="-1"/>
          <w:sz w:val="24"/>
          <w:szCs w:val="24"/>
          <w14:textOutline w14:w="4358" w14:cap="sq" w14:cmpd="sng">
            <w14:solidFill>
              <w14:srgbClr w14:val="000000"/>
            </w14:solidFill>
            <w14:prstDash w14:val="solid"/>
            <w14:bevel/>
          </w14:textOutline>
        </w:rPr>
        <w:t>理计划</w:t>
      </w:r>
    </w:p>
    <w:tbl>
      <w:tblPr>
        <w:tblStyle w:val="14"/>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40"/>
        <w:gridCol w:w="1236"/>
        <w:gridCol w:w="6043"/>
        <w:gridCol w:w="1248"/>
        <w:gridCol w:w="2"/>
      </w:tblGrid>
      <w:tr w14:paraId="28A23C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 w:type="pct"/>
          <w:trHeight w:val="347" w:hRule="atLeast"/>
        </w:trPr>
        <w:tc>
          <w:tcPr>
            <w:tcW w:w="979" w:type="pct"/>
            <w:gridSpan w:val="2"/>
            <w:tcBorders>
              <w:tl2br w:val="nil"/>
              <w:tr2bl w:val="nil"/>
            </w:tcBorders>
            <w:vAlign w:val="top"/>
          </w:tcPr>
          <w:p w14:paraId="07016064">
            <w:pPr>
              <w:pStyle w:val="15"/>
              <w:spacing w:before="91" w:line="227" w:lineRule="auto"/>
              <w:ind w:left="643"/>
            </w:pPr>
            <w:r>
              <w:rPr>
                <w:spacing w:val="4"/>
                <w14:textOutline w14:w="3795" w14:cap="sq" w14:cmpd="sng">
                  <w14:solidFill>
                    <w14:srgbClr w14:val="000000"/>
                  </w14:solidFill>
                  <w14:prstDash w14:val="solid"/>
                  <w14:bevel/>
                </w14:textOutline>
              </w:rPr>
              <w:t>项目</w:t>
            </w:r>
          </w:p>
        </w:tc>
        <w:tc>
          <w:tcPr>
            <w:tcW w:w="3330" w:type="pct"/>
            <w:tcBorders>
              <w:tl2br w:val="nil"/>
              <w:tr2bl w:val="nil"/>
            </w:tcBorders>
            <w:vAlign w:val="top"/>
          </w:tcPr>
          <w:p w14:paraId="5BEBC114">
            <w:pPr>
              <w:pStyle w:val="15"/>
              <w:spacing w:before="91" w:line="227" w:lineRule="auto"/>
              <w:ind w:left="2193"/>
            </w:pPr>
            <w:r>
              <w:rPr>
                <w:spacing w:val="-1"/>
                <w14:textOutline w14:w="3795" w14:cap="sq" w14:cmpd="sng">
                  <w14:solidFill>
                    <w14:srgbClr w14:val="000000"/>
                  </w14:solidFill>
                  <w14:prstDash w14:val="solid"/>
                  <w14:bevel/>
                </w14:textOutline>
              </w:rPr>
              <w:t>管</w:t>
            </w:r>
            <w:r>
              <w:rPr>
                <w:spacing w:val="10"/>
              </w:rPr>
              <w:t xml:space="preserve">  </w:t>
            </w:r>
            <w:r>
              <w:rPr>
                <w:spacing w:val="-1"/>
                <w14:textOutline w14:w="3795" w14:cap="sq" w14:cmpd="sng">
                  <w14:solidFill>
                    <w14:srgbClr w14:val="000000"/>
                  </w14:solidFill>
                  <w14:prstDash w14:val="solid"/>
                  <w14:bevel/>
                </w14:textOutline>
              </w:rPr>
              <w:t>理</w:t>
            </w:r>
            <w:r>
              <w:rPr>
                <w:spacing w:val="11"/>
              </w:rPr>
              <w:t xml:space="preserve">  </w:t>
            </w:r>
            <w:r>
              <w:rPr>
                <w:spacing w:val="-1"/>
                <w14:textOutline w14:w="3795" w14:cap="sq" w14:cmpd="sng">
                  <w14:solidFill>
                    <w14:srgbClr w14:val="000000"/>
                  </w14:solidFill>
                  <w14:prstDash w14:val="solid"/>
                  <w14:bevel/>
                </w14:textOutline>
              </w:rPr>
              <w:t>措</w:t>
            </w:r>
            <w:r>
              <w:rPr>
                <w:spacing w:val="9"/>
              </w:rPr>
              <w:t xml:space="preserve">  </w:t>
            </w:r>
            <w:r>
              <w:rPr>
                <w:spacing w:val="-1"/>
                <w14:textOutline w14:w="3795" w14:cap="sq" w14:cmpd="sng">
                  <w14:solidFill>
                    <w14:srgbClr w14:val="000000"/>
                  </w14:solidFill>
                  <w14:prstDash w14:val="solid"/>
                  <w14:bevel/>
                </w14:textOutline>
              </w:rPr>
              <w:t>施</w:t>
            </w:r>
          </w:p>
        </w:tc>
        <w:tc>
          <w:tcPr>
            <w:tcW w:w="688" w:type="pct"/>
            <w:tcBorders>
              <w:tl2br w:val="nil"/>
              <w:tr2bl w:val="nil"/>
            </w:tcBorders>
            <w:vAlign w:val="top"/>
          </w:tcPr>
          <w:p w14:paraId="7E898B01">
            <w:pPr>
              <w:pStyle w:val="15"/>
              <w:spacing w:before="90" w:line="227" w:lineRule="auto"/>
              <w:ind w:left="198"/>
            </w:pPr>
            <w:r>
              <w:rPr>
                <w:spacing w:val="7"/>
                <w14:textOutline w14:w="3795" w14:cap="sq" w14:cmpd="sng">
                  <w14:solidFill>
                    <w14:srgbClr w14:val="000000"/>
                  </w14:solidFill>
                  <w14:prstDash w14:val="solid"/>
                  <w14:bevel/>
                </w14:textOutline>
              </w:rPr>
              <w:t>实施机构</w:t>
            </w:r>
          </w:p>
        </w:tc>
      </w:tr>
      <w:tr w14:paraId="56FD4F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98" w:type="pct"/>
            <w:gridSpan w:val="5"/>
            <w:tcBorders>
              <w:tl2br w:val="nil"/>
              <w:tr2bl w:val="nil"/>
            </w:tcBorders>
            <w:vAlign w:val="top"/>
          </w:tcPr>
          <w:p w14:paraId="3C4F94E2">
            <w:pPr>
              <w:pStyle w:val="15"/>
              <w:spacing w:before="89" w:line="226" w:lineRule="auto"/>
              <w:ind w:left="3852"/>
            </w:pPr>
            <w:r>
              <w:rPr>
                <w:spacing w:val="7"/>
              </w:rPr>
              <w:t>一、施工期</w:t>
            </w:r>
          </w:p>
        </w:tc>
      </w:tr>
      <w:tr w14:paraId="7FB8CF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298" w:type="pct"/>
            <w:tcBorders>
              <w:tl2br w:val="nil"/>
              <w:tr2bl w:val="nil"/>
            </w:tcBorders>
            <w:vAlign w:val="top"/>
          </w:tcPr>
          <w:p w14:paraId="081A7FAA">
            <w:pPr>
              <w:spacing w:line="261" w:lineRule="auto"/>
              <w:rPr>
                <w:rFonts w:ascii="Arial"/>
                <w:sz w:val="21"/>
              </w:rPr>
            </w:pPr>
          </w:p>
          <w:p w14:paraId="2FA50D64">
            <w:pPr>
              <w:spacing w:line="262" w:lineRule="auto"/>
              <w:rPr>
                <w:rFonts w:ascii="Arial"/>
                <w:sz w:val="21"/>
              </w:rPr>
            </w:pPr>
          </w:p>
          <w:p w14:paraId="64A599DF">
            <w:pPr>
              <w:pStyle w:val="15"/>
              <w:spacing w:before="65" w:line="189" w:lineRule="auto"/>
              <w:ind w:left="216"/>
            </w:pPr>
            <w:r>
              <w:t>1</w:t>
            </w:r>
          </w:p>
        </w:tc>
        <w:tc>
          <w:tcPr>
            <w:tcW w:w="680" w:type="pct"/>
            <w:tcBorders>
              <w:tl2br w:val="nil"/>
              <w:tr2bl w:val="nil"/>
            </w:tcBorders>
            <w:vAlign w:val="top"/>
          </w:tcPr>
          <w:p w14:paraId="4CD2C7F1">
            <w:pPr>
              <w:spacing w:line="245" w:lineRule="auto"/>
              <w:rPr>
                <w:rFonts w:ascii="Arial"/>
                <w:sz w:val="21"/>
              </w:rPr>
            </w:pPr>
          </w:p>
          <w:p w14:paraId="3BFEA43D">
            <w:pPr>
              <w:spacing w:line="246" w:lineRule="auto"/>
              <w:rPr>
                <w:rFonts w:ascii="Arial"/>
                <w:sz w:val="21"/>
              </w:rPr>
            </w:pPr>
          </w:p>
          <w:p w14:paraId="7A8D9D8D">
            <w:pPr>
              <w:pStyle w:val="15"/>
              <w:spacing w:before="65" w:line="228" w:lineRule="auto"/>
              <w:ind w:left="174"/>
            </w:pPr>
            <w:r>
              <w:rPr>
                <w:spacing w:val="6"/>
              </w:rPr>
              <w:t>大气污染</w:t>
            </w:r>
          </w:p>
        </w:tc>
        <w:tc>
          <w:tcPr>
            <w:tcW w:w="3330" w:type="pct"/>
            <w:tcBorders>
              <w:tl2br w:val="nil"/>
              <w:tr2bl w:val="nil"/>
            </w:tcBorders>
            <w:vAlign w:val="top"/>
          </w:tcPr>
          <w:p w14:paraId="3ADA396E">
            <w:pPr>
              <w:pStyle w:val="15"/>
              <w:spacing w:before="78" w:line="262" w:lineRule="auto"/>
              <w:ind w:left="104" w:right="97"/>
            </w:pPr>
            <w:r>
              <w:rPr>
                <w:spacing w:val="8"/>
              </w:rPr>
              <w:t>施工场地洒水降尘、易产尘的土石方防尘布覆盖、施工场界设 置围挡、运送建筑材料、弃土弃渣等的车辆采用帆布遮盖或封</w:t>
            </w:r>
          </w:p>
          <w:p w14:paraId="5FCCDCA0">
            <w:pPr>
              <w:pStyle w:val="15"/>
              <w:spacing w:before="73" w:line="254" w:lineRule="auto"/>
              <w:ind w:left="298" w:right="97" w:hanging="172"/>
            </w:pPr>
            <w:r>
              <w:rPr>
                <w:spacing w:val="7"/>
              </w:rPr>
              <w:t>闭，搅拌机、钢木加工区域等产尘工段洒水降尘等措施的执行</w:t>
            </w:r>
            <w:r>
              <w:rPr>
                <w:spacing w:val="14"/>
              </w:rPr>
              <w:t xml:space="preserve"> </w:t>
            </w:r>
            <w:r>
              <w:rPr>
                <w:spacing w:val="9"/>
              </w:rPr>
              <w:t>情况应保留相关记录和照片，环境监理报告应全面体现。</w:t>
            </w:r>
          </w:p>
        </w:tc>
        <w:tc>
          <w:tcPr>
            <w:tcW w:w="688" w:type="pct"/>
            <w:gridSpan w:val="2"/>
            <w:vMerge w:val="restart"/>
            <w:tcBorders>
              <w:tl2br w:val="nil"/>
              <w:tr2bl w:val="nil"/>
            </w:tcBorders>
            <w:vAlign w:val="top"/>
          </w:tcPr>
          <w:p w14:paraId="0080FBB8">
            <w:pPr>
              <w:spacing w:line="251" w:lineRule="auto"/>
              <w:rPr>
                <w:rFonts w:ascii="Arial"/>
                <w:sz w:val="21"/>
              </w:rPr>
            </w:pPr>
          </w:p>
          <w:p w14:paraId="415C11D8">
            <w:pPr>
              <w:spacing w:line="251" w:lineRule="auto"/>
              <w:rPr>
                <w:rFonts w:ascii="Arial"/>
                <w:sz w:val="21"/>
              </w:rPr>
            </w:pPr>
          </w:p>
          <w:p w14:paraId="787EF6DA">
            <w:pPr>
              <w:spacing w:line="251" w:lineRule="auto"/>
              <w:rPr>
                <w:rFonts w:ascii="Arial"/>
                <w:sz w:val="21"/>
              </w:rPr>
            </w:pPr>
          </w:p>
          <w:p w14:paraId="5526721D">
            <w:pPr>
              <w:spacing w:line="251" w:lineRule="auto"/>
              <w:rPr>
                <w:rFonts w:ascii="Arial"/>
                <w:sz w:val="21"/>
              </w:rPr>
            </w:pPr>
          </w:p>
          <w:p w14:paraId="548EC1E0">
            <w:pPr>
              <w:spacing w:line="251" w:lineRule="auto"/>
              <w:rPr>
                <w:rFonts w:ascii="Arial"/>
                <w:sz w:val="21"/>
              </w:rPr>
            </w:pPr>
          </w:p>
          <w:p w14:paraId="65184A21">
            <w:pPr>
              <w:spacing w:line="251" w:lineRule="auto"/>
              <w:rPr>
                <w:rFonts w:ascii="Arial"/>
                <w:sz w:val="21"/>
              </w:rPr>
            </w:pPr>
          </w:p>
          <w:p w14:paraId="50655CDB">
            <w:pPr>
              <w:spacing w:line="251" w:lineRule="auto"/>
              <w:rPr>
                <w:rFonts w:ascii="Arial"/>
                <w:sz w:val="21"/>
              </w:rPr>
            </w:pPr>
          </w:p>
          <w:p w14:paraId="0FB0C4DD">
            <w:pPr>
              <w:spacing w:line="251" w:lineRule="auto"/>
              <w:rPr>
                <w:rFonts w:ascii="Arial"/>
                <w:sz w:val="21"/>
              </w:rPr>
            </w:pPr>
          </w:p>
          <w:p w14:paraId="714F5604">
            <w:pPr>
              <w:spacing w:line="252" w:lineRule="auto"/>
              <w:rPr>
                <w:rFonts w:ascii="Arial"/>
                <w:sz w:val="21"/>
              </w:rPr>
            </w:pPr>
          </w:p>
          <w:p w14:paraId="12F3BE03">
            <w:pPr>
              <w:pStyle w:val="15"/>
              <w:spacing w:before="65" w:line="229" w:lineRule="auto"/>
              <w:ind w:left="299"/>
            </w:pPr>
            <w:r>
              <w:rPr>
                <w:spacing w:val="6"/>
              </w:rPr>
              <w:t>建设方</w:t>
            </w:r>
          </w:p>
        </w:tc>
      </w:tr>
      <w:tr w14:paraId="606859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298" w:type="pct"/>
            <w:tcBorders>
              <w:tl2br w:val="nil"/>
              <w:tr2bl w:val="nil"/>
            </w:tcBorders>
            <w:vAlign w:val="top"/>
          </w:tcPr>
          <w:p w14:paraId="362C41B0">
            <w:pPr>
              <w:spacing w:line="369" w:lineRule="auto"/>
              <w:rPr>
                <w:rFonts w:ascii="Arial"/>
                <w:sz w:val="21"/>
              </w:rPr>
            </w:pPr>
          </w:p>
          <w:p w14:paraId="48527D05">
            <w:pPr>
              <w:pStyle w:val="15"/>
              <w:spacing w:before="65" w:line="189" w:lineRule="auto"/>
              <w:ind w:left="203"/>
            </w:pPr>
            <w:r>
              <w:t>2</w:t>
            </w:r>
          </w:p>
        </w:tc>
        <w:tc>
          <w:tcPr>
            <w:tcW w:w="680" w:type="pct"/>
            <w:tcBorders>
              <w:tl2br w:val="nil"/>
              <w:tr2bl w:val="nil"/>
            </w:tcBorders>
            <w:vAlign w:val="top"/>
          </w:tcPr>
          <w:p w14:paraId="0765C8AA">
            <w:pPr>
              <w:spacing w:line="336" w:lineRule="auto"/>
              <w:rPr>
                <w:rFonts w:ascii="Arial"/>
                <w:sz w:val="21"/>
              </w:rPr>
            </w:pPr>
          </w:p>
          <w:p w14:paraId="22488836">
            <w:pPr>
              <w:pStyle w:val="15"/>
              <w:spacing w:before="65" w:line="228" w:lineRule="auto"/>
              <w:ind w:left="382"/>
            </w:pPr>
            <w:r>
              <w:rPr>
                <w:spacing w:val="5"/>
              </w:rPr>
              <w:t>废水</w:t>
            </w:r>
          </w:p>
        </w:tc>
        <w:tc>
          <w:tcPr>
            <w:tcW w:w="3330" w:type="pct"/>
            <w:tcBorders>
              <w:tl2br w:val="nil"/>
              <w:tr2bl w:val="nil"/>
            </w:tcBorders>
            <w:vAlign w:val="top"/>
          </w:tcPr>
          <w:p w14:paraId="4EF164C7">
            <w:pPr>
              <w:pStyle w:val="15"/>
              <w:spacing w:before="84" w:line="228" w:lineRule="auto"/>
              <w:ind w:left="108"/>
            </w:pPr>
            <w:r>
              <w:rPr>
                <w:spacing w:val="8"/>
              </w:rPr>
              <w:t>混凝土拌合及冲洗废水排入临时生产区防渗沉淀池，处理后回</w:t>
            </w:r>
          </w:p>
          <w:p w14:paraId="0846BADF">
            <w:pPr>
              <w:pStyle w:val="15"/>
              <w:spacing w:before="72" w:line="253" w:lineRule="auto"/>
              <w:ind w:left="2715" w:right="97" w:hanging="2608"/>
            </w:pPr>
            <w:r>
              <w:rPr>
                <w:spacing w:val="8"/>
              </w:rPr>
              <w:t>用。相关清洗应保留相关记录和照片，环境监理报告应全面体</w:t>
            </w:r>
            <w:r>
              <w:rPr>
                <w:spacing w:val="6"/>
              </w:rPr>
              <w:t xml:space="preserve"> </w:t>
            </w:r>
            <w:r>
              <w:rPr>
                <w:spacing w:val="-1"/>
              </w:rPr>
              <w:t>现。</w:t>
            </w:r>
          </w:p>
        </w:tc>
        <w:tc>
          <w:tcPr>
            <w:tcW w:w="688" w:type="pct"/>
            <w:gridSpan w:val="2"/>
            <w:vMerge w:val="continue"/>
            <w:tcBorders>
              <w:tl2br w:val="nil"/>
              <w:tr2bl w:val="nil"/>
            </w:tcBorders>
            <w:vAlign w:val="top"/>
          </w:tcPr>
          <w:p w14:paraId="261BCA24">
            <w:pPr>
              <w:rPr>
                <w:rFonts w:ascii="Arial"/>
                <w:sz w:val="21"/>
              </w:rPr>
            </w:pPr>
          </w:p>
        </w:tc>
      </w:tr>
      <w:tr w14:paraId="126A75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298" w:type="pct"/>
            <w:tcBorders>
              <w:tl2br w:val="nil"/>
              <w:tr2bl w:val="nil"/>
            </w:tcBorders>
            <w:vAlign w:val="top"/>
          </w:tcPr>
          <w:p w14:paraId="66AA224F">
            <w:pPr>
              <w:spacing w:line="372" w:lineRule="auto"/>
              <w:rPr>
                <w:rFonts w:ascii="Arial"/>
                <w:sz w:val="21"/>
              </w:rPr>
            </w:pPr>
          </w:p>
          <w:p w14:paraId="005ED2F3">
            <w:pPr>
              <w:pStyle w:val="15"/>
              <w:spacing w:before="65" w:line="189" w:lineRule="auto"/>
              <w:ind w:left="205"/>
            </w:pPr>
            <w:r>
              <w:t>3</w:t>
            </w:r>
          </w:p>
        </w:tc>
        <w:tc>
          <w:tcPr>
            <w:tcW w:w="680" w:type="pct"/>
            <w:tcBorders>
              <w:tl2br w:val="nil"/>
              <w:tr2bl w:val="nil"/>
            </w:tcBorders>
            <w:vAlign w:val="top"/>
          </w:tcPr>
          <w:p w14:paraId="7B2F45CC">
            <w:pPr>
              <w:spacing w:line="340" w:lineRule="auto"/>
              <w:rPr>
                <w:rFonts w:ascii="Arial"/>
                <w:sz w:val="21"/>
              </w:rPr>
            </w:pPr>
          </w:p>
          <w:p w14:paraId="699BA05D">
            <w:pPr>
              <w:pStyle w:val="15"/>
              <w:spacing w:before="65" w:line="228" w:lineRule="auto"/>
              <w:ind w:left="287"/>
            </w:pPr>
            <w:r>
              <w:rPr>
                <w:spacing w:val="-5"/>
              </w:rPr>
              <w:t>噪</w:t>
            </w:r>
            <w:r>
              <w:rPr>
                <w:spacing w:val="11"/>
              </w:rPr>
              <w:t xml:space="preserve">  </w:t>
            </w:r>
            <w:r>
              <w:rPr>
                <w:spacing w:val="-5"/>
              </w:rPr>
              <w:t>声</w:t>
            </w:r>
          </w:p>
        </w:tc>
        <w:tc>
          <w:tcPr>
            <w:tcW w:w="3330" w:type="pct"/>
            <w:tcBorders>
              <w:tl2br w:val="nil"/>
              <w:tr2bl w:val="nil"/>
            </w:tcBorders>
            <w:vAlign w:val="top"/>
          </w:tcPr>
          <w:p w14:paraId="3DDC8AE4">
            <w:pPr>
              <w:pStyle w:val="15"/>
              <w:spacing w:before="87" w:line="228" w:lineRule="auto"/>
              <w:ind w:left="106"/>
            </w:pPr>
            <w:r>
              <w:rPr>
                <w:spacing w:val="8"/>
              </w:rPr>
              <w:t>严格执行《建筑施工场界环境噪声排放标准》，不集中进行高</w:t>
            </w:r>
          </w:p>
          <w:p w14:paraId="6629AE0F">
            <w:pPr>
              <w:pStyle w:val="15"/>
              <w:spacing w:before="71" w:line="252" w:lineRule="auto"/>
              <w:ind w:left="1978" w:right="97" w:hanging="1863"/>
            </w:pPr>
            <w:r>
              <w:rPr>
                <w:spacing w:val="8"/>
              </w:rPr>
              <w:t>噪声施工，夜间原则上不施工；加强对机械和车辆的维护</w:t>
            </w:r>
            <w:r>
              <w:rPr>
                <w:spacing w:val="7"/>
              </w:rPr>
              <w:t>，确</w:t>
            </w:r>
            <w:r>
              <w:t xml:space="preserve"> </w:t>
            </w:r>
            <w:r>
              <w:rPr>
                <w:spacing w:val="7"/>
              </w:rPr>
              <w:t>保其处于正常状态。</w:t>
            </w:r>
          </w:p>
        </w:tc>
        <w:tc>
          <w:tcPr>
            <w:tcW w:w="688" w:type="pct"/>
            <w:gridSpan w:val="2"/>
            <w:vMerge w:val="continue"/>
            <w:tcBorders>
              <w:tl2br w:val="nil"/>
              <w:tr2bl w:val="nil"/>
            </w:tcBorders>
            <w:vAlign w:val="top"/>
          </w:tcPr>
          <w:p w14:paraId="4C98C6FE">
            <w:pPr>
              <w:rPr>
                <w:rFonts w:ascii="Arial"/>
                <w:sz w:val="21"/>
              </w:rPr>
            </w:pPr>
          </w:p>
        </w:tc>
      </w:tr>
      <w:tr w14:paraId="676259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298" w:type="pct"/>
            <w:tcBorders>
              <w:tl2br w:val="nil"/>
              <w:tr2bl w:val="nil"/>
            </w:tcBorders>
            <w:vAlign w:val="top"/>
          </w:tcPr>
          <w:p w14:paraId="1F76316D">
            <w:pPr>
              <w:spacing w:line="374" w:lineRule="auto"/>
              <w:rPr>
                <w:rFonts w:ascii="Arial"/>
                <w:sz w:val="21"/>
              </w:rPr>
            </w:pPr>
          </w:p>
          <w:p w14:paraId="44A1A125">
            <w:pPr>
              <w:pStyle w:val="15"/>
              <w:spacing w:before="65" w:line="189" w:lineRule="auto"/>
              <w:ind w:left="200"/>
            </w:pPr>
            <w:r>
              <w:t>4</w:t>
            </w:r>
          </w:p>
        </w:tc>
        <w:tc>
          <w:tcPr>
            <w:tcW w:w="680" w:type="pct"/>
            <w:tcBorders>
              <w:tl2br w:val="nil"/>
              <w:tr2bl w:val="nil"/>
            </w:tcBorders>
            <w:vAlign w:val="top"/>
          </w:tcPr>
          <w:p w14:paraId="23B61401">
            <w:pPr>
              <w:spacing w:line="342" w:lineRule="auto"/>
              <w:rPr>
                <w:rFonts w:ascii="Arial"/>
                <w:sz w:val="21"/>
              </w:rPr>
            </w:pPr>
          </w:p>
          <w:p w14:paraId="0859F46C">
            <w:pPr>
              <w:pStyle w:val="15"/>
              <w:spacing w:before="65" w:line="228" w:lineRule="auto"/>
              <w:ind w:left="190"/>
            </w:pPr>
            <w:r>
              <w:rPr>
                <w:spacing w:val="2"/>
              </w:rPr>
              <w:t>固体废物</w:t>
            </w:r>
          </w:p>
        </w:tc>
        <w:tc>
          <w:tcPr>
            <w:tcW w:w="3330" w:type="pct"/>
            <w:tcBorders>
              <w:tl2br w:val="nil"/>
              <w:tr2bl w:val="nil"/>
            </w:tcBorders>
            <w:vAlign w:val="top"/>
          </w:tcPr>
          <w:p w14:paraId="0C2E9227">
            <w:pPr>
              <w:pStyle w:val="15"/>
              <w:spacing w:before="90" w:line="265" w:lineRule="auto"/>
              <w:ind w:left="107" w:right="95" w:firstLine="421"/>
              <w:jc w:val="both"/>
            </w:pPr>
            <w:r>
              <w:rPr>
                <w:spacing w:val="5"/>
              </w:rPr>
              <w:t>弃渣统一收集拉</w:t>
            </w:r>
            <w:r>
              <w:rPr>
                <w:spacing w:val="4"/>
              </w:rPr>
              <w:t>运至指定的</w:t>
            </w:r>
            <w:r>
              <w:rPr>
                <w:spacing w:val="6"/>
              </w:rPr>
              <w:t>弃渣场。施工期</w:t>
            </w:r>
            <w:r>
              <w:rPr>
                <w:spacing w:val="5"/>
              </w:rPr>
              <w:t>间应保留相</w:t>
            </w:r>
            <w:r>
              <w:t xml:space="preserve"> </w:t>
            </w:r>
            <w:r>
              <w:rPr>
                <w:spacing w:val="9"/>
              </w:rPr>
              <w:t>关协议、记录和照片，环境监理报告应全面体现。</w:t>
            </w:r>
          </w:p>
        </w:tc>
        <w:tc>
          <w:tcPr>
            <w:tcW w:w="688" w:type="pct"/>
            <w:gridSpan w:val="2"/>
            <w:vMerge w:val="continue"/>
            <w:tcBorders>
              <w:tl2br w:val="nil"/>
              <w:tr2bl w:val="nil"/>
            </w:tcBorders>
            <w:vAlign w:val="top"/>
          </w:tcPr>
          <w:p w14:paraId="1B1B022C">
            <w:pPr>
              <w:rPr>
                <w:rFonts w:ascii="Arial"/>
                <w:sz w:val="21"/>
              </w:rPr>
            </w:pPr>
          </w:p>
        </w:tc>
      </w:tr>
      <w:tr w14:paraId="39FCBF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98" w:type="pct"/>
            <w:tcBorders>
              <w:tl2br w:val="nil"/>
              <w:tr2bl w:val="nil"/>
            </w:tcBorders>
            <w:vAlign w:val="top"/>
          </w:tcPr>
          <w:p w14:paraId="2F979A4C">
            <w:pPr>
              <w:pStyle w:val="15"/>
              <w:spacing w:before="288" w:line="187" w:lineRule="auto"/>
              <w:ind w:left="205"/>
            </w:pPr>
            <w:r>
              <w:t>5</w:t>
            </w:r>
          </w:p>
        </w:tc>
        <w:tc>
          <w:tcPr>
            <w:tcW w:w="680" w:type="pct"/>
            <w:tcBorders>
              <w:tl2br w:val="nil"/>
              <w:tr2bl w:val="nil"/>
            </w:tcBorders>
            <w:vAlign w:val="top"/>
          </w:tcPr>
          <w:p w14:paraId="230D4CD4">
            <w:pPr>
              <w:pStyle w:val="15"/>
              <w:spacing w:before="254" w:line="228" w:lineRule="auto"/>
              <w:ind w:left="173"/>
            </w:pPr>
            <w:r>
              <w:rPr>
                <w:spacing w:val="6"/>
              </w:rPr>
              <w:t>生态恢复</w:t>
            </w:r>
          </w:p>
        </w:tc>
        <w:tc>
          <w:tcPr>
            <w:tcW w:w="3330" w:type="pct"/>
            <w:tcBorders>
              <w:tl2br w:val="nil"/>
              <w:tr2bl w:val="nil"/>
            </w:tcBorders>
            <w:vAlign w:val="top"/>
          </w:tcPr>
          <w:p w14:paraId="1D9E7C6E">
            <w:pPr>
              <w:pStyle w:val="15"/>
              <w:spacing w:before="93" w:line="249" w:lineRule="auto"/>
              <w:ind w:left="104" w:right="96"/>
            </w:pPr>
            <w:r>
              <w:rPr>
                <w:spacing w:val="8"/>
              </w:rPr>
              <w:t>施工期应按生态恢复措施（水土保持措施）进行生态恢复，过 程中保留相关记录、描述和照片，环境监理报告应全面体现。</w:t>
            </w:r>
          </w:p>
        </w:tc>
        <w:tc>
          <w:tcPr>
            <w:tcW w:w="688" w:type="pct"/>
            <w:gridSpan w:val="2"/>
            <w:vMerge w:val="continue"/>
            <w:tcBorders>
              <w:tl2br w:val="nil"/>
              <w:tr2bl w:val="nil"/>
            </w:tcBorders>
            <w:vAlign w:val="top"/>
          </w:tcPr>
          <w:p w14:paraId="1EF4585C">
            <w:pPr>
              <w:rPr>
                <w:rFonts w:ascii="Arial"/>
                <w:sz w:val="21"/>
              </w:rPr>
            </w:pPr>
          </w:p>
        </w:tc>
      </w:tr>
      <w:tr w14:paraId="1426AC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98" w:type="pct"/>
            <w:gridSpan w:val="5"/>
            <w:tcBorders>
              <w:tl2br w:val="nil"/>
              <w:tr2bl w:val="nil"/>
            </w:tcBorders>
            <w:vAlign w:val="top"/>
          </w:tcPr>
          <w:p w14:paraId="27BAD77B">
            <w:pPr>
              <w:pStyle w:val="15"/>
              <w:spacing w:before="104" w:line="212" w:lineRule="auto"/>
              <w:ind w:left="3852"/>
            </w:pPr>
            <w:r>
              <w:rPr>
                <w:spacing w:val="7"/>
              </w:rPr>
              <w:t>二、营运期</w:t>
            </w:r>
          </w:p>
        </w:tc>
      </w:tr>
      <w:tr w14:paraId="4BCC78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8" w:type="pct"/>
            <w:tcBorders>
              <w:tl2br w:val="nil"/>
              <w:tr2bl w:val="nil"/>
            </w:tcBorders>
            <w:vAlign w:val="top"/>
          </w:tcPr>
          <w:p w14:paraId="1A88B29A">
            <w:pPr>
              <w:pStyle w:val="15"/>
              <w:spacing w:before="137" w:line="181" w:lineRule="auto"/>
              <w:ind w:left="216"/>
            </w:pPr>
            <w:r>
              <w:t>1</w:t>
            </w:r>
          </w:p>
        </w:tc>
        <w:tc>
          <w:tcPr>
            <w:tcW w:w="680" w:type="pct"/>
            <w:tcBorders>
              <w:tl2br w:val="nil"/>
              <w:tr2bl w:val="nil"/>
            </w:tcBorders>
            <w:vAlign w:val="top"/>
          </w:tcPr>
          <w:p w14:paraId="6D150668">
            <w:pPr>
              <w:pStyle w:val="15"/>
              <w:spacing w:before="106" w:line="210" w:lineRule="auto"/>
              <w:ind w:left="280"/>
            </w:pPr>
            <w:r>
              <w:rPr>
                <w:spacing w:val="6"/>
              </w:rPr>
              <w:t>水污染</w:t>
            </w:r>
          </w:p>
        </w:tc>
        <w:tc>
          <w:tcPr>
            <w:tcW w:w="3330" w:type="pct"/>
            <w:tcBorders>
              <w:tl2br w:val="nil"/>
              <w:tr2bl w:val="nil"/>
            </w:tcBorders>
            <w:vAlign w:val="top"/>
          </w:tcPr>
          <w:p w14:paraId="22AB35E6">
            <w:pPr>
              <w:pStyle w:val="15"/>
              <w:spacing w:before="106" w:line="210" w:lineRule="auto"/>
              <w:ind w:left="508"/>
            </w:pPr>
            <w:r>
              <w:rPr>
                <w:spacing w:val="9"/>
              </w:rPr>
              <w:t>加强管理，保证环保设施等设施处于正常使用状态。</w:t>
            </w:r>
          </w:p>
        </w:tc>
        <w:tc>
          <w:tcPr>
            <w:tcW w:w="688" w:type="pct"/>
            <w:gridSpan w:val="2"/>
            <w:vMerge w:val="restart"/>
            <w:tcBorders>
              <w:tl2br w:val="nil"/>
              <w:tr2bl w:val="nil"/>
            </w:tcBorders>
            <w:vAlign w:val="top"/>
          </w:tcPr>
          <w:p w14:paraId="58A9CD78">
            <w:pPr>
              <w:pStyle w:val="15"/>
              <w:spacing w:before="281" w:line="229" w:lineRule="auto"/>
              <w:ind w:left="299"/>
            </w:pPr>
            <w:r>
              <w:rPr>
                <w:spacing w:val="6"/>
              </w:rPr>
              <w:t>建设方</w:t>
            </w:r>
          </w:p>
        </w:tc>
      </w:tr>
      <w:tr w14:paraId="6B6D85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8" w:type="pct"/>
            <w:tcBorders>
              <w:tl2br w:val="nil"/>
              <w:tr2bl w:val="nil"/>
            </w:tcBorders>
            <w:vAlign w:val="top"/>
          </w:tcPr>
          <w:p w14:paraId="2B35F2C6">
            <w:pPr>
              <w:pStyle w:val="15"/>
              <w:spacing w:before="141" w:line="178" w:lineRule="auto"/>
              <w:ind w:left="203"/>
            </w:pPr>
            <w:r>
              <w:t>2</w:t>
            </w:r>
          </w:p>
        </w:tc>
        <w:tc>
          <w:tcPr>
            <w:tcW w:w="680" w:type="pct"/>
            <w:tcBorders>
              <w:tl2br w:val="nil"/>
              <w:tr2bl w:val="nil"/>
            </w:tcBorders>
            <w:vAlign w:val="top"/>
          </w:tcPr>
          <w:p w14:paraId="6A34B531">
            <w:pPr>
              <w:pStyle w:val="15"/>
              <w:spacing w:before="107" w:line="209" w:lineRule="auto"/>
              <w:ind w:left="190"/>
            </w:pPr>
            <w:r>
              <w:rPr>
                <w:spacing w:val="2"/>
              </w:rPr>
              <w:t>固体废物</w:t>
            </w:r>
          </w:p>
        </w:tc>
        <w:tc>
          <w:tcPr>
            <w:tcW w:w="3330" w:type="pct"/>
            <w:tcBorders>
              <w:tl2br w:val="nil"/>
              <w:tr2bl w:val="nil"/>
            </w:tcBorders>
            <w:vAlign w:val="top"/>
          </w:tcPr>
          <w:p w14:paraId="49EE5DFD">
            <w:pPr>
              <w:pStyle w:val="15"/>
              <w:spacing w:before="107" w:line="209" w:lineRule="auto"/>
              <w:ind w:left="1034"/>
            </w:pPr>
            <w:r>
              <w:rPr>
                <w:spacing w:val="8"/>
              </w:rPr>
              <w:t>加强管理，新增生活垃圾安全有效处置。</w:t>
            </w:r>
          </w:p>
        </w:tc>
        <w:tc>
          <w:tcPr>
            <w:tcW w:w="688" w:type="pct"/>
            <w:gridSpan w:val="2"/>
            <w:vMerge w:val="continue"/>
            <w:tcBorders>
              <w:tl2br w:val="nil"/>
              <w:tr2bl w:val="nil"/>
            </w:tcBorders>
            <w:vAlign w:val="top"/>
          </w:tcPr>
          <w:p w14:paraId="779BBF29">
            <w:pPr>
              <w:rPr>
                <w:rFonts w:ascii="Arial"/>
                <w:sz w:val="21"/>
              </w:rPr>
            </w:pPr>
          </w:p>
        </w:tc>
      </w:tr>
      <w:tr w14:paraId="70B818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98" w:type="pct"/>
            <w:tcBorders>
              <w:tl2br w:val="nil"/>
              <w:tr2bl w:val="nil"/>
            </w:tcBorders>
            <w:vAlign w:val="top"/>
          </w:tcPr>
          <w:p w14:paraId="2104B72E">
            <w:pPr>
              <w:spacing w:line="384" w:lineRule="auto"/>
              <w:rPr>
                <w:rFonts w:ascii="Arial"/>
                <w:sz w:val="21"/>
              </w:rPr>
            </w:pPr>
          </w:p>
          <w:p w14:paraId="35C41E13">
            <w:pPr>
              <w:pStyle w:val="15"/>
              <w:spacing w:before="65" w:line="189" w:lineRule="auto"/>
              <w:ind w:left="205"/>
            </w:pPr>
            <w:r>
              <w:t>3</w:t>
            </w:r>
          </w:p>
        </w:tc>
        <w:tc>
          <w:tcPr>
            <w:tcW w:w="680" w:type="pct"/>
            <w:tcBorders>
              <w:tl2br w:val="nil"/>
              <w:tr2bl w:val="nil"/>
            </w:tcBorders>
            <w:vAlign w:val="top"/>
          </w:tcPr>
          <w:p w14:paraId="0F71E393">
            <w:pPr>
              <w:spacing w:line="351" w:lineRule="auto"/>
              <w:rPr>
                <w:rFonts w:ascii="Arial"/>
                <w:sz w:val="21"/>
              </w:rPr>
            </w:pPr>
          </w:p>
          <w:p w14:paraId="01B3F7C3">
            <w:pPr>
              <w:pStyle w:val="15"/>
              <w:spacing w:before="65" w:line="228" w:lineRule="auto"/>
              <w:ind w:left="172"/>
            </w:pPr>
            <w:r>
              <w:rPr>
                <w:spacing w:val="7"/>
              </w:rPr>
              <w:t>环境监测</w:t>
            </w:r>
          </w:p>
        </w:tc>
        <w:tc>
          <w:tcPr>
            <w:tcW w:w="3330" w:type="pct"/>
            <w:tcBorders>
              <w:tl2br w:val="nil"/>
              <w:tr2bl w:val="nil"/>
            </w:tcBorders>
            <w:vAlign w:val="top"/>
          </w:tcPr>
          <w:p w14:paraId="562963F5">
            <w:pPr>
              <w:pStyle w:val="15"/>
              <w:spacing w:before="257" w:line="263" w:lineRule="auto"/>
              <w:ind w:left="2717" w:right="97" w:hanging="2610"/>
            </w:pPr>
            <w:r>
              <w:rPr>
                <w:spacing w:val="8"/>
              </w:rPr>
              <w:t>按照环境监测技术规范及国家环保局颁布的监测标准、方法执</w:t>
            </w:r>
            <w:r>
              <w:rPr>
                <w:spacing w:val="6"/>
              </w:rPr>
              <w:t xml:space="preserve"> </w:t>
            </w:r>
            <w:r>
              <w:rPr>
                <w:spacing w:val="-2"/>
              </w:rPr>
              <w:t>行。</w:t>
            </w:r>
          </w:p>
        </w:tc>
        <w:tc>
          <w:tcPr>
            <w:tcW w:w="688" w:type="pct"/>
            <w:gridSpan w:val="2"/>
            <w:tcBorders>
              <w:tl2br w:val="nil"/>
              <w:tr2bl w:val="nil"/>
            </w:tcBorders>
            <w:vAlign w:val="top"/>
          </w:tcPr>
          <w:p w14:paraId="0861DA94">
            <w:pPr>
              <w:pStyle w:val="15"/>
              <w:spacing w:before="99" w:line="228" w:lineRule="auto"/>
              <w:ind w:left="194"/>
            </w:pPr>
            <w:r>
              <w:rPr>
                <w:spacing w:val="7"/>
              </w:rPr>
              <w:t>有资质的</w:t>
            </w:r>
          </w:p>
          <w:p w14:paraId="736650DE">
            <w:pPr>
              <w:pStyle w:val="15"/>
              <w:spacing w:before="72" w:line="228" w:lineRule="auto"/>
              <w:ind w:left="193"/>
            </w:pPr>
            <w:r>
              <w:rPr>
                <w:spacing w:val="7"/>
              </w:rPr>
              <w:t>环境监测</w:t>
            </w:r>
          </w:p>
          <w:p w14:paraId="3B9A5EDA">
            <w:pPr>
              <w:pStyle w:val="15"/>
              <w:spacing w:before="71" w:line="219" w:lineRule="auto"/>
              <w:ind w:left="404"/>
            </w:pPr>
            <w:r>
              <w:rPr>
                <w:spacing w:val="3"/>
              </w:rPr>
              <w:t>单位</w:t>
            </w:r>
          </w:p>
        </w:tc>
      </w:tr>
    </w:tbl>
    <w:p w14:paraId="59218740">
      <w:pPr>
        <w:pStyle w:val="3"/>
        <w:spacing w:line="385" w:lineRule="auto"/>
      </w:pPr>
    </w:p>
    <w:p w14:paraId="04E696CE">
      <w:pPr>
        <w:spacing w:before="91" w:line="220"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8.1.4</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污染物排放管理要求</w:t>
      </w:r>
    </w:p>
    <w:p w14:paraId="3F5978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（1）污染物排放清单</w:t>
      </w:r>
    </w:p>
    <w:p w14:paraId="1968AC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hint="eastAsia" w:ascii="宋体" w:hAnsi="宋体" w:eastAsia="宋体" w:cs="宋体"/>
          <w:spacing w:val="-2"/>
          <w:sz w:val="24"/>
          <w:szCs w:val="24"/>
          <w:lang w:val="en-US" w:eastAsia="zh-CN"/>
        </w:rPr>
        <w:t>本项目为灌区水利工程，运行期无</w:t>
      </w:r>
      <w:r>
        <w:rPr>
          <w:rFonts w:ascii="宋体" w:hAnsi="宋体" w:eastAsia="宋体" w:cs="宋体"/>
          <w:spacing w:val="-2"/>
          <w:sz w:val="24"/>
          <w:szCs w:val="24"/>
        </w:rPr>
        <w:t>污染物排放。</w:t>
      </w:r>
    </w:p>
    <w:p w14:paraId="1C7DBDC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（2）总量控制指标</w:t>
      </w:r>
    </w:p>
    <w:p w14:paraId="289949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结合本工程所在区域与环境特征和项目排污情况，本工程不设置总量控制指标。</w:t>
      </w:r>
    </w:p>
    <w:p w14:paraId="2C08B0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（3）排污口规范化设置</w:t>
      </w:r>
    </w:p>
    <w:p w14:paraId="0A24D79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本工程运营期渠道输水无“三废 ”和连续性噪声产生，生活污水纳入现有排水系统，不外排，无排污口设置要求。</w:t>
      </w:r>
    </w:p>
    <w:p w14:paraId="76A1EC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（4）环境质量标准</w:t>
      </w:r>
    </w:p>
    <w:p w14:paraId="224C75E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根据本工程所处位置环境功能区划，环境质量评价执行标准分别为：《环境空气质量标准》（GB3095-2012）一、二级标准；《地表水环境质量标准》（GB3838-2002）II 类区、III 类区；《声环境质量标准》（GB3096-2008）</w:t>
      </w:r>
      <w:r>
        <w:rPr>
          <w:rFonts w:hint="eastAsia" w:ascii="宋体" w:hAnsi="宋体" w:eastAsia="宋体" w:cs="宋体"/>
          <w:spacing w:val="-2"/>
          <w:sz w:val="24"/>
          <w:szCs w:val="24"/>
          <w:lang w:eastAsia="zh-CN"/>
        </w:rPr>
        <w:t>2</w:t>
      </w:r>
      <w:r>
        <w:rPr>
          <w:rFonts w:ascii="宋体" w:hAnsi="宋体" w:eastAsia="宋体" w:cs="宋体"/>
          <w:spacing w:val="-2"/>
          <w:sz w:val="24"/>
          <w:szCs w:val="24"/>
        </w:rPr>
        <w:t xml:space="preserve"> 类标准；《土壤环境质量农用地土壤污染风险管控标准（试行）》（GB15618-2018）中筛选值。</w:t>
      </w:r>
    </w:p>
    <w:p w14:paraId="399C23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（5）环境风险防范措施及环境监测</w:t>
      </w:r>
    </w:p>
    <w:p w14:paraId="496B20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规范用电，定期检查电路设备；建立环境保护监督检查和风险隐患排查制度，发现问题、隐患立即整改；</w:t>
      </w:r>
      <w:r>
        <w:rPr>
          <w:rFonts w:hint="eastAsia" w:ascii="宋体" w:hAnsi="宋体" w:eastAsia="宋体" w:cs="宋体"/>
          <w:spacing w:val="-2"/>
          <w:sz w:val="24"/>
          <w:szCs w:val="24"/>
          <w:lang w:eastAsia="zh-CN"/>
        </w:rPr>
        <w:t>泵房</w:t>
      </w:r>
      <w:r>
        <w:rPr>
          <w:rFonts w:ascii="宋体" w:hAnsi="宋体" w:eastAsia="宋体" w:cs="宋体"/>
          <w:spacing w:val="-2"/>
          <w:sz w:val="24"/>
          <w:szCs w:val="24"/>
        </w:rPr>
        <w:t>按要求设置灭火器及消火栓等防火消防设施等。</w:t>
      </w:r>
    </w:p>
    <w:p w14:paraId="029C2E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（6）信息公开内容</w:t>
      </w:r>
    </w:p>
    <w:p w14:paraId="0B7CE7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为了更好的掌握项目污染物排放情况和生态影响情况，企业应定期向周围社会公 众公开项目污染物排放情况，公开信息内容主要有：项目环境保护设施运行状况；废 水、废气及噪声的排放情况，固废处置情况；项目区及其周边的地表水环境、声环境、土壤环境质量监测情况等。</w:t>
      </w:r>
    </w:p>
    <w:p w14:paraId="112B227A">
      <w:pPr>
        <w:spacing w:before="97" w:line="220" w:lineRule="auto"/>
        <w:ind w:left="13"/>
        <w:outlineLvl w:val="1"/>
        <w:rPr>
          <w:rFonts w:hint="eastAsia" w:ascii="黑体" w:hAnsi="黑体" w:eastAsia="黑体" w:cs="黑体"/>
          <w:sz w:val="30"/>
          <w:szCs w:val="30"/>
        </w:rPr>
      </w:pPr>
      <w:bookmarkStart w:id="41" w:name="bookmark39"/>
      <w:bookmarkEnd w:id="41"/>
      <w:r>
        <w:rPr>
          <w:rFonts w:hint="eastAsia" w:ascii="黑体" w:hAnsi="黑体" w:eastAsia="黑体" w:cs="黑体"/>
          <w:spacing w:val="2"/>
          <w:sz w:val="30"/>
          <w:szCs w:val="30"/>
          <w14:textOutline w14:w="5448" w14:cap="sq" w14:cmpd="sng">
            <w14:solidFill>
              <w14:srgbClr w14:val="000000"/>
            </w14:solidFill>
            <w14:prstDash w14:val="solid"/>
            <w14:bevel/>
          </w14:textOutline>
        </w:rPr>
        <w:t>8.2</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环境监测计划</w:t>
      </w:r>
    </w:p>
    <w:p w14:paraId="1EC30A64">
      <w:pPr>
        <w:spacing w:before="222" w:line="221" w:lineRule="auto"/>
        <w:ind w:left="12"/>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8.2.1</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环境监测目的</w:t>
      </w:r>
    </w:p>
    <w:p w14:paraId="34FCC17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环境监测是企业搞好环境管理，同时也是环境管理技术的支持，促进污染治理设施正常运行的主要保障。通过定期的环境监测，了解邻近地区的环境质量状况</w:t>
      </w:r>
      <w:r>
        <w:rPr>
          <w:rFonts w:ascii="宋体" w:hAnsi="宋体" w:eastAsia="宋体" w:cs="宋体"/>
          <w:spacing w:val="1"/>
          <w:sz w:val="24"/>
          <w:szCs w:val="24"/>
        </w:rPr>
        <w:t>，可以</w:t>
      </w:r>
      <w:r>
        <w:rPr>
          <w:rFonts w:ascii="宋体" w:hAnsi="宋体" w:eastAsia="宋体" w:cs="宋体"/>
          <w:spacing w:val="2"/>
          <w:sz w:val="24"/>
          <w:szCs w:val="24"/>
        </w:rPr>
        <w:t>及时发现问题、解决问题，从而有利于监督各项环保措施的落实，并根据监测</w:t>
      </w:r>
      <w:r>
        <w:rPr>
          <w:rFonts w:ascii="宋体" w:hAnsi="宋体" w:eastAsia="宋体" w:cs="宋体"/>
          <w:spacing w:val="1"/>
          <w:sz w:val="24"/>
          <w:szCs w:val="24"/>
        </w:rPr>
        <w:t>结果适</w:t>
      </w:r>
      <w:r>
        <w:rPr>
          <w:rFonts w:ascii="宋体" w:hAnsi="宋体" w:eastAsia="宋体" w:cs="宋体"/>
          <w:spacing w:val="-3"/>
          <w:sz w:val="24"/>
          <w:szCs w:val="24"/>
        </w:rPr>
        <w:t>时调整环境保护计划。</w:t>
      </w:r>
    </w:p>
    <w:p w14:paraId="0E2F818F">
      <w:pPr>
        <w:spacing w:before="91" w:line="221" w:lineRule="auto"/>
        <w:ind w:left="12"/>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8.2.2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环境监测计划</w:t>
      </w:r>
    </w:p>
    <w:p w14:paraId="1A8561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为了及时了解项目施工和运营过程中对生态环境产生影响的范围和程度，以</w:t>
      </w:r>
      <w:r>
        <w:rPr>
          <w:rFonts w:ascii="宋体" w:hAnsi="宋体" w:eastAsia="宋体" w:cs="宋体"/>
          <w:spacing w:val="1"/>
          <w:sz w:val="24"/>
          <w:szCs w:val="24"/>
        </w:rPr>
        <w:t>便采</w:t>
      </w:r>
      <w:r>
        <w:rPr>
          <w:rFonts w:ascii="宋体" w:hAnsi="宋体" w:eastAsia="宋体" w:cs="宋体"/>
          <w:spacing w:val="-2"/>
          <w:sz w:val="24"/>
          <w:szCs w:val="24"/>
        </w:rPr>
        <w:t>取相应的减缓措施，对项目区进行环境监测，工作</w:t>
      </w:r>
      <w:r>
        <w:rPr>
          <w:rFonts w:ascii="宋体" w:hAnsi="宋体" w:eastAsia="宋体" w:cs="宋体"/>
          <w:spacing w:val="-3"/>
          <w:sz w:val="24"/>
          <w:szCs w:val="24"/>
        </w:rPr>
        <w:t>的实施分施工期和运行期两个阶段。</w:t>
      </w:r>
    </w:p>
    <w:p w14:paraId="517599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根据本工程环境影响特性，监测内容主要为水</w:t>
      </w:r>
      <w:r>
        <w:rPr>
          <w:rFonts w:ascii="宋体" w:hAnsi="宋体" w:eastAsia="宋体" w:cs="宋体"/>
          <w:spacing w:val="-1"/>
          <w:sz w:val="24"/>
          <w:szCs w:val="24"/>
        </w:rPr>
        <w:t>质、水量及生态环境等。</w:t>
      </w:r>
    </w:p>
    <w:p w14:paraId="1320FF28">
      <w:pPr>
        <w:spacing w:before="184" w:line="220" w:lineRule="auto"/>
        <w:ind w:left="10"/>
        <w:outlineLvl w:val="3"/>
        <w:rPr>
          <w:rFonts w:ascii="宋体" w:hAnsi="宋体" w:eastAsia="宋体" w:cs="宋体"/>
          <w:sz w:val="24"/>
          <w:szCs w:val="24"/>
        </w:rPr>
      </w:pPr>
      <w:r>
        <w:rPr>
          <w:b/>
          <w:bCs/>
        </w:rPr>
        <w:fldChar w:fldCharType="begin"/>
      </w:r>
      <w:r>
        <w:rPr>
          <w:b/>
          <w:bCs/>
        </w:rPr>
        <w:instrText xml:space="preserve"> HYPERLINK "8.2.2.1"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8.2.2.1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施工期环境监测</w:t>
      </w:r>
    </w:p>
    <w:p w14:paraId="3152E714">
      <w:pPr>
        <w:spacing w:before="180" w:line="219" w:lineRule="auto"/>
        <w:jc w:val="right"/>
        <w:rPr>
          <w:rFonts w:ascii="宋体" w:hAnsi="宋体" w:eastAsia="宋体" w:cs="宋体"/>
          <w:sz w:val="24"/>
          <w:szCs w:val="24"/>
        </w:rPr>
      </w:pPr>
      <w:r>
        <w:rPr>
          <w:rFonts w:ascii="宋体" w:hAnsi="宋体" w:eastAsia="宋体" w:cs="宋体"/>
          <w:spacing w:val="-7"/>
          <w:sz w:val="24"/>
          <w:szCs w:val="24"/>
        </w:rPr>
        <w:t>施工期主要对施工期大气环境、水环境及生态环境进行监测，监测计划见表</w:t>
      </w:r>
      <w:r>
        <w:rPr>
          <w:rFonts w:ascii="宋体" w:hAnsi="宋体" w:eastAsia="宋体" w:cs="宋体"/>
          <w:spacing w:val="-50"/>
          <w:sz w:val="24"/>
          <w:szCs w:val="24"/>
        </w:rPr>
        <w:t xml:space="preserve"> </w:t>
      </w:r>
      <w:r>
        <w:rPr>
          <w:rFonts w:ascii="宋体" w:hAnsi="宋体" w:eastAsia="宋体" w:cs="宋体"/>
          <w:spacing w:val="-7"/>
          <w:sz w:val="24"/>
          <w:szCs w:val="24"/>
        </w:rPr>
        <w:t>8</w:t>
      </w:r>
      <w:r>
        <w:rPr>
          <w:rFonts w:ascii="宋体" w:hAnsi="宋体" w:eastAsia="宋体" w:cs="宋体"/>
          <w:spacing w:val="-8"/>
          <w:sz w:val="24"/>
          <w:szCs w:val="24"/>
        </w:rPr>
        <w:t>-2-3。</w:t>
      </w:r>
    </w:p>
    <w:p w14:paraId="09D8EC42">
      <w:pPr>
        <w:pStyle w:val="3"/>
        <w:spacing w:line="245" w:lineRule="auto"/>
      </w:pPr>
    </w:p>
    <w:p w14:paraId="02AA7F5E">
      <w:pPr>
        <w:spacing w:before="78" w:line="220" w:lineRule="auto"/>
        <w:ind w:left="1448"/>
        <w:jc w:val="center"/>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3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8-2-3</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施工期环境监测计划</w:t>
      </w:r>
    </w:p>
    <w:p w14:paraId="4AE8BE55">
      <w:pPr>
        <w:spacing w:line="16" w:lineRule="exact"/>
      </w:pPr>
    </w:p>
    <w:tbl>
      <w:tblPr>
        <w:tblStyle w:val="1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09"/>
        <w:gridCol w:w="6510"/>
        <w:gridCol w:w="766"/>
        <w:gridCol w:w="880"/>
        <w:gridCol w:w="2"/>
      </w:tblGrid>
      <w:tr w14:paraId="2A8A0C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1" w:type="pct"/>
          <w:trHeight w:val="551" w:hRule="atLeast"/>
        </w:trPr>
        <w:tc>
          <w:tcPr>
            <w:tcW w:w="501" w:type="pct"/>
            <w:tcBorders>
              <w:tl2br w:val="nil"/>
              <w:tr2bl w:val="nil"/>
            </w:tcBorders>
            <w:vAlign w:val="top"/>
          </w:tcPr>
          <w:p w14:paraId="60AD1ABC">
            <w:pPr>
              <w:pStyle w:val="15"/>
              <w:spacing w:before="35" w:line="273" w:lineRule="exact"/>
              <w:ind w:left="202"/>
            </w:pPr>
            <w:r>
              <w:rPr>
                <w:spacing w:val="6"/>
                <w:position w:val="4"/>
                <w14:textOutline w14:w="3795" w14:cap="sq" w14:cmpd="sng">
                  <w14:solidFill>
                    <w14:srgbClr w14:val="000000"/>
                  </w14:solidFill>
                  <w14:prstDash w14:val="solid"/>
                  <w14:bevel/>
                </w14:textOutline>
              </w:rPr>
              <w:t>环境</w:t>
            </w:r>
          </w:p>
          <w:p w14:paraId="1C1A4879">
            <w:pPr>
              <w:pStyle w:val="15"/>
              <w:spacing w:line="214" w:lineRule="auto"/>
              <w:ind w:left="226"/>
            </w:pPr>
            <w:r>
              <w:rPr>
                <w:spacing w:val="-6"/>
                <w14:textOutline w14:w="3795" w14:cap="sq" w14:cmpd="sng">
                  <w14:solidFill>
                    <w14:srgbClr w14:val="000000"/>
                  </w14:solidFill>
                  <w14:prstDash w14:val="solid"/>
                  <w14:bevel/>
                </w14:textOutline>
              </w:rPr>
              <w:t>问题</w:t>
            </w:r>
          </w:p>
        </w:tc>
        <w:tc>
          <w:tcPr>
            <w:tcW w:w="3588" w:type="pct"/>
            <w:tcBorders>
              <w:tl2br w:val="nil"/>
              <w:tr2bl w:val="nil"/>
            </w:tcBorders>
            <w:vAlign w:val="top"/>
          </w:tcPr>
          <w:p w14:paraId="06D70EFA">
            <w:pPr>
              <w:pStyle w:val="15"/>
              <w:spacing w:before="171" w:line="228" w:lineRule="auto"/>
              <w:ind w:left="2389"/>
            </w:pPr>
            <w:r>
              <w:rPr>
                <w:spacing w:val="9"/>
                <w14:textOutline w14:w="3795" w14:cap="sq" w14:cmpd="sng">
                  <w14:solidFill>
                    <w14:srgbClr w14:val="000000"/>
                  </w14:solidFill>
                  <w14:prstDash w14:val="solid"/>
                  <w14:bevel/>
                </w14:textOutline>
              </w:rPr>
              <w:t>环境管理目标</w:t>
            </w:r>
          </w:p>
        </w:tc>
        <w:tc>
          <w:tcPr>
            <w:tcW w:w="422" w:type="pct"/>
            <w:tcBorders>
              <w:tl2br w:val="nil"/>
              <w:tr2bl w:val="nil"/>
            </w:tcBorders>
            <w:vAlign w:val="top"/>
          </w:tcPr>
          <w:p w14:paraId="2A53AE9A">
            <w:pPr>
              <w:pStyle w:val="15"/>
              <w:spacing w:before="36" w:line="233" w:lineRule="auto"/>
              <w:ind w:left="158" w:right="134" w:firstLine="5"/>
            </w:pPr>
            <w:r>
              <w:rPr>
                <w:spacing w:val="3"/>
                <w14:textOutline w14:w="3795" w14:cap="sq" w14:cmpd="sng">
                  <w14:solidFill>
                    <w14:srgbClr w14:val="000000"/>
                  </w14:solidFill>
                  <w14:prstDash w14:val="solid"/>
                  <w14:bevel/>
                </w14:textOutline>
              </w:rPr>
              <w:t>实施</w:t>
            </w:r>
            <w:r>
              <w:t xml:space="preserve"> </w:t>
            </w:r>
            <w:r>
              <w:rPr>
                <w:spacing w:val="6"/>
                <w14:textOutline w14:w="3795" w14:cap="sq" w14:cmpd="sng">
                  <w14:solidFill>
                    <w14:srgbClr w14:val="000000"/>
                  </w14:solidFill>
                  <w14:prstDash w14:val="solid"/>
                  <w14:bevel/>
                </w14:textOutline>
              </w:rPr>
              <w:t>机构</w:t>
            </w:r>
          </w:p>
        </w:tc>
        <w:tc>
          <w:tcPr>
            <w:tcW w:w="485" w:type="pct"/>
            <w:tcBorders>
              <w:tl2br w:val="nil"/>
              <w:tr2bl w:val="nil"/>
            </w:tcBorders>
            <w:vAlign w:val="top"/>
          </w:tcPr>
          <w:p w14:paraId="2C88A2F1">
            <w:pPr>
              <w:pStyle w:val="15"/>
              <w:spacing w:before="35" w:line="273" w:lineRule="exact"/>
              <w:ind w:left="217"/>
            </w:pPr>
            <w:r>
              <w:rPr>
                <w:spacing w:val="1"/>
                <w:position w:val="4"/>
                <w14:textOutline w14:w="3795" w14:cap="sq" w14:cmpd="sng">
                  <w14:solidFill>
                    <w14:srgbClr w14:val="000000"/>
                  </w14:solidFill>
                  <w14:prstDash w14:val="solid"/>
                  <w14:bevel/>
                </w14:textOutline>
              </w:rPr>
              <w:t>负责</w:t>
            </w:r>
          </w:p>
          <w:p w14:paraId="3AACB8F3">
            <w:pPr>
              <w:pStyle w:val="15"/>
              <w:spacing w:line="214" w:lineRule="auto"/>
              <w:ind w:left="208"/>
            </w:pPr>
            <w:r>
              <w:rPr>
                <w:spacing w:val="6"/>
                <w14:textOutline w14:w="3795" w14:cap="sq" w14:cmpd="sng">
                  <w14:solidFill>
                    <w14:srgbClr w14:val="000000"/>
                  </w14:solidFill>
                  <w14:prstDash w14:val="solid"/>
                  <w14:bevel/>
                </w14:textOutline>
              </w:rPr>
              <w:t>机构</w:t>
            </w:r>
          </w:p>
        </w:tc>
      </w:tr>
      <w:tr w14:paraId="3DE5D8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501" w:type="pct"/>
            <w:tcBorders>
              <w:tl2br w:val="nil"/>
              <w:tr2bl w:val="nil"/>
            </w:tcBorders>
            <w:vAlign w:val="top"/>
          </w:tcPr>
          <w:p w14:paraId="3AEBFECC">
            <w:pPr>
              <w:spacing w:line="449" w:lineRule="auto"/>
              <w:rPr>
                <w:rFonts w:ascii="Arial"/>
                <w:sz w:val="21"/>
              </w:rPr>
            </w:pPr>
          </w:p>
          <w:p w14:paraId="486A636E">
            <w:pPr>
              <w:pStyle w:val="15"/>
              <w:spacing w:before="65" w:line="271" w:lineRule="exact"/>
              <w:ind w:left="205"/>
            </w:pPr>
            <w:r>
              <w:rPr>
                <w:spacing w:val="3"/>
                <w:position w:val="4"/>
              </w:rPr>
              <w:t>大气</w:t>
            </w:r>
          </w:p>
          <w:p w14:paraId="512937D9">
            <w:pPr>
              <w:pStyle w:val="15"/>
              <w:spacing w:line="228" w:lineRule="auto"/>
              <w:ind w:left="202"/>
            </w:pPr>
            <w:r>
              <w:rPr>
                <w:spacing w:val="4"/>
              </w:rPr>
              <w:t>环境</w:t>
            </w:r>
          </w:p>
        </w:tc>
        <w:tc>
          <w:tcPr>
            <w:tcW w:w="3588" w:type="pct"/>
            <w:tcBorders>
              <w:tl2br w:val="nil"/>
              <w:tr2bl w:val="nil"/>
            </w:tcBorders>
            <w:vAlign w:val="top"/>
          </w:tcPr>
          <w:p w14:paraId="6A9C8DBA">
            <w:pPr>
              <w:pStyle w:val="15"/>
              <w:spacing w:before="109" w:line="225" w:lineRule="auto"/>
              <w:ind w:left="103"/>
            </w:pPr>
            <w:r>
              <w:rPr>
                <w:spacing w:val="9"/>
              </w:rPr>
              <w:t>①加强施工管理，提倡文明施工、集中施工、快速施工；</w:t>
            </w:r>
          </w:p>
          <w:p w14:paraId="60EBD824">
            <w:pPr>
              <w:pStyle w:val="15"/>
              <w:spacing w:before="27" w:line="239" w:lineRule="auto"/>
              <w:ind w:left="140" w:right="100" w:hanging="38"/>
            </w:pPr>
            <w:r>
              <w:rPr>
                <w:spacing w:val="8"/>
              </w:rPr>
              <w:t>②易起尘的临时堆土、运输过程中的土石方等采取密闭式防</w:t>
            </w:r>
            <w:r>
              <w:rPr>
                <w:spacing w:val="7"/>
              </w:rPr>
              <w:t>尘布</w:t>
            </w:r>
            <w:r>
              <w:t xml:space="preserve"> </w:t>
            </w:r>
            <w:r>
              <w:rPr>
                <w:spacing w:val="1"/>
              </w:rPr>
              <w:t>(网)进行苫盖；</w:t>
            </w:r>
          </w:p>
          <w:p w14:paraId="41DF161C">
            <w:pPr>
              <w:pStyle w:val="15"/>
              <w:spacing w:before="27"/>
              <w:ind w:left="108" w:right="97" w:hanging="6"/>
            </w:pPr>
            <w:r>
              <w:rPr>
                <w:spacing w:val="8"/>
              </w:rPr>
              <w:t>③工程开挖土方应集中堆放，并及时回填，减小扬尘影响时间和</w:t>
            </w:r>
            <w:r>
              <w:t xml:space="preserve"> </w:t>
            </w:r>
            <w:r>
              <w:rPr>
                <w:spacing w:val="1"/>
              </w:rPr>
              <w:t>范围。</w:t>
            </w:r>
          </w:p>
        </w:tc>
        <w:tc>
          <w:tcPr>
            <w:tcW w:w="422" w:type="pct"/>
            <w:vMerge w:val="restart"/>
            <w:tcBorders>
              <w:tl2br w:val="nil"/>
              <w:tr2bl w:val="nil"/>
            </w:tcBorders>
            <w:vAlign w:val="top"/>
          </w:tcPr>
          <w:p w14:paraId="734A028B">
            <w:pPr>
              <w:spacing w:line="243" w:lineRule="auto"/>
              <w:jc w:val="center"/>
              <w:rPr>
                <w:rFonts w:ascii="Arial"/>
                <w:sz w:val="21"/>
              </w:rPr>
            </w:pPr>
          </w:p>
          <w:p w14:paraId="23701CA0">
            <w:pPr>
              <w:spacing w:line="243" w:lineRule="auto"/>
              <w:jc w:val="center"/>
              <w:rPr>
                <w:rFonts w:ascii="Arial"/>
                <w:sz w:val="21"/>
              </w:rPr>
            </w:pPr>
          </w:p>
          <w:p w14:paraId="2FC10255">
            <w:pPr>
              <w:spacing w:line="243" w:lineRule="auto"/>
              <w:jc w:val="center"/>
              <w:rPr>
                <w:rFonts w:ascii="Arial"/>
                <w:sz w:val="21"/>
              </w:rPr>
            </w:pPr>
          </w:p>
          <w:p w14:paraId="187F9B0A">
            <w:pPr>
              <w:spacing w:line="243" w:lineRule="auto"/>
              <w:jc w:val="center"/>
              <w:rPr>
                <w:rFonts w:ascii="Arial"/>
                <w:sz w:val="21"/>
              </w:rPr>
            </w:pPr>
          </w:p>
          <w:p w14:paraId="44FA17DE">
            <w:pPr>
              <w:spacing w:line="243" w:lineRule="auto"/>
              <w:jc w:val="center"/>
              <w:rPr>
                <w:rFonts w:ascii="Arial"/>
                <w:sz w:val="21"/>
              </w:rPr>
            </w:pPr>
          </w:p>
          <w:p w14:paraId="780A3F7E">
            <w:pPr>
              <w:spacing w:line="244" w:lineRule="auto"/>
              <w:jc w:val="center"/>
              <w:rPr>
                <w:rFonts w:ascii="Arial"/>
                <w:sz w:val="21"/>
              </w:rPr>
            </w:pPr>
          </w:p>
          <w:p w14:paraId="0CA5B843">
            <w:pPr>
              <w:spacing w:line="244" w:lineRule="auto"/>
              <w:jc w:val="center"/>
              <w:rPr>
                <w:rFonts w:ascii="Arial"/>
                <w:sz w:val="21"/>
              </w:rPr>
            </w:pPr>
          </w:p>
          <w:p w14:paraId="4F8DDDB8">
            <w:pPr>
              <w:spacing w:line="244" w:lineRule="auto"/>
              <w:jc w:val="center"/>
              <w:rPr>
                <w:rFonts w:ascii="Arial"/>
                <w:sz w:val="21"/>
              </w:rPr>
            </w:pPr>
          </w:p>
          <w:p w14:paraId="277C54F1">
            <w:pPr>
              <w:pStyle w:val="15"/>
              <w:spacing w:before="65" w:line="239" w:lineRule="auto"/>
              <w:ind w:left="160" w:right="136" w:hanging="2"/>
              <w:jc w:val="center"/>
            </w:pPr>
            <w:r>
              <w:rPr>
                <w:spacing w:val="5"/>
              </w:rPr>
              <w:t>施工</w:t>
            </w:r>
            <w:r>
              <w:t xml:space="preserve"> </w:t>
            </w:r>
            <w:r>
              <w:rPr>
                <w:spacing w:val="3"/>
              </w:rPr>
              <w:t>单位</w:t>
            </w:r>
          </w:p>
        </w:tc>
        <w:tc>
          <w:tcPr>
            <w:tcW w:w="485" w:type="pct"/>
            <w:gridSpan w:val="2"/>
            <w:vMerge w:val="restart"/>
            <w:tcBorders>
              <w:tl2br w:val="nil"/>
              <w:tr2bl w:val="nil"/>
            </w:tcBorders>
            <w:vAlign w:val="top"/>
          </w:tcPr>
          <w:p w14:paraId="6F81BADB">
            <w:pPr>
              <w:spacing w:line="281" w:lineRule="auto"/>
              <w:jc w:val="center"/>
              <w:rPr>
                <w:rFonts w:ascii="Arial"/>
                <w:sz w:val="21"/>
              </w:rPr>
            </w:pPr>
          </w:p>
          <w:p w14:paraId="3168CE3D">
            <w:pPr>
              <w:spacing w:line="281" w:lineRule="auto"/>
              <w:jc w:val="center"/>
              <w:rPr>
                <w:rFonts w:ascii="Arial"/>
                <w:sz w:val="21"/>
              </w:rPr>
            </w:pPr>
          </w:p>
          <w:p w14:paraId="46D9BB35">
            <w:pPr>
              <w:spacing w:line="281" w:lineRule="auto"/>
              <w:jc w:val="center"/>
              <w:rPr>
                <w:rFonts w:ascii="Arial"/>
                <w:sz w:val="21"/>
              </w:rPr>
            </w:pPr>
          </w:p>
          <w:p w14:paraId="2F86BD14">
            <w:pPr>
              <w:spacing w:line="281" w:lineRule="auto"/>
              <w:jc w:val="center"/>
              <w:rPr>
                <w:rFonts w:ascii="Arial"/>
                <w:sz w:val="21"/>
              </w:rPr>
            </w:pPr>
          </w:p>
          <w:p w14:paraId="2FD4340F">
            <w:pPr>
              <w:spacing w:line="281" w:lineRule="auto"/>
              <w:jc w:val="center"/>
              <w:rPr>
                <w:rFonts w:ascii="Arial"/>
                <w:sz w:val="21"/>
              </w:rPr>
            </w:pPr>
          </w:p>
          <w:p w14:paraId="4AE8C129">
            <w:pPr>
              <w:pStyle w:val="15"/>
              <w:keepNext w:val="0"/>
              <w:keepLines w:val="0"/>
              <w:pageBreakBefore w:val="0"/>
              <w:widowControl/>
              <w:kinsoku w:val="0"/>
              <w:wordWrap/>
              <w:overflowPunct/>
              <w:topLinePunct w:val="0"/>
              <w:autoSpaceDE w:val="0"/>
              <w:autoSpaceDN w:val="0"/>
              <w:bidi w:val="0"/>
              <w:adjustRightInd w:val="0"/>
              <w:snapToGrid w:val="0"/>
              <w:spacing w:line="263" w:lineRule="exact"/>
              <w:ind w:left="0"/>
              <w:jc w:val="center"/>
              <w:textAlignment w:val="baseline"/>
              <w:rPr>
                <w:rFonts w:hint="eastAsia"/>
                <w:lang w:val="en-US" w:eastAsia="zh-CN"/>
              </w:rPr>
            </w:pPr>
          </w:p>
          <w:p w14:paraId="5510DBD8">
            <w:pPr>
              <w:pStyle w:val="15"/>
              <w:keepNext w:val="0"/>
              <w:keepLines w:val="0"/>
              <w:pageBreakBefore w:val="0"/>
              <w:widowControl/>
              <w:kinsoku w:val="0"/>
              <w:wordWrap/>
              <w:overflowPunct/>
              <w:topLinePunct w:val="0"/>
              <w:autoSpaceDE w:val="0"/>
              <w:autoSpaceDN w:val="0"/>
              <w:bidi w:val="0"/>
              <w:adjustRightInd w:val="0"/>
              <w:snapToGrid w:val="0"/>
              <w:spacing w:line="263" w:lineRule="exact"/>
              <w:ind w:left="0"/>
              <w:jc w:val="center"/>
              <w:textAlignment w:val="baseline"/>
              <w:rPr>
                <w:rFonts w:hint="eastAsia"/>
                <w:lang w:val="en-US" w:eastAsia="zh-CN"/>
              </w:rPr>
            </w:pPr>
          </w:p>
          <w:p w14:paraId="13562883">
            <w:pPr>
              <w:pStyle w:val="15"/>
              <w:keepNext w:val="0"/>
              <w:keepLines w:val="0"/>
              <w:pageBreakBefore w:val="0"/>
              <w:widowControl/>
              <w:kinsoku w:val="0"/>
              <w:wordWrap/>
              <w:overflowPunct/>
              <w:topLinePunct w:val="0"/>
              <w:autoSpaceDE w:val="0"/>
              <w:autoSpaceDN w:val="0"/>
              <w:bidi w:val="0"/>
              <w:adjustRightInd w:val="0"/>
              <w:snapToGrid w:val="0"/>
              <w:spacing w:line="263" w:lineRule="exact"/>
              <w:ind w:left="0"/>
              <w:jc w:val="center"/>
              <w:textAlignment w:val="baseline"/>
              <w:rPr>
                <w:rFonts w:hint="eastAsia"/>
                <w:lang w:val="en-US" w:eastAsia="zh-CN"/>
              </w:rPr>
            </w:pPr>
            <w:r>
              <w:rPr>
                <w:rFonts w:hint="eastAsia"/>
                <w:lang w:val="en-US" w:eastAsia="zh-CN"/>
              </w:rPr>
              <w:t>建设</w:t>
            </w:r>
          </w:p>
          <w:p w14:paraId="6B80D8E6">
            <w:pPr>
              <w:pStyle w:val="15"/>
              <w:keepNext w:val="0"/>
              <w:keepLines w:val="0"/>
              <w:pageBreakBefore w:val="0"/>
              <w:widowControl/>
              <w:kinsoku w:val="0"/>
              <w:wordWrap/>
              <w:overflowPunct/>
              <w:topLinePunct w:val="0"/>
              <w:autoSpaceDE w:val="0"/>
              <w:autoSpaceDN w:val="0"/>
              <w:bidi w:val="0"/>
              <w:adjustRightInd w:val="0"/>
              <w:snapToGrid w:val="0"/>
              <w:spacing w:line="263" w:lineRule="exact"/>
              <w:ind w:left="0"/>
              <w:jc w:val="center"/>
              <w:textAlignment w:val="baseline"/>
              <w:rPr>
                <w:rFonts w:hint="default" w:eastAsia="宋体"/>
                <w:lang w:val="en-US" w:eastAsia="zh-CN"/>
              </w:rPr>
            </w:pPr>
            <w:r>
              <w:rPr>
                <w:rFonts w:hint="eastAsia"/>
                <w:lang w:val="en-US" w:eastAsia="zh-CN"/>
              </w:rPr>
              <w:t>单位</w:t>
            </w:r>
          </w:p>
        </w:tc>
      </w:tr>
      <w:tr w14:paraId="755999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59" w:hRule="atLeast"/>
        </w:trPr>
        <w:tc>
          <w:tcPr>
            <w:tcW w:w="501" w:type="pct"/>
            <w:tcBorders>
              <w:tl2br w:val="nil"/>
              <w:tr2bl w:val="nil"/>
            </w:tcBorders>
            <w:vAlign w:val="top"/>
          </w:tcPr>
          <w:p w14:paraId="2A1A1EC4">
            <w:pPr>
              <w:spacing w:line="379" w:lineRule="auto"/>
              <w:rPr>
                <w:rFonts w:ascii="Arial"/>
                <w:sz w:val="21"/>
              </w:rPr>
            </w:pPr>
          </w:p>
          <w:p w14:paraId="3AF050E5">
            <w:pPr>
              <w:pStyle w:val="15"/>
              <w:spacing w:before="65" w:line="274" w:lineRule="exact"/>
              <w:ind w:left="205"/>
            </w:pPr>
            <w:r>
              <w:rPr>
                <w:spacing w:val="3"/>
                <w:position w:val="4"/>
              </w:rPr>
              <w:t>水环</w:t>
            </w:r>
          </w:p>
          <w:p w14:paraId="16410C92">
            <w:pPr>
              <w:pStyle w:val="15"/>
              <w:spacing w:line="228" w:lineRule="auto"/>
              <w:ind w:left="309"/>
            </w:pPr>
            <w:r>
              <w:t>境</w:t>
            </w:r>
          </w:p>
        </w:tc>
        <w:tc>
          <w:tcPr>
            <w:tcW w:w="3588" w:type="pct"/>
            <w:tcBorders>
              <w:tl2br w:val="nil"/>
              <w:tr2bl w:val="nil"/>
            </w:tcBorders>
            <w:vAlign w:val="top"/>
          </w:tcPr>
          <w:p w14:paraId="1CD4E2EA">
            <w:pPr>
              <w:pStyle w:val="15"/>
              <w:spacing w:before="39"/>
              <w:ind w:left="108" w:right="103" w:hanging="5"/>
            </w:pPr>
            <w:r>
              <w:rPr>
                <w:spacing w:val="8"/>
              </w:rPr>
              <w:t>①工程取水要提前报告水利部门，需在批准后的指</w:t>
            </w:r>
            <w:r>
              <w:rPr>
                <w:spacing w:val="7"/>
              </w:rPr>
              <w:t>定地点取水，</w:t>
            </w:r>
            <w:r>
              <w:t xml:space="preserve"> </w:t>
            </w:r>
            <w:r>
              <w:rPr>
                <w:spacing w:val="7"/>
              </w:rPr>
              <w:t>并做好安全环保防护工作；</w:t>
            </w:r>
          </w:p>
          <w:p w14:paraId="61CC591F">
            <w:pPr>
              <w:pStyle w:val="15"/>
              <w:spacing w:before="25" w:line="225" w:lineRule="auto"/>
              <w:ind w:left="102"/>
            </w:pPr>
            <w:r>
              <w:rPr>
                <w:spacing w:val="8"/>
              </w:rPr>
              <w:t>②施工废水严禁排入地表水体；</w:t>
            </w:r>
          </w:p>
          <w:p w14:paraId="512678D6">
            <w:pPr>
              <w:pStyle w:val="15"/>
              <w:spacing w:before="28" w:line="227" w:lineRule="auto"/>
              <w:ind w:left="105" w:right="97" w:hanging="3"/>
            </w:pPr>
            <w:r>
              <w:rPr>
                <w:spacing w:val="8"/>
              </w:rPr>
              <w:t>③实施施工期环境监督工作，做好施工人员的环保教育工作，提</w:t>
            </w:r>
            <w:r>
              <w:t xml:space="preserve"> </w:t>
            </w:r>
            <w:r>
              <w:rPr>
                <w:spacing w:val="7"/>
              </w:rPr>
              <w:t>倡文明施工、保护水体。</w:t>
            </w:r>
          </w:p>
        </w:tc>
        <w:tc>
          <w:tcPr>
            <w:tcW w:w="422" w:type="pct"/>
            <w:vMerge w:val="continue"/>
            <w:tcBorders>
              <w:tl2br w:val="nil"/>
              <w:tr2bl w:val="nil"/>
            </w:tcBorders>
            <w:vAlign w:val="top"/>
          </w:tcPr>
          <w:p w14:paraId="32D0ED0A">
            <w:pPr>
              <w:rPr>
                <w:rFonts w:ascii="Arial"/>
                <w:sz w:val="21"/>
              </w:rPr>
            </w:pPr>
          </w:p>
        </w:tc>
        <w:tc>
          <w:tcPr>
            <w:tcW w:w="485" w:type="pct"/>
            <w:gridSpan w:val="2"/>
            <w:vMerge w:val="continue"/>
            <w:tcBorders>
              <w:tl2br w:val="nil"/>
              <w:tr2bl w:val="nil"/>
            </w:tcBorders>
            <w:vAlign w:val="top"/>
          </w:tcPr>
          <w:p w14:paraId="6FA38C73">
            <w:pPr>
              <w:rPr>
                <w:rFonts w:ascii="Arial"/>
                <w:sz w:val="21"/>
              </w:rPr>
            </w:pPr>
          </w:p>
        </w:tc>
      </w:tr>
      <w:tr w14:paraId="2FAA68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501" w:type="pct"/>
            <w:tcBorders>
              <w:tl2br w:val="nil"/>
              <w:tr2bl w:val="nil"/>
            </w:tcBorders>
            <w:vAlign w:val="top"/>
          </w:tcPr>
          <w:p w14:paraId="53792CEF">
            <w:pPr>
              <w:spacing w:line="261" w:lineRule="auto"/>
              <w:rPr>
                <w:rFonts w:ascii="Arial"/>
                <w:sz w:val="21"/>
              </w:rPr>
            </w:pPr>
          </w:p>
          <w:p w14:paraId="4D8723D8">
            <w:pPr>
              <w:spacing w:line="261" w:lineRule="auto"/>
              <w:rPr>
                <w:rFonts w:ascii="Arial"/>
                <w:sz w:val="21"/>
              </w:rPr>
            </w:pPr>
          </w:p>
          <w:p w14:paraId="1A34B64B">
            <w:pPr>
              <w:pStyle w:val="15"/>
              <w:spacing w:before="65" w:line="273" w:lineRule="exact"/>
              <w:ind w:left="204"/>
            </w:pPr>
            <w:r>
              <w:rPr>
                <w:spacing w:val="3"/>
                <w:position w:val="4"/>
              </w:rPr>
              <w:t>生态</w:t>
            </w:r>
          </w:p>
          <w:p w14:paraId="267DEE2B">
            <w:pPr>
              <w:pStyle w:val="15"/>
              <w:spacing w:line="228" w:lineRule="auto"/>
              <w:ind w:left="202"/>
            </w:pPr>
            <w:r>
              <w:rPr>
                <w:spacing w:val="4"/>
              </w:rPr>
              <w:t>环境</w:t>
            </w:r>
          </w:p>
        </w:tc>
        <w:tc>
          <w:tcPr>
            <w:tcW w:w="3588" w:type="pct"/>
            <w:tcBorders>
              <w:tl2br w:val="nil"/>
              <w:tr2bl w:val="nil"/>
            </w:tcBorders>
            <w:vAlign w:val="top"/>
          </w:tcPr>
          <w:p w14:paraId="1CDD0F5D">
            <w:pPr>
              <w:pStyle w:val="15"/>
              <w:spacing w:before="47" w:line="238" w:lineRule="auto"/>
              <w:ind w:left="102" w:right="1156"/>
            </w:pPr>
            <w:r>
              <w:rPr>
                <w:spacing w:val="7"/>
              </w:rPr>
              <w:t>①严格划定项目区施工作业区边界，严禁超界占用；</w:t>
            </w:r>
            <w:r>
              <w:rPr>
                <w:spacing w:val="3"/>
              </w:rPr>
              <w:t xml:space="preserve"> </w:t>
            </w:r>
            <w:r>
              <w:rPr>
                <w:spacing w:val="9"/>
              </w:rPr>
              <w:t>②减少临时占地，做好临时占用地的恢复工作；</w:t>
            </w:r>
          </w:p>
          <w:p w14:paraId="64BCF98F">
            <w:pPr>
              <w:pStyle w:val="15"/>
              <w:spacing w:before="27" w:line="225" w:lineRule="auto"/>
              <w:ind w:left="102"/>
            </w:pPr>
            <w:r>
              <w:rPr>
                <w:spacing w:val="8"/>
              </w:rPr>
              <w:t>③保护植被，及时恢复破坏的地表；</w:t>
            </w:r>
          </w:p>
          <w:p w14:paraId="68F524A3">
            <w:pPr>
              <w:pStyle w:val="15"/>
              <w:spacing w:before="29" w:line="225" w:lineRule="auto"/>
              <w:ind w:left="102"/>
            </w:pPr>
            <w:r>
              <w:rPr>
                <w:spacing w:val="9"/>
              </w:rPr>
              <w:t>④做好渠道边坡、弃土场的水土保持工作，防治水土流失；</w:t>
            </w:r>
          </w:p>
          <w:p w14:paraId="2B653C02">
            <w:pPr>
              <w:pStyle w:val="15"/>
              <w:spacing w:before="26" w:line="235" w:lineRule="auto"/>
              <w:ind w:left="102" w:right="86"/>
            </w:pPr>
            <w:r>
              <w:rPr>
                <w:spacing w:val="8"/>
              </w:rPr>
              <w:t>⑤做好林地占用审批工作，按照占补平衡原则、补偿占用林地；</w:t>
            </w:r>
            <w:r>
              <w:rPr>
                <w:spacing w:val="11"/>
              </w:rPr>
              <w:t xml:space="preserve"> </w:t>
            </w:r>
            <w:r>
              <w:rPr>
                <w:spacing w:val="8"/>
              </w:rPr>
              <w:t>⑥严禁任何人员捕野生动物，禁止在野生动物活动区域内施工。</w:t>
            </w:r>
          </w:p>
        </w:tc>
        <w:tc>
          <w:tcPr>
            <w:tcW w:w="422" w:type="pct"/>
            <w:vMerge w:val="continue"/>
            <w:tcBorders>
              <w:tl2br w:val="nil"/>
              <w:tr2bl w:val="nil"/>
            </w:tcBorders>
            <w:vAlign w:val="top"/>
          </w:tcPr>
          <w:p w14:paraId="05964405">
            <w:pPr>
              <w:rPr>
                <w:rFonts w:ascii="Arial"/>
                <w:sz w:val="21"/>
              </w:rPr>
            </w:pPr>
          </w:p>
        </w:tc>
        <w:tc>
          <w:tcPr>
            <w:tcW w:w="485" w:type="pct"/>
            <w:gridSpan w:val="2"/>
            <w:vMerge w:val="continue"/>
            <w:tcBorders>
              <w:tl2br w:val="nil"/>
              <w:tr2bl w:val="nil"/>
            </w:tcBorders>
            <w:vAlign w:val="top"/>
          </w:tcPr>
          <w:p w14:paraId="30D05E61">
            <w:pPr>
              <w:rPr>
                <w:rFonts w:ascii="Arial"/>
                <w:sz w:val="21"/>
              </w:rPr>
            </w:pPr>
          </w:p>
        </w:tc>
      </w:tr>
    </w:tbl>
    <w:p w14:paraId="37A18E73">
      <w:pPr>
        <w:spacing w:before="36" w:line="220" w:lineRule="auto"/>
        <w:ind w:left="14"/>
        <w:outlineLvl w:val="3"/>
        <w:rPr>
          <w:rFonts w:ascii="宋体" w:hAnsi="宋体" w:eastAsia="宋体" w:cs="宋体"/>
          <w:sz w:val="24"/>
          <w:szCs w:val="24"/>
        </w:rPr>
      </w:pPr>
      <w:r>
        <w:rPr>
          <w:b/>
          <w:bCs/>
        </w:rPr>
        <w:fldChar w:fldCharType="begin"/>
      </w:r>
      <w:r>
        <w:rPr>
          <w:b/>
          <w:bCs/>
        </w:rPr>
        <w:instrText xml:space="preserve"> HYPERLINK "8.2.2.2" </w:instrText>
      </w:r>
      <w:r>
        <w:rPr>
          <w:b/>
          <w:bCs/>
        </w:rPr>
        <w:fldChar w:fldCharType="separate"/>
      </w:r>
      <w:r>
        <w:rPr>
          <w:rFonts w:ascii="宋体" w:hAnsi="宋体" w:eastAsia="宋体" w:cs="宋体"/>
          <w:b/>
          <w:bCs/>
          <w:spacing w:val="-1"/>
          <w:sz w:val="24"/>
          <w:szCs w:val="24"/>
          <w14:textOutline w14:w="4358" w14:cap="sq" w14:cmpd="sng">
            <w14:solidFill>
              <w14:srgbClr w14:val="000000"/>
            </w14:solidFill>
            <w14:prstDash w14:val="solid"/>
            <w14:bevel/>
          </w14:textOutline>
        </w:rPr>
        <w:t>8.2.2.2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b/>
          <w:bCs/>
          <w:spacing w:val="-1"/>
          <w:sz w:val="24"/>
          <w:szCs w:val="24"/>
          <w:lang w:val="en-US" w:eastAsia="zh-CN"/>
          <w14:textOutline w14:w="4358" w14:cap="sq" w14:cmpd="sng">
            <w14:solidFill>
              <w14:srgbClr w14:val="000000"/>
            </w14:solidFill>
            <w14:prstDash w14:val="solid"/>
            <w14:bevel/>
          </w14:textOutline>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运营期环境监测</w:t>
      </w:r>
    </w:p>
    <w:p w14:paraId="63A5E5D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pacing w:val="-6"/>
          <w:sz w:val="24"/>
          <w:szCs w:val="24"/>
        </w:rPr>
      </w:pPr>
      <w:r>
        <w:rPr>
          <w:rFonts w:ascii="宋体" w:hAnsi="宋体" w:eastAsia="宋体" w:cs="宋体"/>
          <w:spacing w:val="-6"/>
          <w:sz w:val="24"/>
          <w:szCs w:val="24"/>
        </w:rPr>
        <w:t>运营期主要对水质、水量等进行监测,见表 8-2-4。项目环境监测工作委托有资质的监测单位负责，监测成果每年上报当地生态环境局，定期进行环境质量分析。</w:t>
      </w:r>
    </w:p>
    <w:p w14:paraId="3DA187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pacing w:val="-6"/>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1</w:t>
      </w:r>
      <w:r>
        <w:rPr>
          <w:rFonts w:hint="eastAsia" w:ascii="宋体" w:hAnsi="宋体" w:eastAsia="宋体" w:cs="宋体"/>
          <w:spacing w:val="-6"/>
          <w:sz w:val="24"/>
          <w:szCs w:val="24"/>
          <w:lang w:eastAsia="zh-CN"/>
        </w:rPr>
        <w:t>）</w:t>
      </w:r>
      <w:r>
        <w:rPr>
          <w:rFonts w:ascii="宋体" w:hAnsi="宋体" w:eastAsia="宋体" w:cs="宋体"/>
          <w:spacing w:val="-6"/>
          <w:sz w:val="24"/>
          <w:szCs w:val="24"/>
        </w:rPr>
        <w:t>水质、水量监测断面设置在渠道防渗改建工程段下游处，以便于控制。水质监测项目包括：PH、CODcr 、BOD、溶解氧、石油类、悬浮物、粪大肠菌群七项。</w:t>
      </w:r>
    </w:p>
    <w:p w14:paraId="23335B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pacing w:val="-6"/>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lang w:eastAsia="zh-CN"/>
        </w:rPr>
        <w:t>）</w:t>
      </w:r>
      <w:r>
        <w:rPr>
          <w:rFonts w:ascii="宋体" w:hAnsi="宋体" w:eastAsia="宋体" w:cs="宋体"/>
          <w:spacing w:val="-6"/>
          <w:sz w:val="24"/>
          <w:szCs w:val="24"/>
        </w:rPr>
        <w:t>生态环境监测主要是针对渠道沿线生态环境、植被的恢复、水土流失、治理措施等情况进行调查。</w:t>
      </w:r>
    </w:p>
    <w:p w14:paraId="69A1AA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pacing w:val="-6"/>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lang w:eastAsia="zh-CN"/>
        </w:rPr>
        <w:t>）</w:t>
      </w:r>
      <w:r>
        <w:rPr>
          <w:rFonts w:ascii="宋体" w:hAnsi="宋体" w:eastAsia="宋体" w:cs="宋体"/>
          <w:spacing w:val="-6"/>
          <w:sz w:val="24"/>
          <w:szCs w:val="24"/>
        </w:rPr>
        <w:t>地下水位监测</w:t>
      </w:r>
    </w:p>
    <w:p w14:paraId="312103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pacing w:val="-6"/>
          <w:sz w:val="24"/>
          <w:szCs w:val="24"/>
        </w:rPr>
      </w:pPr>
      <w:r>
        <w:rPr>
          <w:rFonts w:ascii="宋体" w:hAnsi="宋体" w:eastAsia="宋体" w:cs="宋体"/>
          <w:spacing w:val="-6"/>
          <w:sz w:val="24"/>
          <w:szCs w:val="24"/>
        </w:rPr>
        <w:t>为了防治地下水位的抬升引起土壤次生盐渍化，建议运营单位在灌区统一布置地下水位观测井（不列入本工程环保投资），进行地下水位动态监测，监测周期结合灌区用水期按每年灌溉前、灌溉用水高峰期、灌溉用水低谷期，连续监测。</w:t>
      </w:r>
    </w:p>
    <w:p w14:paraId="78EF25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pacing w:val="-6"/>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4</w:t>
      </w:r>
      <w:r>
        <w:rPr>
          <w:rFonts w:hint="eastAsia" w:ascii="宋体" w:hAnsi="宋体" w:eastAsia="宋体" w:cs="宋体"/>
          <w:spacing w:val="-6"/>
          <w:sz w:val="24"/>
          <w:szCs w:val="24"/>
          <w:lang w:eastAsia="zh-CN"/>
        </w:rPr>
        <w:t>）</w:t>
      </w:r>
      <w:r>
        <w:rPr>
          <w:rFonts w:ascii="宋体" w:hAnsi="宋体" w:eastAsia="宋体" w:cs="宋体"/>
          <w:spacing w:val="-6"/>
          <w:sz w:val="24"/>
          <w:szCs w:val="24"/>
        </w:rPr>
        <w:t>土壤次生盐渍化监测</w:t>
      </w:r>
    </w:p>
    <w:p w14:paraId="673053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z w:val="24"/>
          <w:szCs w:val="24"/>
        </w:rPr>
      </w:pPr>
      <w:r>
        <w:rPr>
          <w:rFonts w:ascii="宋体" w:hAnsi="宋体" w:eastAsia="宋体" w:cs="宋体"/>
          <w:spacing w:val="-6"/>
          <w:sz w:val="24"/>
          <w:szCs w:val="24"/>
        </w:rPr>
        <w:t>对灌区土壤进行次生盐渍化监测，建立固定的监测点位（不列入本工程环保投资），以监测灌区的土壤积盐动态。</w:t>
      </w:r>
    </w:p>
    <w:p w14:paraId="0B5FF09B">
      <w:pPr>
        <w:pStyle w:val="3"/>
        <w:spacing w:line="297" w:lineRule="auto"/>
      </w:pPr>
    </w:p>
    <w:p w14:paraId="1CB5532D">
      <w:pPr>
        <w:spacing w:before="92" w:line="220" w:lineRule="auto"/>
        <w:ind w:left="16"/>
        <w:outlineLvl w:val="2"/>
        <w:rPr>
          <w:rFonts w:ascii="宋体" w:hAnsi="宋体" w:eastAsia="宋体" w:cs="宋体"/>
          <w:b/>
          <w:bCs/>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8.2.3</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竣工验收计划</w:t>
      </w:r>
    </w:p>
    <w:p w14:paraId="7420CB5B">
      <w:pPr>
        <w:spacing w:line="360" w:lineRule="auto"/>
        <w:ind w:left="0" w:firstLine="468" w:firstLineChars="200"/>
        <w:outlineLvl w:val="0"/>
        <w:rPr>
          <w:rFonts w:ascii="宋体" w:hAnsi="宋体" w:eastAsia="宋体" w:cs="宋体"/>
          <w:spacing w:val="-3"/>
          <w:sz w:val="24"/>
          <w:szCs w:val="24"/>
        </w:rPr>
      </w:pPr>
      <w:r>
        <w:rPr>
          <w:rFonts w:ascii="宋体" w:hAnsi="宋体" w:eastAsia="宋体" w:cs="宋体"/>
          <w:spacing w:val="-3"/>
          <w:sz w:val="24"/>
          <w:szCs w:val="24"/>
        </w:rPr>
        <w:t>本工程竣工“三同时</w:t>
      </w:r>
      <w:r>
        <w:rPr>
          <w:rFonts w:ascii="宋体" w:hAnsi="宋体" w:eastAsia="宋体" w:cs="宋体"/>
          <w:spacing w:val="-73"/>
          <w:sz w:val="24"/>
          <w:szCs w:val="24"/>
        </w:rPr>
        <w:t xml:space="preserve"> </w:t>
      </w:r>
      <w:r>
        <w:rPr>
          <w:rFonts w:ascii="宋体" w:hAnsi="宋体" w:eastAsia="宋体" w:cs="宋体"/>
          <w:spacing w:val="-3"/>
          <w:sz w:val="24"/>
          <w:szCs w:val="24"/>
        </w:rPr>
        <w:t>”验收计划详见表</w:t>
      </w:r>
      <w:r>
        <w:rPr>
          <w:rFonts w:ascii="宋体" w:hAnsi="宋体" w:eastAsia="宋体" w:cs="宋体"/>
          <w:spacing w:val="-50"/>
          <w:sz w:val="24"/>
          <w:szCs w:val="24"/>
        </w:rPr>
        <w:t xml:space="preserve"> </w:t>
      </w:r>
      <w:r>
        <w:rPr>
          <w:rFonts w:ascii="宋体" w:hAnsi="宋体" w:eastAsia="宋体" w:cs="宋体"/>
          <w:spacing w:val="-3"/>
          <w:sz w:val="24"/>
          <w:szCs w:val="24"/>
        </w:rPr>
        <w:t>8-2-5。</w:t>
      </w:r>
    </w:p>
    <w:p w14:paraId="697659B3">
      <w:pPr>
        <w:spacing w:before="314" w:line="360" w:lineRule="auto"/>
        <w:ind w:left="16"/>
        <w:outlineLvl w:val="0"/>
        <w:rPr>
          <w:rFonts w:ascii="宋体" w:hAnsi="宋体" w:eastAsia="宋体" w:cs="宋体"/>
          <w:spacing w:val="-3"/>
          <w:sz w:val="24"/>
          <w:szCs w:val="24"/>
        </w:rPr>
      </w:pPr>
    </w:p>
    <w:p w14:paraId="55911216">
      <w:pPr>
        <w:spacing w:before="314" w:line="226" w:lineRule="auto"/>
        <w:ind w:left="16"/>
        <w:outlineLvl w:val="0"/>
        <w:rPr>
          <w:rFonts w:hint="eastAsia" w:ascii="黑体" w:hAnsi="黑体" w:eastAsia="黑体" w:cs="黑体"/>
          <w:spacing w:val="-1"/>
          <w:sz w:val="32"/>
          <w:szCs w:val="32"/>
          <w14:textOutline w14:w="5793" w14:cap="sq" w14:cmpd="sng">
            <w14:solidFill>
              <w14:srgbClr w14:val="000000"/>
            </w14:solidFill>
            <w14:prstDash w14:val="solid"/>
            <w14:bevel/>
          </w14:textOutline>
        </w:rPr>
      </w:pPr>
    </w:p>
    <w:p w14:paraId="2FBF84A2">
      <w:pPr>
        <w:spacing w:before="314" w:line="226" w:lineRule="auto"/>
        <w:ind w:left="16"/>
        <w:outlineLvl w:val="0"/>
        <w:rPr>
          <w:rFonts w:hint="eastAsia" w:ascii="黑体" w:hAnsi="黑体" w:eastAsia="黑体" w:cs="黑体"/>
          <w:sz w:val="32"/>
          <w:szCs w:val="32"/>
        </w:rPr>
      </w:pPr>
      <w:r>
        <w:rPr>
          <w:rFonts w:hint="eastAsia" w:ascii="黑体" w:hAnsi="黑体" w:eastAsia="黑体" w:cs="黑体"/>
          <w:spacing w:val="-1"/>
          <w:sz w:val="32"/>
          <w:szCs w:val="32"/>
          <w14:textOutline w14:w="5793" w14:cap="sq" w14:cmpd="sng">
            <w14:solidFill>
              <w14:srgbClr w14:val="000000"/>
            </w14:solidFill>
            <w14:prstDash w14:val="solid"/>
            <w14:bevel/>
          </w14:textOutline>
        </w:rPr>
        <w:t>9</w:t>
      </w:r>
      <w:r>
        <w:rPr>
          <w:rFonts w:hint="eastAsia" w:ascii="黑体" w:hAnsi="黑体" w:eastAsia="黑体" w:cs="黑体"/>
          <w:spacing w:val="-1"/>
          <w:sz w:val="32"/>
          <w:szCs w:val="32"/>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spacing w:val="-1"/>
          <w:sz w:val="32"/>
          <w:szCs w:val="32"/>
          <w14:textOutline w14:w="5793" w14:cap="sq" w14:cmpd="sng">
            <w14:solidFill>
              <w14:srgbClr w14:val="000000"/>
            </w14:solidFill>
            <w14:prstDash w14:val="solid"/>
            <w14:bevel/>
          </w14:textOutline>
        </w:rPr>
        <w:t>结论</w:t>
      </w:r>
    </w:p>
    <w:p w14:paraId="467E1C09">
      <w:pPr>
        <w:spacing w:before="239" w:line="219" w:lineRule="auto"/>
        <w:ind w:left="15"/>
        <w:outlineLvl w:val="1"/>
        <w:rPr>
          <w:rFonts w:ascii="宋体" w:hAnsi="宋体" w:eastAsia="宋体" w:cs="宋体"/>
          <w:sz w:val="30"/>
          <w:szCs w:val="30"/>
        </w:rPr>
      </w:pPr>
      <w:r>
        <w:rPr>
          <w:rFonts w:hint="eastAsia" w:ascii="黑体" w:hAnsi="黑体" w:eastAsia="黑体" w:cs="黑体"/>
          <w:spacing w:val="2"/>
          <w:sz w:val="30"/>
          <w:szCs w:val="30"/>
          <w14:textOutline w14:w="5448" w14:cap="sq" w14:cmpd="sng">
            <w14:solidFill>
              <w14:srgbClr w14:val="000000"/>
            </w14:solidFill>
            <w14:prstDash w14:val="solid"/>
            <w14:bevel/>
          </w14:textOutline>
        </w:rPr>
        <w:t>9.1</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工程概况</w:t>
      </w:r>
    </w:p>
    <w:p w14:paraId="293C2C88">
      <w:pPr>
        <w:keepNext w:val="0"/>
        <w:keepLines w:val="0"/>
        <w:pageBreakBefore w:val="0"/>
        <w:widowControl/>
        <w:kinsoku w:val="0"/>
        <w:wordWrap/>
        <w:overflowPunct/>
        <w:topLinePunct w:val="0"/>
        <w:autoSpaceDE w:val="0"/>
        <w:autoSpaceDN w:val="0"/>
        <w:bidi w:val="0"/>
        <w:adjustRightInd w:val="0"/>
        <w:snapToGrid w:val="0"/>
        <w:spacing w:before="1" w:line="360" w:lineRule="auto"/>
        <w:ind w:left="33" w:firstLine="460" w:firstLineChars="200"/>
        <w:textAlignment w:val="baseline"/>
        <w:rPr>
          <w:rFonts w:ascii="宋体" w:hAnsi="宋体" w:eastAsia="宋体" w:cs="宋体"/>
          <w:sz w:val="24"/>
          <w:szCs w:val="24"/>
        </w:rPr>
      </w:pPr>
      <w:r>
        <w:rPr>
          <w:rFonts w:ascii="宋体" w:hAnsi="宋体" w:eastAsia="宋体" w:cs="宋体"/>
          <w:spacing w:val="-5"/>
          <w:sz w:val="24"/>
          <w:szCs w:val="24"/>
        </w:rPr>
        <w:t>本</w:t>
      </w:r>
      <w:r>
        <w:rPr>
          <w:rFonts w:hint="eastAsia" w:ascii="宋体" w:hAnsi="宋体" w:eastAsia="宋体" w:cs="宋体"/>
          <w:spacing w:val="-5"/>
          <w:sz w:val="24"/>
          <w:szCs w:val="24"/>
          <w:lang w:val="en-US" w:eastAsia="zh-CN"/>
        </w:rPr>
        <w:t>项目为</w:t>
      </w:r>
      <w:r>
        <w:rPr>
          <w:rFonts w:hint="eastAsia" w:ascii="宋体" w:hAnsi="宋体" w:eastAsia="宋体" w:cs="宋体"/>
          <w:color w:val="auto"/>
          <w:spacing w:val="-4"/>
          <w:sz w:val="24"/>
          <w:szCs w:val="24"/>
          <w:highlight w:val="none"/>
          <w:lang w:val="en-US" w:eastAsia="zh-CN"/>
        </w:rPr>
        <w:t>艾丁湖生态保护治理项目（二期），</w:t>
      </w:r>
      <w:r>
        <w:rPr>
          <w:rFonts w:ascii="宋体" w:hAnsi="宋体" w:eastAsia="宋体" w:cs="宋体"/>
          <w:spacing w:val="-5"/>
          <w:sz w:val="24"/>
          <w:szCs w:val="24"/>
        </w:rPr>
        <w:t>主要建设内容</w:t>
      </w:r>
      <w:r>
        <w:rPr>
          <w:rFonts w:hint="eastAsia" w:ascii="宋体" w:hAnsi="宋体" w:eastAsia="宋体" w:cs="宋体"/>
          <w:color w:val="000000" w:themeColor="text1"/>
          <w:spacing w:val="1"/>
          <w:sz w:val="24"/>
          <w:szCs w:val="24"/>
          <w14:textFill>
            <w14:solidFill>
              <w14:schemeClr w14:val="tx1"/>
            </w14:solidFill>
          </w14:textFill>
        </w:rPr>
        <w:t>包括3个方面:</w:t>
      </w:r>
      <w:r>
        <w:rPr>
          <w:rFonts w:hint="eastAsia" w:ascii="宋体" w:hAnsi="宋体" w:eastAsia="宋体" w:cs="宋体"/>
          <w:b/>
          <w:bCs/>
          <w:color w:val="000000" w:themeColor="text1"/>
          <w:spacing w:val="1"/>
          <w:sz w:val="24"/>
          <w:szCs w:val="24"/>
          <w14:textFill>
            <w14:solidFill>
              <w14:schemeClr w14:val="tx1"/>
            </w14:solidFill>
          </w14:textFill>
        </w:rPr>
        <w:t>水资源配置工程</w:t>
      </w:r>
      <w:r>
        <w:rPr>
          <w:rFonts w:hint="eastAsia" w:ascii="宋体" w:hAnsi="宋体" w:eastAsia="宋体" w:cs="宋体"/>
          <w:color w:val="000000" w:themeColor="text1"/>
          <w:spacing w:val="1"/>
          <w:sz w:val="24"/>
          <w:szCs w:val="24"/>
          <w14:textFill>
            <w14:solidFill>
              <w14:schemeClr w14:val="tx1"/>
            </w14:solidFill>
          </w14:textFill>
        </w:rPr>
        <w:t>:本工程主要包含6个子工程，①高昌区黑沟至煤窑沟河引水工程，该工程主要建设地点在高昌区，主要为引黑沟渠首冬闲水，提高地表水利用，管道长度 22km，采用 DN600 球墨铸铁管。②高昌区木头沟至艾丁湖引水工程，该工程建设地点在高昌区，主要引火焰山渠首处冬闲水至艾丁湖生态区，管道长度 23km，采用DN700玻璃钢管，修建10km土渠。③托克逊县阿拉沟至白杨河引水工程，该工程建设地点在托克逊县，主要建设任务为改造输水渠道 15km 并沿程配套附属建筑物。④高昌区坎儿井保护工程，对艾丁湖生态区高昌区各乡镇改造加固56条坎儿井，并利用冬闲水对地下水进行回补。⑤鄯善县坎儿井保护工程，对艾丁湖生态区鄯善县各乡镇改造加固21条坎儿井，并利用冬闲水对地下水进行回补。⑥托克逊县坎儿井保护工程，对艾丁湖生态区托克逊县各乡镇改造加固22条坎儿井，并利用冬闲水对地下水进行回补。</w:t>
      </w:r>
      <w:r>
        <w:rPr>
          <w:rFonts w:hint="eastAsia" w:ascii="宋体" w:hAnsi="宋体" w:eastAsia="宋体" w:cs="宋体"/>
          <w:b/>
          <w:bCs/>
          <w:color w:val="000000" w:themeColor="text1"/>
          <w:spacing w:val="1"/>
          <w:sz w:val="24"/>
          <w:szCs w:val="24"/>
          <w14:textFill>
            <w14:solidFill>
              <w14:schemeClr w14:val="tx1"/>
            </w14:solidFill>
          </w14:textFill>
        </w:rPr>
        <w:t>节水工程:</w:t>
      </w:r>
      <w:r>
        <w:rPr>
          <w:rFonts w:hint="eastAsia" w:ascii="宋体" w:hAnsi="宋体" w:eastAsia="宋体" w:cs="宋体"/>
          <w:color w:val="000000" w:themeColor="text1"/>
          <w:spacing w:val="1"/>
          <w:sz w:val="24"/>
          <w:szCs w:val="24"/>
          <w14:textFill>
            <w14:solidFill>
              <w14:schemeClr w14:val="tx1"/>
            </w14:solidFill>
          </w14:textFill>
        </w:rPr>
        <w:t>本工程主要包含5个子工程，①阿拉沟大型灌区配套改造该工程项目区位于托克逊县，主要对灌区内干、支渠道107.82km 及附属建筑物等进行改造。②高昌区农田防渗渠改造及渠系配套工程，该工程项目区位于高昌区,主要对艾丁湖生态区高昌区各乡镇184.0km 渠道及附属建筑物建进行改造。③鄯善县农田防渗渠改造及渠系配套工程，该工程项目区位于鄯善县，主要对艾丁湖生态区鄯善县各乡镇416.88km 渠道及附属建筑物建进行改造。④托克逊县农田防渗渠改造及渠系配套工程，该工程项目区位于托克逊县，主要对艾丁湖生态区托克逊县各乡镇103.0km渠道及附属建筑物建进行改造。⑤吐鲁番市水资源管理系统及计量设施工程，该工程项目区高昌区、鄯善县、托克逊县，主要建设任务为安装地下水、地表水计量设施1990处(高昌区740处、鄯善县500处、托克逊县 750处)。</w:t>
      </w:r>
      <w:r>
        <w:rPr>
          <w:rFonts w:hint="eastAsia" w:ascii="宋体" w:hAnsi="宋体" w:eastAsia="宋体" w:cs="宋体"/>
          <w:b/>
          <w:bCs/>
          <w:color w:val="000000" w:themeColor="text1"/>
          <w:spacing w:val="1"/>
          <w:sz w:val="24"/>
          <w:szCs w:val="24"/>
          <w14:textFill>
            <w14:solidFill>
              <w14:schemeClr w14:val="tx1"/>
            </w14:solidFill>
          </w14:textFill>
        </w:rPr>
        <w:t>生态环境保护工程</w:t>
      </w:r>
      <w:r>
        <w:rPr>
          <w:rFonts w:hint="eastAsia" w:ascii="宋体" w:hAnsi="宋体" w:eastAsia="宋体" w:cs="宋体"/>
          <w:color w:val="000000" w:themeColor="text1"/>
          <w:spacing w:val="1"/>
          <w:sz w:val="24"/>
          <w:szCs w:val="24"/>
          <w14:textFill>
            <w14:solidFill>
              <w14:schemeClr w14:val="tx1"/>
            </w14:solidFill>
          </w14:textFill>
        </w:rPr>
        <w:t>:水源地保护工程，该工程项目区高昌区、鄯善县、托克逊县，对高昌区8处、鄯善县4处、托克逊县6处水源地修建防护栏和标识惮</w:t>
      </w:r>
      <w:r>
        <w:rPr>
          <w:rFonts w:ascii="宋体" w:hAnsi="宋体" w:eastAsia="宋体" w:cs="宋体"/>
          <w:spacing w:val="-3"/>
          <w:sz w:val="24"/>
          <w:szCs w:val="24"/>
        </w:rPr>
        <w:t>。</w:t>
      </w:r>
    </w:p>
    <w:p w14:paraId="5F0046BF">
      <w:pPr>
        <w:spacing w:before="98" w:line="219" w:lineRule="auto"/>
        <w:ind w:left="15"/>
        <w:outlineLvl w:val="1"/>
        <w:rPr>
          <w:rFonts w:ascii="宋体" w:hAnsi="宋体" w:eastAsia="宋体" w:cs="宋体"/>
          <w:sz w:val="30"/>
          <w:szCs w:val="30"/>
        </w:rPr>
      </w:pPr>
      <w:bookmarkStart w:id="42" w:name="bookmark42"/>
      <w:bookmarkEnd w:id="42"/>
      <w:r>
        <w:rPr>
          <w:rFonts w:hint="eastAsia" w:ascii="黑体" w:hAnsi="黑体" w:eastAsia="黑体" w:cs="黑体"/>
          <w:spacing w:val="1"/>
          <w:sz w:val="30"/>
          <w:szCs w:val="30"/>
          <w14:textOutline w14:w="5448" w14:cap="sq" w14:cmpd="sng">
            <w14:solidFill>
              <w14:srgbClr w14:val="000000"/>
            </w14:solidFill>
            <w14:prstDash w14:val="solid"/>
            <w14:bevel/>
          </w14:textOutline>
        </w:rPr>
        <w:t>9.2</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工程与产业政策、相关规划的符合性分析</w:t>
      </w:r>
    </w:p>
    <w:p w14:paraId="4C5D36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（1）工程与产业政策的相符性分析</w:t>
      </w:r>
    </w:p>
    <w:p w14:paraId="4487FF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本工程为</w:t>
      </w:r>
      <w:r>
        <w:rPr>
          <w:rFonts w:hint="eastAsia" w:ascii="宋体" w:hAnsi="宋体" w:eastAsia="宋体" w:cs="宋体"/>
          <w:color w:val="auto"/>
          <w:spacing w:val="-4"/>
          <w:sz w:val="24"/>
          <w:szCs w:val="24"/>
          <w:highlight w:val="none"/>
          <w:lang w:val="en-US" w:eastAsia="zh-CN"/>
        </w:rPr>
        <w:t>艾丁湖生态保护治理项目（二期），建设内容属于灌区水利工程</w:t>
      </w:r>
      <w:r>
        <w:rPr>
          <w:rFonts w:hint="eastAsia" w:ascii="宋体" w:hAnsi="宋体" w:eastAsia="宋体" w:cs="宋体"/>
          <w:color w:val="auto"/>
          <w:spacing w:val="-4"/>
          <w:sz w:val="24"/>
          <w:szCs w:val="24"/>
          <w:highlight w:val="none"/>
        </w:rPr>
        <w:t>，根据《产业结构调整指导目录（2024年本）》，本项目属于“鼓励类”中“二、水利”中的“2、节水供水工程：农村供水工程，灌区及配套设施建设、改造，高效输配水、节水灌溉技术推广应用，灌溉排水泵站更新改造工程，合同节水管理，节水改造工程，节水工艺、技术和装备推广应用，城镇用水单位智慧节水系统开发与应用，非常规水源开发利用”，因此，本项目的建设符合国家产业政策。</w:t>
      </w:r>
    </w:p>
    <w:p w14:paraId="21360C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（2）与主体功能区划的相符性</w:t>
      </w:r>
    </w:p>
    <w:p w14:paraId="72DC02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建设项目所经区域不属于《新疆主体功能区划》禁止开发区，与主体功能区划原则相符。</w:t>
      </w:r>
    </w:p>
    <w:p w14:paraId="399F7B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（3）“三线一单 ”符合性</w:t>
      </w:r>
    </w:p>
    <w:p w14:paraId="170BB3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建设项目满足《新疆维吾尔自治区“三线一单 ”生态环境分区管控方案》、《新疆维吾尔自治区七大片区“三线一单 ”生态环境分区管控要求》、《</w:t>
      </w:r>
      <w:r>
        <w:rPr>
          <w:rFonts w:hint="eastAsia" w:ascii="宋体" w:hAnsi="宋体" w:eastAsia="宋体" w:cs="宋体"/>
          <w:color w:val="auto"/>
          <w:spacing w:val="-4"/>
          <w:sz w:val="24"/>
          <w:szCs w:val="24"/>
          <w:highlight w:val="none"/>
          <w:lang w:eastAsia="zh-CN"/>
        </w:rPr>
        <w:t>吐鲁番市</w:t>
      </w:r>
      <w:r>
        <w:rPr>
          <w:rFonts w:hint="eastAsia" w:ascii="宋体" w:hAnsi="宋体" w:eastAsia="宋体" w:cs="宋体"/>
          <w:color w:val="auto"/>
          <w:spacing w:val="-4"/>
          <w:sz w:val="24"/>
          <w:szCs w:val="24"/>
          <w:highlight w:val="none"/>
        </w:rPr>
        <w:t>“三线一单 ”生态环境分区管控方案》的相关要求。</w:t>
      </w:r>
    </w:p>
    <w:p w14:paraId="1662F5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（4）工程与相关规划相符性分析</w:t>
      </w:r>
    </w:p>
    <w:p w14:paraId="3B761F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本工程为灌区配套设施的节水改造工程，针对原有破损、老化的灌溉渠道进行防渗 改造，建设相关渠系构筑物。工程实施后可有效提高灌区灌溉水资源的有效利用率，实现水资源可持续利用，有利于建立 优势农业和精品农业，项目本身属于农田水利设施提档升级类工程，运行期间不排放废 气、废水、固废等污染物，不会引起生态环境质量恶化。本工程施工完成后会对临时占 地进行平整并恢复植被，对当地生态系统影响较小。因此本工程建设是符合《新疆生态 环境保护“十四五 ”规划》和《</w:t>
      </w:r>
      <w:r>
        <w:rPr>
          <w:rFonts w:hint="eastAsia" w:ascii="宋体" w:hAnsi="宋体" w:eastAsia="宋体" w:cs="宋体"/>
          <w:color w:val="auto"/>
          <w:spacing w:val="-4"/>
          <w:sz w:val="24"/>
          <w:szCs w:val="24"/>
          <w:highlight w:val="none"/>
          <w:lang w:eastAsia="zh-CN"/>
        </w:rPr>
        <w:t>吐鲁番市</w:t>
      </w:r>
      <w:r>
        <w:rPr>
          <w:rFonts w:hint="eastAsia" w:ascii="宋体" w:hAnsi="宋体" w:eastAsia="宋体" w:cs="宋体"/>
          <w:color w:val="auto"/>
          <w:spacing w:val="-4"/>
          <w:sz w:val="24"/>
          <w:szCs w:val="24"/>
          <w:highlight w:val="none"/>
        </w:rPr>
        <w:t>生态环境“十四五 ”规划》的相关要求的。</w:t>
      </w:r>
    </w:p>
    <w:p w14:paraId="7D5292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本工程不属于湿地命令禁止的建设项目，符合湿地相关法律、法规。本工程仅对</w:t>
      </w:r>
      <w:r>
        <w:rPr>
          <w:rFonts w:hint="eastAsia" w:ascii="宋体" w:hAnsi="宋体" w:eastAsia="宋体" w:cs="宋体"/>
          <w:color w:val="auto"/>
          <w:spacing w:val="-4"/>
          <w:sz w:val="24"/>
          <w:szCs w:val="24"/>
          <w:highlight w:val="none"/>
          <w:lang w:val="en-US" w:eastAsia="zh-CN"/>
        </w:rPr>
        <w:t>输水渠道</w:t>
      </w:r>
      <w:r>
        <w:rPr>
          <w:rFonts w:hint="eastAsia" w:ascii="宋体" w:hAnsi="宋体" w:eastAsia="宋体" w:cs="宋体"/>
          <w:color w:val="auto"/>
          <w:spacing w:val="-4"/>
          <w:sz w:val="24"/>
          <w:szCs w:val="24"/>
          <w:highlight w:val="none"/>
        </w:rPr>
        <w:t>进行修缮改造，不新增</w:t>
      </w:r>
      <w:r>
        <w:rPr>
          <w:rFonts w:hint="eastAsia" w:ascii="宋体" w:hAnsi="宋体" w:eastAsia="宋体" w:cs="宋体"/>
          <w:color w:val="auto"/>
          <w:spacing w:val="-4"/>
          <w:sz w:val="24"/>
          <w:szCs w:val="24"/>
          <w:highlight w:val="none"/>
          <w:lang w:val="en-US" w:eastAsia="zh-CN"/>
        </w:rPr>
        <w:t>水源工程，项目建成后将节约灌区农业用水，大大提高吐鲁番市地表径流对艾丁湖的生态补给量</w:t>
      </w:r>
      <w:r>
        <w:rPr>
          <w:rFonts w:hint="eastAsia" w:ascii="宋体" w:hAnsi="宋体" w:eastAsia="宋体" w:cs="宋体"/>
          <w:color w:val="auto"/>
          <w:spacing w:val="-4"/>
          <w:sz w:val="24"/>
          <w:szCs w:val="24"/>
          <w:highlight w:val="none"/>
        </w:rPr>
        <w:t>。因此，本工程基本符合《新疆</w:t>
      </w:r>
      <w:r>
        <w:rPr>
          <w:rFonts w:hint="eastAsia" w:ascii="宋体" w:hAnsi="宋体" w:eastAsia="宋体" w:cs="宋体"/>
          <w:color w:val="auto"/>
          <w:spacing w:val="-4"/>
          <w:sz w:val="24"/>
          <w:szCs w:val="24"/>
          <w:highlight w:val="none"/>
          <w:lang w:eastAsia="zh-CN"/>
        </w:rPr>
        <w:t>艾丁湖</w:t>
      </w:r>
      <w:r>
        <w:rPr>
          <w:rFonts w:hint="eastAsia" w:ascii="宋体" w:hAnsi="宋体" w:eastAsia="宋体" w:cs="宋体"/>
          <w:color w:val="auto"/>
          <w:spacing w:val="-4"/>
          <w:sz w:val="24"/>
          <w:szCs w:val="24"/>
          <w:highlight w:val="none"/>
        </w:rPr>
        <w:t>国家湿地公园总体规划》（2011-2018）的相关内容。本工程为</w:t>
      </w:r>
      <w:r>
        <w:rPr>
          <w:rFonts w:hint="eastAsia" w:ascii="宋体" w:hAnsi="宋体" w:eastAsia="宋体" w:cs="宋体"/>
          <w:color w:val="auto"/>
          <w:spacing w:val="-4"/>
          <w:sz w:val="24"/>
          <w:szCs w:val="24"/>
          <w:highlight w:val="none"/>
          <w:lang w:eastAsia="zh-CN"/>
        </w:rPr>
        <w:t>灌区水利</w:t>
      </w:r>
      <w:r>
        <w:rPr>
          <w:rFonts w:hint="eastAsia" w:ascii="宋体" w:hAnsi="宋体" w:eastAsia="宋体" w:cs="宋体"/>
          <w:color w:val="auto"/>
          <w:spacing w:val="-4"/>
          <w:sz w:val="24"/>
          <w:szCs w:val="24"/>
          <w:highlight w:val="none"/>
        </w:rPr>
        <w:t>项目，不属于法律法规中禁止建设的项目，不存在法律法规中禁止进行的活动，因此，本工程符合《国家湿地公园管理办法》、《中华人民共和国湿地保护法》。</w:t>
      </w:r>
    </w:p>
    <w:p w14:paraId="230FB7D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宋体" w:hAnsi="宋体" w:eastAsia="宋体" w:cs="宋体"/>
          <w:color w:val="auto"/>
          <w:spacing w:val="-4"/>
          <w:sz w:val="24"/>
          <w:szCs w:val="24"/>
          <w:highlight w:val="none"/>
        </w:rPr>
      </w:pPr>
      <w:bookmarkStart w:id="43" w:name="bookmark43"/>
      <w:bookmarkEnd w:id="43"/>
    </w:p>
    <w:p w14:paraId="51D95D35">
      <w:pPr>
        <w:spacing w:before="98" w:line="219" w:lineRule="auto"/>
        <w:ind w:left="13"/>
        <w:outlineLvl w:val="1"/>
        <w:rPr>
          <w:rFonts w:ascii="宋体" w:hAnsi="宋体" w:eastAsia="宋体" w:cs="宋体"/>
          <w:sz w:val="30"/>
          <w:szCs w:val="30"/>
        </w:rPr>
      </w:pPr>
      <w:r>
        <w:rPr>
          <w:rFonts w:hint="eastAsia" w:ascii="黑体" w:hAnsi="黑体" w:eastAsia="黑体" w:cs="黑体"/>
          <w:spacing w:val="2"/>
          <w:sz w:val="30"/>
          <w:szCs w:val="30"/>
          <w14:textOutline w14:w="5448" w14:cap="sq" w14:cmpd="sng">
            <w14:solidFill>
              <w14:srgbClr w14:val="000000"/>
            </w14:solidFill>
            <w14:prstDash w14:val="solid"/>
            <w14:bevel/>
          </w14:textOutline>
        </w:rPr>
        <w:t>9.3</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环境质量现状</w:t>
      </w:r>
    </w:p>
    <w:p w14:paraId="1BF2BC9B">
      <w:pPr>
        <w:spacing w:before="224" w:line="221" w:lineRule="auto"/>
        <w:ind w:left="12"/>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9.3.1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环境空气</w:t>
      </w:r>
    </w:p>
    <w:p w14:paraId="2EAAD2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项目所在区域为不达标区，区域监测点环境空气质量指标</w:t>
      </w:r>
      <w:r>
        <w:rPr>
          <w:rFonts w:ascii="宋体" w:hAnsi="宋体" w:eastAsia="宋体" w:cs="宋体"/>
          <w:spacing w:val="-47"/>
          <w:sz w:val="24"/>
          <w:szCs w:val="24"/>
        </w:rPr>
        <w:t xml:space="preserve"> </w:t>
      </w:r>
      <w:r>
        <w:rPr>
          <w:rFonts w:ascii="宋体" w:hAnsi="宋体" w:eastAsia="宋体" w:cs="宋体"/>
          <w:spacing w:val="-2"/>
          <w:sz w:val="24"/>
          <w:szCs w:val="24"/>
        </w:rPr>
        <w:t>CO、O</w:t>
      </w:r>
      <w:r>
        <w:rPr>
          <w:rFonts w:ascii="宋体" w:hAnsi="宋体" w:eastAsia="宋体" w:cs="宋体"/>
          <w:spacing w:val="-2"/>
          <w:position w:val="-3"/>
          <w:sz w:val="12"/>
          <w:szCs w:val="12"/>
        </w:rPr>
        <w:t>3</w:t>
      </w:r>
      <w:r>
        <w:rPr>
          <w:rFonts w:ascii="宋体" w:hAnsi="宋体" w:eastAsia="宋体" w:cs="宋体"/>
          <w:spacing w:val="19"/>
          <w:position w:val="-3"/>
          <w:sz w:val="12"/>
          <w:szCs w:val="12"/>
        </w:rPr>
        <w:t xml:space="preserve"> </w:t>
      </w:r>
      <w:r>
        <w:rPr>
          <w:rFonts w:ascii="宋体" w:hAnsi="宋体" w:eastAsia="宋体" w:cs="宋体"/>
          <w:spacing w:val="-2"/>
          <w:sz w:val="24"/>
          <w:szCs w:val="24"/>
        </w:rPr>
        <w:t>日均浓度，SO</w:t>
      </w:r>
      <w:r>
        <w:rPr>
          <w:rFonts w:ascii="宋体" w:hAnsi="宋体" w:eastAsia="宋体" w:cs="宋体"/>
          <w:spacing w:val="-2"/>
          <w:position w:val="-3"/>
          <w:sz w:val="12"/>
          <w:szCs w:val="12"/>
        </w:rPr>
        <w:t>2</w:t>
      </w:r>
      <w:r>
        <w:rPr>
          <w:rFonts w:ascii="宋体" w:hAnsi="宋体" w:eastAsia="宋体" w:cs="宋体"/>
          <w:spacing w:val="-34"/>
          <w:position w:val="-3"/>
          <w:sz w:val="12"/>
          <w:szCs w:val="12"/>
        </w:rPr>
        <w:t xml:space="preserve"> </w:t>
      </w:r>
      <w:r>
        <w:rPr>
          <w:rFonts w:ascii="宋体" w:hAnsi="宋体" w:eastAsia="宋体" w:cs="宋体"/>
          <w:spacing w:val="-2"/>
          <w:sz w:val="24"/>
          <w:szCs w:val="24"/>
        </w:rPr>
        <w:t>、</w:t>
      </w:r>
      <w:r>
        <w:rPr>
          <w:rFonts w:ascii="宋体" w:hAnsi="宋体" w:eastAsia="宋体" w:cs="宋体"/>
          <w:spacing w:val="-3"/>
          <w:sz w:val="24"/>
          <w:szCs w:val="24"/>
        </w:rPr>
        <w:t>NO</w:t>
      </w:r>
      <w:r>
        <w:rPr>
          <w:rFonts w:ascii="宋体" w:hAnsi="宋体" w:eastAsia="宋体" w:cs="宋体"/>
          <w:spacing w:val="-3"/>
          <w:position w:val="-3"/>
          <w:sz w:val="12"/>
          <w:szCs w:val="12"/>
        </w:rPr>
        <w:t>2</w:t>
      </w:r>
      <w:r>
        <w:rPr>
          <w:rFonts w:ascii="宋体" w:hAnsi="宋体" w:eastAsia="宋体" w:cs="宋体"/>
          <w:spacing w:val="37"/>
          <w:position w:val="-3"/>
          <w:sz w:val="12"/>
          <w:szCs w:val="12"/>
        </w:rPr>
        <w:t xml:space="preserve"> </w:t>
      </w:r>
      <w:r>
        <w:rPr>
          <w:rFonts w:ascii="宋体" w:hAnsi="宋体" w:eastAsia="宋体" w:cs="宋体"/>
          <w:spacing w:val="-3"/>
          <w:sz w:val="24"/>
          <w:szCs w:val="24"/>
        </w:rPr>
        <w:t>日均浓度和年平均浓度均符合《环境空气质量标准》（GB3095-2012）的二级标准，</w:t>
      </w:r>
      <w:r>
        <w:rPr>
          <w:rFonts w:ascii="宋体" w:hAnsi="宋体" w:eastAsia="宋体" w:cs="宋体"/>
          <w:spacing w:val="-1"/>
          <w:sz w:val="24"/>
          <w:szCs w:val="24"/>
        </w:rPr>
        <w:t>PM</w:t>
      </w:r>
      <w:r>
        <w:rPr>
          <w:rFonts w:ascii="宋体" w:hAnsi="宋体" w:eastAsia="宋体" w:cs="宋体"/>
          <w:spacing w:val="-1"/>
          <w:position w:val="-3"/>
          <w:sz w:val="12"/>
          <w:szCs w:val="12"/>
        </w:rPr>
        <w:t>10</w:t>
      </w:r>
      <w:r>
        <w:rPr>
          <w:rFonts w:ascii="宋体" w:hAnsi="宋体" w:eastAsia="宋体" w:cs="宋体"/>
          <w:spacing w:val="-34"/>
          <w:position w:val="-3"/>
          <w:sz w:val="12"/>
          <w:szCs w:val="12"/>
        </w:rPr>
        <w:t xml:space="preserve"> </w:t>
      </w:r>
      <w:r>
        <w:rPr>
          <w:rFonts w:ascii="宋体" w:hAnsi="宋体" w:eastAsia="宋体" w:cs="宋体"/>
          <w:spacing w:val="-1"/>
          <w:sz w:val="24"/>
          <w:szCs w:val="24"/>
        </w:rPr>
        <w:t>、PM</w:t>
      </w:r>
      <w:r>
        <w:rPr>
          <w:rFonts w:ascii="宋体" w:hAnsi="宋体" w:eastAsia="宋体" w:cs="宋体"/>
          <w:spacing w:val="-1"/>
          <w:position w:val="-3"/>
          <w:sz w:val="12"/>
          <w:szCs w:val="12"/>
        </w:rPr>
        <w:t>2.5</w:t>
      </w:r>
      <w:r>
        <w:rPr>
          <w:rFonts w:ascii="宋体" w:hAnsi="宋体" w:eastAsia="宋体" w:cs="宋体"/>
          <w:spacing w:val="22"/>
          <w:position w:val="-3"/>
          <w:sz w:val="12"/>
          <w:szCs w:val="12"/>
        </w:rPr>
        <w:t xml:space="preserve"> </w:t>
      </w:r>
      <w:r>
        <w:rPr>
          <w:rFonts w:ascii="宋体" w:hAnsi="宋体" w:eastAsia="宋体" w:cs="宋体"/>
          <w:spacing w:val="-1"/>
          <w:sz w:val="24"/>
          <w:szCs w:val="24"/>
        </w:rPr>
        <w:t>日均浓度和年均浓度超标，超标原因主要是当地气候干燥、沙尘较多所致。</w:t>
      </w:r>
    </w:p>
    <w:p w14:paraId="675461AD">
      <w:pPr>
        <w:spacing w:before="91" w:line="220" w:lineRule="auto"/>
        <w:ind w:left="12"/>
        <w:outlineLvl w:val="2"/>
        <w:rPr>
          <w:rFonts w:ascii="宋体" w:hAnsi="宋体" w:eastAsia="宋体" w:cs="宋体"/>
          <w:sz w:val="28"/>
          <w:szCs w:val="28"/>
        </w:rPr>
      </w:pPr>
      <w:r>
        <w:rPr>
          <w:rFonts w:ascii="宋体" w:hAnsi="宋体" w:eastAsia="宋体" w:cs="宋体"/>
          <w:b/>
          <w:bCs/>
          <w:spacing w:val="-1"/>
          <w:sz w:val="28"/>
          <w:szCs w:val="28"/>
          <w14:textOutline w14:w="5103" w14:cap="sq" w14:cmpd="sng">
            <w14:solidFill>
              <w14:srgbClr w14:val="000000"/>
            </w14:solidFill>
            <w14:prstDash w14:val="solid"/>
            <w14:bevel/>
          </w14:textOutline>
        </w:rPr>
        <w:t>9.3.2</w:t>
      </w:r>
      <w:r>
        <w:rPr>
          <w:rFonts w:hint="eastAsia" w:ascii="宋体" w:hAnsi="宋体" w:eastAsia="宋体" w:cs="宋体"/>
          <w:b/>
          <w:bCs/>
          <w:spacing w:val="-1"/>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1"/>
          <w:sz w:val="28"/>
          <w:szCs w:val="28"/>
          <w14:textOutline w14:w="5103" w14:cap="sq" w14:cmpd="sng">
            <w14:solidFill>
              <w14:srgbClr w14:val="000000"/>
            </w14:solidFill>
            <w14:prstDash w14:val="solid"/>
            <w14:bevel/>
          </w14:textOutline>
        </w:rPr>
        <w:t>地表水环境</w:t>
      </w:r>
    </w:p>
    <w:p w14:paraId="50E8CC9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pacing w:val="-1"/>
          <w:position w:val="17"/>
          <w:sz w:val="24"/>
          <w:szCs w:val="24"/>
        </w:rPr>
      </w:pPr>
      <w:r>
        <w:rPr>
          <w:rFonts w:ascii="宋体" w:hAnsi="宋体" w:eastAsia="宋体" w:cs="宋体"/>
          <w:spacing w:val="-1"/>
          <w:position w:val="17"/>
          <w:sz w:val="24"/>
          <w:szCs w:val="24"/>
        </w:rPr>
        <w:t>项目所在区域地表水各项监测因子均满足《地表水环境质量标准》(GB3838-2002)中</w:t>
      </w:r>
      <w:r>
        <w:rPr>
          <w:rFonts w:hint="eastAsia" w:ascii="宋体" w:hAnsi="宋体" w:eastAsia="宋体" w:cs="宋体"/>
          <w:spacing w:val="-1"/>
          <w:position w:val="17"/>
          <w:sz w:val="24"/>
          <w:szCs w:val="24"/>
          <w:lang w:val="en-US" w:eastAsia="zh-CN"/>
        </w:rPr>
        <w:t>Ⅲ</w:t>
      </w:r>
      <w:r>
        <w:rPr>
          <w:rFonts w:ascii="宋体" w:hAnsi="宋体" w:eastAsia="宋体" w:cs="宋体"/>
          <w:spacing w:val="-1"/>
          <w:position w:val="17"/>
          <w:sz w:val="24"/>
          <w:szCs w:val="24"/>
        </w:rPr>
        <w:t>类标准限值的要求，地表水环境质量较好。</w:t>
      </w:r>
    </w:p>
    <w:p w14:paraId="53A43336">
      <w:pPr>
        <w:spacing w:before="92" w:line="221" w:lineRule="auto"/>
        <w:ind w:left="12"/>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9.3.3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声环境</w:t>
      </w:r>
    </w:p>
    <w:p w14:paraId="4F2AE0CE">
      <w:pPr>
        <w:pStyle w:val="3"/>
        <w:spacing w:line="360" w:lineRule="auto"/>
        <w:ind w:firstLine="492" w:firstLineChars="200"/>
      </w:pPr>
      <w:r>
        <w:rPr>
          <w:rFonts w:hint="eastAsia" w:ascii="宋体" w:hAnsi="宋体" w:eastAsia="宋体" w:cs="宋体"/>
          <w:spacing w:val="3"/>
          <w:sz w:val="24"/>
          <w:szCs w:val="24"/>
          <w:lang w:val="en-US" w:eastAsia="zh-CN"/>
        </w:rPr>
        <w:t>经现场检测可知，项目区农村居民</w:t>
      </w:r>
      <w:r>
        <w:rPr>
          <w:rFonts w:ascii="宋体" w:hAnsi="宋体" w:eastAsia="宋体" w:cs="宋体"/>
          <w:spacing w:val="3"/>
          <w:sz w:val="24"/>
          <w:szCs w:val="24"/>
        </w:rPr>
        <w:t>处昼间、夜间环境噪声监测值满足《声环境质量标准》</w:t>
      </w:r>
      <w:r>
        <w:rPr>
          <w:rFonts w:ascii="宋体" w:hAnsi="宋体" w:eastAsia="宋体" w:cs="宋体"/>
          <w:sz w:val="24"/>
          <w:szCs w:val="24"/>
        </w:rPr>
        <w:t xml:space="preserve"> </w:t>
      </w:r>
      <w:r>
        <w:rPr>
          <w:rFonts w:ascii="宋体" w:hAnsi="宋体" w:eastAsia="宋体" w:cs="宋体"/>
          <w:spacing w:val="-3"/>
          <w:sz w:val="24"/>
          <w:szCs w:val="24"/>
        </w:rPr>
        <w:t>(GB3096-2008)中</w:t>
      </w:r>
      <w:r>
        <w:rPr>
          <w:rFonts w:ascii="宋体" w:hAnsi="宋体" w:eastAsia="宋体" w:cs="宋体"/>
          <w:spacing w:val="-29"/>
          <w:sz w:val="24"/>
          <w:szCs w:val="24"/>
        </w:rPr>
        <w:t xml:space="preserve"> </w:t>
      </w:r>
      <w:r>
        <w:rPr>
          <w:rFonts w:hint="eastAsia" w:ascii="宋体" w:hAnsi="宋体" w:eastAsia="宋体" w:cs="宋体"/>
          <w:spacing w:val="-3"/>
          <w:sz w:val="24"/>
          <w:szCs w:val="24"/>
          <w:lang w:val="en-US" w:eastAsia="zh-CN"/>
        </w:rPr>
        <w:t>2</w:t>
      </w:r>
      <w:r>
        <w:rPr>
          <w:rFonts w:ascii="宋体" w:hAnsi="宋体" w:eastAsia="宋体" w:cs="宋体"/>
          <w:spacing w:val="-50"/>
          <w:sz w:val="24"/>
          <w:szCs w:val="24"/>
        </w:rPr>
        <w:t xml:space="preserve"> </w:t>
      </w:r>
      <w:r>
        <w:rPr>
          <w:rFonts w:ascii="宋体" w:hAnsi="宋体" w:eastAsia="宋体" w:cs="宋体"/>
          <w:spacing w:val="-3"/>
          <w:sz w:val="24"/>
          <w:szCs w:val="24"/>
        </w:rPr>
        <w:t>类标准限值要求，其余各监测点昼间、夜间环境噪声监测值均满足《声环境质量标准》</w:t>
      </w:r>
      <w:r>
        <w:rPr>
          <w:rFonts w:ascii="宋体" w:hAnsi="宋体" w:eastAsia="宋体" w:cs="宋体"/>
          <w:spacing w:val="-62"/>
          <w:sz w:val="24"/>
          <w:szCs w:val="24"/>
        </w:rPr>
        <w:t xml:space="preserve"> </w:t>
      </w:r>
      <w:r>
        <w:rPr>
          <w:rFonts w:ascii="宋体" w:hAnsi="宋体" w:eastAsia="宋体" w:cs="宋体"/>
          <w:spacing w:val="-3"/>
          <w:sz w:val="24"/>
          <w:szCs w:val="24"/>
        </w:rPr>
        <w:t>(GB3096-2008)中</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51"/>
          <w:sz w:val="24"/>
          <w:szCs w:val="24"/>
        </w:rPr>
        <w:t xml:space="preserve"> </w:t>
      </w:r>
      <w:r>
        <w:rPr>
          <w:rFonts w:ascii="宋体" w:hAnsi="宋体" w:eastAsia="宋体" w:cs="宋体"/>
          <w:spacing w:val="-3"/>
          <w:sz w:val="24"/>
          <w:szCs w:val="24"/>
        </w:rPr>
        <w:t>类标准限值要求。</w:t>
      </w:r>
    </w:p>
    <w:p w14:paraId="68105F92">
      <w:pPr>
        <w:spacing w:before="91" w:line="221" w:lineRule="auto"/>
        <w:ind w:left="12"/>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9.3.4</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生态环境</w:t>
      </w:r>
    </w:p>
    <w:p w14:paraId="21D630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w:t>
      </w:r>
      <w:r>
        <w:rPr>
          <w:rFonts w:ascii="宋体" w:hAnsi="宋体" w:eastAsia="宋体" w:cs="宋体"/>
          <w:spacing w:val="-1"/>
          <w:sz w:val="24"/>
          <w:szCs w:val="24"/>
        </w:rPr>
        <w:t>土地利用</w:t>
      </w:r>
    </w:p>
    <w:p w14:paraId="1A478DD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建设项目涉及占地的土地利用类型为裸土地、</w:t>
      </w:r>
      <w:r>
        <w:rPr>
          <w:rFonts w:hint="eastAsia" w:ascii="宋体" w:hAnsi="宋体" w:eastAsia="宋体" w:cs="宋体"/>
          <w:spacing w:val="-1"/>
          <w:sz w:val="24"/>
          <w:szCs w:val="24"/>
          <w:lang w:val="en-US" w:eastAsia="zh-CN"/>
        </w:rPr>
        <w:t>草地</w:t>
      </w:r>
      <w:r>
        <w:rPr>
          <w:rFonts w:ascii="宋体" w:hAnsi="宋体" w:eastAsia="宋体" w:cs="宋体"/>
          <w:spacing w:val="-1"/>
          <w:sz w:val="24"/>
          <w:szCs w:val="24"/>
        </w:rPr>
        <w:t>、其他林地、沟渠、空闲地等</w:t>
      </w:r>
    </w:p>
    <w:p w14:paraId="374AE9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lang w:eastAsia="zh-CN"/>
        </w:rPr>
        <w:t>）</w:t>
      </w:r>
      <w:r>
        <w:rPr>
          <w:rFonts w:ascii="宋体" w:hAnsi="宋体" w:eastAsia="宋体" w:cs="宋体"/>
          <w:spacing w:val="-1"/>
          <w:sz w:val="24"/>
          <w:szCs w:val="24"/>
        </w:rPr>
        <w:t>土壤</w:t>
      </w:r>
    </w:p>
    <w:p w14:paraId="2078248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根据调查，本工程改建支渠沿线及</w:t>
      </w:r>
      <w:r>
        <w:rPr>
          <w:rFonts w:hint="eastAsia" w:ascii="宋体" w:hAnsi="宋体" w:eastAsia="宋体" w:cs="宋体"/>
          <w:spacing w:val="-1"/>
          <w:sz w:val="24"/>
          <w:szCs w:val="24"/>
          <w:lang w:eastAsia="zh-CN"/>
        </w:rPr>
        <w:t>泵房</w:t>
      </w:r>
      <w:r>
        <w:rPr>
          <w:rFonts w:ascii="宋体" w:hAnsi="宋体" w:eastAsia="宋体" w:cs="宋体"/>
          <w:spacing w:val="-1"/>
          <w:sz w:val="24"/>
          <w:szCs w:val="24"/>
        </w:rPr>
        <w:t>站址区土壤类型主要有潮土、灌淤土、沼泽土、草甸土等。根据项目区土壤环境现状监测结果，项目土壤各监测因子浓度均满足《土壤环境 质量农用地土壤污染风险管控标准(试行)》 (GB15618-2018)》中“其他 ”农用地土壤污染风险筛选值(基本项目)，该区域土壤环境质量较好。</w:t>
      </w:r>
    </w:p>
    <w:p w14:paraId="09C177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ascii="宋体" w:hAnsi="宋体" w:eastAsia="宋体" w:cs="宋体"/>
          <w:spacing w:val="-1"/>
          <w:sz w:val="24"/>
          <w:szCs w:val="24"/>
        </w:rPr>
        <w:t>植被</w:t>
      </w:r>
    </w:p>
    <w:p w14:paraId="60E482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项目区属温带荒漠、温带草甸，主要生长芦苇、骆驼剌等植物；农作物主要包括棉 花、玉米、小麦</w:t>
      </w:r>
      <w:r>
        <w:rPr>
          <w:rFonts w:hint="eastAsia" w:ascii="宋体" w:hAnsi="宋体" w:eastAsia="宋体" w:cs="宋体"/>
          <w:spacing w:val="-1"/>
          <w:sz w:val="24"/>
          <w:szCs w:val="24"/>
          <w:lang w:val="en-US" w:eastAsia="zh-CN"/>
        </w:rPr>
        <w:t>甜瓜</w:t>
      </w:r>
      <w:r>
        <w:rPr>
          <w:rFonts w:ascii="宋体" w:hAnsi="宋体" w:eastAsia="宋体" w:cs="宋体"/>
          <w:spacing w:val="-1"/>
          <w:sz w:val="24"/>
          <w:szCs w:val="24"/>
        </w:rPr>
        <w:t>；沟渠段植被类型主要有芦苇、柽柳、黑刺、骆驼刺、甘草、猪毛菜、地肤等,其中,</w:t>
      </w:r>
      <w:r>
        <w:rPr>
          <w:rFonts w:hint="eastAsia" w:ascii="宋体" w:hAnsi="宋体" w:eastAsia="宋体" w:cs="宋体"/>
          <w:spacing w:val="-1"/>
          <w:sz w:val="24"/>
          <w:szCs w:val="24"/>
          <w:lang w:val="en-US" w:eastAsia="zh-CN"/>
        </w:rPr>
        <w:t>骆驼刺</w:t>
      </w:r>
      <w:r>
        <w:rPr>
          <w:rFonts w:ascii="宋体" w:hAnsi="宋体" w:eastAsia="宋体" w:cs="宋体"/>
          <w:spacing w:val="-1"/>
          <w:sz w:val="24"/>
          <w:szCs w:val="24"/>
        </w:rPr>
        <w:t>为群落的优势种。</w:t>
      </w:r>
    </w:p>
    <w:p w14:paraId="7CD04CF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lang w:eastAsia="zh-CN"/>
        </w:rPr>
        <w:t>）</w:t>
      </w:r>
      <w:r>
        <w:rPr>
          <w:rFonts w:ascii="宋体" w:hAnsi="宋体" w:eastAsia="宋体" w:cs="宋体"/>
          <w:spacing w:val="-1"/>
          <w:sz w:val="24"/>
          <w:szCs w:val="24"/>
        </w:rPr>
        <w:t>动物</w:t>
      </w:r>
    </w:p>
    <w:p w14:paraId="6BB018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本工程所在区域为人类活动较多的农业生产区域（农耕区），人类活动频繁，经现 场勘查，</w:t>
      </w:r>
      <w:r>
        <w:rPr>
          <w:rFonts w:hint="eastAsia" w:ascii="宋体" w:hAnsi="宋体" w:eastAsia="宋体" w:cs="宋体"/>
          <w:spacing w:val="-1"/>
          <w:sz w:val="24"/>
          <w:szCs w:val="24"/>
          <w:lang w:val="en-US" w:eastAsia="zh-CN"/>
        </w:rPr>
        <w:t>施工</w:t>
      </w:r>
      <w:r>
        <w:rPr>
          <w:rFonts w:ascii="宋体" w:hAnsi="宋体" w:eastAsia="宋体" w:cs="宋体"/>
          <w:spacing w:val="-1"/>
          <w:sz w:val="24"/>
          <w:szCs w:val="24"/>
        </w:rPr>
        <w:t>区域</w:t>
      </w:r>
      <w:r>
        <w:rPr>
          <w:rFonts w:hint="eastAsia" w:ascii="宋体" w:hAnsi="宋体" w:eastAsia="宋体" w:cs="宋体"/>
          <w:spacing w:val="-1"/>
          <w:sz w:val="24"/>
          <w:szCs w:val="24"/>
          <w:lang w:val="en-US" w:eastAsia="zh-CN"/>
        </w:rPr>
        <w:t>未发现</w:t>
      </w:r>
      <w:r>
        <w:rPr>
          <w:rFonts w:ascii="宋体" w:hAnsi="宋体" w:eastAsia="宋体" w:cs="宋体"/>
          <w:spacing w:val="-1"/>
          <w:sz w:val="24"/>
          <w:szCs w:val="24"/>
        </w:rPr>
        <w:t>大型野生动物踪迹，野生动物以常有物种为主，主要是老鼠、野兔、麻雀等。所在区域评价范围内无国家及自治区级野生保护动物，珍稀、濒危物种分布。</w:t>
      </w:r>
    </w:p>
    <w:p w14:paraId="394C900A">
      <w:pPr>
        <w:spacing w:line="240" w:lineRule="auto"/>
        <w:ind w:left="0" w:right="0" w:firstLine="0"/>
        <w:rPr>
          <w:rFonts w:ascii="宋体" w:hAnsi="宋体" w:eastAsia="宋体" w:cs="宋体"/>
          <w:spacing w:val="-1"/>
          <w:sz w:val="24"/>
          <w:szCs w:val="24"/>
        </w:rPr>
      </w:pPr>
    </w:p>
    <w:p w14:paraId="5286CBAE">
      <w:pPr>
        <w:spacing w:before="98" w:line="220" w:lineRule="auto"/>
        <w:ind w:left="13"/>
        <w:outlineLvl w:val="1"/>
        <w:rPr>
          <w:rFonts w:hint="eastAsia" w:ascii="黑体" w:hAnsi="黑体" w:eastAsia="黑体" w:cs="黑体"/>
          <w:sz w:val="30"/>
          <w:szCs w:val="30"/>
        </w:rPr>
      </w:pPr>
      <w:bookmarkStart w:id="44" w:name="bookmark44"/>
      <w:bookmarkEnd w:id="44"/>
      <w:r>
        <w:rPr>
          <w:rFonts w:hint="eastAsia" w:ascii="黑体" w:hAnsi="黑体" w:eastAsia="黑体" w:cs="黑体"/>
          <w:spacing w:val="1"/>
          <w:sz w:val="30"/>
          <w:szCs w:val="30"/>
          <w14:textOutline w14:w="5448" w14:cap="sq" w14:cmpd="sng">
            <w14:solidFill>
              <w14:srgbClr w14:val="000000"/>
            </w14:solidFill>
            <w14:prstDash w14:val="solid"/>
            <w14:bevel/>
          </w14:textOutline>
        </w:rPr>
        <w:t>9.4</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环境影响及环境保护措施结论</w:t>
      </w:r>
    </w:p>
    <w:p w14:paraId="51FD9BA4">
      <w:pPr>
        <w:spacing w:before="223" w:line="221" w:lineRule="auto"/>
        <w:ind w:left="12"/>
        <w:outlineLvl w:val="2"/>
        <w:rPr>
          <w:rFonts w:ascii="宋体" w:hAnsi="宋体" w:eastAsia="宋体" w:cs="宋体"/>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9.4.1</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大气环境</w:t>
      </w:r>
    </w:p>
    <w:p w14:paraId="239473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lang w:eastAsia="zh-CN"/>
        </w:rPr>
        <w:t>）</w:t>
      </w:r>
      <w:r>
        <w:rPr>
          <w:rFonts w:ascii="宋体" w:hAnsi="宋体" w:eastAsia="宋体" w:cs="宋体"/>
          <w:spacing w:val="-1"/>
          <w:sz w:val="24"/>
          <w:szCs w:val="24"/>
        </w:rPr>
        <w:t>大气环境影响</w:t>
      </w:r>
    </w:p>
    <w:p w14:paraId="700839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本工程施工期间土石方施工扬尘，以及混凝土拌合站、钢木加工生产过程中产生的粉尘，柴油发电机工作时产生的燃烧废气对大气环境产生一定的影响；运营期无废气产生。</w:t>
      </w:r>
    </w:p>
    <w:p w14:paraId="062308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lang w:eastAsia="zh-CN"/>
        </w:rPr>
        <w:t>）</w:t>
      </w:r>
      <w:r>
        <w:rPr>
          <w:rFonts w:ascii="宋体" w:hAnsi="宋体" w:eastAsia="宋体" w:cs="宋体"/>
          <w:spacing w:val="-1"/>
          <w:sz w:val="24"/>
          <w:szCs w:val="24"/>
        </w:rPr>
        <w:t>大气环境保护措施</w:t>
      </w:r>
    </w:p>
    <w:p w14:paraId="744E53C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r>
        <w:rPr>
          <w:rFonts w:ascii="宋体" w:hAnsi="宋体" w:eastAsia="宋体" w:cs="宋体"/>
          <w:spacing w:val="-1"/>
          <w:sz w:val="24"/>
          <w:szCs w:val="24"/>
        </w:rPr>
        <w:t>本工程施工期间在采取洒水降尘、土石方及时回填、防尘篷布覆盖、施工围挡、控制车速、车辆封闭运输等措施后施工期产生的大气环境影响可以得到缓解，且此类影响将随着施工期的结束而消失，对环境影响有限。</w:t>
      </w:r>
    </w:p>
    <w:p w14:paraId="7AD29C63">
      <w:pPr>
        <w:spacing w:before="91" w:line="220" w:lineRule="auto"/>
        <w:ind w:left="12"/>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9.4.2</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水环境</w:t>
      </w:r>
    </w:p>
    <w:p w14:paraId="316E6C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rFonts w:ascii="宋体" w:hAnsi="宋体" w:eastAsia="宋体" w:cs="宋体"/>
          <w:sz w:val="24"/>
          <w:szCs w:val="24"/>
        </w:rPr>
      </w:pPr>
      <w:r>
        <w:rPr>
          <w:rFonts w:hint="eastAsia" w:ascii="宋体" w:hAnsi="宋体" w:eastAsia="宋体" w:cs="宋体"/>
          <w:spacing w:val="-7"/>
          <w:sz w:val="24"/>
          <w:szCs w:val="24"/>
          <w:lang w:eastAsia="zh-CN"/>
        </w:rPr>
        <w:t>（</w:t>
      </w:r>
      <w:r>
        <w:rPr>
          <w:rFonts w:hint="eastAsia" w:ascii="宋体" w:hAnsi="宋体" w:eastAsia="宋体" w:cs="宋体"/>
          <w:spacing w:val="-7"/>
          <w:sz w:val="24"/>
          <w:szCs w:val="24"/>
          <w:lang w:val="en-US" w:eastAsia="zh-CN"/>
        </w:rPr>
        <w:t>1</w:t>
      </w:r>
      <w:r>
        <w:rPr>
          <w:rFonts w:hint="eastAsia" w:ascii="宋体" w:hAnsi="宋体" w:eastAsia="宋体" w:cs="宋体"/>
          <w:spacing w:val="-7"/>
          <w:sz w:val="24"/>
          <w:szCs w:val="24"/>
          <w:lang w:eastAsia="zh-CN"/>
        </w:rPr>
        <w:t>）</w:t>
      </w:r>
      <w:r>
        <w:rPr>
          <w:rFonts w:ascii="宋体" w:hAnsi="宋体" w:eastAsia="宋体" w:cs="宋体"/>
          <w:spacing w:val="-7"/>
          <w:sz w:val="24"/>
          <w:szCs w:val="24"/>
        </w:rPr>
        <w:t>水环境影响</w:t>
      </w:r>
    </w:p>
    <w:p w14:paraId="19CD9B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本工程施工期对水环境产生影响的主要是混凝土拌和系统冲洗废水、</w:t>
      </w:r>
      <w:r>
        <w:rPr>
          <w:rFonts w:hint="eastAsia" w:ascii="宋体" w:hAnsi="宋体" w:eastAsia="宋体" w:cs="宋体"/>
          <w:spacing w:val="2"/>
          <w:sz w:val="24"/>
          <w:szCs w:val="24"/>
          <w:lang w:val="en-US" w:eastAsia="zh-CN"/>
        </w:rPr>
        <w:t>混凝土养护废水、</w:t>
      </w:r>
      <w:r>
        <w:rPr>
          <w:rFonts w:ascii="宋体" w:hAnsi="宋体" w:eastAsia="宋体" w:cs="宋体"/>
          <w:spacing w:val="2"/>
          <w:sz w:val="24"/>
          <w:szCs w:val="24"/>
        </w:rPr>
        <w:t>施工人员产生的生活污水等；本工程为灌区</w:t>
      </w:r>
      <w:r>
        <w:rPr>
          <w:rFonts w:hint="eastAsia" w:ascii="宋体" w:hAnsi="宋体" w:eastAsia="宋体" w:cs="宋体"/>
          <w:spacing w:val="2"/>
          <w:sz w:val="24"/>
          <w:szCs w:val="24"/>
          <w:lang w:val="en-US" w:eastAsia="zh-CN"/>
        </w:rPr>
        <w:t>水利</w:t>
      </w:r>
      <w:r>
        <w:rPr>
          <w:rFonts w:ascii="宋体" w:hAnsi="宋体" w:eastAsia="宋体" w:cs="宋体"/>
          <w:spacing w:val="2"/>
          <w:sz w:val="24"/>
          <w:szCs w:val="24"/>
        </w:rPr>
        <w:t>工程，工程实施将提高</w:t>
      </w:r>
      <w:r>
        <w:rPr>
          <w:rFonts w:ascii="宋体" w:hAnsi="宋体" w:eastAsia="宋体" w:cs="宋体"/>
          <w:spacing w:val="1"/>
          <w:sz w:val="24"/>
          <w:szCs w:val="24"/>
        </w:rPr>
        <w:t>各渠</w:t>
      </w:r>
      <w:r>
        <w:rPr>
          <w:rFonts w:ascii="宋体" w:hAnsi="宋体" w:eastAsia="宋体" w:cs="宋体"/>
          <w:spacing w:val="2"/>
          <w:sz w:val="24"/>
          <w:szCs w:val="24"/>
        </w:rPr>
        <w:t>道供水能力及供水安全，降低水量渗漏损失，提高水资源利用效率，</w:t>
      </w:r>
      <w:r>
        <w:rPr>
          <w:rFonts w:hint="eastAsia" w:ascii="宋体" w:hAnsi="宋体" w:eastAsia="宋体" w:cs="宋体"/>
          <w:spacing w:val="2"/>
          <w:sz w:val="24"/>
          <w:szCs w:val="24"/>
          <w:lang w:val="en-US" w:eastAsia="zh-CN"/>
        </w:rPr>
        <w:t>增加艾丁湖流域地表水体对艾丁湖的生态补水量，改善艾丁湖生态环境，</w:t>
      </w:r>
      <w:r>
        <w:rPr>
          <w:rFonts w:ascii="宋体" w:hAnsi="宋体" w:eastAsia="宋体" w:cs="宋体"/>
          <w:spacing w:val="2"/>
          <w:sz w:val="24"/>
          <w:szCs w:val="24"/>
        </w:rPr>
        <w:t>运营期对水</w:t>
      </w:r>
      <w:r>
        <w:rPr>
          <w:rFonts w:ascii="宋体" w:hAnsi="宋体" w:eastAsia="宋体" w:cs="宋体"/>
          <w:spacing w:val="1"/>
          <w:sz w:val="24"/>
          <w:szCs w:val="24"/>
        </w:rPr>
        <w:t>环境</w:t>
      </w:r>
      <w:r>
        <w:rPr>
          <w:rFonts w:ascii="宋体" w:hAnsi="宋体" w:eastAsia="宋体" w:cs="宋体"/>
          <w:spacing w:val="-2"/>
          <w:sz w:val="24"/>
          <w:szCs w:val="24"/>
        </w:rPr>
        <w:t>无不利影响</w:t>
      </w:r>
    </w:p>
    <w:p w14:paraId="431B92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lang w:eastAsia="zh-CN"/>
        </w:rPr>
        <w:t>）</w:t>
      </w:r>
      <w:r>
        <w:rPr>
          <w:rFonts w:ascii="宋体" w:hAnsi="宋体" w:eastAsia="宋体" w:cs="宋体"/>
          <w:spacing w:val="-6"/>
          <w:sz w:val="24"/>
          <w:szCs w:val="24"/>
        </w:rPr>
        <w:t>水环境保护措施</w:t>
      </w:r>
    </w:p>
    <w:p w14:paraId="3429616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本工程施工期</w:t>
      </w:r>
      <w:r>
        <w:rPr>
          <w:rFonts w:hint="eastAsia" w:ascii="宋体" w:hAnsi="宋体" w:eastAsia="宋体" w:cs="宋体"/>
          <w:spacing w:val="2"/>
          <w:sz w:val="24"/>
          <w:szCs w:val="24"/>
          <w:lang w:val="en-US" w:eastAsia="zh-CN"/>
        </w:rPr>
        <w:t>混凝土养护废水</w:t>
      </w:r>
      <w:r>
        <w:rPr>
          <w:rFonts w:ascii="宋体" w:hAnsi="宋体" w:eastAsia="宋体" w:cs="宋体"/>
          <w:spacing w:val="2"/>
          <w:sz w:val="24"/>
          <w:szCs w:val="24"/>
        </w:rPr>
        <w:t>经沉淀后用于洒水降尘，不外排；移动式混凝土搅</w:t>
      </w:r>
      <w:r>
        <w:rPr>
          <w:rFonts w:ascii="宋体" w:hAnsi="宋体" w:eastAsia="宋体" w:cs="宋体"/>
          <w:spacing w:val="1"/>
          <w:sz w:val="24"/>
          <w:szCs w:val="24"/>
        </w:rPr>
        <w:t>拌机冲</w:t>
      </w:r>
      <w:r>
        <w:rPr>
          <w:rFonts w:ascii="宋体" w:hAnsi="宋体" w:eastAsia="宋体" w:cs="宋体"/>
          <w:spacing w:val="2"/>
          <w:sz w:val="24"/>
          <w:szCs w:val="24"/>
        </w:rPr>
        <w:t>洗废水经酸碱中和、絮凝沉淀法处理后回用，不外排；施工人员主要租住附近</w:t>
      </w:r>
      <w:r>
        <w:rPr>
          <w:rFonts w:ascii="宋体" w:hAnsi="宋体" w:eastAsia="宋体" w:cs="宋体"/>
          <w:spacing w:val="1"/>
          <w:sz w:val="24"/>
          <w:szCs w:val="24"/>
        </w:rPr>
        <w:t>民房，</w:t>
      </w:r>
      <w:r>
        <w:rPr>
          <w:rFonts w:ascii="宋体" w:hAnsi="宋体" w:eastAsia="宋体" w:cs="宋体"/>
          <w:spacing w:val="2"/>
          <w:sz w:val="24"/>
          <w:szCs w:val="24"/>
        </w:rPr>
        <w:t>生活依托现有设施，生活污水纳入现有排水系统，不外排；需搭建简易彩板房</w:t>
      </w:r>
      <w:r>
        <w:rPr>
          <w:rFonts w:ascii="宋体" w:hAnsi="宋体" w:eastAsia="宋体" w:cs="宋体"/>
          <w:spacing w:val="1"/>
          <w:sz w:val="24"/>
          <w:szCs w:val="24"/>
        </w:rPr>
        <w:t>时建议</w:t>
      </w:r>
      <w:r>
        <w:rPr>
          <w:rFonts w:ascii="宋体" w:hAnsi="宋体" w:eastAsia="宋体" w:cs="宋体"/>
          <w:spacing w:val="-1"/>
          <w:sz w:val="24"/>
          <w:szCs w:val="24"/>
        </w:rPr>
        <w:t>设置移动环保公厕，定期</w:t>
      </w:r>
      <w:r>
        <w:rPr>
          <w:rFonts w:hint="eastAsia" w:ascii="宋体" w:hAnsi="宋体" w:eastAsia="宋体" w:cs="宋体"/>
          <w:spacing w:val="-1"/>
          <w:sz w:val="24"/>
          <w:szCs w:val="24"/>
          <w:lang w:val="en-US" w:eastAsia="zh-CN"/>
        </w:rPr>
        <w:t>委托</w:t>
      </w:r>
      <w:r>
        <w:rPr>
          <w:rFonts w:ascii="宋体" w:hAnsi="宋体" w:eastAsia="宋体" w:cs="宋体"/>
          <w:spacing w:val="-1"/>
          <w:sz w:val="24"/>
          <w:szCs w:val="24"/>
        </w:rPr>
        <w:t>环卫部门采取吸污车拉运，施工结束后拆除。</w:t>
      </w:r>
    </w:p>
    <w:p w14:paraId="12591143">
      <w:pPr>
        <w:pStyle w:val="3"/>
        <w:spacing w:line="240" w:lineRule="auto"/>
        <w:ind w:left="0" w:right="0" w:firstLine="0"/>
      </w:pPr>
    </w:p>
    <w:p w14:paraId="3D40DB7C">
      <w:pPr>
        <w:spacing w:before="92" w:line="221" w:lineRule="auto"/>
        <w:ind w:left="12"/>
        <w:outlineLvl w:val="2"/>
        <w:rPr>
          <w:rFonts w:ascii="宋体" w:hAnsi="宋体" w:eastAsia="宋体" w:cs="宋体"/>
          <w:b/>
          <w:bCs/>
          <w:sz w:val="28"/>
          <w:szCs w:val="28"/>
        </w:rPr>
      </w:pPr>
      <w:r>
        <w:rPr>
          <w:rFonts w:ascii="宋体" w:hAnsi="宋体" w:eastAsia="宋体" w:cs="宋体"/>
          <w:b/>
          <w:bCs/>
          <w:spacing w:val="-2"/>
          <w:sz w:val="28"/>
          <w:szCs w:val="28"/>
          <w14:textOutline w14:w="5103" w14:cap="sq" w14:cmpd="sng">
            <w14:solidFill>
              <w14:srgbClr w14:val="000000"/>
            </w14:solidFill>
            <w14:prstDash w14:val="solid"/>
            <w14:bevel/>
          </w14:textOutline>
        </w:rPr>
        <w:t>9.4.3</w:t>
      </w:r>
      <w:r>
        <w:rPr>
          <w:rFonts w:hint="eastAsia" w:ascii="宋体" w:hAnsi="宋体" w:eastAsia="宋体" w:cs="宋体"/>
          <w:b/>
          <w:bCs/>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2"/>
          <w:sz w:val="28"/>
          <w:szCs w:val="28"/>
          <w14:textOutline w14:w="5103" w14:cap="sq" w14:cmpd="sng">
            <w14:solidFill>
              <w14:srgbClr w14:val="000000"/>
            </w14:solidFill>
            <w14:prstDash w14:val="solid"/>
            <w14:bevel/>
          </w14:textOutline>
        </w:rPr>
        <w:t>声环境</w:t>
      </w:r>
    </w:p>
    <w:p w14:paraId="3BE0CD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rFonts w:ascii="宋体" w:hAnsi="宋体" w:eastAsia="宋体" w:cs="宋体"/>
          <w:sz w:val="24"/>
          <w:szCs w:val="24"/>
        </w:rPr>
      </w:pPr>
      <w:r>
        <w:rPr>
          <w:rFonts w:hint="eastAsia" w:ascii="宋体" w:hAnsi="宋体" w:eastAsia="宋体" w:cs="宋体"/>
          <w:spacing w:val="-7"/>
          <w:sz w:val="24"/>
          <w:szCs w:val="24"/>
          <w:lang w:eastAsia="zh-CN"/>
        </w:rPr>
        <w:t>（</w:t>
      </w:r>
      <w:r>
        <w:rPr>
          <w:rFonts w:hint="eastAsia" w:ascii="宋体" w:hAnsi="宋体" w:eastAsia="宋体" w:cs="宋体"/>
          <w:spacing w:val="-7"/>
          <w:sz w:val="24"/>
          <w:szCs w:val="24"/>
          <w:lang w:val="en-US" w:eastAsia="zh-CN"/>
        </w:rPr>
        <w:t>1</w:t>
      </w:r>
      <w:r>
        <w:rPr>
          <w:rFonts w:hint="eastAsia" w:ascii="宋体" w:hAnsi="宋体" w:eastAsia="宋体" w:cs="宋体"/>
          <w:spacing w:val="-7"/>
          <w:sz w:val="24"/>
          <w:szCs w:val="24"/>
          <w:lang w:eastAsia="zh-CN"/>
        </w:rPr>
        <w:t>）</w:t>
      </w:r>
      <w:r>
        <w:rPr>
          <w:rFonts w:ascii="宋体" w:hAnsi="宋体" w:eastAsia="宋体" w:cs="宋体"/>
          <w:spacing w:val="-7"/>
          <w:sz w:val="24"/>
          <w:szCs w:val="24"/>
        </w:rPr>
        <w:t>声环境影响</w:t>
      </w:r>
    </w:p>
    <w:p w14:paraId="6C125DE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本工程施工阶段的主要噪声来自各类施工机械，此类噪声源都具有高噪声</w:t>
      </w:r>
      <w:r>
        <w:rPr>
          <w:rFonts w:ascii="宋体" w:hAnsi="宋体" w:eastAsia="宋体" w:cs="宋体"/>
          <w:spacing w:val="1"/>
          <w:sz w:val="24"/>
          <w:szCs w:val="24"/>
        </w:rPr>
        <w:t>、无规</w:t>
      </w:r>
      <w:r>
        <w:rPr>
          <w:rFonts w:ascii="宋体" w:hAnsi="宋体" w:eastAsia="宋体" w:cs="宋体"/>
          <w:spacing w:val="2"/>
          <w:sz w:val="24"/>
          <w:szCs w:val="24"/>
        </w:rPr>
        <w:t>则等特点，对声环境的影响为间歇性的，且将随着施工期结束而消</w:t>
      </w:r>
      <w:r>
        <w:rPr>
          <w:rFonts w:ascii="宋体" w:hAnsi="宋体" w:eastAsia="宋体" w:cs="宋体"/>
          <w:spacing w:val="1"/>
          <w:sz w:val="24"/>
          <w:szCs w:val="24"/>
        </w:rPr>
        <w:t>失；工程运营期噪</w:t>
      </w:r>
      <w:r>
        <w:rPr>
          <w:rFonts w:ascii="宋体" w:hAnsi="宋体" w:eastAsia="宋体" w:cs="宋体"/>
          <w:spacing w:val="-3"/>
          <w:sz w:val="24"/>
          <w:szCs w:val="24"/>
        </w:rPr>
        <w:t>声主要来自</w:t>
      </w:r>
      <w:r>
        <w:rPr>
          <w:rFonts w:hint="eastAsia" w:ascii="宋体" w:hAnsi="宋体" w:eastAsia="宋体" w:cs="宋体"/>
          <w:spacing w:val="-3"/>
          <w:sz w:val="24"/>
          <w:szCs w:val="24"/>
          <w:lang w:eastAsia="zh-CN"/>
        </w:rPr>
        <w:t>泵房</w:t>
      </w:r>
      <w:r>
        <w:rPr>
          <w:rFonts w:ascii="宋体" w:hAnsi="宋体" w:eastAsia="宋体" w:cs="宋体"/>
          <w:spacing w:val="-3"/>
          <w:sz w:val="24"/>
          <w:szCs w:val="24"/>
        </w:rPr>
        <w:t>各类水泵等设备噪声，运行噪声一般在</w:t>
      </w:r>
      <w:r>
        <w:rPr>
          <w:rFonts w:ascii="宋体" w:hAnsi="宋体" w:eastAsia="宋体" w:cs="宋体"/>
          <w:spacing w:val="-45"/>
          <w:sz w:val="24"/>
          <w:szCs w:val="24"/>
        </w:rPr>
        <w:t xml:space="preserve"> </w:t>
      </w:r>
      <w:r>
        <w:rPr>
          <w:rFonts w:ascii="宋体" w:hAnsi="宋体" w:eastAsia="宋体" w:cs="宋体"/>
          <w:spacing w:val="-3"/>
          <w:sz w:val="24"/>
          <w:szCs w:val="24"/>
        </w:rPr>
        <w:t>75～85dB(A)之间，会</w:t>
      </w:r>
      <w:r>
        <w:rPr>
          <w:rFonts w:ascii="宋体" w:hAnsi="宋体" w:eastAsia="宋体" w:cs="宋体"/>
          <w:spacing w:val="-4"/>
          <w:sz w:val="24"/>
          <w:szCs w:val="24"/>
        </w:rPr>
        <w:t>对周围</w:t>
      </w:r>
      <w:r>
        <w:rPr>
          <w:rFonts w:ascii="宋体" w:hAnsi="宋体" w:eastAsia="宋体" w:cs="宋体"/>
          <w:spacing w:val="-2"/>
          <w:sz w:val="24"/>
          <w:szCs w:val="24"/>
        </w:rPr>
        <w:t>声环境带来一定影响。</w:t>
      </w:r>
    </w:p>
    <w:p w14:paraId="238D9E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lang w:eastAsia="zh-CN"/>
        </w:rPr>
        <w:t>）</w:t>
      </w:r>
      <w:r>
        <w:rPr>
          <w:rFonts w:ascii="宋体" w:hAnsi="宋体" w:eastAsia="宋体" w:cs="宋体"/>
          <w:spacing w:val="-6"/>
          <w:sz w:val="24"/>
          <w:szCs w:val="24"/>
        </w:rPr>
        <w:t>声环境保护措施</w:t>
      </w:r>
    </w:p>
    <w:p w14:paraId="653FFC7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pacing w:val="-2"/>
          <w:sz w:val="24"/>
          <w:szCs w:val="24"/>
        </w:rPr>
      </w:pPr>
      <w:r>
        <w:rPr>
          <w:rFonts w:ascii="宋体" w:hAnsi="宋体" w:eastAsia="宋体" w:cs="宋体"/>
          <w:spacing w:val="2"/>
          <w:sz w:val="24"/>
          <w:szCs w:val="24"/>
        </w:rPr>
        <w:t>本工程施工期主要通过合理安排施工时间、采用低噪声、低振动的设备、</w:t>
      </w:r>
      <w:r>
        <w:rPr>
          <w:rFonts w:ascii="宋体" w:hAnsi="宋体" w:eastAsia="宋体" w:cs="宋体"/>
          <w:spacing w:val="1"/>
          <w:sz w:val="24"/>
          <w:szCs w:val="24"/>
        </w:rPr>
        <w:t>控制车</w:t>
      </w:r>
      <w:r>
        <w:rPr>
          <w:rFonts w:ascii="宋体" w:hAnsi="宋体" w:eastAsia="宋体" w:cs="宋体"/>
          <w:spacing w:val="2"/>
          <w:sz w:val="24"/>
          <w:szCs w:val="24"/>
        </w:rPr>
        <w:t>速、禁止夜间施工等措施，可降低施工期噪声对周围环境的影响，其影响</w:t>
      </w:r>
      <w:r>
        <w:rPr>
          <w:rFonts w:ascii="宋体" w:hAnsi="宋体" w:eastAsia="宋体" w:cs="宋体"/>
          <w:spacing w:val="1"/>
          <w:sz w:val="24"/>
          <w:szCs w:val="24"/>
        </w:rPr>
        <w:t>将随施工期</w:t>
      </w:r>
      <w:r>
        <w:rPr>
          <w:rFonts w:ascii="宋体" w:hAnsi="宋体" w:eastAsia="宋体" w:cs="宋体"/>
          <w:spacing w:val="-5"/>
          <w:sz w:val="24"/>
          <w:szCs w:val="24"/>
        </w:rPr>
        <w:t>的结束而消失。</w:t>
      </w:r>
      <w:r>
        <w:rPr>
          <w:rFonts w:ascii="宋体" w:hAnsi="宋体" w:eastAsia="宋体" w:cs="宋体"/>
          <w:spacing w:val="2"/>
          <w:sz w:val="24"/>
          <w:szCs w:val="24"/>
        </w:rPr>
        <w:t>本工程运营期采取选用低噪声设备、隔声减振等措施可有效减缓噪声对周</w:t>
      </w:r>
      <w:r>
        <w:rPr>
          <w:rFonts w:ascii="宋体" w:hAnsi="宋体" w:eastAsia="宋体" w:cs="宋体"/>
          <w:spacing w:val="1"/>
          <w:sz w:val="24"/>
          <w:szCs w:val="24"/>
        </w:rPr>
        <w:t>边环境</w:t>
      </w:r>
      <w:r>
        <w:rPr>
          <w:rFonts w:ascii="宋体" w:hAnsi="宋体" w:eastAsia="宋体" w:cs="宋体"/>
          <w:spacing w:val="2"/>
          <w:sz w:val="24"/>
          <w:szCs w:val="24"/>
        </w:rPr>
        <w:t>的影响。根据预测结果，本工程各噪声源在采取相应的措施情况下，</w:t>
      </w:r>
      <w:r>
        <w:rPr>
          <w:rFonts w:hint="eastAsia" w:ascii="宋体" w:hAnsi="宋体" w:eastAsia="宋体" w:cs="宋体"/>
          <w:spacing w:val="2"/>
          <w:sz w:val="24"/>
          <w:szCs w:val="24"/>
          <w:lang w:eastAsia="zh-CN"/>
        </w:rPr>
        <w:t>泵房</w:t>
      </w:r>
      <w:r>
        <w:rPr>
          <w:rFonts w:ascii="宋体" w:hAnsi="宋体" w:eastAsia="宋体" w:cs="宋体"/>
          <w:spacing w:val="1"/>
          <w:sz w:val="24"/>
          <w:szCs w:val="24"/>
        </w:rPr>
        <w:t>厂界</w:t>
      </w:r>
      <w:r>
        <w:rPr>
          <w:rFonts w:ascii="宋体" w:hAnsi="宋体" w:eastAsia="宋体" w:cs="宋体"/>
          <w:sz w:val="24"/>
          <w:szCs w:val="24"/>
        </w:rPr>
        <w:t xml:space="preserve"> 昼间、夜间噪声值均能满足《工业企业厂界环境噪声排放标准》</w:t>
      </w:r>
      <w:r>
        <w:rPr>
          <w:rFonts w:ascii="宋体" w:hAnsi="宋体" w:eastAsia="宋体" w:cs="宋体"/>
          <w:spacing w:val="-48"/>
          <w:sz w:val="24"/>
          <w:szCs w:val="24"/>
        </w:rPr>
        <w:t xml:space="preserve"> </w:t>
      </w:r>
      <w:r>
        <w:rPr>
          <w:rFonts w:ascii="宋体" w:hAnsi="宋体" w:eastAsia="宋体" w:cs="宋体"/>
          <w:sz w:val="24"/>
          <w:szCs w:val="24"/>
        </w:rPr>
        <w:t>(GB12348-</w:t>
      </w:r>
      <w:r>
        <w:rPr>
          <w:rFonts w:hint="eastAsia" w:ascii="宋体" w:hAnsi="宋体" w:eastAsia="宋体" w:cs="宋体"/>
          <w:sz w:val="24"/>
          <w:szCs w:val="24"/>
          <w:lang w:val="en-US" w:eastAsia="zh-CN"/>
        </w:rPr>
        <w:t>2</w:t>
      </w:r>
      <w:r>
        <w:rPr>
          <w:rFonts w:ascii="宋体" w:hAnsi="宋体" w:eastAsia="宋体" w:cs="宋体"/>
          <w:sz w:val="24"/>
          <w:szCs w:val="24"/>
        </w:rPr>
        <w:t xml:space="preserve">008)2 </w:t>
      </w:r>
      <w:r>
        <w:rPr>
          <w:rFonts w:ascii="宋体" w:hAnsi="宋体" w:eastAsia="宋体" w:cs="宋体"/>
          <w:spacing w:val="2"/>
          <w:sz w:val="24"/>
          <w:szCs w:val="24"/>
        </w:rPr>
        <w:t>类区标准的要求。由此可见，本工程运营期噪声对周围环境影响较小，不会改变</w:t>
      </w:r>
      <w:r>
        <w:rPr>
          <w:rFonts w:ascii="宋体" w:hAnsi="宋体" w:eastAsia="宋体" w:cs="宋体"/>
          <w:spacing w:val="1"/>
          <w:sz w:val="24"/>
          <w:szCs w:val="24"/>
        </w:rPr>
        <w:t>当地</w:t>
      </w:r>
      <w:r>
        <w:rPr>
          <w:rFonts w:ascii="宋体" w:hAnsi="宋体" w:eastAsia="宋体" w:cs="宋体"/>
          <w:spacing w:val="-2"/>
          <w:sz w:val="24"/>
          <w:szCs w:val="24"/>
        </w:rPr>
        <w:t>声环境功能，措施可行。</w:t>
      </w:r>
    </w:p>
    <w:p w14:paraId="09271C4E">
      <w:pPr>
        <w:spacing w:before="305" w:line="221" w:lineRule="auto"/>
        <w:ind w:left="12"/>
        <w:outlineLvl w:val="2"/>
        <w:rPr>
          <w:rFonts w:ascii="宋体" w:hAnsi="宋体" w:eastAsia="宋体" w:cs="宋体"/>
          <w:b w:val="0"/>
          <w:bCs w:val="0"/>
          <w:spacing w:val="-2"/>
          <w:sz w:val="28"/>
          <w:szCs w:val="28"/>
          <w14:textOutline w14:w="5103" w14:cap="sq" w14:cmpd="sng">
            <w14:solidFill>
              <w14:srgbClr w14:val="000000"/>
            </w14:solidFill>
            <w14:prstDash w14:val="solid"/>
            <w14:bevel/>
          </w14:textOutline>
        </w:rPr>
      </w:pPr>
    </w:p>
    <w:p w14:paraId="24F90E0C">
      <w:pPr>
        <w:spacing w:before="305" w:line="221" w:lineRule="auto"/>
        <w:ind w:left="12"/>
        <w:outlineLvl w:val="2"/>
        <w:rPr>
          <w:rFonts w:ascii="宋体" w:hAnsi="宋体" w:eastAsia="宋体" w:cs="宋体"/>
          <w:b w:val="0"/>
          <w:bCs w:val="0"/>
          <w:sz w:val="28"/>
          <w:szCs w:val="28"/>
        </w:rPr>
      </w:pPr>
      <w:r>
        <w:rPr>
          <w:rFonts w:ascii="宋体" w:hAnsi="宋体" w:eastAsia="宋体" w:cs="宋体"/>
          <w:b w:val="0"/>
          <w:bCs w:val="0"/>
          <w:spacing w:val="-2"/>
          <w:sz w:val="28"/>
          <w:szCs w:val="28"/>
          <w14:textOutline w14:w="5103" w14:cap="sq" w14:cmpd="sng">
            <w14:solidFill>
              <w14:srgbClr w14:val="000000"/>
            </w14:solidFill>
            <w14:prstDash w14:val="solid"/>
            <w14:bevel/>
          </w14:textOutline>
        </w:rPr>
        <w:t>9.4.4</w:t>
      </w:r>
      <w:r>
        <w:rPr>
          <w:rFonts w:hint="eastAsia" w:ascii="宋体" w:hAnsi="宋体" w:eastAsia="宋体" w:cs="宋体"/>
          <w:b w:val="0"/>
          <w:bCs w:val="0"/>
          <w:spacing w:val="-2"/>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val="0"/>
          <w:bCs w:val="0"/>
          <w:spacing w:val="-2"/>
          <w:sz w:val="28"/>
          <w:szCs w:val="28"/>
          <w14:textOutline w14:w="5103" w14:cap="sq" w14:cmpd="sng">
            <w14:solidFill>
              <w14:srgbClr w14:val="000000"/>
            </w14:solidFill>
            <w14:prstDash w14:val="solid"/>
            <w14:bevel/>
          </w14:textOutline>
        </w:rPr>
        <w:t>生态环境</w:t>
      </w:r>
    </w:p>
    <w:p w14:paraId="50B1A1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1</w:t>
      </w:r>
      <w:r>
        <w:rPr>
          <w:rFonts w:hint="eastAsia" w:ascii="宋体" w:hAnsi="宋体" w:eastAsia="宋体" w:cs="宋体"/>
          <w:spacing w:val="-6"/>
          <w:sz w:val="24"/>
          <w:szCs w:val="24"/>
          <w:lang w:eastAsia="zh-CN"/>
        </w:rPr>
        <w:t>）</w:t>
      </w:r>
      <w:r>
        <w:rPr>
          <w:rFonts w:ascii="宋体" w:hAnsi="宋体" w:eastAsia="宋体" w:cs="宋体"/>
          <w:spacing w:val="-6"/>
          <w:sz w:val="24"/>
          <w:szCs w:val="24"/>
        </w:rPr>
        <w:t>生态环境影响</w:t>
      </w:r>
    </w:p>
    <w:p w14:paraId="462591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本工程永久占地类型均为水域及水利设施用地(沟渠)，且永久占地为</w:t>
      </w:r>
      <w:r>
        <w:rPr>
          <w:rFonts w:ascii="宋体" w:hAnsi="宋体" w:eastAsia="宋体" w:cs="宋体"/>
          <w:spacing w:val="1"/>
          <w:sz w:val="24"/>
          <w:szCs w:val="24"/>
        </w:rPr>
        <w:t>本工程施工</w:t>
      </w:r>
      <w:r>
        <w:rPr>
          <w:rFonts w:ascii="宋体" w:hAnsi="宋体" w:eastAsia="宋体" w:cs="宋体"/>
          <w:spacing w:val="2"/>
          <w:sz w:val="24"/>
          <w:szCs w:val="24"/>
        </w:rPr>
        <w:t>渠道管理范围占地，不存在对原地表地貌的扰动及对土地及植被的破坏等；</w:t>
      </w:r>
      <w:r>
        <w:rPr>
          <w:rFonts w:ascii="宋体" w:hAnsi="宋体" w:eastAsia="宋体" w:cs="宋体"/>
          <w:spacing w:val="1"/>
          <w:sz w:val="24"/>
          <w:szCs w:val="24"/>
        </w:rPr>
        <w:t>临时占地</w:t>
      </w:r>
      <w:r>
        <w:rPr>
          <w:rFonts w:ascii="宋体" w:hAnsi="宋体" w:eastAsia="宋体" w:cs="宋体"/>
          <w:spacing w:val="2"/>
          <w:sz w:val="24"/>
          <w:szCs w:val="24"/>
        </w:rPr>
        <w:t>的影响主要表现在施工期会造成少量生物损失，以及土石方的开挖造</w:t>
      </w:r>
      <w:r>
        <w:rPr>
          <w:rFonts w:ascii="宋体" w:hAnsi="宋体" w:eastAsia="宋体" w:cs="宋体"/>
          <w:spacing w:val="1"/>
          <w:sz w:val="24"/>
          <w:szCs w:val="24"/>
        </w:rPr>
        <w:t>成的区域水土流</w:t>
      </w:r>
      <w:r>
        <w:rPr>
          <w:rFonts w:ascii="宋体" w:hAnsi="宋体" w:eastAsia="宋体" w:cs="宋体"/>
          <w:spacing w:val="2"/>
          <w:sz w:val="24"/>
          <w:szCs w:val="24"/>
        </w:rPr>
        <w:t>失影响，此类影响将随着施工活动结束，可逐渐恢复其原有土地功能；本工</w:t>
      </w:r>
      <w:r>
        <w:rPr>
          <w:rFonts w:ascii="宋体" w:hAnsi="宋体" w:eastAsia="宋体" w:cs="宋体"/>
          <w:spacing w:val="1"/>
          <w:sz w:val="24"/>
          <w:szCs w:val="24"/>
        </w:rPr>
        <w:t>程运营期</w:t>
      </w:r>
      <w:r>
        <w:rPr>
          <w:rFonts w:ascii="宋体" w:hAnsi="宋体" w:eastAsia="宋体" w:cs="宋体"/>
          <w:spacing w:val="-1"/>
          <w:sz w:val="24"/>
          <w:szCs w:val="24"/>
        </w:rPr>
        <w:t>对周边生态环境无明显不利影响。</w:t>
      </w:r>
      <w:r>
        <w:rPr>
          <w:rFonts w:ascii="宋体" w:hAnsi="宋体" w:eastAsia="宋体" w:cs="宋体"/>
          <w:spacing w:val="2"/>
          <w:sz w:val="24"/>
          <w:szCs w:val="24"/>
        </w:rPr>
        <w:t>对</w:t>
      </w:r>
      <w:r>
        <w:rPr>
          <w:rFonts w:hint="eastAsia" w:ascii="宋体" w:hAnsi="宋体" w:eastAsia="宋体" w:cs="宋体"/>
          <w:spacing w:val="2"/>
          <w:sz w:val="24"/>
          <w:szCs w:val="24"/>
          <w:lang w:val="en-US" w:eastAsia="zh-CN"/>
        </w:rPr>
        <w:t>艾丁湖国家湿地公园</w:t>
      </w:r>
      <w:r>
        <w:rPr>
          <w:rFonts w:ascii="宋体" w:hAnsi="宋体" w:eastAsia="宋体" w:cs="宋体"/>
          <w:spacing w:val="2"/>
          <w:sz w:val="24"/>
          <w:szCs w:val="24"/>
        </w:rPr>
        <w:t>生态环境敏感区内动植物及生物多样性影响较</w:t>
      </w:r>
      <w:r>
        <w:rPr>
          <w:rFonts w:ascii="宋体" w:hAnsi="宋体" w:eastAsia="宋体" w:cs="宋体"/>
          <w:spacing w:val="1"/>
          <w:sz w:val="24"/>
          <w:szCs w:val="24"/>
        </w:rPr>
        <w:t>小，</w:t>
      </w:r>
      <w:r>
        <w:rPr>
          <w:rFonts w:ascii="宋体" w:hAnsi="宋体" w:eastAsia="宋体" w:cs="宋体"/>
          <w:spacing w:val="2"/>
          <w:sz w:val="24"/>
          <w:szCs w:val="24"/>
        </w:rPr>
        <w:t>对生态环境敏感区整体环境质量的负面影响甚微，其影响将随着施工期的</w:t>
      </w:r>
      <w:r>
        <w:rPr>
          <w:rFonts w:ascii="宋体" w:hAnsi="宋体" w:eastAsia="宋体" w:cs="宋体"/>
          <w:spacing w:val="1"/>
          <w:sz w:val="24"/>
          <w:szCs w:val="24"/>
        </w:rPr>
        <w:t>结束而逐渐</w:t>
      </w:r>
      <w:r>
        <w:rPr>
          <w:rFonts w:ascii="宋体" w:hAnsi="宋体" w:eastAsia="宋体" w:cs="宋体"/>
          <w:spacing w:val="-5"/>
          <w:sz w:val="24"/>
          <w:szCs w:val="24"/>
        </w:rPr>
        <w:t>消失。</w:t>
      </w:r>
    </w:p>
    <w:p w14:paraId="12A611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r>
        <w:rPr>
          <w:rFonts w:ascii="宋体" w:hAnsi="宋体" w:eastAsia="宋体" w:cs="宋体"/>
          <w:spacing w:val="-5"/>
          <w:sz w:val="24"/>
          <w:szCs w:val="24"/>
        </w:rPr>
        <w:t>生态环境保护措施</w:t>
      </w:r>
    </w:p>
    <w:p w14:paraId="4D1AAE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本工程周边自然生态条件较好，</w:t>
      </w:r>
      <w:r>
        <w:rPr>
          <w:rFonts w:ascii="宋体" w:hAnsi="宋体" w:eastAsia="宋体" w:cs="宋体"/>
          <w:spacing w:val="-50"/>
          <w:sz w:val="24"/>
          <w:szCs w:val="24"/>
        </w:rPr>
        <w:t xml:space="preserve"> </w:t>
      </w:r>
      <w:r>
        <w:rPr>
          <w:rFonts w:ascii="宋体" w:hAnsi="宋体" w:eastAsia="宋体" w:cs="宋体"/>
          <w:sz w:val="24"/>
          <w:szCs w:val="24"/>
        </w:rPr>
        <w:t>自然恢复力较强，施工结束后对临时占地采取恢</w:t>
      </w:r>
      <w:r>
        <w:rPr>
          <w:rFonts w:ascii="宋体" w:hAnsi="宋体" w:eastAsia="宋体" w:cs="宋体"/>
          <w:spacing w:val="-2"/>
          <w:sz w:val="24"/>
          <w:szCs w:val="24"/>
        </w:rPr>
        <w:t>复措施后，渠道两侧可在</w:t>
      </w:r>
      <w:r>
        <w:rPr>
          <w:rFonts w:ascii="宋体" w:hAnsi="宋体" w:eastAsia="宋体" w:cs="宋体"/>
          <w:spacing w:val="-45"/>
          <w:sz w:val="24"/>
          <w:szCs w:val="24"/>
        </w:rPr>
        <w:t xml:space="preserve"> </w:t>
      </w:r>
      <w:r>
        <w:rPr>
          <w:rFonts w:ascii="宋体" w:hAnsi="宋体" w:eastAsia="宋体" w:cs="宋体"/>
          <w:spacing w:val="-2"/>
          <w:sz w:val="24"/>
          <w:szCs w:val="24"/>
        </w:rPr>
        <w:t>3～5</w:t>
      </w:r>
      <w:r>
        <w:rPr>
          <w:rFonts w:ascii="宋体" w:hAnsi="宋体" w:eastAsia="宋体" w:cs="宋体"/>
          <w:spacing w:val="-49"/>
          <w:sz w:val="24"/>
          <w:szCs w:val="24"/>
        </w:rPr>
        <w:t xml:space="preserve"> </w:t>
      </w:r>
      <w:r>
        <w:rPr>
          <w:rFonts w:ascii="宋体" w:hAnsi="宋体" w:eastAsia="宋体" w:cs="宋体"/>
          <w:spacing w:val="-2"/>
          <w:sz w:val="24"/>
          <w:szCs w:val="24"/>
        </w:rPr>
        <w:t>年内恢复，临时占地对植被的影响可完全消除；工程对</w:t>
      </w:r>
      <w:r>
        <w:rPr>
          <w:rFonts w:ascii="宋体" w:hAnsi="宋体" w:eastAsia="宋体" w:cs="宋体"/>
          <w:spacing w:val="2"/>
          <w:sz w:val="24"/>
          <w:szCs w:val="24"/>
        </w:rPr>
        <w:t>其影响只在施工期产生，施工结束后影响自然也就消失了，因此本工程运营</w:t>
      </w:r>
      <w:r>
        <w:rPr>
          <w:rFonts w:ascii="宋体" w:hAnsi="宋体" w:eastAsia="宋体" w:cs="宋体"/>
          <w:spacing w:val="1"/>
          <w:sz w:val="24"/>
          <w:szCs w:val="24"/>
        </w:rPr>
        <w:t>期对陆生</w:t>
      </w:r>
      <w:r>
        <w:rPr>
          <w:rFonts w:ascii="宋体" w:hAnsi="宋体" w:eastAsia="宋体" w:cs="宋体"/>
          <w:spacing w:val="-2"/>
          <w:sz w:val="24"/>
          <w:szCs w:val="24"/>
        </w:rPr>
        <w:t>动物基本无影响。</w:t>
      </w:r>
    </w:p>
    <w:p w14:paraId="20CCBB42">
      <w:pPr>
        <w:spacing w:before="91" w:line="221" w:lineRule="auto"/>
        <w:ind w:left="12"/>
        <w:outlineLvl w:val="2"/>
        <w:rPr>
          <w:rFonts w:ascii="宋体" w:hAnsi="宋体" w:eastAsia="宋体" w:cs="宋体"/>
          <w:b/>
          <w:bCs/>
          <w:sz w:val="28"/>
          <w:szCs w:val="28"/>
        </w:rPr>
      </w:pPr>
      <w:r>
        <w:rPr>
          <w:rFonts w:ascii="宋体" w:hAnsi="宋体" w:eastAsia="宋体" w:cs="宋体"/>
          <w:b/>
          <w:bCs/>
          <w:spacing w:val="-4"/>
          <w:sz w:val="28"/>
          <w:szCs w:val="28"/>
          <w14:textOutline w14:w="5103" w14:cap="sq" w14:cmpd="sng">
            <w14:solidFill>
              <w14:srgbClr w14:val="000000"/>
            </w14:solidFill>
            <w14:prstDash w14:val="solid"/>
            <w14:bevel/>
          </w14:textOutline>
        </w:rPr>
        <w:t>9.4.5</w:t>
      </w:r>
      <w:r>
        <w:rPr>
          <w:rFonts w:hint="eastAsia" w:ascii="宋体" w:hAnsi="宋体" w:eastAsia="宋体" w:cs="宋体"/>
          <w:b/>
          <w:bCs/>
          <w:spacing w:val="-4"/>
          <w:sz w:val="28"/>
          <w:szCs w:val="28"/>
          <w:lang w:val="en-US" w:eastAsia="zh-CN"/>
          <w14:textOutline w14:w="5103" w14:cap="sq" w14:cmpd="sng">
            <w14:solidFill>
              <w14:srgbClr w14:val="000000"/>
            </w14:solidFill>
            <w14:prstDash w14:val="solid"/>
            <w14:bevel/>
          </w14:textOutline>
        </w:rPr>
        <w:t xml:space="preserve"> </w:t>
      </w:r>
      <w:r>
        <w:rPr>
          <w:rFonts w:ascii="宋体" w:hAnsi="宋体" w:eastAsia="宋体" w:cs="宋体"/>
          <w:b/>
          <w:bCs/>
          <w:spacing w:val="-4"/>
          <w:sz w:val="28"/>
          <w:szCs w:val="28"/>
          <w14:textOutline w14:w="5103" w14:cap="sq" w14:cmpd="sng">
            <w14:solidFill>
              <w14:srgbClr w14:val="000000"/>
            </w14:solidFill>
            <w14:prstDash w14:val="solid"/>
            <w14:bevel/>
          </w14:textOutline>
        </w:rPr>
        <w:t>固体废物</w:t>
      </w:r>
    </w:p>
    <w:p w14:paraId="6E360F7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1</w:t>
      </w:r>
      <w:r>
        <w:rPr>
          <w:rFonts w:hint="eastAsia" w:ascii="宋体" w:hAnsi="宋体" w:eastAsia="宋体" w:cs="宋体"/>
          <w:spacing w:val="-6"/>
          <w:sz w:val="24"/>
          <w:szCs w:val="24"/>
          <w:lang w:eastAsia="zh-CN"/>
        </w:rPr>
        <w:t>）</w:t>
      </w:r>
      <w:r>
        <w:rPr>
          <w:rFonts w:ascii="宋体" w:hAnsi="宋体" w:eastAsia="宋体" w:cs="宋体"/>
          <w:spacing w:val="-6"/>
          <w:sz w:val="24"/>
          <w:szCs w:val="24"/>
        </w:rPr>
        <w:t>固体废物影响</w:t>
      </w:r>
    </w:p>
    <w:p w14:paraId="621D74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本工程施工期的固体废物主要为施工过程中产生</w:t>
      </w:r>
      <w:r>
        <w:rPr>
          <w:rFonts w:ascii="宋体" w:hAnsi="宋体" w:eastAsia="宋体" w:cs="宋体"/>
          <w:spacing w:val="-3"/>
          <w:sz w:val="24"/>
          <w:szCs w:val="24"/>
        </w:rPr>
        <w:t>的土石方、施工(拆除)建筑垃圾、</w:t>
      </w:r>
      <w:r>
        <w:rPr>
          <w:rFonts w:ascii="宋体" w:hAnsi="宋体" w:eastAsia="宋体" w:cs="宋体"/>
          <w:spacing w:val="2"/>
          <w:sz w:val="24"/>
          <w:szCs w:val="24"/>
        </w:rPr>
        <w:t>施工人员生活垃圾等，均属一般固废；运营期产生的固体废物为顺渠而下的杂物</w:t>
      </w:r>
      <w:r>
        <w:rPr>
          <w:rFonts w:ascii="宋体" w:hAnsi="宋体" w:eastAsia="宋体" w:cs="宋体"/>
          <w:spacing w:val="1"/>
          <w:sz w:val="24"/>
          <w:szCs w:val="24"/>
        </w:rPr>
        <w:t>垃圾</w:t>
      </w:r>
      <w:r>
        <w:rPr>
          <w:rFonts w:ascii="宋体" w:hAnsi="宋体" w:eastAsia="宋体" w:cs="宋体"/>
          <w:spacing w:val="2"/>
          <w:sz w:val="24"/>
          <w:szCs w:val="24"/>
        </w:rPr>
        <w:t>以及定期清理干渠所产生的污泥，如不定期清淤将对渠道下泄水量及水质产生</w:t>
      </w:r>
      <w:r>
        <w:rPr>
          <w:rFonts w:ascii="宋体" w:hAnsi="宋体" w:eastAsia="宋体" w:cs="宋体"/>
          <w:spacing w:val="1"/>
          <w:sz w:val="24"/>
          <w:szCs w:val="24"/>
        </w:rPr>
        <w:t>一定的</w:t>
      </w:r>
      <w:r>
        <w:rPr>
          <w:rFonts w:ascii="宋体" w:hAnsi="宋体" w:eastAsia="宋体" w:cs="宋体"/>
          <w:spacing w:val="-4"/>
          <w:sz w:val="24"/>
          <w:szCs w:val="24"/>
        </w:rPr>
        <w:t>影响。</w:t>
      </w:r>
    </w:p>
    <w:p w14:paraId="6923A7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r>
        <w:rPr>
          <w:rFonts w:ascii="宋体" w:hAnsi="宋体" w:eastAsia="宋体" w:cs="宋体"/>
          <w:spacing w:val="-5"/>
          <w:sz w:val="24"/>
          <w:szCs w:val="24"/>
        </w:rPr>
        <w:t>固体废物治理措施</w:t>
      </w:r>
    </w:p>
    <w:p w14:paraId="77FA6A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z w:val="24"/>
          <w:szCs w:val="24"/>
        </w:rPr>
      </w:pPr>
      <w:r>
        <w:rPr>
          <w:rFonts w:ascii="宋体" w:hAnsi="宋体" w:eastAsia="宋体" w:cs="宋体"/>
          <w:spacing w:val="-3"/>
          <w:sz w:val="24"/>
          <w:szCs w:val="24"/>
        </w:rPr>
        <w:t>本工程施工后未利用的弃土及时清运至</w:t>
      </w:r>
      <w:r>
        <w:rPr>
          <w:rFonts w:ascii="宋体" w:hAnsi="宋体" w:eastAsia="宋体" w:cs="宋体"/>
          <w:sz w:val="24"/>
          <w:szCs w:val="24"/>
        </w:rPr>
        <w:t>指定的专用建筑料弃渣场</w:t>
      </w:r>
      <w:r>
        <w:rPr>
          <w:rFonts w:hint="eastAsia" w:ascii="宋体" w:hAnsi="宋体" w:eastAsia="宋体" w:cs="宋体"/>
          <w:sz w:val="24"/>
          <w:szCs w:val="24"/>
          <w:lang w:eastAsia="zh-CN"/>
        </w:rPr>
        <w:t>；</w:t>
      </w:r>
      <w:r>
        <w:rPr>
          <w:rFonts w:ascii="宋体" w:hAnsi="宋体" w:eastAsia="宋体" w:cs="宋体"/>
          <w:sz w:val="24"/>
          <w:szCs w:val="24"/>
        </w:rPr>
        <w:t>各生产区配</w:t>
      </w:r>
      <w:r>
        <w:rPr>
          <w:rFonts w:ascii="宋体" w:hAnsi="宋体" w:eastAsia="宋体" w:cs="宋体"/>
          <w:spacing w:val="2"/>
          <w:sz w:val="24"/>
          <w:szCs w:val="24"/>
        </w:rPr>
        <w:t>备一个垃圾箱，用于收集施工人员现场产生的日常垃圾，收集后定期清运</w:t>
      </w:r>
      <w:r>
        <w:rPr>
          <w:rFonts w:ascii="宋体" w:hAnsi="宋体" w:eastAsia="宋体" w:cs="宋体"/>
          <w:spacing w:val="1"/>
          <w:sz w:val="24"/>
          <w:szCs w:val="24"/>
        </w:rPr>
        <w:t>至当地生活</w:t>
      </w:r>
      <w:r>
        <w:rPr>
          <w:rFonts w:ascii="宋体" w:hAnsi="宋体" w:eastAsia="宋体" w:cs="宋体"/>
          <w:spacing w:val="2"/>
          <w:sz w:val="24"/>
          <w:szCs w:val="24"/>
        </w:rPr>
        <w:t>垃圾填埋场，采取上述措施可有效处置各类施工中产生的固体废物，确保</w:t>
      </w:r>
      <w:r>
        <w:rPr>
          <w:rFonts w:ascii="宋体" w:hAnsi="宋体" w:eastAsia="宋体" w:cs="宋体"/>
          <w:spacing w:val="1"/>
          <w:sz w:val="24"/>
          <w:szCs w:val="24"/>
        </w:rPr>
        <w:t>固体废物不</w:t>
      </w:r>
      <w:r>
        <w:rPr>
          <w:rFonts w:ascii="宋体" w:hAnsi="宋体" w:eastAsia="宋体" w:cs="宋体"/>
          <w:spacing w:val="-1"/>
          <w:sz w:val="24"/>
          <w:szCs w:val="24"/>
        </w:rPr>
        <w:t>对项目区周边环境产生二次污染，处置方案可行。</w:t>
      </w:r>
    </w:p>
    <w:p w14:paraId="7634E7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本工程建成后，设立明显标志，加强水环境保护的宣传力度，严禁在渠道及两侧范围内倾倒垃圾，防止水质污染和阻塞渠道行洪。顺渠而下的杂物垃圾以及定期清理干渠产生的污泥，统一清理、统一收集，禁止随意倾倒，造成渠道的堵塞。干渠流经时间较</w:t>
      </w:r>
      <w:r>
        <w:rPr>
          <w:rFonts w:ascii="宋体" w:hAnsi="宋体" w:eastAsia="宋体" w:cs="宋体"/>
          <w:spacing w:val="-6"/>
          <w:sz w:val="24"/>
          <w:szCs w:val="24"/>
        </w:rPr>
        <w:t>长，渠中将会定期清理出部分淤泥，在灌溉期产生清淤淤泥，定期清理至渠</w:t>
      </w:r>
      <w:r>
        <w:rPr>
          <w:rFonts w:ascii="宋体" w:hAnsi="宋体" w:eastAsia="宋体" w:cs="宋体"/>
          <w:spacing w:val="-7"/>
          <w:sz w:val="24"/>
          <w:szCs w:val="24"/>
        </w:rPr>
        <w:t>道两侧洼地，</w:t>
      </w:r>
      <w:r>
        <w:rPr>
          <w:rFonts w:ascii="宋体" w:hAnsi="宋体" w:eastAsia="宋体" w:cs="宋体"/>
          <w:spacing w:val="-2"/>
          <w:sz w:val="24"/>
          <w:szCs w:val="24"/>
        </w:rPr>
        <w:t>用于平整土地。</w:t>
      </w:r>
    </w:p>
    <w:p w14:paraId="4E29BCD7">
      <w:pPr>
        <w:pStyle w:val="3"/>
        <w:spacing w:line="240" w:lineRule="auto"/>
        <w:ind w:left="0" w:right="0" w:firstLine="0"/>
      </w:pPr>
    </w:p>
    <w:p w14:paraId="4F5DA324">
      <w:pPr>
        <w:spacing w:before="98" w:line="220" w:lineRule="auto"/>
        <w:ind w:left="13"/>
        <w:outlineLvl w:val="1"/>
        <w:rPr>
          <w:rFonts w:ascii="宋体" w:hAnsi="宋体" w:eastAsia="宋体" w:cs="宋体"/>
          <w:sz w:val="30"/>
          <w:szCs w:val="30"/>
        </w:rPr>
      </w:pPr>
      <w:bookmarkStart w:id="45" w:name="bookmark45"/>
      <w:bookmarkEnd w:id="45"/>
      <w:r>
        <w:rPr>
          <w:rFonts w:hint="eastAsia" w:ascii="黑体" w:hAnsi="黑体" w:eastAsia="黑体" w:cs="黑体"/>
          <w:spacing w:val="1"/>
          <w:sz w:val="30"/>
          <w:szCs w:val="30"/>
          <w14:textOutline w14:w="5448" w14:cap="sq" w14:cmpd="sng">
            <w14:solidFill>
              <w14:srgbClr w14:val="000000"/>
            </w14:solidFill>
            <w14:prstDash w14:val="solid"/>
            <w14:bevel/>
          </w14:textOutline>
        </w:rPr>
        <w:t>9.5</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环境经济损益分析</w:t>
      </w:r>
    </w:p>
    <w:p w14:paraId="108F26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本该工程的实施在促进地方经济发展、增加当地财政收入、提升水资源利用能力的同时又具有良好的</w:t>
      </w:r>
      <w:r>
        <w:rPr>
          <w:rFonts w:hint="eastAsia" w:ascii="宋体" w:hAnsi="宋体" w:eastAsia="宋体" w:cs="宋体"/>
          <w:spacing w:val="-2"/>
          <w:sz w:val="24"/>
          <w:szCs w:val="24"/>
          <w:lang w:val="en-US" w:eastAsia="zh-CN"/>
        </w:rPr>
        <w:t>生态效益和</w:t>
      </w:r>
      <w:r>
        <w:rPr>
          <w:rFonts w:ascii="宋体" w:hAnsi="宋体" w:eastAsia="宋体" w:cs="宋体"/>
          <w:spacing w:val="-2"/>
          <w:sz w:val="24"/>
          <w:szCs w:val="24"/>
        </w:rPr>
        <w:t>社会效益，同时可提高人民生活水平，所以从社会经济角度看是可行的。同时，在保证环保投资到位的前提下，能够实现污染物对环境影响的最小化，环境效益比较明显，因此从环境经济角度来看也是合理可行的。综上所述，本工程具有较好的经济效益、社会效益和环境效益。</w:t>
      </w:r>
    </w:p>
    <w:p w14:paraId="6552B1A6">
      <w:pPr>
        <w:pStyle w:val="3"/>
        <w:spacing w:line="253" w:lineRule="auto"/>
      </w:pPr>
    </w:p>
    <w:p w14:paraId="786C3BE3">
      <w:pPr>
        <w:spacing w:before="98" w:line="219" w:lineRule="auto"/>
        <w:ind w:left="13"/>
        <w:outlineLvl w:val="1"/>
        <w:rPr>
          <w:rFonts w:hint="eastAsia" w:ascii="黑体" w:hAnsi="黑体" w:eastAsia="黑体" w:cs="黑体"/>
          <w:sz w:val="30"/>
          <w:szCs w:val="30"/>
        </w:rPr>
      </w:pPr>
      <w:bookmarkStart w:id="46" w:name="bookmark46"/>
      <w:bookmarkEnd w:id="46"/>
      <w:r>
        <w:rPr>
          <w:rFonts w:hint="eastAsia" w:ascii="黑体" w:hAnsi="黑体" w:eastAsia="黑体" w:cs="黑体"/>
          <w:spacing w:val="1"/>
          <w:sz w:val="30"/>
          <w:szCs w:val="30"/>
          <w14:textOutline w14:w="5448" w14:cap="sq" w14:cmpd="sng">
            <w14:solidFill>
              <w14:srgbClr w14:val="000000"/>
            </w14:solidFill>
            <w14:prstDash w14:val="solid"/>
            <w14:bevel/>
          </w14:textOutline>
        </w:rPr>
        <w:t>9.6</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环境管理及监测计划</w:t>
      </w:r>
    </w:p>
    <w:p w14:paraId="66537E4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jc w:val="both"/>
        <w:textAlignment w:val="baseline"/>
        <w:rPr>
          <w:rFonts w:ascii="宋体" w:hAnsi="宋体" w:eastAsia="宋体" w:cs="宋体"/>
          <w:sz w:val="24"/>
          <w:szCs w:val="24"/>
        </w:rPr>
      </w:pPr>
      <w:r>
        <w:rPr>
          <w:rFonts w:ascii="宋体" w:hAnsi="宋体" w:eastAsia="宋体" w:cs="宋体"/>
          <w:spacing w:val="-6"/>
          <w:sz w:val="24"/>
          <w:szCs w:val="24"/>
        </w:rPr>
        <w:t>根据本工程产污特征，评价提出了运行环境管理要求，并制订相应的环境监测计划。</w:t>
      </w:r>
      <w:r>
        <w:rPr>
          <w:rFonts w:ascii="宋体" w:hAnsi="宋体" w:eastAsia="宋体" w:cs="宋体"/>
          <w:spacing w:val="-2"/>
          <w:sz w:val="24"/>
          <w:szCs w:val="24"/>
        </w:rPr>
        <w:t>项目环境管理要求及环境监测计划制定合理，能够为环境管理和环保主管部门决策提供科学依据。</w:t>
      </w:r>
    </w:p>
    <w:p w14:paraId="5A089CD3">
      <w:pPr>
        <w:pStyle w:val="3"/>
        <w:spacing w:line="256" w:lineRule="auto"/>
      </w:pPr>
    </w:p>
    <w:p w14:paraId="4303E7B8">
      <w:pPr>
        <w:spacing w:before="98" w:line="219" w:lineRule="auto"/>
        <w:ind w:left="13"/>
        <w:outlineLvl w:val="1"/>
        <w:rPr>
          <w:rFonts w:hint="eastAsia" w:ascii="黑体" w:hAnsi="黑体" w:eastAsia="黑体" w:cs="黑体"/>
          <w:sz w:val="30"/>
          <w:szCs w:val="30"/>
        </w:rPr>
      </w:pPr>
      <w:bookmarkStart w:id="47" w:name="bookmark47"/>
      <w:bookmarkEnd w:id="47"/>
      <w:r>
        <w:rPr>
          <w:rFonts w:hint="eastAsia" w:ascii="黑体" w:hAnsi="黑体" w:eastAsia="黑体" w:cs="黑体"/>
          <w:spacing w:val="2"/>
          <w:sz w:val="30"/>
          <w:szCs w:val="30"/>
          <w14:textOutline w14:w="5448" w14:cap="sq" w14:cmpd="sng">
            <w14:solidFill>
              <w14:srgbClr w14:val="000000"/>
            </w14:solidFill>
            <w14:prstDash w14:val="solid"/>
            <w14:bevel/>
          </w14:textOutline>
        </w:rPr>
        <w:t>9.7</w:t>
      </w:r>
      <w:r>
        <w:rPr>
          <w:rFonts w:hint="eastAsia" w:ascii="黑体" w:hAnsi="黑体" w:eastAsia="黑体" w:cs="黑体"/>
          <w:spacing w:val="2"/>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2"/>
          <w:sz w:val="30"/>
          <w:szCs w:val="30"/>
          <w14:textOutline w14:w="5448" w14:cap="sq" w14:cmpd="sng">
            <w14:solidFill>
              <w14:srgbClr w14:val="000000"/>
            </w14:solidFill>
            <w14:prstDash w14:val="solid"/>
            <w14:bevel/>
          </w14:textOutline>
        </w:rPr>
        <w:t>公众参与</w:t>
      </w:r>
    </w:p>
    <w:p w14:paraId="6CC948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z w:val="24"/>
          <w:szCs w:val="24"/>
        </w:rPr>
      </w:pPr>
      <w:r>
        <w:rPr>
          <w:rFonts w:ascii="宋体" w:hAnsi="宋体" w:eastAsia="宋体" w:cs="宋体"/>
          <w:sz w:val="24"/>
          <w:szCs w:val="24"/>
        </w:rPr>
        <w:t>建设项目采用网站、报纸公示、现场张贴进行公众参与调查。公众意见调查结果表明，无不支持建设项目建设的意见反馈。</w:t>
      </w:r>
    </w:p>
    <w:p w14:paraId="6902B451">
      <w:pPr>
        <w:spacing w:before="311" w:line="218" w:lineRule="auto"/>
        <w:ind w:left="13"/>
        <w:outlineLvl w:val="1"/>
        <w:rPr>
          <w:rFonts w:hint="eastAsia" w:ascii="黑体" w:hAnsi="黑体" w:eastAsia="黑体" w:cs="黑体"/>
          <w:sz w:val="30"/>
          <w:szCs w:val="30"/>
        </w:rPr>
      </w:pPr>
      <w:bookmarkStart w:id="48" w:name="bookmark48"/>
      <w:bookmarkEnd w:id="48"/>
      <w:r>
        <w:rPr>
          <w:rFonts w:hint="eastAsia" w:ascii="黑体" w:hAnsi="黑体" w:eastAsia="黑体" w:cs="黑体"/>
          <w:spacing w:val="1"/>
          <w:sz w:val="30"/>
          <w:szCs w:val="30"/>
          <w14:textOutline w14:w="5448" w14:cap="sq" w14:cmpd="sng">
            <w14:solidFill>
              <w14:srgbClr w14:val="000000"/>
            </w14:solidFill>
            <w14:prstDash w14:val="solid"/>
            <w14:bevel/>
          </w14:textOutline>
        </w:rPr>
        <w:t>9.8</w:t>
      </w:r>
      <w:r>
        <w:rPr>
          <w:rFonts w:hint="eastAsia" w:ascii="黑体" w:hAnsi="黑体" w:eastAsia="黑体" w:cs="黑体"/>
          <w:spacing w:val="1"/>
          <w:sz w:val="30"/>
          <w:szCs w:val="30"/>
          <w:lang w:val="en-US" w:eastAsia="zh-CN"/>
          <w14:textOutline w14:w="5448" w14:cap="sq" w14:cmpd="sng">
            <w14:solidFill>
              <w14:srgbClr w14:val="000000"/>
            </w14:solidFill>
            <w14:prstDash w14:val="solid"/>
            <w14:bevel/>
          </w14:textOutline>
        </w:rPr>
        <w:t xml:space="preserve"> </w:t>
      </w:r>
      <w:r>
        <w:rPr>
          <w:rFonts w:hint="eastAsia" w:ascii="黑体" w:hAnsi="黑体" w:eastAsia="黑体" w:cs="黑体"/>
          <w:spacing w:val="1"/>
          <w:sz w:val="30"/>
          <w:szCs w:val="30"/>
          <w14:textOutline w14:w="5448" w14:cap="sq" w14:cmpd="sng">
            <w14:solidFill>
              <w14:srgbClr w14:val="000000"/>
            </w14:solidFill>
            <w14:prstDash w14:val="solid"/>
            <w14:bevel/>
          </w14:textOutline>
        </w:rPr>
        <w:t>环境影响评价综合结论</w:t>
      </w:r>
    </w:p>
    <w:p w14:paraId="58C6EE4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本工程在设计、施工、运行阶段将按照国家相关环境保护要求，分别采取一系列环境保护措施来减小工程的环境影响，在严格落实本报告书提出的要求和各项建议后，可将工程建设对环境的影响控制在国家环保标准要求的范围内，使建设项目建设对环境的</w:t>
      </w:r>
      <w:r>
        <w:rPr>
          <w:rFonts w:ascii="宋体" w:hAnsi="宋体" w:eastAsia="宋体" w:cs="宋体"/>
          <w:spacing w:val="-1"/>
          <w:sz w:val="24"/>
          <w:szCs w:val="24"/>
        </w:rPr>
        <w:t>影响满足国家相关标准要求。</w:t>
      </w:r>
    </w:p>
    <w:p w14:paraId="7CE3FA9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z w:val="24"/>
          <w:szCs w:val="24"/>
        </w:rPr>
      </w:pPr>
      <w:r>
        <w:rPr>
          <w:rFonts w:ascii="宋体" w:hAnsi="宋体" w:eastAsia="宋体" w:cs="宋体"/>
          <w:spacing w:val="-1"/>
          <w:sz w:val="24"/>
          <w:szCs w:val="24"/>
        </w:rPr>
        <w:t>从环境保护的角度看，本工程的建设是可行的。</w:t>
      </w:r>
    </w:p>
    <w:sectPr>
      <w:pgSz w:w="11906" w:h="16839"/>
      <w:pgMar w:top="1152" w:right="1417" w:bottom="1262" w:left="1418" w:header="882" w:footer="986"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30527">
    <w:pPr>
      <w:spacing w:line="173" w:lineRule="auto"/>
      <w:ind w:left="4500"/>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FFCF6">
    <w:pPr>
      <w:spacing w:line="173" w:lineRule="auto"/>
      <w:ind w:left="44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62BB4">
    <w:pPr>
      <w:spacing w:before="62" w:line="208" w:lineRule="auto"/>
      <w:ind w:left="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910E1">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C4910E1">
                    <w:pPr>
                      <w:pStyle w:val="7"/>
                    </w:pPr>
                    <w:r>
                      <w:fldChar w:fldCharType="begin"/>
                    </w:r>
                    <w:r>
                      <w:instrText xml:space="preserve"> PAGE  \* MERGEFORMAT </w:instrText>
                    </w:r>
                    <w:r>
                      <w:fldChar w:fldCharType="separate"/>
                    </w:r>
                    <w:r>
                      <w:t>18</w:t>
                    </w:r>
                    <w:r>
                      <w:fldChar w:fldCharType="end"/>
                    </w:r>
                  </w:p>
                </w:txbxContent>
              </v:textbox>
            </v:shape>
          </w:pict>
        </mc:Fallback>
      </mc:AlternateContent>
    </w:r>
    <w:sdt>
      <w:sdtPr>
        <w:rPr>
          <w:rFonts w:ascii="宋体" w:hAnsi="宋体" w:eastAsia="宋体" w:cs="宋体"/>
          <w:sz w:val="18"/>
          <w:szCs w:val="18"/>
        </w:rPr>
        <w:id w:val="47"/>
        <w:docPartObj>
          <w:docPartGallery w:val="Table of Contents"/>
          <w:docPartUnique/>
        </w:docPartObj>
      </w:sdtPr>
      <w:sdtEndPr>
        <w:rPr>
          <w:rFonts w:ascii="Times New Roman" w:hAnsi="Times New Roman" w:eastAsia="Times New Roman" w:cs="Times New Roman"/>
          <w:sz w:val="18"/>
          <w:szCs w:val="18"/>
        </w:rPr>
      </w:sdtEndPr>
      <w:sdtContent>
        <w:r>
          <w:pict>
            <v:shape id="_x0000_s2112" o:spid="_x0000_s2112" style="position:absolute;left:0pt;margin-left:70.9pt;margin-top:778.8pt;height:0.5pt;width:453.55pt;mso-position-horizontal-relative:page;mso-position-vertical-relative:page;z-index:251662336;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pacing w:val="-1"/>
            <w:sz w:val="18"/>
            <w:szCs w:val="18"/>
            <w:lang w:eastAsia="zh-CN"/>
          </w:rPr>
          <w:t>新疆荣祥环保科技咨询有限公司</w:t>
        </w:r>
        <w:r>
          <w:rPr>
            <w:rFonts w:ascii="宋体" w:hAnsi="宋体" w:eastAsia="宋体" w:cs="宋体"/>
            <w:spacing w:val="1"/>
            <w:sz w:val="18"/>
            <w:szCs w:val="18"/>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75A8D">
    <w:pPr>
      <w:spacing w:before="64" w:line="208" w:lineRule="auto"/>
      <w:ind w:left="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6AD95">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186AD95">
                    <w:pPr>
                      <w:pStyle w:val="7"/>
                    </w:pPr>
                    <w:r>
                      <w:fldChar w:fldCharType="begin"/>
                    </w:r>
                    <w:r>
                      <w:instrText xml:space="preserve"> PAGE  \* MERGEFORMAT </w:instrText>
                    </w:r>
                    <w:r>
                      <w:fldChar w:fldCharType="separate"/>
                    </w:r>
                    <w:r>
                      <w:t>28</w:t>
                    </w:r>
                    <w:r>
                      <w:fldChar w:fldCharType="end"/>
                    </w:r>
                  </w:p>
                </w:txbxContent>
              </v:textbox>
            </v:shape>
          </w:pict>
        </mc:Fallback>
      </mc:AlternateContent>
    </w:r>
    <w:sdt>
      <w:sdtPr>
        <w:rPr>
          <w:rFonts w:ascii="宋体" w:hAnsi="宋体" w:eastAsia="宋体" w:cs="宋体"/>
          <w:sz w:val="18"/>
          <w:szCs w:val="18"/>
        </w:rPr>
        <w:id w:val="72"/>
        <w:docPartObj>
          <w:docPartGallery w:val="Table of Contents"/>
          <w:docPartUnique/>
        </w:docPartObj>
      </w:sdtPr>
      <w:sdtEndPr>
        <w:rPr>
          <w:rFonts w:ascii="Times New Roman" w:hAnsi="Times New Roman" w:eastAsia="Times New Roman" w:cs="Times New Roman"/>
          <w:sz w:val="18"/>
          <w:szCs w:val="18"/>
        </w:rPr>
      </w:sdtEndPr>
      <w:sdtContent>
        <w:r>
          <w:pict>
            <v:shape id="_x0000_s2160" o:spid="_x0000_s2160" style="position:absolute;left:0pt;margin-left:85.05pt;margin-top:785.9pt;height:0.5pt;width:425.2pt;mso-position-horizontal-relative:page;mso-position-vertical-relative:page;z-index:251663360;mso-width-relative:page;mso-height-relative:page;" fillcolor="#000000" filled="t" stroked="f" coordsize="8504,10" o:allowincell="f" path="m0,0l8503,0,8503,9,0,9,0,0xe">
              <v:path/>
              <v:fill on="t" focussize="0,0"/>
              <v:stroke on="f"/>
              <v:imagedata o:title=""/>
              <o:lock v:ext="edit"/>
            </v:shape>
          </w:pict>
        </w:r>
        <w:r>
          <w:rPr>
            <w:rFonts w:hint="eastAsia" w:ascii="宋体" w:hAnsi="宋体" w:eastAsia="宋体" w:cs="宋体"/>
            <w:spacing w:val="-2"/>
            <w:sz w:val="18"/>
            <w:szCs w:val="18"/>
            <w:lang w:eastAsia="zh-CN"/>
          </w:rPr>
          <w:t>新疆荣祥环保科技咨询有限公司</w:t>
        </w:r>
        <w:r>
          <w:rPr>
            <w:rFonts w:ascii="宋体" w:hAnsi="宋体" w:eastAsia="宋体" w:cs="宋体"/>
            <w:spacing w:val="1"/>
            <w:sz w:val="18"/>
            <w:szCs w:val="18"/>
          </w:rP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C48CB">
    <w:pPr>
      <w:spacing w:before="62" w:line="208" w:lineRule="auto"/>
      <w:ind w:left="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8B5C6">
                          <w:pPr>
                            <w:pStyle w:val="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248B5C6">
                    <w:pPr>
                      <w:pStyle w:val="7"/>
                    </w:pPr>
                    <w:r>
                      <w:fldChar w:fldCharType="begin"/>
                    </w:r>
                    <w:r>
                      <w:instrText xml:space="preserve"> PAGE  \* MERGEFORMAT </w:instrText>
                    </w:r>
                    <w:r>
                      <w:fldChar w:fldCharType="separate"/>
                    </w:r>
                    <w:r>
                      <w:t>60</w:t>
                    </w:r>
                    <w:r>
                      <w:fldChar w:fldCharType="end"/>
                    </w:r>
                  </w:p>
                </w:txbxContent>
              </v:textbox>
            </v:shape>
          </w:pict>
        </mc:Fallback>
      </mc:AlternateContent>
    </w:r>
    <w:sdt>
      <w:sdtPr>
        <w:rPr>
          <w:rFonts w:ascii="宋体" w:hAnsi="宋体" w:eastAsia="宋体" w:cs="宋体"/>
          <w:sz w:val="18"/>
          <w:szCs w:val="18"/>
        </w:rPr>
        <w:id w:val="85"/>
        <w:docPartObj>
          <w:docPartGallery w:val="Table of Contents"/>
          <w:docPartUnique/>
        </w:docPartObj>
      </w:sdtPr>
      <w:sdtEndPr>
        <w:rPr>
          <w:rFonts w:ascii="Times New Roman" w:hAnsi="Times New Roman" w:eastAsia="Times New Roman" w:cs="Times New Roman"/>
          <w:sz w:val="18"/>
          <w:szCs w:val="18"/>
        </w:rPr>
      </w:sdtEndPr>
      <w:sdtContent>
        <w:r>
          <w:pict>
            <v:shape id="_x0000_s2181" o:spid="_x0000_s2181" style="position:absolute;left:0pt;margin-left:70.9pt;margin-top:778.8pt;height:0.5pt;width:453.55pt;mso-position-horizontal-relative:page;mso-position-vertical-relative:page;z-index:251664384;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pacing w:val="-1"/>
            <w:sz w:val="18"/>
            <w:szCs w:val="18"/>
            <w:lang w:eastAsia="zh-CN"/>
          </w:rPr>
          <w:t>新疆荣祥环保科技咨询有限公司</w:t>
        </w:r>
        <w:r>
          <w:rPr>
            <w:rFonts w:ascii="宋体" w:hAnsi="宋体" w:eastAsia="宋体" w:cs="宋体"/>
            <w:spacing w:val="1"/>
            <w:sz w:val="18"/>
            <w:szCs w:val="18"/>
          </w:rPr>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AED05">
    <w:pPr>
      <w:spacing w:before="62" w:line="208" w:lineRule="auto"/>
      <w:ind w:left="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0A4AE">
                          <w:pPr>
                            <w:pStyle w:val="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8F0A4AE">
                    <w:pPr>
                      <w:pStyle w:val="7"/>
                    </w:pPr>
                    <w:r>
                      <w:fldChar w:fldCharType="begin"/>
                    </w:r>
                    <w:r>
                      <w:instrText xml:space="preserve"> PAGE  \* MERGEFORMAT </w:instrText>
                    </w:r>
                    <w:r>
                      <w:fldChar w:fldCharType="separate"/>
                    </w:r>
                    <w:r>
                      <w:t>75</w:t>
                    </w:r>
                    <w:r>
                      <w:fldChar w:fldCharType="end"/>
                    </w:r>
                  </w:p>
                </w:txbxContent>
              </v:textbox>
            </v:shape>
          </w:pict>
        </mc:Fallback>
      </mc:AlternateContent>
    </w:r>
    <w:sdt>
      <w:sdtPr>
        <w:rPr>
          <w:rFonts w:ascii="宋体" w:hAnsi="宋体" w:eastAsia="宋体" w:cs="宋体"/>
          <w:sz w:val="18"/>
          <w:szCs w:val="18"/>
        </w:rPr>
        <w:id w:val="86"/>
        <w:docPartObj>
          <w:docPartGallery w:val="Table of Contents"/>
          <w:docPartUnique/>
        </w:docPartObj>
      </w:sdtPr>
      <w:sdtEndPr>
        <w:rPr>
          <w:rFonts w:ascii="Times New Roman" w:hAnsi="Times New Roman" w:eastAsia="Times New Roman" w:cs="Times New Roman"/>
          <w:sz w:val="18"/>
          <w:szCs w:val="18"/>
        </w:rPr>
      </w:sdtEndPr>
      <w:sdtContent>
        <w:r>
          <w:pict>
            <v:shape id="_x0000_s2183" o:spid="_x0000_s2183" style="position:absolute;left:0pt;margin-left:70.9pt;margin-top:778.8pt;height:0.5pt;width:453.55pt;mso-position-horizontal-relative:page;mso-position-vertical-relative:page;z-index:251666432;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pacing w:val="-1"/>
            <w:sz w:val="18"/>
            <w:szCs w:val="18"/>
            <w:lang w:eastAsia="zh-CN"/>
          </w:rPr>
          <w:t>新疆荣祥环保科技咨询有限公司</w:t>
        </w:r>
        <w:r>
          <w:rPr>
            <w:rFonts w:ascii="宋体" w:hAnsi="宋体" w:eastAsia="宋体" w:cs="宋体"/>
            <w:spacing w:val="1"/>
            <w:sz w:val="18"/>
            <w:szCs w:val="18"/>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510BC">
    <w:pPr>
      <w:spacing w:before="62" w:line="208" w:lineRule="auto"/>
      <w:ind w:left="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5D621">
                          <w:pPr>
                            <w:pStyle w:val="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475D621">
                    <w:pPr>
                      <w:pStyle w:val="7"/>
                    </w:pPr>
                    <w:r>
                      <w:fldChar w:fldCharType="begin"/>
                    </w:r>
                    <w:r>
                      <w:instrText xml:space="preserve"> PAGE  \* MERGEFORMAT </w:instrText>
                    </w:r>
                    <w:r>
                      <w:fldChar w:fldCharType="separate"/>
                    </w:r>
                    <w:r>
                      <w:t>76</w:t>
                    </w:r>
                    <w:r>
                      <w:fldChar w:fldCharType="end"/>
                    </w:r>
                  </w:p>
                </w:txbxContent>
              </v:textbox>
            </v:shape>
          </w:pict>
        </mc:Fallback>
      </mc:AlternateContent>
    </w:r>
    <w:sdt>
      <w:sdtPr>
        <w:rPr>
          <w:rFonts w:ascii="宋体" w:hAnsi="宋体" w:eastAsia="宋体" w:cs="宋体"/>
          <w:sz w:val="18"/>
          <w:szCs w:val="18"/>
        </w:rPr>
        <w:id w:val="127"/>
        <w:docPartObj>
          <w:docPartGallery w:val="Table of Contents"/>
          <w:docPartUnique/>
        </w:docPartObj>
      </w:sdtPr>
      <w:sdtEndPr>
        <w:rPr>
          <w:rFonts w:ascii="Times New Roman" w:hAnsi="Times New Roman" w:eastAsia="Times New Roman" w:cs="Times New Roman"/>
          <w:sz w:val="18"/>
          <w:szCs w:val="18"/>
        </w:rPr>
      </w:sdtEndPr>
      <w:sdtContent>
        <w:r>
          <w:pict>
            <v:shape id="_x0000_s2255" o:spid="_x0000_s2255" style="position:absolute;left:0pt;margin-left:70.9pt;margin-top:778.8pt;height:0.5pt;width:453.55pt;mso-position-horizontal-relative:page;mso-position-vertical-relative:page;z-index:251668480;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z w:val="18"/>
            <w:szCs w:val="18"/>
            <w:lang w:eastAsia="zh-CN"/>
          </w:rPr>
          <w:t>新疆荣祥环保科技咨询有限公司</w:t>
        </w:r>
        <w:r>
          <w:rPr>
            <w:rFonts w:ascii="宋体" w:hAnsi="宋体" w:eastAsia="宋体" w:cs="宋体"/>
            <w:sz w:val="18"/>
            <w:szCs w:val="18"/>
          </w:rPr>
          <w:t xml:space="preserve">         </w:t>
        </w:r>
        <w:r>
          <w:rPr>
            <w:rFonts w:ascii="宋体" w:hAnsi="宋体" w:eastAsia="宋体" w:cs="宋体"/>
            <w:spacing w:val="-1"/>
            <w:sz w:val="18"/>
            <w:szCs w:val="18"/>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94949">
    <w:pPr>
      <w:pBdr>
        <w:bottom w:val="single" w:color="auto" w:sz="4" w:space="0"/>
      </w:pBdr>
      <w:spacing w:line="226" w:lineRule="auto"/>
      <w:ind w:left="638"/>
      <w:jc w:val="center"/>
      <w:rPr>
        <w:rFonts w:ascii="宋体" w:hAnsi="宋体" w:eastAsia="宋体" w:cs="宋体"/>
        <w:sz w:val="20"/>
        <w:szCs w:val="20"/>
      </w:rPr>
    </w:pPr>
    <w:r>
      <w:rPr>
        <w:rFonts w:hint="eastAsia" w:ascii="宋体" w:hAnsi="宋体" w:eastAsia="宋体" w:cs="宋体"/>
        <w:spacing w:val="9"/>
        <w:sz w:val="20"/>
        <w:szCs w:val="20"/>
        <w:lang w:eastAsia="zh-CN"/>
      </w:rPr>
      <w:t>艾丁湖生态保护治理项目（二期）</w:t>
    </w:r>
    <w:r>
      <w:rPr>
        <w:rFonts w:ascii="宋体" w:hAnsi="宋体" w:eastAsia="宋体" w:cs="宋体"/>
        <w:spacing w:val="9"/>
        <w:sz w:val="20"/>
        <w:szCs w:val="20"/>
      </w:rPr>
      <w:t>环境影</w:t>
    </w:r>
    <w:r>
      <w:rPr>
        <w:rFonts w:ascii="宋体" w:hAnsi="宋体" w:eastAsia="宋体" w:cs="宋体"/>
        <w:spacing w:val="8"/>
        <w:sz w:val="20"/>
        <w:szCs w:val="20"/>
      </w:rPr>
      <w:t>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0DD26">
    <w:pPr>
      <w:pBdr>
        <w:bottom w:val="single" w:color="auto" w:sz="4" w:space="0"/>
      </w:pBdr>
      <w:spacing w:line="226" w:lineRule="auto"/>
      <w:ind w:left="638"/>
      <w:jc w:val="center"/>
      <w:rPr>
        <w:rFonts w:ascii="宋体" w:hAnsi="宋体" w:eastAsia="宋体" w:cs="宋体"/>
        <w:sz w:val="20"/>
        <w:szCs w:val="20"/>
      </w:rPr>
    </w:pPr>
    <w:r>
      <w:rPr>
        <w:rFonts w:hint="eastAsia" w:ascii="宋体" w:hAnsi="宋体" w:eastAsia="宋体" w:cs="宋体"/>
        <w:spacing w:val="9"/>
        <w:sz w:val="20"/>
        <w:szCs w:val="20"/>
        <w:lang w:eastAsia="zh-CN"/>
      </w:rPr>
      <w:t>艾丁湖生态保护治理项目（二期）</w:t>
    </w:r>
    <w:r>
      <w:rPr>
        <w:rFonts w:ascii="宋体" w:hAnsi="宋体" w:eastAsia="宋体" w:cs="宋体"/>
        <w:spacing w:val="9"/>
        <w:sz w:val="20"/>
        <w:szCs w:val="20"/>
      </w:rPr>
      <w:t>环境影</w:t>
    </w:r>
    <w:r>
      <w:rPr>
        <w:rFonts w:ascii="宋体" w:hAnsi="宋体" w:eastAsia="宋体" w:cs="宋体"/>
        <w:spacing w:val="8"/>
        <w:sz w:val="20"/>
        <w:szCs w:val="20"/>
      </w:rPr>
      <w:t>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4E375">
    <w:pPr>
      <w:keepNext w:val="0"/>
      <w:keepLines w:val="0"/>
      <w:pageBreakBefore w:val="0"/>
      <w:widowControl/>
      <w:kinsoku w:val="0"/>
      <w:wordWrap/>
      <w:overflowPunct/>
      <w:topLinePunct w:val="0"/>
      <w:bidi w:val="0"/>
      <w:adjustRightInd w:val="0"/>
      <w:snapToGrid w:val="0"/>
      <w:spacing w:line="288" w:lineRule="auto"/>
      <w:ind w:left="0"/>
      <w:jc w:val="center"/>
      <w:textAlignment w:val="baseline"/>
      <w:rPr>
        <w:rFonts w:ascii="宋体" w:hAnsi="宋体" w:eastAsia="宋体" w:cs="宋体"/>
        <w:sz w:val="20"/>
        <w:szCs w:val="20"/>
      </w:rPr>
    </w:pPr>
    <w:r>
      <w:pict>
        <v:shape id="_x0000_s2179" o:spid="_x0000_s2179" style="position:absolute;left:0pt;margin-left:70.9pt;margin-top:57.15pt;height:0.5pt;width:453.55pt;mso-position-horizontal-relative:page;mso-position-vertical-relative:page;z-index:251659264;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pacing w:val="9"/>
        <w:sz w:val="20"/>
        <w:szCs w:val="20"/>
        <w:lang w:eastAsia="zh-CN"/>
      </w:rPr>
      <w:t>艾丁湖生态保护治理项目（二期）</w:t>
    </w:r>
    <w:r>
      <w:rPr>
        <w:rFonts w:ascii="宋体" w:hAnsi="宋体" w:eastAsia="宋体" w:cs="宋体"/>
        <w:spacing w:val="9"/>
        <w:sz w:val="20"/>
        <w:szCs w:val="20"/>
      </w:rPr>
      <w:t>环境影</w:t>
    </w:r>
    <w:r>
      <w:rPr>
        <w:rFonts w:ascii="宋体" w:hAnsi="宋体" w:eastAsia="宋体" w:cs="宋体"/>
        <w:spacing w:val="8"/>
        <w:sz w:val="20"/>
        <w:szCs w:val="20"/>
      </w:rPr>
      <w:t>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300C">
    <w:pPr>
      <w:spacing w:line="226" w:lineRule="auto"/>
      <w:ind w:left="638"/>
      <w:jc w:val="center"/>
      <w:rPr>
        <w:rFonts w:ascii="宋体" w:hAnsi="宋体" w:eastAsia="宋体" w:cs="宋体"/>
        <w:sz w:val="20"/>
        <w:szCs w:val="20"/>
      </w:rPr>
    </w:pPr>
    <w:r>
      <w:pict>
        <v:shape id="_x0000_s2182" o:spid="_x0000_s2182" style="position:absolute;left:0pt;margin-left:70.9pt;margin-top:57.15pt;height:0.5pt;width:453.55pt;mso-position-horizontal-relative:page;mso-position-vertical-relative:page;z-index:251665408;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pacing w:val="9"/>
        <w:sz w:val="20"/>
        <w:szCs w:val="20"/>
        <w:lang w:eastAsia="zh-CN"/>
      </w:rPr>
      <w:t>艾丁湖生态保护治理项目（二期）</w:t>
    </w:r>
    <w:r>
      <w:rPr>
        <w:rFonts w:ascii="宋体" w:hAnsi="宋体" w:eastAsia="宋体" w:cs="宋体"/>
        <w:spacing w:val="9"/>
        <w:sz w:val="20"/>
        <w:szCs w:val="20"/>
      </w:rPr>
      <w:t>环境影</w:t>
    </w:r>
    <w:r>
      <w:rPr>
        <w:rFonts w:ascii="宋体" w:hAnsi="宋体" w:eastAsia="宋体" w:cs="宋体"/>
        <w:spacing w:val="8"/>
        <w:sz w:val="20"/>
        <w:szCs w:val="20"/>
      </w:rPr>
      <w:t>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2BF26">
    <w:pPr>
      <w:spacing w:line="226" w:lineRule="auto"/>
      <w:jc w:val="center"/>
      <w:rPr>
        <w:rFonts w:ascii="宋体" w:hAnsi="宋体" w:eastAsia="宋体" w:cs="宋体"/>
        <w:sz w:val="20"/>
        <w:szCs w:val="20"/>
      </w:rPr>
    </w:pPr>
    <w:r>
      <w:pict>
        <v:shape id="_x0000_s2254" o:spid="_x0000_s2254" style="position:absolute;left:0pt;margin-left:70.9pt;margin-top:57.15pt;height:0.5pt;width:453.55pt;mso-position-horizontal-relative:page;mso-position-vertical-relative:page;z-index:251660288;mso-width-relative:page;mso-height-relative:page;" fillcolor="#000000" filled="t" stroked="f" coordsize="9070,10" o:allowincell="f" path="m0,0l9070,0,9070,9,0,9,0,0xe">
          <v:path/>
          <v:fill on="t" focussize="0,0"/>
          <v:stroke on="f"/>
          <v:imagedata o:title=""/>
          <o:lock v:ext="edit"/>
        </v:shape>
      </w:pict>
    </w:r>
    <w:r>
      <w:rPr>
        <w:rFonts w:hint="eastAsia" w:ascii="宋体" w:hAnsi="宋体" w:eastAsia="宋体" w:cs="宋体"/>
        <w:spacing w:val="9"/>
        <w:sz w:val="20"/>
        <w:szCs w:val="20"/>
        <w:lang w:eastAsia="zh-CN"/>
      </w:rPr>
      <w:t>艾丁湖生态保护治理项目（二期）</w:t>
    </w:r>
    <w:r>
      <w:rPr>
        <w:rFonts w:ascii="宋体" w:hAnsi="宋体" w:eastAsia="宋体" w:cs="宋体"/>
        <w:spacing w:val="9"/>
        <w:sz w:val="20"/>
        <w:szCs w:val="20"/>
      </w:rPr>
      <w:t>环境影</w:t>
    </w:r>
    <w:r>
      <w:rPr>
        <w:rFonts w:ascii="宋体" w:hAnsi="宋体" w:eastAsia="宋体" w:cs="宋体"/>
        <w:spacing w:val="8"/>
        <w:sz w:val="20"/>
        <w:szCs w:val="20"/>
      </w:rPr>
      <w:t>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B5C6D"/>
    <w:multiLevelType w:val="singleLevel"/>
    <w:tmpl w:val="95EB5C6D"/>
    <w:lvl w:ilvl="0" w:tentative="0">
      <w:start w:val="1"/>
      <w:numFmt w:val="decimal"/>
      <w:suff w:val="nothing"/>
      <w:lvlText w:val="%1、"/>
      <w:lvlJc w:val="left"/>
    </w:lvl>
  </w:abstractNum>
  <w:abstractNum w:abstractNumId="1">
    <w:nsid w:val="01C21829"/>
    <w:multiLevelType w:val="multilevel"/>
    <w:tmpl w:val="01C21829"/>
    <w:lvl w:ilvl="0" w:tentative="0">
      <w:start w:val="0"/>
      <w:numFmt w:val="none"/>
      <w:pStyle w:val="21"/>
      <w:lvlText w:val=""/>
      <w:lvlJc w:val="left"/>
      <w:pPr>
        <w:ind w:left="840" w:hanging="360"/>
      </w:pPr>
      <w:rPr>
        <w:rFonts w:hint="default"/>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E5MzY4NTVmNWNkM2FiOTE3MzcxMWViN2E1MTkyMzYifQ=="/>
  </w:docVars>
  <w:rsids>
    <w:rsidRoot w:val="00000000"/>
    <w:rsid w:val="040026D4"/>
    <w:rsid w:val="05507342"/>
    <w:rsid w:val="06231E4A"/>
    <w:rsid w:val="077F1302"/>
    <w:rsid w:val="0A111788"/>
    <w:rsid w:val="0A3356EC"/>
    <w:rsid w:val="0E6A60FC"/>
    <w:rsid w:val="123E4294"/>
    <w:rsid w:val="14694036"/>
    <w:rsid w:val="15737167"/>
    <w:rsid w:val="18221982"/>
    <w:rsid w:val="18D4762B"/>
    <w:rsid w:val="1A8B3F9E"/>
    <w:rsid w:val="1E944CBA"/>
    <w:rsid w:val="20513F8E"/>
    <w:rsid w:val="20615F83"/>
    <w:rsid w:val="2DB96E6D"/>
    <w:rsid w:val="32BF7130"/>
    <w:rsid w:val="3A280D9F"/>
    <w:rsid w:val="3E2D0866"/>
    <w:rsid w:val="40F77A28"/>
    <w:rsid w:val="436F4B05"/>
    <w:rsid w:val="43A85162"/>
    <w:rsid w:val="48783134"/>
    <w:rsid w:val="495F62C2"/>
    <w:rsid w:val="4B702A09"/>
    <w:rsid w:val="4BF22914"/>
    <w:rsid w:val="4DA94D88"/>
    <w:rsid w:val="4E9B1E8B"/>
    <w:rsid w:val="50B319E6"/>
    <w:rsid w:val="50C522B1"/>
    <w:rsid w:val="51053DF9"/>
    <w:rsid w:val="53544250"/>
    <w:rsid w:val="55B70F0A"/>
    <w:rsid w:val="588051AB"/>
    <w:rsid w:val="58BC3FEC"/>
    <w:rsid w:val="5D3F1F55"/>
    <w:rsid w:val="68E80307"/>
    <w:rsid w:val="6AC93DDE"/>
    <w:rsid w:val="6B0F6AA3"/>
    <w:rsid w:val="72E15432"/>
    <w:rsid w:val="791E5281"/>
    <w:rsid w:val="7F923F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Body Text Indent 2"/>
    <w:basedOn w:val="1"/>
    <w:next w:val="5"/>
    <w:autoRedefine/>
    <w:qFormat/>
    <w:uiPriority w:val="0"/>
    <w:pPr>
      <w:spacing w:after="120" w:afterLines="0" w:afterAutospacing="0" w:line="480" w:lineRule="auto"/>
      <w:ind w:left="420" w:leftChars="200"/>
    </w:pPr>
    <w:rPr>
      <w:rFonts w:eastAsia="仿宋_GB2312"/>
      <w:sz w:val="28"/>
    </w:rPr>
  </w:style>
  <w:style w:type="paragraph" w:customStyle="1" w:styleId="5">
    <w:name w:val="reader-word-layer reader-word-s46-2"/>
    <w:basedOn w:val="1"/>
    <w:next w:val="6"/>
    <w:autoRedefine/>
    <w:qFormat/>
    <w:uiPriority w:val="0"/>
    <w:pPr>
      <w:widowControl/>
      <w:spacing w:before="280" w:after="280" w:line="240" w:lineRule="auto"/>
      <w:jc w:val="both"/>
    </w:pPr>
    <w:rPr>
      <w:rFonts w:ascii="宋体"/>
      <w:sz w:val="24"/>
    </w:rPr>
  </w:style>
  <w:style w:type="paragraph" w:customStyle="1" w:styleId="6">
    <w:name w:val="xl35"/>
    <w:basedOn w:val="1"/>
    <w:next w:val="1"/>
    <w:autoRedefine/>
    <w:qFormat/>
    <w:uiPriority w:val="0"/>
    <w:pPr>
      <w:widowControl/>
      <w:shd w:val="clear" w:color="FFFFFF" w:fill="FFFFFF"/>
      <w:spacing w:before="280" w:after="280" w:line="240" w:lineRule="auto"/>
      <w:jc w:val="both"/>
    </w:pPr>
    <w:rPr>
      <w:rFonts w:ascii="Arial Unicode MS" w:eastAsia="Arial Unicode MS"/>
      <w:sz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next w:val="1"/>
    <w:autoRedefine/>
    <w:qFormat/>
    <w:uiPriority w:val="99"/>
    <w:pPr>
      <w:widowControl/>
      <w:spacing w:before="100" w:beforeAutospacing="1" w:after="100" w:afterAutospacing="1"/>
      <w:jc w:val="left"/>
    </w:pPr>
    <w:rPr>
      <w:rFonts w:ascii="宋体" w:hAnsi="宋体"/>
      <w:kern w:val="0"/>
      <w:sz w:val="24"/>
      <w:szCs w:val="20"/>
    </w:rPr>
  </w:style>
  <w:style w:type="table" w:styleId="11">
    <w:name w:val="Table Grid"/>
    <w:basedOn w:val="1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默认段落"/>
    <w:basedOn w:val="1"/>
    <w:autoRedefine/>
    <w:qFormat/>
    <w:uiPriority w:val="0"/>
    <w:rPr>
      <w:rFonts w:eastAsia="宋体"/>
    </w:rPr>
  </w:style>
  <w:style w:type="table" w:customStyle="1" w:styleId="14">
    <w:name w:val="Table Normal"/>
    <w:autoRedefine/>
    <w:semiHidden/>
    <w:unhideWhenUsed/>
    <w:qFormat/>
    <w:uiPriority w:val="0"/>
    <w:tblPr>
      <w:tblCellMar>
        <w:top w:w="0" w:type="dxa"/>
        <w:left w:w="0" w:type="dxa"/>
        <w:bottom w:w="0" w:type="dxa"/>
        <w:right w:w="0" w:type="dxa"/>
      </w:tblCellMar>
    </w:tblPr>
  </w:style>
  <w:style w:type="paragraph" w:customStyle="1" w:styleId="15">
    <w:name w:val="Table Text"/>
    <w:basedOn w:val="1"/>
    <w:autoRedefine/>
    <w:semiHidden/>
    <w:qFormat/>
    <w:uiPriority w:val="0"/>
    <w:rPr>
      <w:rFonts w:ascii="宋体" w:hAnsi="宋体" w:eastAsia="宋体" w:cs="宋体"/>
      <w:sz w:val="20"/>
      <w:szCs w:val="20"/>
      <w:lang w:val="en-US" w:eastAsia="en-US" w:bidi="ar-SA"/>
    </w:rPr>
  </w:style>
  <w:style w:type="paragraph" w:customStyle="1" w:styleId="16">
    <w:name w:val="报告正文"/>
    <w:basedOn w:val="1"/>
    <w:autoRedefine/>
    <w:qFormat/>
    <w:uiPriority w:val="99"/>
    <w:rPr>
      <w:kern w:val="0"/>
      <w:szCs w:val="21"/>
    </w:rPr>
  </w:style>
  <w:style w:type="paragraph" w:customStyle="1" w:styleId="17">
    <w:name w:val="报告正文 仿宋 正常"/>
    <w:basedOn w:val="16"/>
    <w:autoRedefine/>
    <w:qFormat/>
    <w:uiPriority w:val="0"/>
    <w:rPr>
      <w:szCs w:val="28"/>
    </w:rPr>
  </w:style>
  <w:style w:type="paragraph" w:customStyle="1" w:styleId="18">
    <w:name w:val="图xsh"/>
    <w:basedOn w:val="19"/>
    <w:autoRedefine/>
    <w:qFormat/>
    <w:uiPriority w:val="0"/>
    <w:pPr>
      <w:spacing w:beforeLines="30" w:afterLines="30"/>
    </w:pPr>
  </w:style>
  <w:style w:type="paragraph" w:customStyle="1" w:styleId="19">
    <w:name w:val="图名"/>
    <w:autoRedefine/>
    <w:qFormat/>
    <w:uiPriority w:val="0"/>
    <w:pPr>
      <w:spacing w:afterLines="50"/>
      <w:jc w:val="center"/>
    </w:pPr>
    <w:rPr>
      <w:rFonts w:ascii="Times New Roman" w:hAnsi="Times New Roman" w:eastAsia="宋体" w:cs="Times New Roman"/>
      <w:b/>
      <w:sz w:val="24"/>
      <w:lang w:val="en-US" w:eastAsia="zh-CN" w:bidi="ar-SA"/>
    </w:rPr>
  </w:style>
  <w:style w:type="paragraph" w:customStyle="1" w:styleId="20">
    <w:name w:val="Default"/>
    <w:autoRedefine/>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04标题m"/>
    <w:basedOn w:val="1"/>
    <w:autoRedefine/>
    <w:qFormat/>
    <w:uiPriority w:val="0"/>
    <w:pPr>
      <w:pageBreakBefore w:val="0"/>
      <w:numPr>
        <w:ilvl w:val="0"/>
        <w:numId w:val="1"/>
      </w:numPr>
      <w:adjustRightInd/>
      <w:snapToGrid/>
      <w:spacing w:before="50" w:beforeLines="50" w:after="50" w:afterLines="50" w:line="240" w:lineRule="auto"/>
      <w:ind w:left="0" w:firstLine="480" w:firstLineChars="200"/>
      <w:jc w:val="both"/>
      <w:outlineLvl w:val="3"/>
    </w:pPr>
    <w:rPr>
      <w:b/>
      <w:color w:val="auto"/>
      <w:lang w:val="zh-CN"/>
    </w:rPr>
  </w:style>
  <w:style w:type="paragraph" w:customStyle="1" w:styleId="22">
    <w:name w:val="表内文字"/>
    <w:basedOn w:val="1"/>
    <w:autoRedefine/>
    <w:qFormat/>
    <w:uiPriority w:val="99"/>
    <w:pPr>
      <w:spacing w:line="240" w:lineRule="auto"/>
      <w:ind w:firstLine="0" w:firstLineChars="0"/>
      <w:jc w:val="center"/>
    </w:pPr>
    <w:rPr>
      <w:sz w:val="21"/>
      <w:szCs w:val="21"/>
    </w:rPr>
  </w:style>
  <w:style w:type="paragraph" w:customStyle="1" w:styleId="23">
    <w:name w:val="表头、图号"/>
    <w:basedOn w:val="1"/>
    <w:autoRedefine/>
    <w:qFormat/>
    <w:uiPriority w:val="99"/>
    <w:pPr>
      <w:spacing w:beforeLines="10" w:afterLines="10"/>
      <w:ind w:firstLine="0" w:firstLineChars="0"/>
      <w:jc w:val="center"/>
    </w:pPr>
    <w:rPr>
      <w:rFonts w:eastAsia="黑体"/>
    </w:rPr>
  </w:style>
  <w:style w:type="paragraph" w:customStyle="1" w:styleId="24">
    <w:name w:val="表格内-X"/>
    <w:basedOn w:val="1"/>
    <w:qFormat/>
    <w:uiPriority w:val="0"/>
    <w:pPr>
      <w:widowControl/>
      <w:adjustRightInd w:val="0"/>
      <w:snapToGrid w:val="0"/>
      <w:spacing w:line="240" w:lineRule="atLeast"/>
      <w:contextualSpacing/>
      <w:jc w:val="center"/>
    </w:pPr>
    <w:rPr>
      <w:rFonts w:ascii="Times New Roman" w:hAnsi="Times New Roman" w:eastAsia="宋体" w:cs="宋体"/>
      <w:kern w:val="0"/>
      <w:szCs w:val="24"/>
    </w:rPr>
  </w:style>
  <w:style w:type="character" w:customStyle="1" w:styleId="25">
    <w:name w:val="font41"/>
    <w:basedOn w:val="12"/>
    <w:qFormat/>
    <w:uiPriority w:val="0"/>
    <w:rPr>
      <w:rFonts w:ascii="宋体" w:hAnsi="宋体" w:eastAsia="宋体" w:cs="宋体"/>
      <w:b/>
      <w:bCs/>
      <w:color w:val="000000"/>
      <w:sz w:val="12"/>
      <w:szCs w:val="12"/>
      <w:u w:val="none"/>
    </w:rPr>
  </w:style>
  <w:style w:type="character" w:customStyle="1" w:styleId="26">
    <w:name w:val="font51"/>
    <w:basedOn w:val="12"/>
    <w:qFormat/>
    <w:uiPriority w:val="0"/>
    <w:rPr>
      <w:rFonts w:hint="default" w:ascii="Arial" w:hAnsi="Arial" w:cs="Arial"/>
      <w:color w:val="000000"/>
      <w:sz w:val="6"/>
      <w:szCs w:val="6"/>
      <w:u w:val="none"/>
    </w:rPr>
  </w:style>
  <w:style w:type="character" w:customStyle="1" w:styleId="27">
    <w:name w:val="font61"/>
    <w:basedOn w:val="12"/>
    <w:qFormat/>
    <w:uiPriority w:val="0"/>
    <w:rPr>
      <w:rFonts w:hint="default" w:ascii="Arial" w:hAnsi="Arial" w:cs="Arial"/>
      <w:color w:val="000000"/>
      <w:sz w:val="7"/>
      <w:szCs w:val="7"/>
      <w:u w:val="none"/>
    </w:rPr>
  </w:style>
  <w:style w:type="character" w:customStyle="1" w:styleId="28">
    <w:name w:val="font71"/>
    <w:basedOn w:val="12"/>
    <w:qFormat/>
    <w:uiPriority w:val="0"/>
    <w:rPr>
      <w:rFonts w:ascii="宋体" w:hAnsi="宋体" w:eastAsia="宋体" w:cs="宋体"/>
      <w:color w:val="000000"/>
      <w:sz w:val="12"/>
      <w:szCs w:val="12"/>
      <w:u w:val="none"/>
    </w:rPr>
  </w:style>
  <w:style w:type="character" w:customStyle="1" w:styleId="29">
    <w:name w:val="font81"/>
    <w:basedOn w:val="12"/>
    <w:qFormat/>
    <w:uiPriority w:val="0"/>
    <w:rPr>
      <w:rFonts w:ascii="宋体" w:hAnsi="宋体" w:eastAsia="宋体" w:cs="宋体"/>
      <w:color w:val="000000"/>
      <w:sz w:val="6"/>
      <w:szCs w:val="6"/>
      <w:u w:val="none"/>
    </w:rPr>
  </w:style>
  <w:style w:type="character" w:customStyle="1" w:styleId="30">
    <w:name w:val="font91"/>
    <w:basedOn w:val="12"/>
    <w:qFormat/>
    <w:uiPriority w:val="0"/>
    <w:rPr>
      <w:rFonts w:hint="default" w:ascii="Arial" w:hAnsi="Arial" w:cs="Arial"/>
      <w:color w:val="000000"/>
      <w:sz w:val="6"/>
      <w:szCs w:val="6"/>
      <w:u w:val="none"/>
    </w:rPr>
  </w:style>
  <w:style w:type="character" w:customStyle="1" w:styleId="31">
    <w:name w:val="font31"/>
    <w:basedOn w:val="12"/>
    <w:qFormat/>
    <w:uiPriority w:val="0"/>
    <w:rPr>
      <w:rFonts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112"/>
    <customShpInfo spid="_x0000_s2160"/>
    <customShpInfo spid="_x0000_s2179"/>
    <customShpInfo spid="_x0000_s2181"/>
    <customShpInfo spid="_x0000_s2182"/>
    <customShpInfo spid="_x0000_s2183"/>
    <customShpInfo spid="_x0000_s2254"/>
    <customShpInfo spid="_x0000_s22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113</Pages>
  <Words>75982</Words>
  <Characters>84319</Characters>
  <TotalTime>113</TotalTime>
  <ScaleCrop>false</ScaleCrop>
  <LinksUpToDate>false</LinksUpToDate>
  <CharactersWithSpaces>87023</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2023-04-07T13:49:00Z</dcterms:created>
  <dc:creator>范永刚</dc:creator>
  <cp:lastModifiedBy>王学珍</cp:lastModifiedBy>
  <dcterms:modified xsi:type="dcterms:W3CDTF">2024-10-15T08:00:20Z</dcterms:modified>
  <dc:title>工程检索号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2024-05-15T04:12:06Z</vt:filetime>
  </property>
  <property fmtid="{D5CDD505-2E9C-101B-9397-08002B2CF9AE}" pid="4" name="KSOProductBuildVer">
    <vt:lpwstr>2052-12.1.0.17827</vt:lpwstr>
  </property>
  <property fmtid="{D5CDD505-2E9C-101B-9397-08002B2CF9AE}" pid="5" name="ICV">
    <vt:lpwstr>19E0753D279246C880E6CD43EE3EA7DC_13</vt:lpwstr>
  </property>
</Properties>
</file>