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0BA4A">
      <w:pPr>
        <w:rPr>
          <w:rFonts w:ascii="仿宋_GB2312" w:hAnsi="仿宋_GB2312" w:eastAsia="仿宋_GB2312" w:cs="仿宋_GB2312"/>
          <w:spacing w:val="0"/>
          <w:kern w:val="21"/>
          <w:sz w:val="36"/>
          <w:szCs w:val="36"/>
        </w:rPr>
      </w:pPr>
    </w:p>
    <w:p w14:paraId="486FBEFB">
      <w:pPr>
        <w:rPr>
          <w:rFonts w:ascii="仿宋_GB2312" w:hAnsi="仿宋_GB2312" w:eastAsia="仿宋_GB2312" w:cs="仿宋_GB2312"/>
          <w:spacing w:val="0"/>
          <w:kern w:val="21"/>
          <w:sz w:val="36"/>
          <w:szCs w:val="36"/>
        </w:rPr>
      </w:pPr>
    </w:p>
    <w:p w14:paraId="2CAD83F6">
      <w:pPr>
        <w:rPr>
          <w:rFonts w:ascii="仿宋_GB2312" w:hAnsi="仿宋_GB2312" w:eastAsia="仿宋_GB2312" w:cs="仿宋_GB2312"/>
          <w:color w:val="auto"/>
          <w:spacing w:val="0"/>
          <w:kern w:val="21"/>
          <w:sz w:val="36"/>
          <w:szCs w:val="36"/>
        </w:rPr>
      </w:pPr>
    </w:p>
    <w:p w14:paraId="1DE9150A">
      <w:pPr>
        <w:adjustRightInd w:val="0"/>
        <w:snapToGrid w:val="0"/>
        <w:ind w:left="0" w:leftChars="0" w:firstLine="720" w:firstLineChars="100"/>
        <w:jc w:val="both"/>
        <w:outlineLvl w:val="0"/>
        <w:rPr>
          <w:rFonts w:hint="eastAsia" w:ascii="方正小标宋_GBK" w:eastAsia="方正小标宋_GBK"/>
          <w:bCs/>
          <w:color w:val="auto"/>
          <w:spacing w:val="0"/>
          <w:kern w:val="21"/>
          <w:sz w:val="72"/>
          <w:szCs w:val="72"/>
        </w:rPr>
      </w:pPr>
      <w:bookmarkStart w:id="0" w:name="_Toc25911"/>
      <w:bookmarkStart w:id="1" w:name="_Toc18187"/>
      <w:bookmarkStart w:id="2" w:name="_Toc32559"/>
      <w:bookmarkStart w:id="3" w:name="_Toc256"/>
      <w:bookmarkStart w:id="4" w:name="_Toc4387"/>
      <w:bookmarkStart w:id="5" w:name="_Toc323"/>
      <w:bookmarkStart w:id="6" w:name="_Toc19319"/>
      <w:r>
        <w:rPr>
          <w:rFonts w:hint="eastAsia" w:ascii="方正小标宋_GBK" w:eastAsia="方正小标宋_GBK"/>
          <w:bCs/>
          <w:color w:val="auto"/>
          <w:spacing w:val="0"/>
          <w:kern w:val="21"/>
          <w:sz w:val="72"/>
          <w:szCs w:val="72"/>
        </w:rPr>
        <w:t>建设项目环境影响报告表</w:t>
      </w:r>
      <w:bookmarkEnd w:id="0"/>
      <w:bookmarkEnd w:id="1"/>
      <w:bookmarkEnd w:id="2"/>
      <w:bookmarkEnd w:id="3"/>
      <w:bookmarkEnd w:id="4"/>
      <w:bookmarkEnd w:id="5"/>
      <w:bookmarkEnd w:id="6"/>
    </w:p>
    <w:p w14:paraId="35CE3CDB">
      <w:pPr>
        <w:adjustRightInd w:val="0"/>
        <w:snapToGrid w:val="0"/>
        <w:spacing w:before="192" w:beforeLines="80"/>
        <w:jc w:val="center"/>
        <w:rPr>
          <w:rFonts w:hint="eastAsia" w:ascii="楷体_GB2312" w:eastAsia="楷体_GB2312"/>
          <w:bCs/>
          <w:color w:val="auto"/>
          <w:spacing w:val="0"/>
          <w:kern w:val="21"/>
          <w:sz w:val="48"/>
          <w:szCs w:val="48"/>
        </w:rPr>
      </w:pPr>
      <w:r>
        <w:rPr>
          <w:rFonts w:hint="eastAsia" w:ascii="楷体_GB2312" w:eastAsia="楷体_GB2312"/>
          <w:bCs/>
          <w:color w:val="auto"/>
          <w:spacing w:val="0"/>
          <w:kern w:val="21"/>
          <w:sz w:val="48"/>
          <w:szCs w:val="48"/>
        </w:rPr>
        <w:t>（污染影响类）</w:t>
      </w:r>
    </w:p>
    <w:p w14:paraId="3355BB40">
      <w:pPr>
        <w:pStyle w:val="10"/>
        <w:ind w:left="0" w:leftChars="0" w:firstLine="0" w:firstLineChars="0"/>
        <w:rPr>
          <w:rFonts w:hint="eastAsia" w:eastAsia="仿宋"/>
          <w:color w:val="auto"/>
          <w:spacing w:val="0"/>
          <w:kern w:val="21"/>
          <w:sz w:val="44"/>
          <w:szCs w:val="44"/>
          <w:lang w:eastAsia="zh-CN"/>
        </w:rPr>
      </w:pPr>
    </w:p>
    <w:p w14:paraId="7AE593C4">
      <w:pPr>
        <w:pStyle w:val="10"/>
        <w:ind w:left="0" w:leftChars="0" w:firstLine="0" w:firstLineChars="0"/>
        <w:rPr>
          <w:rFonts w:hint="eastAsia" w:eastAsia="仿宋"/>
          <w:color w:val="auto"/>
          <w:spacing w:val="0"/>
          <w:kern w:val="21"/>
          <w:sz w:val="44"/>
          <w:szCs w:val="44"/>
          <w:lang w:eastAsia="zh-CN"/>
        </w:rPr>
      </w:pPr>
    </w:p>
    <w:p w14:paraId="219E6988">
      <w:pPr>
        <w:pStyle w:val="10"/>
        <w:ind w:left="0" w:leftChars="0" w:firstLine="0" w:firstLineChars="0"/>
        <w:rPr>
          <w:rFonts w:hint="eastAsia" w:eastAsia="仿宋"/>
          <w:color w:val="auto"/>
          <w:spacing w:val="0"/>
          <w:kern w:val="21"/>
          <w:sz w:val="44"/>
          <w:szCs w:val="44"/>
          <w:lang w:eastAsia="zh-CN"/>
        </w:rPr>
      </w:pPr>
    </w:p>
    <w:p w14:paraId="696B9CE4">
      <w:pPr>
        <w:pStyle w:val="10"/>
        <w:ind w:left="0" w:leftChars="0" w:firstLine="0" w:firstLineChars="0"/>
        <w:rPr>
          <w:rFonts w:hint="eastAsia" w:eastAsia="仿宋"/>
          <w:color w:val="auto"/>
          <w:spacing w:val="0"/>
          <w:kern w:val="21"/>
          <w:sz w:val="44"/>
          <w:szCs w:val="44"/>
          <w:lang w:eastAsia="zh-CN"/>
        </w:rPr>
      </w:pPr>
    </w:p>
    <w:p w14:paraId="0F9E0C55">
      <w:pPr>
        <w:pStyle w:val="10"/>
        <w:ind w:left="0" w:leftChars="0" w:firstLine="0" w:firstLineChars="0"/>
        <w:rPr>
          <w:rFonts w:hint="eastAsia" w:eastAsia="仿宋"/>
          <w:color w:val="auto"/>
          <w:spacing w:val="0"/>
          <w:kern w:val="21"/>
          <w:sz w:val="44"/>
          <w:szCs w:val="44"/>
          <w:lang w:eastAsia="zh-CN"/>
        </w:rPr>
      </w:pPr>
    </w:p>
    <w:p w14:paraId="3DE2E300">
      <w:pPr>
        <w:pStyle w:val="10"/>
        <w:ind w:left="0" w:leftChars="0" w:firstLine="0" w:firstLineChars="0"/>
        <w:rPr>
          <w:rFonts w:hint="eastAsia" w:eastAsia="仿宋"/>
          <w:color w:val="auto"/>
          <w:spacing w:val="0"/>
          <w:kern w:val="21"/>
          <w:sz w:val="44"/>
          <w:szCs w:val="44"/>
          <w:lang w:eastAsia="zh-CN"/>
        </w:rPr>
      </w:pPr>
    </w:p>
    <w:p w14:paraId="03E544CC">
      <w:pPr>
        <w:pStyle w:val="10"/>
        <w:ind w:left="0" w:leftChars="0" w:firstLine="0" w:firstLineChars="0"/>
        <w:rPr>
          <w:rFonts w:hint="eastAsia" w:eastAsia="仿宋"/>
          <w:color w:val="auto"/>
          <w:spacing w:val="0"/>
          <w:kern w:val="21"/>
          <w:sz w:val="44"/>
          <w:szCs w:val="44"/>
          <w:lang w:eastAsia="zh-CN"/>
        </w:rPr>
      </w:pPr>
    </w:p>
    <w:p w14:paraId="7E15D3F7">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0"/>
        <w:rPr>
          <w:rFonts w:hint="default" w:ascii="仿宋_GB2312" w:eastAsia="仿宋_GB2312"/>
          <w:color w:val="auto"/>
          <w:spacing w:val="0"/>
          <w:kern w:val="21"/>
          <w:sz w:val="36"/>
          <w:szCs w:val="36"/>
          <w:u w:val="single"/>
          <w:lang w:val="en-US" w:eastAsia="zh-CN"/>
        </w:rPr>
      </w:pPr>
      <w:bookmarkStart w:id="7" w:name="_Toc31701"/>
      <w:bookmarkStart w:id="8" w:name="_Toc13038"/>
      <w:bookmarkStart w:id="9" w:name="_Toc13820"/>
      <w:bookmarkStart w:id="10" w:name="_Toc12450"/>
      <w:bookmarkStart w:id="11" w:name="_Toc19244"/>
      <w:bookmarkStart w:id="12" w:name="_Toc1308"/>
      <w:bookmarkStart w:id="13" w:name="_Toc32642"/>
      <w:r>
        <w:rPr>
          <w:rFonts w:hint="eastAsia" w:ascii="仿宋_GB2312" w:eastAsia="仿宋_GB2312"/>
          <w:color w:val="auto"/>
          <w:spacing w:val="0"/>
          <w:kern w:val="21"/>
          <w:sz w:val="36"/>
          <w:szCs w:val="36"/>
        </w:rPr>
        <w:t>项目名称：</w:t>
      </w:r>
      <w:r>
        <w:rPr>
          <w:rFonts w:hint="eastAsia" w:ascii="仿宋_GB2312" w:eastAsia="仿宋_GB2312"/>
          <w:color w:val="auto"/>
          <w:spacing w:val="0"/>
          <w:kern w:val="21"/>
          <w:sz w:val="36"/>
          <w:szCs w:val="36"/>
          <w:u w:val="single"/>
          <w:lang w:val="en-US" w:eastAsia="zh-CN"/>
        </w:rPr>
        <w:t>鄯善县强盛再生资源回收利用</w:t>
      </w:r>
      <w:bookmarkEnd w:id="7"/>
      <w:bookmarkEnd w:id="8"/>
      <w:bookmarkEnd w:id="9"/>
      <w:bookmarkEnd w:id="10"/>
      <w:bookmarkEnd w:id="11"/>
      <w:bookmarkEnd w:id="12"/>
      <w:r>
        <w:rPr>
          <w:rFonts w:hint="eastAsia" w:ascii="仿宋_GB2312" w:eastAsia="仿宋_GB2312"/>
          <w:color w:val="auto"/>
          <w:spacing w:val="0"/>
          <w:kern w:val="21"/>
          <w:sz w:val="36"/>
          <w:szCs w:val="36"/>
          <w:u w:val="single"/>
          <w:lang w:val="en-US" w:eastAsia="zh-CN"/>
        </w:rPr>
        <w:t>项目</w:t>
      </w:r>
      <w:bookmarkEnd w:id="13"/>
    </w:p>
    <w:p w14:paraId="17A87712">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default" w:ascii="仿宋_GB2312" w:eastAsia="仿宋_GB2312"/>
          <w:color w:val="auto"/>
          <w:spacing w:val="0"/>
          <w:kern w:val="21"/>
          <w:sz w:val="36"/>
          <w:szCs w:val="36"/>
          <w:u w:val="single"/>
          <w:lang w:val="en-US" w:eastAsia="zh-CN"/>
        </w:rPr>
      </w:pPr>
      <w:r>
        <w:rPr>
          <w:rFonts w:hint="eastAsia" w:ascii="仿宋_GB2312" w:eastAsia="仿宋_GB2312"/>
          <w:color w:val="auto"/>
          <w:spacing w:val="0"/>
          <w:kern w:val="21"/>
          <w:sz w:val="36"/>
          <w:szCs w:val="36"/>
          <w:u w:val="single"/>
          <w:lang w:val="en-US" w:eastAsia="zh-CN"/>
        </w:rPr>
        <w:t>建设单位（盖章）：鄯善县强盛废品回收站</w:t>
      </w:r>
    </w:p>
    <w:p w14:paraId="5D78622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824" w:firstLineChars="229"/>
        <w:jc w:val="left"/>
        <w:textAlignment w:val="auto"/>
        <w:outlineLvl w:val="9"/>
        <w:rPr>
          <w:rFonts w:hint="eastAsia" w:ascii="仿宋_GB2312" w:eastAsia="仿宋_GB2312"/>
          <w:color w:val="auto"/>
          <w:spacing w:val="0"/>
          <w:kern w:val="21"/>
          <w:sz w:val="36"/>
          <w:szCs w:val="36"/>
        </w:rPr>
      </w:pPr>
    </w:p>
    <w:p w14:paraId="13AC213B">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eastAsia="仿宋_GB2312"/>
          <w:color w:val="auto"/>
          <w:spacing w:val="0"/>
          <w:kern w:val="21"/>
          <w:sz w:val="36"/>
          <w:szCs w:val="36"/>
          <w:u w:val="none"/>
        </w:rPr>
      </w:pPr>
      <w:r>
        <w:rPr>
          <w:rFonts w:hint="eastAsia" w:ascii="仿宋_GB2312" w:eastAsia="仿宋_GB2312"/>
          <w:color w:val="auto"/>
          <w:spacing w:val="0"/>
          <w:kern w:val="21"/>
          <w:sz w:val="36"/>
          <w:szCs w:val="36"/>
        </w:rPr>
        <w:t>编制日期：</w:t>
      </w:r>
      <w:r>
        <w:rPr>
          <w:rFonts w:hint="eastAsia" w:ascii="仿宋_GB2312" w:eastAsia="仿宋_GB2312"/>
          <w:color w:val="auto"/>
          <w:spacing w:val="0"/>
          <w:kern w:val="21"/>
          <w:sz w:val="36"/>
          <w:szCs w:val="36"/>
          <w:u w:val="none"/>
          <w:lang w:val="en-US" w:eastAsia="zh-CN"/>
        </w:rPr>
        <w:t>2024年7月</w:t>
      </w:r>
    </w:p>
    <w:p w14:paraId="78AE5375">
      <w:pPr>
        <w:pStyle w:val="39"/>
        <w:bidi w:val="0"/>
        <w:rPr>
          <w:color w:val="auto"/>
        </w:rPr>
      </w:pPr>
      <w:bookmarkStart w:id="14" w:name="_Hlk57884087"/>
    </w:p>
    <w:p w14:paraId="10B05721">
      <w:pPr>
        <w:pStyle w:val="39"/>
        <w:bidi w:val="0"/>
        <w:ind w:left="0" w:leftChars="0" w:firstLine="0" w:firstLineChars="0"/>
        <w:rPr>
          <w:color w:val="auto"/>
        </w:rPr>
      </w:pPr>
    </w:p>
    <w:p w14:paraId="686A96E1">
      <w:pPr>
        <w:pStyle w:val="39"/>
        <w:bidi w:val="0"/>
        <w:rPr>
          <w:color w:val="auto"/>
        </w:rPr>
      </w:pPr>
    </w:p>
    <w:bookmarkEnd w:id="14"/>
    <w:p w14:paraId="61CC1B40">
      <w:pPr>
        <w:pStyle w:val="39"/>
        <w:bidi w:val="0"/>
        <w:ind w:left="0" w:leftChars="0" w:firstLine="0" w:firstLineChars="0"/>
        <w:rPr>
          <w:rFonts w:hint="eastAsia"/>
          <w:color w:val="auto"/>
        </w:rPr>
      </w:pPr>
    </w:p>
    <w:p w14:paraId="3B453A6C">
      <w:pPr>
        <w:pStyle w:val="39"/>
        <w:bidi w:val="0"/>
        <w:ind w:left="0" w:leftChars="0" w:firstLine="0" w:firstLineChars="0"/>
        <w:rPr>
          <w:rFonts w:hint="eastAsia"/>
          <w:color w:val="auto"/>
        </w:rPr>
      </w:pPr>
    </w:p>
    <w:p w14:paraId="3E07789F">
      <w:pPr>
        <w:rPr>
          <w:color w:val="auto"/>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14:paraId="3FFE856C">
      <w:pPr>
        <w:pStyle w:val="20"/>
        <w:tabs>
          <w:tab w:val="right" w:leader="dot" w:pos="8844"/>
        </w:tabs>
        <w:jc w:val="center"/>
        <w:rPr>
          <w:rFonts w:hint="eastAsia"/>
          <w:color w:val="auto"/>
        </w:rPr>
      </w:pPr>
      <w:r>
        <w:rPr>
          <w:rFonts w:hint="eastAsia"/>
          <w:color w:val="auto"/>
          <w:sz w:val="36"/>
          <w:szCs w:val="36"/>
          <w:lang w:val="en-US" w:eastAsia="zh-CN"/>
        </w:rPr>
        <w:t>目   录</w:t>
      </w:r>
      <w:r>
        <w:rPr>
          <w:rFonts w:hint="eastAsia"/>
          <w:color w:val="auto"/>
        </w:rPr>
        <w:fldChar w:fldCharType="begin"/>
      </w:r>
      <w:r>
        <w:rPr>
          <w:rFonts w:hint="eastAsia"/>
          <w:color w:val="auto"/>
        </w:rPr>
        <w:instrText xml:space="preserve">TOC \o "1-2" \h \u </w:instrText>
      </w:r>
      <w:r>
        <w:rPr>
          <w:rFonts w:hint="eastAsia"/>
          <w:color w:val="auto"/>
        </w:rPr>
        <w:fldChar w:fldCharType="separate"/>
      </w:r>
    </w:p>
    <w:p w14:paraId="28B6040C"/>
    <w:p w14:paraId="4B250F81">
      <w:pPr>
        <w:pStyle w:val="20"/>
        <w:tabs>
          <w:tab w:val="right" w:leader="dot" w:pos="8844"/>
        </w:tabs>
        <w:spacing w:line="480" w:lineRule="auto"/>
      </w:pPr>
      <w:r>
        <w:rPr>
          <w:rFonts w:hint="eastAsia"/>
          <w:color w:val="auto"/>
        </w:rPr>
        <w:fldChar w:fldCharType="begin"/>
      </w:r>
      <w:r>
        <w:rPr>
          <w:rFonts w:hint="eastAsia"/>
        </w:rPr>
        <w:instrText xml:space="preserve"> HYPERLINK \l _Toc73 </w:instrText>
      </w:r>
      <w:r>
        <w:rPr>
          <w:rFonts w:hint="eastAsia"/>
        </w:rPr>
        <w:fldChar w:fldCharType="separate"/>
      </w:r>
      <w:r>
        <w:rPr>
          <w:rFonts w:hint="eastAsia" w:ascii="黑体" w:hAnsi="黑体" w:eastAsia="黑体"/>
          <w:snapToGrid w:val="0"/>
          <w:szCs w:val="30"/>
        </w:rPr>
        <w:t>一、建设项目基本情况</w:t>
      </w:r>
      <w:r>
        <w:tab/>
      </w:r>
      <w:r>
        <w:fldChar w:fldCharType="begin"/>
      </w:r>
      <w:r>
        <w:instrText xml:space="preserve"> PAGEREF _Toc73 \h </w:instrText>
      </w:r>
      <w:r>
        <w:fldChar w:fldCharType="separate"/>
      </w:r>
      <w:r>
        <w:t>1</w:t>
      </w:r>
      <w:r>
        <w:fldChar w:fldCharType="end"/>
      </w:r>
      <w:r>
        <w:rPr>
          <w:rFonts w:hint="eastAsia"/>
          <w:color w:val="auto"/>
        </w:rPr>
        <w:fldChar w:fldCharType="end"/>
      </w:r>
    </w:p>
    <w:p w14:paraId="617CECEB">
      <w:pPr>
        <w:pStyle w:val="20"/>
        <w:tabs>
          <w:tab w:val="right" w:leader="dot" w:pos="8844"/>
        </w:tabs>
        <w:spacing w:line="480" w:lineRule="auto"/>
      </w:pPr>
      <w:r>
        <w:rPr>
          <w:rFonts w:hint="eastAsia"/>
          <w:color w:val="auto"/>
        </w:rPr>
        <w:fldChar w:fldCharType="begin"/>
      </w:r>
      <w:r>
        <w:rPr>
          <w:rFonts w:hint="eastAsia"/>
        </w:rPr>
        <w:instrText xml:space="preserve"> HYPERLINK \l _Toc21764 </w:instrText>
      </w:r>
      <w:r>
        <w:rPr>
          <w:rFonts w:hint="eastAsia"/>
        </w:rPr>
        <w:fldChar w:fldCharType="separate"/>
      </w:r>
      <w:r>
        <w:rPr>
          <w:rFonts w:hint="eastAsia" w:ascii="黑体" w:hAnsi="黑体" w:eastAsia="黑体"/>
          <w:snapToGrid w:val="0"/>
          <w:szCs w:val="30"/>
        </w:rPr>
        <w:t>二、建设项目工程分析</w:t>
      </w:r>
      <w:r>
        <w:tab/>
      </w:r>
      <w:r>
        <w:fldChar w:fldCharType="begin"/>
      </w:r>
      <w:r>
        <w:instrText xml:space="preserve"> PAGEREF _Toc21764 \h </w:instrText>
      </w:r>
      <w:r>
        <w:fldChar w:fldCharType="separate"/>
      </w:r>
      <w:r>
        <w:t>16</w:t>
      </w:r>
      <w:r>
        <w:fldChar w:fldCharType="end"/>
      </w:r>
      <w:r>
        <w:rPr>
          <w:rFonts w:hint="eastAsia"/>
          <w:color w:val="auto"/>
        </w:rPr>
        <w:fldChar w:fldCharType="end"/>
      </w:r>
    </w:p>
    <w:p w14:paraId="67B68DCB">
      <w:pPr>
        <w:pStyle w:val="20"/>
        <w:tabs>
          <w:tab w:val="right" w:leader="dot" w:pos="8844"/>
        </w:tabs>
        <w:spacing w:line="480" w:lineRule="auto"/>
      </w:pPr>
      <w:r>
        <w:rPr>
          <w:rFonts w:hint="eastAsia"/>
          <w:color w:val="auto"/>
        </w:rPr>
        <w:fldChar w:fldCharType="begin"/>
      </w:r>
      <w:r>
        <w:rPr>
          <w:rFonts w:hint="eastAsia"/>
        </w:rPr>
        <w:instrText xml:space="preserve"> HYPERLINK \l _Toc23786 </w:instrText>
      </w:r>
      <w:r>
        <w:rPr>
          <w:rFonts w:hint="eastAsia"/>
        </w:rPr>
        <w:fldChar w:fldCharType="separate"/>
      </w:r>
      <w:r>
        <w:rPr>
          <w:rFonts w:hint="eastAsia" w:ascii="黑体" w:hAnsi="黑体" w:eastAsia="黑体"/>
          <w:snapToGrid w:val="0"/>
          <w:szCs w:val="30"/>
        </w:rPr>
        <w:t>三、区域环境质量现状、环境保护目标及评价标准</w:t>
      </w:r>
      <w:r>
        <w:tab/>
      </w:r>
      <w:r>
        <w:fldChar w:fldCharType="begin"/>
      </w:r>
      <w:r>
        <w:instrText xml:space="preserve"> PAGEREF _Toc23786 \h </w:instrText>
      </w:r>
      <w:r>
        <w:fldChar w:fldCharType="separate"/>
      </w:r>
      <w:r>
        <w:t>29</w:t>
      </w:r>
      <w:r>
        <w:fldChar w:fldCharType="end"/>
      </w:r>
      <w:r>
        <w:rPr>
          <w:rFonts w:hint="eastAsia"/>
          <w:color w:val="auto"/>
        </w:rPr>
        <w:fldChar w:fldCharType="end"/>
      </w:r>
    </w:p>
    <w:p w14:paraId="75F9EA64">
      <w:pPr>
        <w:pStyle w:val="20"/>
        <w:tabs>
          <w:tab w:val="right" w:leader="dot" w:pos="8844"/>
        </w:tabs>
        <w:spacing w:line="480" w:lineRule="auto"/>
      </w:pPr>
      <w:r>
        <w:rPr>
          <w:rFonts w:hint="eastAsia"/>
          <w:color w:val="auto"/>
        </w:rPr>
        <w:fldChar w:fldCharType="begin"/>
      </w:r>
      <w:r>
        <w:rPr>
          <w:rFonts w:hint="eastAsia"/>
        </w:rPr>
        <w:instrText xml:space="preserve"> HYPERLINK \l _Toc26150 </w:instrText>
      </w:r>
      <w:r>
        <w:rPr>
          <w:rFonts w:hint="eastAsia"/>
        </w:rPr>
        <w:fldChar w:fldCharType="separate"/>
      </w:r>
      <w:r>
        <w:rPr>
          <w:rFonts w:hint="eastAsia" w:ascii="黑体" w:hAnsi="黑体" w:eastAsia="黑体"/>
          <w:snapToGrid w:val="0"/>
          <w:szCs w:val="36"/>
        </w:rPr>
        <w:t>四、主要环境影响和保护措施</w:t>
      </w:r>
      <w:r>
        <w:tab/>
      </w:r>
      <w:r>
        <w:fldChar w:fldCharType="begin"/>
      </w:r>
      <w:r>
        <w:instrText xml:space="preserve"> PAGEREF _Toc26150 \h </w:instrText>
      </w:r>
      <w:r>
        <w:fldChar w:fldCharType="separate"/>
      </w:r>
      <w:r>
        <w:t>33</w:t>
      </w:r>
      <w:r>
        <w:fldChar w:fldCharType="end"/>
      </w:r>
      <w:r>
        <w:rPr>
          <w:rFonts w:hint="eastAsia"/>
          <w:color w:val="auto"/>
        </w:rPr>
        <w:fldChar w:fldCharType="end"/>
      </w:r>
    </w:p>
    <w:p w14:paraId="1E91CC8E">
      <w:pPr>
        <w:pStyle w:val="20"/>
        <w:tabs>
          <w:tab w:val="right" w:leader="dot" w:pos="8844"/>
        </w:tabs>
        <w:spacing w:line="480" w:lineRule="auto"/>
      </w:pPr>
      <w:r>
        <w:rPr>
          <w:rFonts w:hint="eastAsia"/>
          <w:color w:val="auto"/>
        </w:rPr>
        <w:fldChar w:fldCharType="begin"/>
      </w:r>
      <w:r>
        <w:rPr>
          <w:rFonts w:hint="eastAsia"/>
        </w:rPr>
        <w:instrText xml:space="preserve"> HYPERLINK \l _Toc2774 </w:instrText>
      </w:r>
      <w:r>
        <w:rPr>
          <w:rFonts w:hint="eastAsia"/>
        </w:rPr>
        <w:fldChar w:fldCharType="separate"/>
      </w:r>
      <w:r>
        <w:rPr>
          <w:rFonts w:hint="eastAsia" w:ascii="黑体" w:hAnsi="黑体" w:eastAsia="黑体"/>
          <w:snapToGrid w:val="0"/>
          <w:szCs w:val="30"/>
        </w:rPr>
        <w:t>五、环境保护措施监督检查清单</w:t>
      </w:r>
      <w:r>
        <w:tab/>
      </w:r>
      <w:r>
        <w:fldChar w:fldCharType="begin"/>
      </w:r>
      <w:r>
        <w:instrText xml:space="preserve"> PAGEREF _Toc2774 \h </w:instrText>
      </w:r>
      <w:r>
        <w:fldChar w:fldCharType="separate"/>
      </w:r>
      <w:r>
        <w:t>63</w:t>
      </w:r>
      <w:r>
        <w:fldChar w:fldCharType="end"/>
      </w:r>
      <w:r>
        <w:rPr>
          <w:rFonts w:hint="eastAsia"/>
          <w:color w:val="auto"/>
        </w:rPr>
        <w:fldChar w:fldCharType="end"/>
      </w:r>
    </w:p>
    <w:p w14:paraId="520CBDA2">
      <w:pPr>
        <w:pStyle w:val="20"/>
        <w:tabs>
          <w:tab w:val="right" w:leader="dot" w:pos="8844"/>
        </w:tabs>
        <w:spacing w:line="480" w:lineRule="auto"/>
      </w:pPr>
      <w:r>
        <w:rPr>
          <w:rFonts w:hint="eastAsia"/>
          <w:color w:val="auto"/>
        </w:rPr>
        <w:fldChar w:fldCharType="begin"/>
      </w:r>
      <w:r>
        <w:rPr>
          <w:rFonts w:hint="eastAsia"/>
        </w:rPr>
        <w:instrText xml:space="preserve"> HYPERLINK \l _Toc12814 </w:instrText>
      </w:r>
      <w:r>
        <w:rPr>
          <w:rFonts w:hint="eastAsia"/>
        </w:rPr>
        <w:fldChar w:fldCharType="separate"/>
      </w:r>
      <w:r>
        <w:rPr>
          <w:rFonts w:hint="eastAsia" w:ascii="黑体" w:hAnsi="黑体" w:eastAsia="黑体"/>
          <w:snapToGrid w:val="0"/>
          <w:szCs w:val="30"/>
        </w:rPr>
        <w:t>六、结论</w:t>
      </w:r>
      <w:r>
        <w:tab/>
      </w:r>
      <w:r>
        <w:fldChar w:fldCharType="begin"/>
      </w:r>
      <w:r>
        <w:instrText xml:space="preserve"> PAGEREF _Toc12814 \h </w:instrText>
      </w:r>
      <w:r>
        <w:fldChar w:fldCharType="separate"/>
      </w:r>
      <w:r>
        <w:t>65</w:t>
      </w:r>
      <w:r>
        <w:fldChar w:fldCharType="end"/>
      </w:r>
      <w:r>
        <w:rPr>
          <w:rFonts w:hint="eastAsia"/>
          <w:color w:val="auto"/>
        </w:rPr>
        <w:fldChar w:fldCharType="end"/>
      </w:r>
    </w:p>
    <w:p w14:paraId="219B20EF">
      <w:pPr>
        <w:pStyle w:val="20"/>
        <w:tabs>
          <w:tab w:val="right" w:leader="dot" w:pos="8844"/>
        </w:tabs>
        <w:spacing w:line="480" w:lineRule="auto"/>
      </w:pPr>
      <w:r>
        <w:rPr>
          <w:rFonts w:hint="eastAsia"/>
          <w:color w:val="auto"/>
        </w:rPr>
        <w:fldChar w:fldCharType="begin"/>
      </w:r>
      <w:r>
        <w:rPr>
          <w:rFonts w:hint="eastAsia"/>
        </w:rPr>
        <w:instrText xml:space="preserve"> HYPERLINK \l _Toc14657 </w:instrText>
      </w:r>
      <w:r>
        <w:rPr>
          <w:rFonts w:hint="eastAsia"/>
        </w:rPr>
        <w:fldChar w:fldCharType="separate"/>
      </w:r>
      <w:r>
        <w:rPr>
          <w:rFonts w:hint="eastAsia" w:ascii="黑体" w:hAnsi="黑体" w:eastAsia="黑体"/>
          <w:snapToGrid w:val="0"/>
          <w:szCs w:val="24"/>
        </w:rPr>
        <w:t>附表</w:t>
      </w:r>
      <w:r>
        <w:tab/>
      </w:r>
      <w:r>
        <w:fldChar w:fldCharType="begin"/>
      </w:r>
      <w:r>
        <w:instrText xml:space="preserve"> PAGEREF _Toc14657 \h </w:instrText>
      </w:r>
      <w:r>
        <w:fldChar w:fldCharType="separate"/>
      </w:r>
      <w:r>
        <w:t>66</w:t>
      </w:r>
      <w:r>
        <w:fldChar w:fldCharType="end"/>
      </w:r>
      <w:r>
        <w:rPr>
          <w:rFonts w:hint="eastAsia"/>
          <w:color w:val="auto"/>
        </w:rPr>
        <w:fldChar w:fldCharType="end"/>
      </w:r>
    </w:p>
    <w:p w14:paraId="046ADB79">
      <w:pPr>
        <w:pStyle w:val="39"/>
        <w:bidi w:val="0"/>
        <w:jc w:val="left"/>
        <w:rPr>
          <w:rFonts w:hint="eastAsia"/>
          <w:color w:val="auto"/>
        </w:rPr>
      </w:pPr>
      <w:r>
        <w:rPr>
          <w:rFonts w:hint="eastAsia"/>
          <w:color w:val="auto"/>
        </w:rPr>
        <w:fldChar w:fldCharType="end"/>
      </w:r>
    </w:p>
    <w:p w14:paraId="50545D70">
      <w:pPr>
        <w:pStyle w:val="39"/>
        <w:bidi w:val="0"/>
        <w:jc w:val="left"/>
        <w:rPr>
          <w:rFonts w:hint="eastAsia"/>
          <w:b/>
          <w:bCs/>
          <w:color w:val="auto"/>
          <w:lang w:val="en-US" w:eastAsia="zh-CN"/>
        </w:rPr>
      </w:pPr>
      <w:r>
        <w:rPr>
          <w:rFonts w:hint="eastAsia"/>
          <w:b/>
          <w:bCs/>
          <w:color w:val="auto"/>
          <w:lang w:val="en-US" w:eastAsia="zh-CN"/>
        </w:rPr>
        <w:t>附图：</w:t>
      </w:r>
    </w:p>
    <w:p w14:paraId="3D09F5FA">
      <w:pPr>
        <w:pStyle w:val="39"/>
        <w:bidi w:val="0"/>
        <w:rPr>
          <w:rFonts w:hint="default"/>
          <w:color w:val="auto"/>
          <w:lang w:val="en-US" w:eastAsia="zh-CN"/>
        </w:rPr>
      </w:pPr>
      <w:r>
        <w:rPr>
          <w:rFonts w:hint="eastAsia"/>
          <w:color w:val="auto"/>
          <w:lang w:val="en-US" w:eastAsia="zh-CN"/>
        </w:rPr>
        <w:t>附图1-1吐鲁番市环境综合管控单元分类图</w:t>
      </w:r>
    </w:p>
    <w:p w14:paraId="4EB830ED">
      <w:pPr>
        <w:pStyle w:val="39"/>
        <w:bidi w:val="0"/>
        <w:rPr>
          <w:rFonts w:hint="eastAsia"/>
          <w:color w:val="auto"/>
          <w:lang w:val="en-US" w:eastAsia="zh-CN"/>
        </w:rPr>
      </w:pPr>
      <w:r>
        <w:rPr>
          <w:rFonts w:hint="eastAsia"/>
          <w:color w:val="auto"/>
          <w:lang w:val="en-US" w:eastAsia="zh-CN"/>
        </w:rPr>
        <w:t>附图2-1地理位置图</w:t>
      </w:r>
    </w:p>
    <w:p w14:paraId="6ADFF7F2">
      <w:pPr>
        <w:pStyle w:val="39"/>
        <w:bidi w:val="0"/>
        <w:rPr>
          <w:rFonts w:hint="eastAsia"/>
          <w:color w:val="auto"/>
          <w:lang w:val="en-US" w:eastAsia="zh-CN"/>
        </w:rPr>
      </w:pPr>
      <w:r>
        <w:rPr>
          <w:rFonts w:hint="eastAsia"/>
          <w:color w:val="auto"/>
          <w:lang w:val="en-US" w:eastAsia="zh-CN"/>
        </w:rPr>
        <w:t>附图2-2厂区周围情况图</w:t>
      </w:r>
    </w:p>
    <w:p w14:paraId="3460E903">
      <w:pPr>
        <w:pStyle w:val="39"/>
        <w:bidi w:val="0"/>
        <w:rPr>
          <w:rFonts w:hint="eastAsia"/>
          <w:b/>
          <w:bCs/>
          <w:color w:val="auto"/>
          <w:lang w:val="en-US" w:eastAsia="zh-CN"/>
        </w:rPr>
      </w:pPr>
      <w:r>
        <w:rPr>
          <w:rFonts w:hint="eastAsia"/>
          <w:b/>
          <w:bCs/>
          <w:color w:val="auto"/>
          <w:lang w:val="en-US" w:eastAsia="zh-CN"/>
        </w:rPr>
        <w:t>附件：</w:t>
      </w:r>
    </w:p>
    <w:p w14:paraId="16CFADE2">
      <w:pPr>
        <w:pStyle w:val="39"/>
        <w:bidi w:val="0"/>
        <w:rPr>
          <w:rFonts w:hint="eastAsia"/>
          <w:color w:val="auto"/>
          <w:lang w:val="en-US" w:eastAsia="zh-CN"/>
        </w:rPr>
      </w:pPr>
      <w:r>
        <w:rPr>
          <w:rFonts w:hint="eastAsia"/>
          <w:color w:val="auto"/>
          <w:lang w:val="en-US" w:eastAsia="zh-CN"/>
        </w:rPr>
        <w:t>附件1委托书</w:t>
      </w:r>
    </w:p>
    <w:p w14:paraId="13C74C6C">
      <w:pPr>
        <w:pStyle w:val="39"/>
        <w:bidi w:val="0"/>
        <w:rPr>
          <w:rFonts w:hint="eastAsia"/>
          <w:color w:val="auto"/>
          <w:lang w:val="en-US" w:eastAsia="zh-CN"/>
        </w:rPr>
      </w:pPr>
      <w:r>
        <w:rPr>
          <w:rFonts w:hint="eastAsia"/>
          <w:color w:val="auto"/>
          <w:lang w:val="en-US" w:eastAsia="zh-CN"/>
        </w:rPr>
        <w:t>附件2项目备案文件</w:t>
      </w:r>
    </w:p>
    <w:p w14:paraId="1E9265CB">
      <w:pPr>
        <w:pStyle w:val="39"/>
        <w:bidi w:val="0"/>
        <w:rPr>
          <w:rFonts w:hint="eastAsia"/>
          <w:color w:val="auto"/>
          <w:lang w:val="en-US" w:eastAsia="zh-CN"/>
        </w:rPr>
      </w:pPr>
      <w:r>
        <w:rPr>
          <w:rFonts w:hint="eastAsia"/>
          <w:color w:val="auto"/>
          <w:lang w:val="en-US" w:eastAsia="zh-CN"/>
        </w:rPr>
        <w:t>附件3企业营业执照</w:t>
      </w:r>
    </w:p>
    <w:p w14:paraId="6A6F1D53">
      <w:pPr>
        <w:pStyle w:val="39"/>
        <w:bidi w:val="0"/>
        <w:rPr>
          <w:rFonts w:hint="eastAsia"/>
          <w:color w:val="auto"/>
        </w:rPr>
      </w:pPr>
      <w:r>
        <w:rPr>
          <w:rFonts w:hint="eastAsia"/>
          <w:color w:val="auto"/>
          <w:lang w:val="en-US" w:eastAsia="zh-CN"/>
        </w:rPr>
        <w:t>附件4监测报告</w:t>
      </w:r>
    </w:p>
    <w:p w14:paraId="32AA9BE0">
      <w:pPr>
        <w:pStyle w:val="27"/>
        <w:jc w:val="center"/>
        <w:outlineLvl w:val="0"/>
        <w:rPr>
          <w:rFonts w:hint="eastAsia" w:ascii="黑体" w:hAnsi="黑体" w:eastAsia="黑体"/>
          <w:snapToGrid w:val="0"/>
          <w:color w:val="auto"/>
          <w:sz w:val="30"/>
          <w:szCs w:val="30"/>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bookmarkStart w:id="15" w:name="_Toc5898"/>
    </w:p>
    <w:p w14:paraId="7E22BE7C">
      <w:pPr>
        <w:pStyle w:val="27"/>
        <w:jc w:val="center"/>
        <w:outlineLvl w:val="0"/>
        <w:rPr>
          <w:rFonts w:hint="eastAsia" w:ascii="黑体" w:hAnsi="黑体" w:eastAsia="黑体"/>
          <w:snapToGrid w:val="0"/>
          <w:color w:val="auto"/>
          <w:sz w:val="30"/>
          <w:szCs w:val="30"/>
        </w:rPr>
      </w:pPr>
      <w:bookmarkStart w:id="16" w:name="_Toc73"/>
      <w:r>
        <w:rPr>
          <w:rFonts w:hint="eastAsia" w:ascii="黑体" w:hAnsi="黑体" w:eastAsia="黑体"/>
          <w:snapToGrid w:val="0"/>
          <w:color w:val="auto"/>
          <w:sz w:val="30"/>
          <w:szCs w:val="30"/>
        </w:rPr>
        <w:t>一、建设项目基本情况</w:t>
      </w:r>
      <w:bookmarkEnd w:id="15"/>
      <w:bookmarkEnd w:id="16"/>
    </w:p>
    <w:tbl>
      <w:tblPr>
        <w:tblStyle w:val="31"/>
        <w:tblW w:w="88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60"/>
        <w:gridCol w:w="2180"/>
        <w:gridCol w:w="1950"/>
        <w:gridCol w:w="2780"/>
      </w:tblGrid>
      <w:tr w14:paraId="1463BD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60" w:type="dxa"/>
            <w:tcMar>
              <w:top w:w="16" w:type="dxa"/>
              <w:left w:w="16" w:type="dxa"/>
              <w:right w:w="16" w:type="dxa"/>
            </w:tcMar>
            <w:vAlign w:val="center"/>
          </w:tcPr>
          <w:p w14:paraId="3088DFB2">
            <w:pPr>
              <w:adjustRightInd w:val="0"/>
              <w:snapToGrid w:val="0"/>
              <w:jc w:val="center"/>
              <w:rPr>
                <w:rFonts w:ascii="宋体" w:hAnsi="宋体" w:cs="宋体"/>
                <w:color w:val="auto"/>
                <w:sz w:val="24"/>
                <w:szCs w:val="24"/>
              </w:rPr>
            </w:pPr>
            <w:r>
              <w:rPr>
                <w:rFonts w:hint="eastAsia" w:ascii="宋体" w:hAnsi="宋体" w:cs="宋体"/>
                <w:color w:val="auto"/>
                <w:sz w:val="24"/>
                <w:szCs w:val="24"/>
              </w:rPr>
              <w:t>建设项目名称</w:t>
            </w:r>
          </w:p>
        </w:tc>
        <w:tc>
          <w:tcPr>
            <w:tcW w:w="6910" w:type="dxa"/>
            <w:gridSpan w:val="3"/>
            <w:vAlign w:val="center"/>
          </w:tcPr>
          <w:p w14:paraId="11889DCA">
            <w:pPr>
              <w:adjustRightInd w:val="0"/>
              <w:snapToGrid w:val="0"/>
              <w:jc w:val="center"/>
              <w:rPr>
                <w:rFonts w:hint="default" w:ascii="宋体" w:hAnsi="宋体" w:cs="宋体"/>
                <w:color w:val="auto"/>
                <w:sz w:val="24"/>
                <w:szCs w:val="24"/>
                <w:lang w:val="en-US"/>
              </w:rPr>
            </w:pPr>
            <w:r>
              <w:rPr>
                <w:rFonts w:hint="default" w:ascii="宋体" w:hAnsi="宋体" w:cs="宋体"/>
                <w:color w:val="auto"/>
                <w:sz w:val="24"/>
                <w:szCs w:val="24"/>
                <w:lang w:val="en-US"/>
              </w:rPr>
              <w:t>鄯善县强盛再生资源回收利用项目</w:t>
            </w:r>
          </w:p>
        </w:tc>
      </w:tr>
      <w:tr w14:paraId="5009AB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60" w:type="dxa"/>
            <w:tcMar>
              <w:top w:w="16" w:type="dxa"/>
              <w:left w:w="16" w:type="dxa"/>
              <w:right w:w="16" w:type="dxa"/>
            </w:tcMar>
            <w:vAlign w:val="center"/>
          </w:tcPr>
          <w:p w14:paraId="3D397D28">
            <w:pPr>
              <w:adjustRightInd w:val="0"/>
              <w:snapToGrid w:val="0"/>
              <w:jc w:val="center"/>
              <w:rPr>
                <w:rFonts w:hint="eastAsia" w:ascii="宋体" w:hAnsi="宋体" w:eastAsia="宋体" w:cs="宋体"/>
                <w:color w:val="auto"/>
                <w:spacing w:val="0"/>
                <w:kern w:val="21"/>
                <w:sz w:val="24"/>
                <w:szCs w:val="24"/>
                <w:u w:val="none"/>
                <w:lang w:val="en-US" w:eastAsia="zh-CN"/>
              </w:rPr>
            </w:pPr>
            <w:r>
              <w:rPr>
                <w:rFonts w:hint="eastAsia" w:ascii="宋体" w:hAnsi="宋体" w:eastAsia="宋体" w:cs="宋体"/>
                <w:color w:val="auto"/>
                <w:spacing w:val="0"/>
                <w:kern w:val="21"/>
                <w:sz w:val="24"/>
                <w:szCs w:val="24"/>
                <w:u w:val="none"/>
                <w:lang w:val="en-US" w:eastAsia="zh-CN"/>
              </w:rPr>
              <w:t>项目代码</w:t>
            </w:r>
          </w:p>
        </w:tc>
        <w:tc>
          <w:tcPr>
            <w:tcW w:w="6910" w:type="dxa"/>
            <w:gridSpan w:val="3"/>
            <w:vAlign w:val="center"/>
          </w:tcPr>
          <w:p w14:paraId="104C671C">
            <w:pPr>
              <w:adjustRightInd w:val="0"/>
              <w:snapToGrid w:val="0"/>
              <w:jc w:val="center"/>
              <w:rPr>
                <w:rFonts w:hint="default" w:ascii="宋体" w:hAnsi="宋体" w:eastAsia="宋体" w:cs="宋体"/>
                <w:color w:val="auto"/>
                <w:spacing w:val="0"/>
                <w:kern w:val="21"/>
                <w:sz w:val="24"/>
                <w:szCs w:val="24"/>
                <w:u w:val="none"/>
                <w:lang w:val="en-US" w:eastAsia="zh-CN"/>
              </w:rPr>
            </w:pPr>
            <w:r>
              <w:rPr>
                <w:rFonts w:hint="eastAsia" w:ascii="宋体" w:hAnsi="宋体" w:cs="宋体"/>
                <w:color w:val="auto"/>
                <w:spacing w:val="0"/>
                <w:kern w:val="21"/>
                <w:sz w:val="24"/>
                <w:szCs w:val="24"/>
                <w:u w:val="none"/>
                <w:lang w:val="en-US" w:eastAsia="zh-CN"/>
              </w:rPr>
              <w:t>无</w:t>
            </w:r>
          </w:p>
        </w:tc>
      </w:tr>
      <w:tr w14:paraId="1DBF2A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60" w:type="dxa"/>
            <w:tcMar>
              <w:top w:w="16" w:type="dxa"/>
              <w:left w:w="16" w:type="dxa"/>
              <w:right w:w="16" w:type="dxa"/>
            </w:tcMar>
            <w:vAlign w:val="center"/>
          </w:tcPr>
          <w:p w14:paraId="70BC2BAF">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建设单位联系人</w:t>
            </w:r>
          </w:p>
        </w:tc>
        <w:tc>
          <w:tcPr>
            <w:tcW w:w="2180" w:type="dxa"/>
            <w:vAlign w:val="center"/>
          </w:tcPr>
          <w:p w14:paraId="74B04FA9">
            <w:pPr>
              <w:adjustRightInd w:val="0"/>
              <w:snapToGrid w:val="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陆宇</w:t>
            </w:r>
          </w:p>
        </w:tc>
        <w:tc>
          <w:tcPr>
            <w:tcW w:w="1950" w:type="dxa"/>
            <w:vAlign w:val="center"/>
          </w:tcPr>
          <w:p w14:paraId="44D7CE89">
            <w:pPr>
              <w:adjustRightInd w:val="0"/>
              <w:snapToGrid w:val="0"/>
              <w:jc w:val="center"/>
              <w:rPr>
                <w:rFonts w:ascii="宋体" w:hAnsi="宋体" w:cs="宋体"/>
                <w:color w:val="auto"/>
                <w:sz w:val="24"/>
                <w:szCs w:val="24"/>
              </w:rPr>
            </w:pPr>
            <w:r>
              <w:rPr>
                <w:rFonts w:hint="eastAsia" w:ascii="宋体" w:hAnsi="宋体" w:cs="宋体"/>
                <w:color w:val="auto"/>
                <w:sz w:val="24"/>
                <w:szCs w:val="24"/>
              </w:rPr>
              <w:t>联系方式</w:t>
            </w:r>
          </w:p>
        </w:tc>
        <w:tc>
          <w:tcPr>
            <w:tcW w:w="2780" w:type="dxa"/>
            <w:vAlign w:val="center"/>
          </w:tcPr>
          <w:p w14:paraId="7B954201">
            <w:pPr>
              <w:adjustRightInd w:val="0"/>
              <w:snapToGrid w:val="0"/>
              <w:jc w:val="cente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13201323165</w:t>
            </w:r>
          </w:p>
        </w:tc>
      </w:tr>
      <w:tr w14:paraId="0CB177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60" w:type="dxa"/>
            <w:tcMar>
              <w:top w:w="16" w:type="dxa"/>
              <w:left w:w="16" w:type="dxa"/>
              <w:right w:w="16" w:type="dxa"/>
            </w:tcMar>
            <w:vAlign w:val="center"/>
          </w:tcPr>
          <w:p w14:paraId="470E3850">
            <w:pPr>
              <w:adjustRightInd w:val="0"/>
              <w:snapToGrid w:val="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建设地点</w:t>
            </w:r>
          </w:p>
        </w:tc>
        <w:tc>
          <w:tcPr>
            <w:tcW w:w="6910" w:type="dxa"/>
            <w:gridSpan w:val="3"/>
            <w:vAlign w:val="center"/>
          </w:tcPr>
          <w:p w14:paraId="4E0E0221">
            <w:pPr>
              <w:adjustRightInd w:val="0"/>
              <w:snapToGrid w:val="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新疆维吾尔自治区鄯善县东侧，312国道以东</w:t>
            </w:r>
          </w:p>
        </w:tc>
      </w:tr>
      <w:tr w14:paraId="0A618C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960" w:type="dxa"/>
            <w:tcMar>
              <w:top w:w="16" w:type="dxa"/>
              <w:left w:w="16" w:type="dxa"/>
              <w:right w:w="16" w:type="dxa"/>
            </w:tcMar>
            <w:vAlign w:val="center"/>
          </w:tcPr>
          <w:p w14:paraId="4A687ADA">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国民经济</w:t>
            </w:r>
          </w:p>
          <w:p w14:paraId="1C6AA49C">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行业类别</w:t>
            </w:r>
          </w:p>
        </w:tc>
        <w:tc>
          <w:tcPr>
            <w:tcW w:w="2180" w:type="dxa"/>
            <w:vAlign w:val="center"/>
          </w:tcPr>
          <w:p w14:paraId="0962667B">
            <w:pPr>
              <w:adjustRightInd w:val="0"/>
              <w:snapToGrid w:val="0"/>
              <w:jc w:val="center"/>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sz w:val="24"/>
                <w:szCs w:val="24"/>
                <w:lang w:val="en-US"/>
              </w:rPr>
              <w:t>C4210金属废料和碎屑加工处理、C4220非金属废料和碎屑加工处理</w:t>
            </w:r>
          </w:p>
        </w:tc>
        <w:tc>
          <w:tcPr>
            <w:tcW w:w="1950" w:type="dxa"/>
            <w:vAlign w:val="center"/>
          </w:tcPr>
          <w:p w14:paraId="06D01DAF">
            <w:pPr>
              <w:adjustRightInd w:val="0"/>
              <w:snapToGrid w:val="0"/>
              <w:jc w:val="center"/>
              <w:rPr>
                <w:rFonts w:hint="default" w:ascii="Times New Roman" w:hAnsi="Times New Roman" w:eastAsia="宋体" w:cs="Times New Roman"/>
                <w:color w:val="auto"/>
                <w:sz w:val="24"/>
                <w:szCs w:val="24"/>
              </w:rPr>
            </w:pPr>
            <w:bookmarkStart w:id="17" w:name="_Hlk49843745"/>
            <w:r>
              <w:rPr>
                <w:rFonts w:hint="default" w:ascii="Times New Roman" w:hAnsi="Times New Roman" w:eastAsia="宋体" w:cs="Times New Roman"/>
                <w:color w:val="auto"/>
                <w:sz w:val="24"/>
                <w:szCs w:val="24"/>
              </w:rPr>
              <w:t>建设项目</w:t>
            </w:r>
          </w:p>
          <w:p w14:paraId="5BB1BE3E">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行业类别</w:t>
            </w:r>
            <w:bookmarkEnd w:id="17"/>
          </w:p>
        </w:tc>
        <w:tc>
          <w:tcPr>
            <w:tcW w:w="2780" w:type="dxa"/>
            <w:vAlign w:val="center"/>
          </w:tcPr>
          <w:p w14:paraId="58654979">
            <w:pPr>
              <w:adjustRightInd w:val="0"/>
              <w:snapToGrid w:val="0"/>
              <w:jc w:val="center"/>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sz w:val="24"/>
                <w:szCs w:val="24"/>
                <w:lang w:val="en-US"/>
              </w:rPr>
              <w:t>三十九、废弃资源综合利用业42，85碎屑金加属工废料和碎屑加工处理421；非金属废料和422。</w:t>
            </w:r>
          </w:p>
        </w:tc>
      </w:tr>
      <w:tr w14:paraId="7A7364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960" w:type="dxa"/>
            <w:tcMar>
              <w:top w:w="16" w:type="dxa"/>
              <w:left w:w="16" w:type="dxa"/>
              <w:right w:w="16" w:type="dxa"/>
            </w:tcMar>
            <w:vAlign w:val="center"/>
          </w:tcPr>
          <w:p w14:paraId="125F42C5">
            <w:pPr>
              <w:adjustRightInd w:val="0"/>
              <w:snapToGrid w:val="0"/>
              <w:jc w:val="center"/>
              <w:rPr>
                <w:rFonts w:ascii="宋体" w:hAnsi="宋体" w:cs="宋体"/>
                <w:color w:val="auto"/>
                <w:sz w:val="24"/>
                <w:szCs w:val="24"/>
              </w:rPr>
            </w:pPr>
            <w:r>
              <w:rPr>
                <w:rFonts w:hint="eastAsia" w:ascii="宋体" w:hAnsi="宋体" w:cs="宋体"/>
                <w:color w:val="auto"/>
                <w:sz w:val="24"/>
                <w:szCs w:val="24"/>
              </w:rPr>
              <w:t>建设性质</w:t>
            </w:r>
          </w:p>
        </w:tc>
        <w:tc>
          <w:tcPr>
            <w:tcW w:w="2180" w:type="dxa"/>
            <w:vAlign w:val="center"/>
          </w:tcPr>
          <w:p w14:paraId="7FA56A2C">
            <w:pPr>
              <w:jc w:val="left"/>
              <w:rPr>
                <w:rFonts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rPr>
              <w:t>新建（迁建）</w:t>
            </w:r>
          </w:p>
          <w:p w14:paraId="08A4E839">
            <w:pPr>
              <w:jc w:val="left"/>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rPr>
              <w:t>改建</w:t>
            </w:r>
          </w:p>
          <w:p w14:paraId="74AF83FD">
            <w:pPr>
              <w:jc w:val="left"/>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rPr>
              <w:t>扩建</w:t>
            </w:r>
          </w:p>
          <w:p w14:paraId="1CE737E8">
            <w:pPr>
              <w:jc w:val="left"/>
              <w:rPr>
                <w:rFonts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rPr>
              <w:t>技术改造</w:t>
            </w:r>
          </w:p>
        </w:tc>
        <w:tc>
          <w:tcPr>
            <w:tcW w:w="1950" w:type="dxa"/>
            <w:vAlign w:val="center"/>
          </w:tcPr>
          <w:p w14:paraId="0B961B12">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建设项目</w:t>
            </w:r>
          </w:p>
          <w:p w14:paraId="3EF40219">
            <w:pPr>
              <w:adjustRightInd w:val="0"/>
              <w:snapToGrid w:val="0"/>
              <w:jc w:val="center"/>
              <w:rPr>
                <w:rFonts w:ascii="宋体" w:hAnsi="宋体" w:cs="宋体"/>
                <w:color w:val="auto"/>
                <w:sz w:val="24"/>
                <w:szCs w:val="24"/>
              </w:rPr>
            </w:pPr>
            <w:r>
              <w:rPr>
                <w:rFonts w:hint="eastAsia" w:ascii="宋体" w:hAnsi="宋体" w:cs="宋体"/>
                <w:color w:val="auto"/>
                <w:sz w:val="24"/>
                <w:szCs w:val="24"/>
              </w:rPr>
              <w:t>申报情形</w:t>
            </w:r>
          </w:p>
        </w:tc>
        <w:tc>
          <w:tcPr>
            <w:tcW w:w="2780" w:type="dxa"/>
            <w:vAlign w:val="center"/>
          </w:tcPr>
          <w:p w14:paraId="34C16DD0">
            <w:pPr>
              <w:jc w:val="left"/>
              <w:rPr>
                <w:rFonts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rPr>
              <w:t>首次申报项目</w:t>
            </w:r>
          </w:p>
          <w:p w14:paraId="110F831C">
            <w:pPr>
              <w:jc w:val="left"/>
              <w:rPr>
                <w:rFonts w:ascii="宋体" w:hAnsi="宋体" w:cs="宋体"/>
                <w:color w:val="auto"/>
                <w:sz w:val="24"/>
                <w:szCs w:val="24"/>
              </w:rPr>
            </w:pPr>
            <w:r>
              <w:rPr>
                <w:rFonts w:hint="eastAsia" w:ascii="宋体" w:hAnsi="宋体" w:cs="宋体"/>
                <w:color w:val="auto"/>
                <w:sz w:val="24"/>
                <w:szCs w:val="24"/>
              </w:rPr>
              <w:t>□不予批准后再次申报项目</w:t>
            </w:r>
          </w:p>
          <w:p w14:paraId="678BFDA1">
            <w:pPr>
              <w:jc w:val="left"/>
              <w:rPr>
                <w:rFonts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rPr>
              <w:t>超五年重新审核项目</w:t>
            </w:r>
          </w:p>
          <w:p w14:paraId="0419D63A">
            <w:pPr>
              <w:jc w:val="left"/>
              <w:rPr>
                <w:rFonts w:ascii="宋体" w:hAnsi="宋体" w:cs="宋体"/>
                <w:color w:val="auto"/>
                <w:sz w:val="24"/>
                <w:szCs w:val="24"/>
              </w:rPr>
            </w:pPr>
            <w:r>
              <w:rPr>
                <w:rFonts w:hint="eastAsia" w:ascii="宋体" w:hAnsi="宋体" w:cs="宋体"/>
                <w:color w:val="auto"/>
                <w:sz w:val="24"/>
                <w:szCs w:val="24"/>
              </w:rPr>
              <w:t>□重大变动重新报批项目</w:t>
            </w:r>
          </w:p>
        </w:tc>
      </w:tr>
      <w:tr w14:paraId="0C7752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960" w:type="dxa"/>
            <w:tcMar>
              <w:top w:w="16" w:type="dxa"/>
              <w:left w:w="16" w:type="dxa"/>
              <w:right w:w="16" w:type="dxa"/>
            </w:tcMar>
            <w:vAlign w:val="center"/>
          </w:tcPr>
          <w:p w14:paraId="38147ACC">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项目审批（核准</w:t>
            </w:r>
            <w:r>
              <w:rPr>
                <w:rFonts w:ascii="宋体" w:hAnsi="宋体" w:cs="宋体"/>
                <w:color w:val="auto"/>
                <w:sz w:val="24"/>
                <w:szCs w:val="24"/>
              </w:rPr>
              <w:t>/</w:t>
            </w:r>
          </w:p>
          <w:p w14:paraId="052195A8">
            <w:pPr>
              <w:adjustRightInd w:val="0"/>
              <w:snapToGrid w:val="0"/>
              <w:jc w:val="center"/>
              <w:rPr>
                <w:rFonts w:ascii="宋体" w:hAnsi="宋体" w:cs="宋体"/>
                <w:color w:val="auto"/>
                <w:sz w:val="24"/>
                <w:szCs w:val="24"/>
              </w:rPr>
            </w:pPr>
            <w:r>
              <w:rPr>
                <w:rFonts w:hint="eastAsia" w:ascii="宋体" w:hAnsi="宋体" w:cs="宋体"/>
                <w:color w:val="auto"/>
                <w:sz w:val="24"/>
                <w:szCs w:val="24"/>
              </w:rPr>
              <w:t>备案）部门（选填）</w:t>
            </w:r>
          </w:p>
        </w:tc>
        <w:tc>
          <w:tcPr>
            <w:tcW w:w="2180" w:type="dxa"/>
            <w:vAlign w:val="center"/>
          </w:tcPr>
          <w:p w14:paraId="0C7E9871">
            <w:pPr>
              <w:adjustRightInd w:val="0"/>
              <w:snapToGrid w:val="0"/>
              <w:jc w:val="center"/>
              <w:rPr>
                <w:rFonts w:hint="default" w:ascii="宋体" w:hAnsi="宋体" w:eastAsia="宋体" w:cs="宋体"/>
                <w:color w:val="auto"/>
                <w:sz w:val="24"/>
                <w:szCs w:val="24"/>
                <w:lang w:val="en-US" w:eastAsia="zh-CN"/>
              </w:rPr>
            </w:pPr>
          </w:p>
        </w:tc>
        <w:tc>
          <w:tcPr>
            <w:tcW w:w="1950" w:type="dxa"/>
            <w:vAlign w:val="center"/>
          </w:tcPr>
          <w:p w14:paraId="3B9ECE77">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项目审批（核准</w:t>
            </w:r>
            <w:r>
              <w:rPr>
                <w:rFonts w:ascii="宋体" w:hAnsi="宋体" w:cs="宋体"/>
                <w:color w:val="auto"/>
                <w:sz w:val="24"/>
                <w:szCs w:val="24"/>
              </w:rPr>
              <w:t>/</w:t>
            </w:r>
            <w:r>
              <w:rPr>
                <w:rFonts w:hint="eastAsia" w:ascii="宋体" w:hAnsi="宋体" w:cs="宋体"/>
                <w:color w:val="auto"/>
                <w:sz w:val="24"/>
                <w:szCs w:val="24"/>
              </w:rPr>
              <w:t>备案）文号（选填）</w:t>
            </w:r>
          </w:p>
        </w:tc>
        <w:tc>
          <w:tcPr>
            <w:tcW w:w="2780" w:type="dxa"/>
            <w:vAlign w:val="center"/>
          </w:tcPr>
          <w:p w14:paraId="7800C557">
            <w:pPr>
              <w:adjustRightInd w:val="0"/>
              <w:snapToGrid w:val="0"/>
              <w:jc w:val="center"/>
              <w:rPr>
                <w:rFonts w:hint="default" w:ascii="宋体" w:hAnsi="宋体" w:eastAsia="宋体" w:cs="宋体"/>
                <w:color w:val="auto"/>
                <w:sz w:val="24"/>
                <w:szCs w:val="24"/>
                <w:lang w:val="en-US" w:eastAsia="zh-CN"/>
              </w:rPr>
            </w:pPr>
          </w:p>
        </w:tc>
      </w:tr>
      <w:tr w14:paraId="1B8E2D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60" w:type="dxa"/>
            <w:tcMar>
              <w:top w:w="16" w:type="dxa"/>
              <w:left w:w="16" w:type="dxa"/>
              <w:right w:w="16" w:type="dxa"/>
            </w:tcMar>
            <w:vAlign w:val="center"/>
          </w:tcPr>
          <w:p w14:paraId="52BF2C51">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总投资（万元）</w:t>
            </w:r>
          </w:p>
        </w:tc>
        <w:tc>
          <w:tcPr>
            <w:tcW w:w="2180" w:type="dxa"/>
            <w:vAlign w:val="center"/>
          </w:tcPr>
          <w:p w14:paraId="5894FC62">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50</w:t>
            </w:r>
          </w:p>
        </w:tc>
        <w:tc>
          <w:tcPr>
            <w:tcW w:w="1950" w:type="dxa"/>
            <w:tcMar>
              <w:top w:w="16" w:type="dxa"/>
              <w:left w:w="16" w:type="dxa"/>
              <w:right w:w="16" w:type="dxa"/>
            </w:tcMar>
            <w:vAlign w:val="center"/>
          </w:tcPr>
          <w:p w14:paraId="5CCB0B62">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环保投资（万元）</w:t>
            </w:r>
          </w:p>
        </w:tc>
        <w:tc>
          <w:tcPr>
            <w:tcW w:w="2780" w:type="dxa"/>
            <w:vAlign w:val="center"/>
          </w:tcPr>
          <w:p w14:paraId="7900FC92">
            <w:pPr>
              <w:adjustRightInd w:val="0"/>
              <w:snapToGrid w:val="0"/>
              <w:jc w:val="center"/>
              <w:rPr>
                <w:rFonts w:hint="default" w:ascii="Times New Roman" w:hAnsi="Times New Roman" w:eastAsia="宋体" w:cs="Times New Roman"/>
                <w:color w:val="auto"/>
                <w:sz w:val="24"/>
                <w:szCs w:val="24"/>
                <w:lang w:val="en-US" w:eastAsia="zh-CN"/>
              </w:rPr>
            </w:pPr>
          </w:p>
        </w:tc>
      </w:tr>
      <w:tr w14:paraId="7F36F9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60" w:type="dxa"/>
            <w:tcMar>
              <w:top w:w="16" w:type="dxa"/>
              <w:left w:w="16" w:type="dxa"/>
              <w:right w:w="16" w:type="dxa"/>
            </w:tcMar>
            <w:vAlign w:val="center"/>
          </w:tcPr>
          <w:p w14:paraId="660807A1">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环保投资占比（%）</w:t>
            </w:r>
          </w:p>
        </w:tc>
        <w:tc>
          <w:tcPr>
            <w:tcW w:w="2180" w:type="dxa"/>
            <w:vAlign w:val="center"/>
          </w:tcPr>
          <w:p w14:paraId="234C02E8">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9.25</w:t>
            </w:r>
          </w:p>
        </w:tc>
        <w:tc>
          <w:tcPr>
            <w:tcW w:w="1950" w:type="dxa"/>
            <w:tcMar>
              <w:top w:w="16" w:type="dxa"/>
              <w:left w:w="16" w:type="dxa"/>
              <w:right w:w="16" w:type="dxa"/>
            </w:tcMar>
            <w:vAlign w:val="center"/>
          </w:tcPr>
          <w:p w14:paraId="15816F59">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施工工期</w:t>
            </w:r>
          </w:p>
        </w:tc>
        <w:tc>
          <w:tcPr>
            <w:tcW w:w="2780" w:type="dxa"/>
            <w:vAlign w:val="center"/>
          </w:tcPr>
          <w:p w14:paraId="629AEB30">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3.0个月</w:t>
            </w:r>
          </w:p>
        </w:tc>
      </w:tr>
      <w:tr w14:paraId="184656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60" w:type="dxa"/>
            <w:tcMar>
              <w:top w:w="16" w:type="dxa"/>
              <w:left w:w="16" w:type="dxa"/>
              <w:right w:w="16" w:type="dxa"/>
            </w:tcMar>
            <w:vAlign w:val="center"/>
          </w:tcPr>
          <w:p w14:paraId="4BE6A6B1">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是否开工建设</w:t>
            </w:r>
          </w:p>
        </w:tc>
        <w:tc>
          <w:tcPr>
            <w:tcW w:w="2180" w:type="dxa"/>
            <w:vAlign w:val="center"/>
          </w:tcPr>
          <w:p w14:paraId="6FE18AEB">
            <w:pPr>
              <w:adjustRightInd w:val="0"/>
              <w:snapToGrid w:val="0"/>
              <w:rPr>
                <w:rFonts w:hint="default" w:ascii="Times New Roman" w:hAnsi="Times New Roman" w:cs="Times New Roman"/>
                <w:color w:val="auto"/>
                <w:sz w:val="24"/>
                <w:szCs w:val="24"/>
              </w:rPr>
            </w:pPr>
            <w:r>
              <w:rPr>
                <w:rFonts w:hint="eastAsia" w:ascii="宋体" w:hAnsi="宋体" w:cs="宋体"/>
                <w:color w:val="auto"/>
                <w:sz w:val="24"/>
                <w:szCs w:val="24"/>
                <w:lang w:eastAsia="zh-CN"/>
              </w:rPr>
              <w:t>☑</w:t>
            </w:r>
            <w:r>
              <w:rPr>
                <w:rFonts w:hint="default" w:ascii="Times New Roman" w:hAnsi="Times New Roman" w:cs="Times New Roman"/>
                <w:color w:val="auto"/>
                <w:sz w:val="24"/>
                <w:szCs w:val="24"/>
              </w:rPr>
              <w:t>否</w:t>
            </w:r>
          </w:p>
          <w:p w14:paraId="5DA79FEB">
            <w:pPr>
              <w:adjustRightInd w:val="0"/>
              <w:snapToGrid w:val="0"/>
              <w:rPr>
                <w:rFonts w:hint="default" w:ascii="Times New Roman" w:hAnsi="Times New Roman" w:cs="Times New Roman"/>
                <w:color w:val="auto"/>
                <w:sz w:val="24"/>
                <w:szCs w:val="24"/>
              </w:rPr>
            </w:pPr>
            <w:r>
              <w:rPr>
                <w:rFonts w:hint="eastAsia" w:ascii="宋体" w:hAnsi="宋体" w:cs="宋体"/>
                <w:color w:val="auto"/>
                <w:sz w:val="24"/>
                <w:szCs w:val="24"/>
                <w:lang w:eastAsia="zh-CN"/>
              </w:rPr>
              <w:t>□</w:t>
            </w:r>
            <w:r>
              <w:rPr>
                <w:rFonts w:hint="default" w:ascii="Times New Roman" w:hAnsi="Times New Roman" w:cs="Times New Roman"/>
                <w:color w:val="auto"/>
                <w:sz w:val="24"/>
                <w:szCs w:val="24"/>
              </w:rPr>
              <w:t>是：</w:t>
            </w:r>
          </w:p>
        </w:tc>
        <w:tc>
          <w:tcPr>
            <w:tcW w:w="1950" w:type="dxa"/>
            <w:tcMar>
              <w:top w:w="16" w:type="dxa"/>
              <w:left w:w="16" w:type="dxa"/>
              <w:right w:w="16" w:type="dxa"/>
            </w:tcMar>
            <w:vAlign w:val="center"/>
          </w:tcPr>
          <w:p w14:paraId="48ACE30C">
            <w:pPr>
              <w:adjustRightInd w:val="0"/>
              <w:snapToGrid w:val="0"/>
              <w:jc w:val="center"/>
              <w:rPr>
                <w:rFonts w:hint="default" w:ascii="Times New Roman" w:hAnsi="Times New Roman" w:cs="Times New Roman"/>
                <w:color w:val="auto"/>
                <w:spacing w:val="-6"/>
                <w:sz w:val="24"/>
                <w:szCs w:val="24"/>
              </w:rPr>
            </w:pPr>
            <w:r>
              <w:rPr>
                <w:rFonts w:hint="default" w:ascii="Times New Roman" w:hAnsi="Times New Roman" w:cs="Times New Roman"/>
                <w:color w:val="auto"/>
                <w:spacing w:val="-6"/>
                <w:sz w:val="24"/>
                <w:szCs w:val="24"/>
              </w:rPr>
              <w:t>用地（用海）</w:t>
            </w:r>
          </w:p>
          <w:p w14:paraId="20C85E34">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pacing w:val="-6"/>
                <w:sz w:val="24"/>
                <w:szCs w:val="24"/>
              </w:rPr>
              <w:t>面积（m</w:t>
            </w:r>
            <w:r>
              <w:rPr>
                <w:rFonts w:hint="default" w:ascii="Times New Roman" w:hAnsi="Times New Roman" w:cs="Times New Roman"/>
                <w:color w:val="auto"/>
                <w:spacing w:val="-6"/>
                <w:sz w:val="24"/>
                <w:szCs w:val="24"/>
                <w:vertAlign w:val="superscript"/>
              </w:rPr>
              <w:t>2</w:t>
            </w:r>
            <w:r>
              <w:rPr>
                <w:rFonts w:hint="default" w:ascii="Times New Roman" w:hAnsi="Times New Roman" w:cs="Times New Roman"/>
                <w:color w:val="auto"/>
                <w:spacing w:val="-6"/>
                <w:sz w:val="24"/>
                <w:szCs w:val="24"/>
              </w:rPr>
              <w:t>）</w:t>
            </w:r>
          </w:p>
        </w:tc>
        <w:tc>
          <w:tcPr>
            <w:tcW w:w="2780" w:type="dxa"/>
            <w:vAlign w:val="center"/>
          </w:tcPr>
          <w:p w14:paraId="1256B9FE">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6000</w:t>
            </w:r>
          </w:p>
        </w:tc>
      </w:tr>
      <w:tr w14:paraId="522C34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960" w:type="dxa"/>
            <w:vAlign w:val="center"/>
          </w:tcPr>
          <w:p w14:paraId="240824C0">
            <w:pPr>
              <w:autoSpaceDE w:val="0"/>
              <w:autoSpaceDN w:val="0"/>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专项评价设置情况</w:t>
            </w:r>
          </w:p>
        </w:tc>
        <w:tc>
          <w:tcPr>
            <w:tcW w:w="6910" w:type="dxa"/>
            <w:gridSpan w:val="3"/>
            <w:vAlign w:val="center"/>
          </w:tcPr>
          <w:p w14:paraId="1D6E1FC0">
            <w:pPr>
              <w:pStyle w:val="39"/>
              <w:bidi w:val="0"/>
              <w:rPr>
                <w:rFonts w:hint="eastAsia"/>
                <w:color w:val="auto"/>
                <w:szCs w:val="24"/>
                <w:lang w:val="en-US" w:eastAsia="zh-CN"/>
              </w:rPr>
            </w:pPr>
            <w:r>
              <w:rPr>
                <w:rFonts w:hint="eastAsia"/>
                <w:color w:val="auto"/>
                <w:lang w:val="en-US" w:eastAsia="zh-CN"/>
              </w:rPr>
              <w:t>无</w:t>
            </w:r>
          </w:p>
        </w:tc>
      </w:tr>
      <w:tr w14:paraId="073A52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960" w:type="dxa"/>
            <w:vAlign w:val="center"/>
          </w:tcPr>
          <w:p w14:paraId="412EBBFA">
            <w:pPr>
              <w:autoSpaceDE w:val="0"/>
              <w:autoSpaceDN w:val="0"/>
              <w:adjustRightInd w:val="0"/>
              <w:snapToGrid w:val="0"/>
              <w:jc w:val="center"/>
              <w:rPr>
                <w:rFonts w:hint="eastAsia" w:ascii="宋体" w:hAnsi="宋体" w:cs="宋体"/>
                <w:color w:val="auto"/>
                <w:kern w:val="0"/>
                <w:sz w:val="24"/>
                <w:szCs w:val="24"/>
              </w:rPr>
            </w:pPr>
            <w:r>
              <w:rPr>
                <w:rFonts w:hint="eastAsia" w:ascii="宋体" w:hAnsi="宋体" w:cs="宋体"/>
                <w:color w:val="auto"/>
                <w:sz w:val="24"/>
                <w:szCs w:val="24"/>
              </w:rPr>
              <w:t>规划情况</w:t>
            </w:r>
          </w:p>
        </w:tc>
        <w:tc>
          <w:tcPr>
            <w:tcW w:w="6910" w:type="dxa"/>
            <w:gridSpan w:val="3"/>
            <w:vAlign w:val="center"/>
          </w:tcPr>
          <w:p w14:paraId="6CFA35F3">
            <w:pPr>
              <w:pStyle w:val="39"/>
              <w:bidi w:val="0"/>
              <w:rPr>
                <w:rFonts w:hint="default"/>
                <w:color w:val="auto"/>
                <w:lang w:val="en-US" w:eastAsia="zh-CN"/>
              </w:rPr>
            </w:pPr>
            <w:r>
              <w:rPr>
                <w:rFonts w:hint="eastAsia"/>
                <w:color w:val="auto"/>
                <w:lang w:val="en-US" w:eastAsia="zh-CN"/>
              </w:rPr>
              <w:t>无</w:t>
            </w:r>
          </w:p>
        </w:tc>
      </w:tr>
      <w:tr w14:paraId="4C2866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60" w:type="dxa"/>
            <w:vAlign w:val="center"/>
          </w:tcPr>
          <w:p w14:paraId="77E46147">
            <w:pPr>
              <w:adjustRightInd w:val="0"/>
              <w:snapToGrid w:val="0"/>
              <w:jc w:val="center"/>
              <w:rPr>
                <w:rFonts w:ascii="宋体" w:hAnsi="宋体" w:cs="宋体"/>
                <w:color w:val="auto"/>
                <w:sz w:val="24"/>
                <w:szCs w:val="24"/>
              </w:rPr>
            </w:pPr>
            <w:r>
              <w:rPr>
                <w:rFonts w:hint="eastAsia" w:ascii="宋体" w:hAnsi="宋体" w:cs="宋体"/>
                <w:color w:val="auto"/>
                <w:sz w:val="24"/>
                <w:szCs w:val="24"/>
              </w:rPr>
              <w:t>规划环境影响</w:t>
            </w:r>
          </w:p>
          <w:p w14:paraId="33334B37">
            <w:pPr>
              <w:adjustRightInd w:val="0"/>
              <w:snapToGrid w:val="0"/>
              <w:jc w:val="center"/>
              <w:rPr>
                <w:rFonts w:hint="eastAsia" w:ascii="宋体" w:hAnsi="宋体" w:cs="宋体"/>
                <w:color w:val="auto"/>
                <w:kern w:val="0"/>
                <w:sz w:val="24"/>
                <w:szCs w:val="24"/>
              </w:rPr>
            </w:pPr>
            <w:r>
              <w:rPr>
                <w:rFonts w:hint="eastAsia" w:ascii="宋体" w:hAnsi="宋体" w:cs="宋体"/>
                <w:color w:val="auto"/>
                <w:sz w:val="24"/>
                <w:szCs w:val="24"/>
              </w:rPr>
              <w:t>评价情况</w:t>
            </w:r>
          </w:p>
        </w:tc>
        <w:tc>
          <w:tcPr>
            <w:tcW w:w="6910" w:type="dxa"/>
            <w:gridSpan w:val="3"/>
            <w:vAlign w:val="center"/>
          </w:tcPr>
          <w:p w14:paraId="583CDBE2">
            <w:pPr>
              <w:pStyle w:val="39"/>
              <w:bidi w:val="0"/>
              <w:rPr>
                <w:rFonts w:hint="default"/>
                <w:color w:val="auto"/>
                <w:lang w:val="en-US" w:eastAsia="zh-CN"/>
              </w:rPr>
            </w:pPr>
            <w:r>
              <w:rPr>
                <w:rFonts w:hint="eastAsia"/>
                <w:color w:val="auto"/>
                <w:lang w:val="en-US" w:eastAsia="zh-CN"/>
              </w:rPr>
              <w:t>无</w:t>
            </w:r>
          </w:p>
        </w:tc>
      </w:tr>
      <w:tr w14:paraId="444534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60" w:type="dxa"/>
            <w:vAlign w:val="center"/>
          </w:tcPr>
          <w:p w14:paraId="49F3FA4F">
            <w:pPr>
              <w:autoSpaceDE w:val="0"/>
              <w:autoSpaceDN w:val="0"/>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规划及规划环境影响评价符合性分析</w:t>
            </w:r>
          </w:p>
        </w:tc>
        <w:tc>
          <w:tcPr>
            <w:tcW w:w="6910" w:type="dxa"/>
            <w:gridSpan w:val="3"/>
            <w:vAlign w:val="center"/>
          </w:tcPr>
          <w:p w14:paraId="607880C0">
            <w:pPr>
              <w:pStyle w:val="39"/>
              <w:bidi w:val="0"/>
              <w:rPr>
                <w:rFonts w:hint="default"/>
                <w:color w:val="auto"/>
                <w:lang w:val="en-US" w:eastAsia="zh-CN"/>
              </w:rPr>
            </w:pPr>
            <w:r>
              <w:rPr>
                <w:rFonts w:hint="eastAsia"/>
                <w:color w:val="auto"/>
                <w:lang w:val="en-US" w:eastAsia="zh-CN"/>
              </w:rPr>
              <w:t>无</w:t>
            </w:r>
          </w:p>
        </w:tc>
      </w:tr>
      <w:tr w14:paraId="2DF865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960" w:type="dxa"/>
            <w:vAlign w:val="center"/>
          </w:tcPr>
          <w:p w14:paraId="460B4A2A">
            <w:pPr>
              <w:autoSpaceDE w:val="0"/>
              <w:autoSpaceDN w:val="0"/>
              <w:adjustRightInd w:val="0"/>
              <w:snapToGrid w:val="0"/>
              <w:jc w:val="center"/>
              <w:rPr>
                <w:rFonts w:hint="eastAsia" w:ascii="宋体" w:hAnsi="宋体" w:eastAsia="宋体" w:cs="宋体"/>
                <w:color w:val="auto"/>
                <w:kern w:val="0"/>
                <w:szCs w:val="21"/>
                <w:lang w:eastAsia="zh-CN"/>
              </w:rPr>
            </w:pPr>
            <w:r>
              <w:rPr>
                <w:rFonts w:hint="default" w:ascii="Times New Roman" w:hAnsi="Times New Roman" w:cs="Times New Roman"/>
                <w:color w:val="auto"/>
                <w:kern w:val="0"/>
                <w:sz w:val="24"/>
                <w:szCs w:val="24"/>
                <w:highlight w:val="none"/>
              </w:rPr>
              <w:t>其他符合性分析</w:t>
            </w:r>
          </w:p>
        </w:tc>
        <w:tc>
          <w:tcPr>
            <w:tcW w:w="6910" w:type="dxa"/>
            <w:gridSpan w:val="3"/>
            <w:vAlign w:val="center"/>
          </w:tcPr>
          <w:p w14:paraId="2BE536C3">
            <w:pPr>
              <w:pStyle w:val="4"/>
              <w:bidi w:val="0"/>
              <w:rPr>
                <w:rFonts w:hint="default"/>
                <w:color w:val="auto"/>
                <w:lang w:val="en-US" w:eastAsia="zh-CN"/>
              </w:rPr>
            </w:pPr>
            <w:r>
              <w:rPr>
                <w:rFonts w:hint="eastAsia"/>
                <w:color w:val="auto"/>
                <w:lang w:val="en-US" w:eastAsia="zh-CN"/>
              </w:rPr>
              <w:t>1.1</w:t>
            </w:r>
            <w:r>
              <w:t>产业政策相符性分析</w:t>
            </w:r>
          </w:p>
          <w:p w14:paraId="36C0542B">
            <w:pPr>
              <w:pStyle w:val="5"/>
              <w:bidi w:val="0"/>
            </w:pPr>
            <w:r>
              <w:rPr>
                <w:rFonts w:hint="eastAsia"/>
                <w:lang w:val="en-US" w:eastAsia="zh-CN"/>
              </w:rPr>
              <w:t>1</w:t>
            </w:r>
            <w:r>
              <w:t>产业政策相符性</w:t>
            </w:r>
          </w:p>
          <w:p w14:paraId="49291AFE">
            <w:pPr>
              <w:pStyle w:val="41"/>
              <w:bidi w:val="0"/>
              <w:rPr>
                <w:rFonts w:hint="eastAsia"/>
                <w:lang w:val="en-US" w:eastAsia="zh-CN"/>
              </w:rPr>
            </w:pPr>
            <w:r>
              <w:rPr>
                <w:rFonts w:hint="eastAsia"/>
                <w:color w:val="auto"/>
                <w:lang w:val="en-US" w:eastAsia="zh-CN"/>
              </w:rPr>
              <w:t>本项目为</w:t>
            </w:r>
            <w:r>
              <w:rPr>
                <w:rFonts w:hint="default" w:ascii="宋体" w:hAnsi="宋体" w:cs="宋体"/>
                <w:color w:val="auto"/>
                <w:sz w:val="24"/>
                <w:szCs w:val="24"/>
                <w:lang w:val="en-US"/>
              </w:rPr>
              <w:t>鄯善县强盛再生资源回收利用项目</w:t>
            </w:r>
            <w:r>
              <w:rPr>
                <w:rFonts w:hint="eastAsia" w:ascii="宋体" w:hAnsi="宋体" w:cs="宋体"/>
                <w:color w:val="auto"/>
                <w:sz w:val="24"/>
                <w:szCs w:val="24"/>
                <w:lang w:val="en-US" w:eastAsia="zh-CN"/>
              </w:rPr>
              <w:t>，</w:t>
            </w:r>
            <w:r>
              <w:rPr>
                <w:rFonts w:hint="eastAsia"/>
                <w:color w:val="auto"/>
                <w:lang w:val="en-US" w:eastAsia="zh-CN"/>
              </w:rPr>
              <w:t>根据《产业结构调整指导目录（2024年）》，本项目属于“鼓励类四十二、环境保护与资源节约综合利用，8、废弃物循</w:t>
            </w:r>
            <w:r>
              <w:rPr>
                <w:rFonts w:hint="eastAsia"/>
                <w:lang w:val="en-US" w:eastAsia="zh-CN"/>
              </w:rPr>
              <w:t>环利用：废钢材、废有色金属、报废汽车等城市典型废弃物循环利用”，符合国家产业政策要求</w:t>
            </w:r>
            <w:r>
              <w:rPr>
                <w:rFonts w:hint="eastAsia"/>
                <w:color w:val="FF0000"/>
                <w:lang w:val="en-US" w:eastAsia="zh-CN"/>
              </w:rPr>
              <w:t>。</w:t>
            </w:r>
          </w:p>
          <w:p w14:paraId="4E69F119">
            <w:pPr>
              <w:pStyle w:val="5"/>
              <w:bidi w:val="0"/>
            </w:pPr>
            <w:r>
              <w:rPr>
                <w:rFonts w:hint="eastAsia"/>
                <w:lang w:val="en-US" w:eastAsia="zh-CN"/>
              </w:rPr>
              <w:t>2</w:t>
            </w:r>
            <w:r>
              <w:rPr>
                <w:rFonts w:hint="eastAsia"/>
              </w:rPr>
              <w:t>与《产业发展与转移指导目录（2018年本）》符合性分析</w:t>
            </w:r>
          </w:p>
          <w:p w14:paraId="405A9B5A">
            <w:pPr>
              <w:pStyle w:val="41"/>
              <w:bidi w:val="0"/>
            </w:pPr>
            <w:bookmarkStart w:id="18" w:name="_Hlk151720354"/>
            <w:r>
              <w:rPr>
                <w:rFonts w:hint="eastAsia"/>
              </w:rPr>
              <w:t>项目与《产业发展与转移指导目录（2018年本）》符合性分析见下表。</w:t>
            </w:r>
          </w:p>
          <w:p w14:paraId="60AFE768">
            <w:pPr>
              <w:pStyle w:val="46"/>
              <w:bidi w:val="0"/>
            </w:pPr>
            <w:bookmarkStart w:id="19" w:name="_Hlk150727372"/>
            <w:r>
              <w:t>表</w:t>
            </w:r>
            <w:r>
              <w:rPr>
                <w:rFonts w:hint="eastAsia"/>
              </w:rPr>
              <w:t>1</w:t>
            </w:r>
            <w:r>
              <w:t xml:space="preserve">-1 </w:t>
            </w:r>
            <w:r>
              <w:rPr>
                <w:rFonts w:hint="eastAsia"/>
                <w:lang w:val="en-US" w:eastAsia="zh-CN"/>
              </w:rPr>
              <w:t xml:space="preserve"> </w:t>
            </w:r>
            <w:r>
              <w:t xml:space="preserve"> 《产业发展与转移指导目录（2018年本）》符合性分析一览表</w:t>
            </w:r>
          </w:p>
          <w:tbl>
            <w:tblPr>
              <w:tblStyle w:val="114"/>
              <w:tblW w:w="68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90"/>
              <w:gridCol w:w="1500"/>
              <w:gridCol w:w="713"/>
            </w:tblGrid>
            <w:tr w14:paraId="04073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4590" w:type="dxa"/>
                  <w:tcBorders>
                    <w:tl2br w:val="nil"/>
                    <w:tr2bl w:val="nil"/>
                  </w:tcBorders>
                  <w:vAlign w:val="center"/>
                </w:tcPr>
                <w:p w14:paraId="05843EF7">
                  <w:pPr>
                    <w:pStyle w:val="51"/>
                    <w:bidi w:val="0"/>
                  </w:pPr>
                  <w:bookmarkStart w:id="20" w:name="_Hlk150727358"/>
                  <w:r>
                    <w:t>要求</w:t>
                  </w:r>
                </w:p>
              </w:tc>
              <w:tc>
                <w:tcPr>
                  <w:tcW w:w="1500" w:type="dxa"/>
                  <w:tcBorders>
                    <w:tl2br w:val="nil"/>
                    <w:tr2bl w:val="nil"/>
                  </w:tcBorders>
                  <w:vAlign w:val="center"/>
                </w:tcPr>
                <w:p w14:paraId="5419B642">
                  <w:pPr>
                    <w:pStyle w:val="51"/>
                    <w:bidi w:val="0"/>
                  </w:pPr>
                  <w:r>
                    <w:t>本项目情况</w:t>
                  </w:r>
                </w:p>
              </w:tc>
              <w:tc>
                <w:tcPr>
                  <w:tcW w:w="713" w:type="dxa"/>
                  <w:tcBorders>
                    <w:tl2br w:val="nil"/>
                    <w:tr2bl w:val="nil"/>
                  </w:tcBorders>
                  <w:vAlign w:val="center"/>
                </w:tcPr>
                <w:p w14:paraId="6B5D5D6C">
                  <w:pPr>
                    <w:pStyle w:val="51"/>
                    <w:bidi w:val="0"/>
                  </w:pPr>
                  <w:r>
                    <w:t>符合性</w:t>
                  </w:r>
                </w:p>
              </w:tc>
            </w:tr>
            <w:tr w14:paraId="4280B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590" w:type="dxa"/>
                  <w:tcBorders>
                    <w:tl2br w:val="nil"/>
                    <w:tr2bl w:val="nil"/>
                  </w:tcBorders>
                  <w:vAlign w:val="center"/>
                </w:tcPr>
                <w:p w14:paraId="535471D1">
                  <w:pPr>
                    <w:pStyle w:val="51"/>
                    <w:bidi w:val="0"/>
                  </w:pPr>
                  <w:r>
                    <w:t>第一节 西部地区工业发展导向</w:t>
                  </w:r>
                </w:p>
                <w:p w14:paraId="0AEF582B">
                  <w:pPr>
                    <w:pStyle w:val="51"/>
                    <w:bidi w:val="0"/>
                  </w:pPr>
                  <w:r>
                    <w:t>西部地区是产业转移的重要承载区，也是重点生态保护地区，要大力实施优势资源转化战略，加快沿边开发开放，建设国家重要的能源化工、资源精深加工、新材料和绿色食品基地，以及区域性的高技术产业和先进制造业基地。</w:t>
                  </w:r>
                </w:p>
                <w:p w14:paraId="38D7E1A9">
                  <w:pPr>
                    <w:pStyle w:val="51"/>
                    <w:bidi w:val="0"/>
                  </w:pPr>
                  <w:r>
                    <w:t>三十八、天山北坡产业带</w:t>
                  </w:r>
                </w:p>
                <w:p w14:paraId="3A349D06">
                  <w:pPr>
                    <w:pStyle w:val="51"/>
                    <w:bidi w:val="0"/>
                  </w:pPr>
                  <w:r>
                    <w:t>包括乌鲁木齐—昌吉—五家渠产业集聚区、克拉玛依—奎屯—乌苏产业集聚区、伊犁河谷产业集聚区、石河子—玛纳斯—沙湾产业集聚区、博乐—精河—阿拉山口—双河产业集聚区、吐鲁番—鄯善产业集聚区、哈密产业集聚区。重点布局发展石化下游精深加工、现代煤化工、高端装备制造、光伏装备、有色金属及硅基材料下游精深加工、再生资源再加工、安防装备、纺织服装、现代中药民族药和生物制药、农副产品精深加工等产业，培育发展新能源、新材料、电子信息等新兴产业和现代物流等生产性服务业</w:t>
                  </w:r>
                </w:p>
              </w:tc>
              <w:tc>
                <w:tcPr>
                  <w:tcW w:w="1500" w:type="dxa"/>
                  <w:tcBorders>
                    <w:tl2br w:val="nil"/>
                    <w:tr2bl w:val="nil"/>
                  </w:tcBorders>
                  <w:vAlign w:val="center"/>
                </w:tcPr>
                <w:p w14:paraId="2550C8C7">
                  <w:pPr>
                    <w:pStyle w:val="51"/>
                    <w:bidi w:val="0"/>
                  </w:pPr>
                  <w:r>
                    <w:rPr>
                      <w:rFonts w:hint="eastAsia"/>
                    </w:rPr>
                    <w:t>本项目</w:t>
                  </w:r>
                  <w:r>
                    <w:rPr>
                      <w:rFonts w:hint="eastAsia"/>
                      <w:lang w:val="en-US" w:eastAsia="zh-CN"/>
                    </w:rPr>
                    <w:t>回收</w:t>
                  </w:r>
                  <w:r>
                    <w:rPr>
                      <w:rFonts w:hint="eastAsia"/>
                    </w:rPr>
                    <w:t>其他厂家破碎中报废车辆处理后的破碎料（不含危险废物）</w:t>
                  </w:r>
                  <w:r>
                    <w:rPr>
                      <w:rFonts w:hint="eastAsia"/>
                      <w:lang w:eastAsia="zh-CN"/>
                    </w:rPr>
                    <w:t>，</w:t>
                  </w:r>
                  <w:r>
                    <w:rPr>
                      <w:rFonts w:hint="eastAsia"/>
                      <w:lang w:val="en-US" w:eastAsia="zh-CN"/>
                    </w:rPr>
                    <w:t>通过分选-磁选等工艺对其中铁、不锈钢等物质进行回收</w:t>
                  </w:r>
                  <w:r>
                    <w:rPr>
                      <w:rFonts w:hint="eastAsia"/>
                      <w:lang w:eastAsia="zh-CN"/>
                    </w:rPr>
                    <w:t>，</w:t>
                  </w:r>
                  <w:r>
                    <w:rPr>
                      <w:rFonts w:hint="eastAsia"/>
                      <w:lang w:val="en-US" w:eastAsia="zh-CN"/>
                    </w:rPr>
                    <w:t>属于</w:t>
                  </w:r>
                  <w:r>
                    <w:rPr>
                      <w:rFonts w:hint="eastAsia"/>
                    </w:rPr>
                    <w:t>再生资源回收利用项目，符合要求中</w:t>
                  </w:r>
                  <w:r>
                    <w:t>工业发展导向</w:t>
                  </w:r>
                </w:p>
              </w:tc>
              <w:tc>
                <w:tcPr>
                  <w:tcW w:w="713" w:type="dxa"/>
                  <w:tcBorders>
                    <w:tl2br w:val="nil"/>
                    <w:tr2bl w:val="nil"/>
                  </w:tcBorders>
                  <w:vAlign w:val="center"/>
                </w:tcPr>
                <w:p w14:paraId="608D90ED">
                  <w:pPr>
                    <w:pStyle w:val="51"/>
                    <w:bidi w:val="0"/>
                  </w:pPr>
                  <w:r>
                    <w:t>符合</w:t>
                  </w:r>
                </w:p>
              </w:tc>
            </w:tr>
            <w:bookmarkEnd w:id="19"/>
            <w:bookmarkEnd w:id="20"/>
          </w:tbl>
          <w:p w14:paraId="04C235EC">
            <w:pPr>
              <w:pStyle w:val="41"/>
              <w:bidi w:val="0"/>
            </w:pPr>
            <w:r>
              <w:rPr>
                <w:rFonts w:hint="eastAsia"/>
              </w:rPr>
              <w:t>因此本项目符合《产业发展与转移指导目录（2018年本）》要求。</w:t>
            </w:r>
          </w:p>
          <w:bookmarkEnd w:id="18"/>
          <w:p w14:paraId="12E126B4">
            <w:pPr>
              <w:pStyle w:val="5"/>
              <w:bidi w:val="0"/>
            </w:pPr>
            <w:r>
              <w:t>3</w:t>
            </w:r>
            <w:r>
              <w:rPr>
                <w:rFonts w:hint="eastAsia"/>
              </w:rPr>
              <w:t>与《西部地区鼓励类产业目录（2020年本）》符合性分析</w:t>
            </w:r>
          </w:p>
          <w:p w14:paraId="6D9CFBB2">
            <w:pPr>
              <w:pStyle w:val="41"/>
              <w:bidi w:val="0"/>
            </w:pPr>
            <w:bookmarkStart w:id="21" w:name="_Hlk151720391"/>
            <w:r>
              <w:rPr>
                <w:rFonts w:hint="eastAsia"/>
              </w:rPr>
              <w:t>项目与《西部地区鼓励类产业目录（2020年本）》符合性分析见下表。</w:t>
            </w:r>
          </w:p>
          <w:p w14:paraId="5D51FA12">
            <w:pPr>
              <w:pStyle w:val="46"/>
              <w:bidi w:val="0"/>
            </w:pPr>
            <w:bookmarkStart w:id="22" w:name="_Hlk150727385"/>
            <w:r>
              <w:t>表</w:t>
            </w:r>
            <w:r>
              <w:rPr>
                <w:rFonts w:hint="eastAsia"/>
              </w:rPr>
              <w:t>1</w:t>
            </w:r>
            <w:r>
              <w:t>-</w:t>
            </w:r>
            <w:r>
              <w:rPr>
                <w:rFonts w:hint="eastAsia"/>
              </w:rPr>
              <w:t>2</w:t>
            </w:r>
            <w:r>
              <w:t xml:space="preserve"> </w:t>
            </w:r>
            <w:r>
              <w:rPr>
                <w:rFonts w:hint="eastAsia"/>
                <w:lang w:val="en-US" w:eastAsia="zh-CN"/>
              </w:rPr>
              <w:t xml:space="preserve"> </w:t>
            </w:r>
            <w:r>
              <w:t xml:space="preserve"> 《西部地区鼓励类产业目录（2020年本）》符合性分析一览表</w:t>
            </w:r>
          </w:p>
          <w:tbl>
            <w:tblPr>
              <w:tblStyle w:val="114"/>
              <w:tblW w:w="68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85"/>
              <w:gridCol w:w="2005"/>
              <w:gridCol w:w="713"/>
            </w:tblGrid>
            <w:tr w14:paraId="432EA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4085" w:type="dxa"/>
                  <w:tcBorders>
                    <w:tl2br w:val="nil"/>
                    <w:tr2bl w:val="nil"/>
                  </w:tcBorders>
                  <w:vAlign w:val="center"/>
                </w:tcPr>
                <w:p w14:paraId="218B36AB">
                  <w:pPr>
                    <w:pStyle w:val="51"/>
                    <w:bidi w:val="0"/>
                  </w:pPr>
                  <w:r>
                    <w:t>要求</w:t>
                  </w:r>
                </w:p>
              </w:tc>
              <w:tc>
                <w:tcPr>
                  <w:tcW w:w="2005" w:type="dxa"/>
                  <w:tcBorders>
                    <w:tl2br w:val="nil"/>
                    <w:tr2bl w:val="nil"/>
                  </w:tcBorders>
                  <w:vAlign w:val="center"/>
                </w:tcPr>
                <w:p w14:paraId="7758BF32">
                  <w:pPr>
                    <w:pStyle w:val="51"/>
                    <w:bidi w:val="0"/>
                  </w:pPr>
                  <w:r>
                    <w:t>本项目情况</w:t>
                  </w:r>
                </w:p>
              </w:tc>
              <w:tc>
                <w:tcPr>
                  <w:tcW w:w="713" w:type="dxa"/>
                  <w:tcBorders>
                    <w:tl2br w:val="nil"/>
                    <w:tr2bl w:val="nil"/>
                  </w:tcBorders>
                  <w:vAlign w:val="center"/>
                </w:tcPr>
                <w:p w14:paraId="044CDFA1">
                  <w:pPr>
                    <w:pStyle w:val="51"/>
                    <w:bidi w:val="0"/>
                  </w:pPr>
                  <w:r>
                    <w:t>符合性</w:t>
                  </w:r>
                </w:p>
              </w:tc>
            </w:tr>
            <w:tr w14:paraId="4F3D9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jc w:val="center"/>
              </w:trPr>
              <w:tc>
                <w:tcPr>
                  <w:tcW w:w="4085" w:type="dxa"/>
                  <w:tcBorders>
                    <w:tl2br w:val="nil"/>
                    <w:tr2bl w:val="nil"/>
                  </w:tcBorders>
                  <w:vAlign w:val="center"/>
                </w:tcPr>
                <w:p w14:paraId="4B25FF71">
                  <w:pPr>
                    <w:pStyle w:val="51"/>
                    <w:bidi w:val="0"/>
                  </w:pPr>
                  <w:r>
                    <w:t>一、国家现有产业目录中的鼓励类产业</w:t>
                  </w:r>
                </w:p>
                <w:p w14:paraId="05F2BC1C">
                  <w:pPr>
                    <w:pStyle w:val="51"/>
                    <w:bidi w:val="0"/>
                  </w:pPr>
                  <w:r>
                    <w:t>（一）《产业结构调整指导目录（2019年本）》（国家发展改革委令2019年第29号）中的鼓励类产业。</w:t>
                  </w:r>
                </w:p>
                <w:p w14:paraId="049DEB95">
                  <w:pPr>
                    <w:pStyle w:val="51"/>
                    <w:bidi w:val="0"/>
                  </w:pPr>
                  <w:r>
                    <w:t>（二）《鼓励外商投资产业目录（2020年版）》（国家发展改革委、商务部令2020年第38号）中的产业。</w:t>
                  </w:r>
                </w:p>
                <w:p w14:paraId="5EC9BAE0">
                  <w:pPr>
                    <w:pStyle w:val="51"/>
                    <w:bidi w:val="0"/>
                  </w:pPr>
                  <w:r>
                    <w:t>以上目录如修订，按新修订版本执行。</w:t>
                  </w:r>
                </w:p>
              </w:tc>
              <w:tc>
                <w:tcPr>
                  <w:tcW w:w="2005" w:type="dxa"/>
                  <w:tcBorders>
                    <w:tl2br w:val="nil"/>
                    <w:tr2bl w:val="nil"/>
                  </w:tcBorders>
                  <w:vAlign w:val="center"/>
                </w:tcPr>
                <w:p w14:paraId="5035C761">
                  <w:pPr>
                    <w:pStyle w:val="51"/>
                    <w:bidi w:val="0"/>
                    <w:rPr>
                      <w:rFonts w:hint="eastAsia" w:eastAsia="宋体"/>
                      <w:lang w:eastAsia="zh-CN"/>
                    </w:rPr>
                  </w:pPr>
                  <w:r>
                    <w:rPr>
                      <w:rFonts w:hint="eastAsia"/>
                    </w:rPr>
                    <w:t>本项目符合现行</w:t>
                  </w:r>
                  <w:r>
                    <w:t>《产业结构调整指导目录（</w:t>
                  </w:r>
                  <w:r>
                    <w:rPr>
                      <w:rFonts w:hint="eastAsia"/>
                      <w:lang w:val="en-US" w:eastAsia="zh-CN"/>
                    </w:rPr>
                    <w:t>2024</w:t>
                  </w:r>
                  <w:r>
                    <w:t>年本）》</w:t>
                  </w:r>
                  <w:r>
                    <w:rPr>
                      <w:rFonts w:hint="eastAsia"/>
                    </w:rPr>
                    <w:t>中鼓励类产业</w:t>
                  </w:r>
                  <w:r>
                    <w:rPr>
                      <w:rFonts w:hint="eastAsia"/>
                      <w:lang w:eastAsia="zh-CN"/>
                    </w:rPr>
                    <w:t>。</w:t>
                  </w:r>
                </w:p>
              </w:tc>
              <w:tc>
                <w:tcPr>
                  <w:tcW w:w="713" w:type="dxa"/>
                  <w:tcBorders>
                    <w:tl2br w:val="nil"/>
                    <w:tr2bl w:val="nil"/>
                  </w:tcBorders>
                  <w:vAlign w:val="center"/>
                </w:tcPr>
                <w:p w14:paraId="456FF5F4">
                  <w:pPr>
                    <w:pStyle w:val="51"/>
                    <w:bidi w:val="0"/>
                  </w:pPr>
                  <w:r>
                    <w:t>符合</w:t>
                  </w:r>
                </w:p>
              </w:tc>
            </w:tr>
            <w:tr w14:paraId="3AF5B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085" w:type="dxa"/>
                  <w:tcBorders>
                    <w:tl2br w:val="nil"/>
                    <w:tr2bl w:val="nil"/>
                  </w:tcBorders>
                  <w:vAlign w:val="center"/>
                </w:tcPr>
                <w:p w14:paraId="552B6FA6">
                  <w:pPr>
                    <w:pStyle w:val="51"/>
                    <w:bidi w:val="0"/>
                  </w:pPr>
                  <w:r>
                    <w:t>二、西部地区新增鼓励类产业</w:t>
                  </w:r>
                </w:p>
                <w:p w14:paraId="7808B172">
                  <w:pPr>
                    <w:pStyle w:val="51"/>
                    <w:bidi w:val="0"/>
                  </w:pPr>
                  <w:r>
                    <w:t>（十）新疆维吾尔自治区（含新疆生产建设兵团）</w:t>
                  </w:r>
                </w:p>
                <w:p w14:paraId="0FEE7E18">
                  <w:pPr>
                    <w:pStyle w:val="51"/>
                    <w:bidi w:val="0"/>
                  </w:pPr>
                  <w:r>
                    <w:t>5．铁、锰、铜、镍、铅、锌、钨（锡）、锑、稀有金属勘探、有序开采、精深加工、加工新技术开发及应用，废铁、废钢、废铜、废铝以及稀有金属再生资源回收利用体系建设及运营（《产业结构调整指导目录》限制类、淘汰类项目除外）</w:t>
                  </w:r>
                </w:p>
              </w:tc>
              <w:tc>
                <w:tcPr>
                  <w:tcW w:w="2005" w:type="dxa"/>
                  <w:tcBorders>
                    <w:tl2br w:val="nil"/>
                    <w:tr2bl w:val="nil"/>
                  </w:tcBorders>
                  <w:vAlign w:val="center"/>
                </w:tcPr>
                <w:p w14:paraId="0309264B">
                  <w:pPr>
                    <w:pStyle w:val="51"/>
                    <w:bidi w:val="0"/>
                    <w:rPr>
                      <w:rFonts w:hint="eastAsia" w:eastAsia="宋体"/>
                      <w:lang w:eastAsia="zh-CN"/>
                    </w:rPr>
                  </w:pPr>
                  <w:r>
                    <w:rPr>
                      <w:rFonts w:hint="eastAsia"/>
                    </w:rPr>
                    <w:t>本项目位于新疆维吾尔自治区吐鲁番市鄯善县，</w:t>
                  </w:r>
                  <w:r>
                    <w:rPr>
                      <w:rFonts w:hint="eastAsia"/>
                      <w:lang w:val="en-US" w:eastAsia="zh-CN"/>
                    </w:rPr>
                    <w:t>回收</w:t>
                  </w:r>
                  <w:r>
                    <w:rPr>
                      <w:rFonts w:hint="eastAsia"/>
                    </w:rPr>
                    <w:t>其他厂家破碎中报废车辆处理后的破碎料（不含危险废物）</w:t>
                  </w:r>
                  <w:r>
                    <w:rPr>
                      <w:rFonts w:hint="eastAsia"/>
                      <w:lang w:eastAsia="zh-CN"/>
                    </w:rPr>
                    <w:t>，</w:t>
                  </w:r>
                  <w:r>
                    <w:rPr>
                      <w:rFonts w:hint="eastAsia"/>
                      <w:lang w:val="en-US" w:eastAsia="zh-CN"/>
                    </w:rPr>
                    <w:t>通过分选-磁选等工艺对其中铁、不锈钢等物质进行回收</w:t>
                  </w:r>
                  <w:r>
                    <w:rPr>
                      <w:rFonts w:hint="eastAsia"/>
                      <w:lang w:eastAsia="zh-CN"/>
                    </w:rPr>
                    <w:t>，</w:t>
                  </w:r>
                  <w:r>
                    <w:rPr>
                      <w:rFonts w:hint="eastAsia"/>
                      <w:lang w:val="en-US" w:eastAsia="zh-CN"/>
                    </w:rPr>
                    <w:t>属于</w:t>
                  </w:r>
                  <w:r>
                    <w:rPr>
                      <w:rFonts w:hint="eastAsia"/>
                    </w:rPr>
                    <w:t>再生资源回收利用项目</w:t>
                  </w:r>
                  <w:r>
                    <w:rPr>
                      <w:rFonts w:hint="eastAsia"/>
                      <w:lang w:eastAsia="zh-CN"/>
                    </w:rPr>
                    <w:t>。</w:t>
                  </w:r>
                </w:p>
              </w:tc>
              <w:tc>
                <w:tcPr>
                  <w:tcW w:w="713" w:type="dxa"/>
                  <w:tcBorders>
                    <w:tl2br w:val="nil"/>
                    <w:tr2bl w:val="nil"/>
                  </w:tcBorders>
                  <w:vAlign w:val="center"/>
                </w:tcPr>
                <w:p w14:paraId="28D5D252">
                  <w:pPr>
                    <w:pStyle w:val="51"/>
                    <w:bidi w:val="0"/>
                  </w:pPr>
                  <w:r>
                    <w:t>符合</w:t>
                  </w:r>
                </w:p>
              </w:tc>
            </w:tr>
            <w:bookmarkEnd w:id="22"/>
          </w:tbl>
          <w:p w14:paraId="5A3B7DE8">
            <w:pPr>
              <w:pStyle w:val="41"/>
              <w:bidi w:val="0"/>
            </w:pPr>
            <w:r>
              <w:rPr>
                <w:rFonts w:hint="eastAsia"/>
              </w:rPr>
              <w:t>因此本项目符合《西部地区鼓励类产业目录（2020年本）》要求。</w:t>
            </w:r>
          </w:p>
          <w:bookmarkEnd w:id="21"/>
          <w:p w14:paraId="139F27C2">
            <w:pPr>
              <w:pStyle w:val="5"/>
              <w:bidi w:val="0"/>
            </w:pPr>
            <w:r>
              <w:t>4</w:t>
            </w:r>
            <w:r>
              <w:rPr>
                <w:rFonts w:hint="eastAsia"/>
              </w:rPr>
              <w:t>与《资源综合利用目录（2003年修订）》符合性分析</w:t>
            </w:r>
          </w:p>
          <w:p w14:paraId="5E292FEA">
            <w:pPr>
              <w:pStyle w:val="41"/>
              <w:bidi w:val="0"/>
            </w:pPr>
            <w:bookmarkStart w:id="23" w:name="_Hlk151720428"/>
            <w:r>
              <w:rPr>
                <w:rFonts w:hint="eastAsia"/>
              </w:rPr>
              <w:t>项目与《资源综合利用目录（2003年修订）》符合性分析见下表。</w:t>
            </w:r>
          </w:p>
          <w:p w14:paraId="5C4969F0">
            <w:pPr>
              <w:pStyle w:val="46"/>
              <w:bidi w:val="0"/>
            </w:pPr>
            <w:bookmarkStart w:id="24" w:name="_Hlk150727397"/>
            <w:r>
              <w:t>表</w:t>
            </w:r>
            <w:r>
              <w:rPr>
                <w:rFonts w:hint="eastAsia"/>
              </w:rPr>
              <w:t>1</w:t>
            </w:r>
            <w:r>
              <w:t>-</w:t>
            </w:r>
            <w:r>
              <w:rPr>
                <w:rFonts w:hint="eastAsia"/>
              </w:rPr>
              <w:t>3</w:t>
            </w:r>
            <w:r>
              <w:t xml:space="preserve">  </w:t>
            </w:r>
            <w:r>
              <w:rPr>
                <w:rFonts w:hint="eastAsia"/>
                <w:lang w:val="en-US" w:eastAsia="zh-CN"/>
              </w:rPr>
              <w:t xml:space="preserve"> </w:t>
            </w:r>
            <w:r>
              <w:t>《资源综合利用目录（2003年修订）》符合性分析一览表</w:t>
            </w:r>
          </w:p>
          <w:tbl>
            <w:tblPr>
              <w:tblStyle w:val="114"/>
              <w:tblW w:w="680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44"/>
              <w:gridCol w:w="2468"/>
              <w:gridCol w:w="791"/>
            </w:tblGrid>
            <w:tr w14:paraId="51610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blHeader/>
                <w:jc w:val="center"/>
              </w:trPr>
              <w:tc>
                <w:tcPr>
                  <w:tcW w:w="3544" w:type="dxa"/>
                  <w:tcBorders>
                    <w:tl2br w:val="nil"/>
                    <w:tr2bl w:val="nil"/>
                  </w:tcBorders>
                  <w:vAlign w:val="center"/>
                </w:tcPr>
                <w:p w14:paraId="7CFD01C5">
                  <w:pPr>
                    <w:pStyle w:val="51"/>
                    <w:bidi w:val="0"/>
                  </w:pPr>
                  <w:r>
                    <w:t>要求</w:t>
                  </w:r>
                </w:p>
              </w:tc>
              <w:tc>
                <w:tcPr>
                  <w:tcW w:w="2468" w:type="dxa"/>
                  <w:tcBorders>
                    <w:tl2br w:val="nil"/>
                    <w:tr2bl w:val="nil"/>
                  </w:tcBorders>
                  <w:vAlign w:val="center"/>
                </w:tcPr>
                <w:p w14:paraId="22596910">
                  <w:pPr>
                    <w:pStyle w:val="51"/>
                    <w:bidi w:val="0"/>
                  </w:pPr>
                  <w:r>
                    <w:t>本项目情况</w:t>
                  </w:r>
                </w:p>
              </w:tc>
              <w:tc>
                <w:tcPr>
                  <w:tcW w:w="791" w:type="dxa"/>
                  <w:tcBorders>
                    <w:tl2br w:val="nil"/>
                    <w:tr2bl w:val="nil"/>
                  </w:tcBorders>
                  <w:vAlign w:val="center"/>
                </w:tcPr>
                <w:p w14:paraId="37469B58">
                  <w:pPr>
                    <w:pStyle w:val="51"/>
                    <w:bidi w:val="0"/>
                  </w:pPr>
                  <w:r>
                    <w:t>符合性</w:t>
                  </w:r>
                </w:p>
              </w:tc>
            </w:tr>
            <w:tr w14:paraId="10E9E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3544" w:type="dxa"/>
                  <w:tcBorders>
                    <w:tl2br w:val="nil"/>
                    <w:tr2bl w:val="nil"/>
                  </w:tcBorders>
                  <w:vAlign w:val="center"/>
                </w:tcPr>
                <w:p w14:paraId="276D8FA5">
                  <w:pPr>
                    <w:pStyle w:val="51"/>
                    <w:bidi w:val="0"/>
                  </w:pPr>
                  <w:r>
                    <w:rPr>
                      <w:rFonts w:hint="eastAsia"/>
                    </w:rPr>
                    <w:t>二、</w:t>
                  </w:r>
                  <w:r>
                    <w:t>综合利用“三废”生产的产品</w:t>
                  </w:r>
                </w:p>
                <w:p w14:paraId="17543897">
                  <w:pPr>
                    <w:pStyle w:val="51"/>
                    <w:bidi w:val="0"/>
                  </w:pPr>
                  <w:r>
                    <w:t>(一)综合利用固体废物生产的产品</w:t>
                  </w:r>
                </w:p>
                <w:p w14:paraId="6FCD2A71">
                  <w:pPr>
                    <w:pStyle w:val="51"/>
                    <w:bidi w:val="0"/>
                  </w:pPr>
                  <w:r>
                    <w:t>11.利用冶炼废渣(2)回收的废钢铁、铁合金料、精矿粉、稀土、废电极、废有色金属以及利用冶炼废渣生产的烧结料、炼铁料、铁合金冶炼溶剂、建材产品</w:t>
                  </w:r>
                  <w:r>
                    <w:rPr>
                      <w:rFonts w:hint="eastAsia"/>
                    </w:rPr>
                    <w:t>。</w:t>
                  </w:r>
                </w:p>
              </w:tc>
              <w:tc>
                <w:tcPr>
                  <w:tcW w:w="2468" w:type="dxa"/>
                  <w:tcBorders>
                    <w:tl2br w:val="nil"/>
                    <w:tr2bl w:val="nil"/>
                  </w:tcBorders>
                  <w:vAlign w:val="center"/>
                </w:tcPr>
                <w:p w14:paraId="042C8133">
                  <w:pPr>
                    <w:pStyle w:val="51"/>
                    <w:bidi w:val="0"/>
                  </w:pPr>
                  <w:r>
                    <w:rPr>
                      <w:rFonts w:hint="eastAsia"/>
                      <w:lang w:val="en-US" w:eastAsia="zh-CN"/>
                    </w:rPr>
                    <w:t>项目回收</w:t>
                  </w:r>
                  <w:r>
                    <w:rPr>
                      <w:rFonts w:hint="eastAsia"/>
                    </w:rPr>
                    <w:t>其他厂家破碎中报废车辆处理后的破碎料（不含危险废物）</w:t>
                  </w:r>
                  <w:r>
                    <w:rPr>
                      <w:rFonts w:hint="eastAsia"/>
                      <w:lang w:eastAsia="zh-CN"/>
                    </w:rPr>
                    <w:t>，</w:t>
                  </w:r>
                  <w:r>
                    <w:rPr>
                      <w:rFonts w:hint="eastAsia"/>
                      <w:lang w:val="en-US" w:eastAsia="zh-CN"/>
                    </w:rPr>
                    <w:t>通过分选-磁选等工艺对其中铁、不锈钢等物质进行回收</w:t>
                  </w:r>
                  <w:r>
                    <w:rPr>
                      <w:rFonts w:hint="eastAsia"/>
                      <w:lang w:eastAsia="zh-CN"/>
                    </w:rPr>
                    <w:t>，</w:t>
                  </w:r>
                  <w:r>
                    <w:rPr>
                      <w:rFonts w:hint="eastAsia"/>
                      <w:lang w:val="en-US" w:eastAsia="zh-CN"/>
                    </w:rPr>
                    <w:t>属于</w:t>
                  </w:r>
                  <w:r>
                    <w:rPr>
                      <w:rFonts w:hint="eastAsia"/>
                    </w:rPr>
                    <w:t>再生资源回收利用项目。</w:t>
                  </w:r>
                </w:p>
              </w:tc>
              <w:tc>
                <w:tcPr>
                  <w:tcW w:w="791" w:type="dxa"/>
                  <w:tcBorders>
                    <w:tl2br w:val="nil"/>
                    <w:tr2bl w:val="nil"/>
                  </w:tcBorders>
                  <w:vAlign w:val="center"/>
                </w:tcPr>
                <w:p w14:paraId="75B8302E">
                  <w:pPr>
                    <w:pStyle w:val="51"/>
                    <w:bidi w:val="0"/>
                  </w:pPr>
                  <w:r>
                    <w:t>符合</w:t>
                  </w:r>
                </w:p>
              </w:tc>
            </w:tr>
            <w:bookmarkEnd w:id="24"/>
          </w:tbl>
          <w:p w14:paraId="24CE3BF6">
            <w:pPr>
              <w:pStyle w:val="41"/>
              <w:bidi w:val="0"/>
            </w:pPr>
            <w:r>
              <w:rPr>
                <w:rFonts w:hint="eastAsia"/>
              </w:rPr>
              <w:t>因此本项目符合《资源综合利用目录（2003年修订）》要求</w:t>
            </w:r>
            <w:bookmarkEnd w:id="23"/>
            <w:r>
              <w:rPr>
                <w:rFonts w:hint="eastAsia"/>
              </w:rPr>
              <w:t>。</w:t>
            </w:r>
          </w:p>
          <w:p w14:paraId="635434AB">
            <w:pPr>
              <w:pStyle w:val="5"/>
              <w:bidi w:val="0"/>
            </w:pPr>
            <w:r>
              <w:t>5</w:t>
            </w:r>
            <w:r>
              <w:rPr>
                <w:rFonts w:hint="eastAsia"/>
              </w:rPr>
              <w:t>与《环境保护综合名录（2021年版）》符合性分析</w:t>
            </w:r>
          </w:p>
          <w:p w14:paraId="1F9B674A">
            <w:pPr>
              <w:pStyle w:val="41"/>
              <w:bidi w:val="0"/>
            </w:pPr>
            <w:r>
              <w:rPr>
                <w:rFonts w:hint="eastAsia"/>
              </w:rPr>
              <w:t>根据《环境保护综合名录（2021年版）》，本项目生产的产品不属于“高污染、高环境风险”产品名录。</w:t>
            </w:r>
          </w:p>
          <w:p w14:paraId="0E9F8661">
            <w:pPr>
              <w:pStyle w:val="3"/>
              <w:bidi w:val="0"/>
            </w:pPr>
            <w:bookmarkStart w:id="25" w:name="_Toc31597"/>
            <w:r>
              <w:rPr>
                <w:rFonts w:hint="eastAsia"/>
              </w:rPr>
              <w:t>1.</w:t>
            </w:r>
            <w:r>
              <w:t>2</w:t>
            </w:r>
            <w:r>
              <w:rPr>
                <w:rFonts w:hint="eastAsia"/>
              </w:rPr>
              <w:t>相关</w:t>
            </w:r>
            <w:r>
              <w:t>规划</w:t>
            </w:r>
            <w:r>
              <w:rPr>
                <w:rFonts w:hint="eastAsia"/>
              </w:rPr>
              <w:t>、规划环评</w:t>
            </w:r>
            <w:r>
              <w:t>符合性分析</w:t>
            </w:r>
            <w:bookmarkEnd w:id="25"/>
          </w:p>
          <w:p w14:paraId="70621157">
            <w:pPr>
              <w:pStyle w:val="5"/>
              <w:bidi w:val="0"/>
            </w:pPr>
            <w:r>
              <w:t>1与《新疆维吾尔自治区国民经济和社会发展第十四个五年规划和2035年远景目标纲要》符合性分析</w:t>
            </w:r>
          </w:p>
          <w:p w14:paraId="0CC9788C">
            <w:pPr>
              <w:pStyle w:val="41"/>
              <w:bidi w:val="0"/>
            </w:pPr>
            <w:r>
              <w:t>《新疆维吾尔自治区国民经济和社会发展第十四个五年规划和2035年远景目标纲要》提出：严格土壤污染风险管控。加强建设用地土壤环境风险管控和农用地安全利用。强化涉重金属行业监管，推动重金属污染减排和治理。深化工业固体废物综合利用和环境整治。</w:t>
            </w:r>
          </w:p>
          <w:p w14:paraId="34ADF8CB">
            <w:pPr>
              <w:pStyle w:val="41"/>
              <w:bidi w:val="0"/>
            </w:pPr>
            <w:r>
              <w:t>本项目为</w:t>
            </w:r>
            <w:r>
              <w:rPr>
                <w:rFonts w:hint="eastAsia"/>
              </w:rPr>
              <w:t>回收其他厂家破碎中报废车辆处理后的破碎料</w:t>
            </w:r>
            <w:r>
              <w:rPr>
                <w:rFonts w:hint="eastAsia"/>
                <w:lang w:eastAsia="zh-CN"/>
              </w:rPr>
              <w:t>，</w:t>
            </w:r>
            <w:r>
              <w:rPr>
                <w:rFonts w:hint="eastAsia"/>
                <w:lang w:val="en-US" w:eastAsia="zh-CN"/>
              </w:rPr>
              <w:t>回收过程中不涉及危险废物</w:t>
            </w:r>
            <w:r>
              <w:rPr>
                <w:rFonts w:hint="eastAsia"/>
              </w:rPr>
              <w:t>，通过分选-磁选等工艺对其中铁、不锈钢等物质进行回收，属于再生资源回收利用项目</w:t>
            </w:r>
            <w:r>
              <w:rPr>
                <w:rFonts w:hint="eastAsia"/>
                <w:lang w:eastAsia="zh-CN"/>
              </w:rPr>
              <w:t>，</w:t>
            </w:r>
            <w:r>
              <w:t>因此，本项目符合《新疆维吾尔自治区国民经济和社会发展第十四个五年规划和2035年远景目标纲要》。</w:t>
            </w:r>
          </w:p>
          <w:p w14:paraId="00E2A33E">
            <w:pPr>
              <w:pStyle w:val="5"/>
              <w:bidi w:val="0"/>
            </w:pPr>
            <w:r>
              <w:t>2与《新疆生态环境保护“十四五”规划》符合性分析</w:t>
            </w:r>
          </w:p>
          <w:p w14:paraId="518D14B3">
            <w:pPr>
              <w:pStyle w:val="41"/>
              <w:bidi w:val="0"/>
            </w:pPr>
            <w:r>
              <w:t>《新疆生态环境保护</w:t>
            </w:r>
            <w:r>
              <w:rPr>
                <w:rFonts w:hint="eastAsia"/>
              </w:rPr>
              <w:t>“十四五”</w:t>
            </w:r>
            <w:r>
              <w:t>规划》提出：</w:t>
            </w:r>
            <w:r>
              <w:rPr>
                <w:rFonts w:hint="eastAsia"/>
              </w:rPr>
              <w:t>推进固体废物源头减量和资源化利用。加强固体废物源头减量、资源化利用和无害化处置，最大限度减少填埋量。推进工业固体废物精细化、名录化环境管理，促进大宗工业固废综合利用、主要农业废弃物全量利用。加快构建废旧物资回收和循环利用体系，健全强制报废制度和废旧家电、消费电子等耐用消费品回收处理体系，推行生产企业“逆向回收”等模式</w:t>
            </w:r>
            <w:r>
              <w:t>。</w:t>
            </w:r>
          </w:p>
          <w:p w14:paraId="7CE83E91">
            <w:pPr>
              <w:pStyle w:val="41"/>
              <w:bidi w:val="0"/>
            </w:pPr>
            <w:r>
              <w:t>本项目为</w:t>
            </w:r>
            <w:r>
              <w:rPr>
                <w:rFonts w:hint="eastAsia"/>
                <w:lang w:val="en-US" w:eastAsia="zh-CN"/>
              </w:rPr>
              <w:t>固废回收加工利用项目，</w:t>
            </w:r>
            <w:r>
              <w:t>项目建成后将解决</w:t>
            </w:r>
            <w:r>
              <w:rPr>
                <w:rFonts w:hint="eastAsia"/>
                <w:lang w:val="en-US" w:eastAsia="zh-CN"/>
              </w:rPr>
              <w:t>鄯善县及周边</w:t>
            </w:r>
            <w:r>
              <w:t>无危险废物</w:t>
            </w:r>
            <w:r>
              <w:rPr>
                <w:rFonts w:hint="eastAsia"/>
              </w:rPr>
              <w:t>综合利用</w:t>
            </w:r>
            <w:r>
              <w:t>能力的问题，对保障</w:t>
            </w:r>
            <w:r>
              <w:rPr>
                <w:rFonts w:hint="eastAsia"/>
                <w:lang w:val="en-US" w:eastAsia="zh-CN"/>
              </w:rPr>
              <w:t>鄯善县</w:t>
            </w:r>
            <w:r>
              <w:t>生态环境安全具有十分重要的意义，因此，</w:t>
            </w:r>
            <w:r>
              <w:rPr>
                <w:rFonts w:hint="eastAsia"/>
              </w:rPr>
              <w:t>本项目</w:t>
            </w:r>
            <w:r>
              <w:t>建设符合《新疆生态环境保护“十四五”规划》要求</w:t>
            </w:r>
            <w:r>
              <w:rPr>
                <w:rFonts w:hint="eastAsia"/>
              </w:rPr>
              <w:t>。</w:t>
            </w:r>
          </w:p>
          <w:p w14:paraId="3502FFA3">
            <w:pPr>
              <w:pStyle w:val="5"/>
              <w:bidi w:val="0"/>
            </w:pPr>
            <w:r>
              <w:rPr>
                <w:rFonts w:hint="eastAsia"/>
              </w:rPr>
              <w:t>3</w:t>
            </w:r>
            <w:r>
              <w:t>与《“十四五”工业绿色发展规划》符合性分析</w:t>
            </w:r>
          </w:p>
          <w:p w14:paraId="3A661DDE">
            <w:pPr>
              <w:pStyle w:val="41"/>
              <w:bidi w:val="0"/>
            </w:pPr>
            <w:r>
              <w:rPr>
                <w:rFonts w:hint="eastAsia"/>
              </w:rPr>
              <w:t>根据《“十四五”工业绿色发展规划》（四）促进资源利用循环化转型中提及：</w:t>
            </w:r>
          </w:p>
          <w:p w14:paraId="1C2055B7">
            <w:pPr>
              <w:pStyle w:val="41"/>
              <w:bidi w:val="0"/>
            </w:pPr>
            <w:r>
              <w:t>推进再生资源高值化循环利用。培育废钢铁、废有色金属、废塑料、废旧轮胎、废纸、废弃电器电子产品、废旧动力电池、废油、废旧纺织品等主要再生资源循环利用龙头骨干企业，推动资源要素向优势企业集聚，依托优势企业技术装备，推动再生资源高值化利用。统筹用好国内国际两种资源，依托互联网、区块链、大数据等信息化技术，构建国内国际双轨、线上线下并行的再生资源供应链。鼓励建设再生资源高值化利用产业园区，推动企业聚集化、资源循环化、产业高端化发展。统筹布局退役光伏、风力发电装置、海洋工程装备等新兴固废综合利用。积极推广再制造产品，大力发展高端智能再制造。</w:t>
            </w:r>
          </w:p>
          <w:p w14:paraId="53D9C255">
            <w:pPr>
              <w:pStyle w:val="41"/>
              <w:bidi w:val="0"/>
            </w:pPr>
            <w:r>
              <w:rPr>
                <w:rFonts w:hint="eastAsia"/>
              </w:rPr>
              <w:t>本项目为</w:t>
            </w:r>
            <w:r>
              <w:rPr>
                <w:rFonts w:hint="eastAsia"/>
                <w:lang w:val="en-US" w:eastAsia="zh-CN"/>
              </w:rPr>
              <w:t>回收</w:t>
            </w:r>
            <w:r>
              <w:rPr>
                <w:rFonts w:hint="eastAsia"/>
              </w:rPr>
              <w:t>其他厂家破碎中报废车辆处理后的破碎料（不含危险废物）</w:t>
            </w:r>
            <w:r>
              <w:rPr>
                <w:rFonts w:hint="eastAsia"/>
                <w:lang w:eastAsia="zh-CN"/>
              </w:rPr>
              <w:t>，</w:t>
            </w:r>
            <w:r>
              <w:rPr>
                <w:rFonts w:hint="eastAsia"/>
                <w:lang w:val="en-US" w:eastAsia="zh-CN"/>
              </w:rPr>
              <w:t>通过分选-磁选等工艺对其中铁、不锈钢等物质进行回收</w:t>
            </w:r>
            <w:r>
              <w:rPr>
                <w:rFonts w:hint="eastAsia"/>
                <w:lang w:eastAsia="zh-CN"/>
              </w:rPr>
              <w:t>，</w:t>
            </w:r>
            <w:r>
              <w:rPr>
                <w:rFonts w:hint="eastAsia"/>
              </w:rPr>
              <w:t>结合《“十四五”工业绿色发展规划》要求，项目符合规划中要求。</w:t>
            </w:r>
          </w:p>
          <w:p w14:paraId="483C9D5E">
            <w:pPr>
              <w:pStyle w:val="5"/>
              <w:bidi w:val="0"/>
            </w:pPr>
            <w:r>
              <w:rPr>
                <w:rFonts w:hint="eastAsia"/>
                <w:lang w:val="en-US" w:eastAsia="zh-CN"/>
              </w:rPr>
              <w:t>4</w:t>
            </w:r>
            <w:r>
              <w:t>与《吐鲁番市国民经济和社会发展第十四个五年规划和2035年远景目标纲要》符合性分析</w:t>
            </w:r>
          </w:p>
          <w:p w14:paraId="026E2466">
            <w:pPr>
              <w:pStyle w:val="41"/>
              <w:bidi w:val="0"/>
            </w:pPr>
            <w:r>
              <w:rPr>
                <w:rFonts w:hint="eastAsia"/>
              </w:rPr>
              <w:t>根据《吐鲁番市国民经济和社会发展第十四个五年规划和2035年远景目标纲要》第十二章 推动绿色发展，实现生态文明建设新进步中要求及符合性分析具体如下。</w:t>
            </w:r>
          </w:p>
          <w:p w14:paraId="54A54FD6">
            <w:pPr>
              <w:pStyle w:val="46"/>
              <w:bidi w:val="0"/>
            </w:pPr>
            <w:r>
              <w:t>表</w:t>
            </w:r>
            <w:r>
              <w:rPr>
                <w:rFonts w:hint="eastAsia"/>
              </w:rPr>
              <w:t>1</w:t>
            </w:r>
            <w:r>
              <w:t>-</w:t>
            </w:r>
            <w:r>
              <w:rPr>
                <w:rFonts w:hint="eastAsia"/>
                <w:lang w:val="en-US" w:eastAsia="zh-CN"/>
              </w:rPr>
              <w:t>4</w:t>
            </w:r>
            <w:r>
              <w:t xml:space="preserve">  </w:t>
            </w:r>
            <w:r>
              <w:rPr>
                <w:rFonts w:hint="eastAsia"/>
                <w:lang w:val="en-US" w:eastAsia="zh-CN"/>
              </w:rPr>
              <w:t xml:space="preserve"> </w:t>
            </w:r>
            <w:r>
              <w:t>《吐鲁番市国民经济和社会发展第十四个五年规划和2035年远景目标纲要》符合性分析表</w:t>
            </w:r>
          </w:p>
          <w:tbl>
            <w:tblPr>
              <w:tblStyle w:val="114"/>
              <w:tblW w:w="680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7"/>
              <w:gridCol w:w="5154"/>
              <w:gridCol w:w="741"/>
              <w:gridCol w:w="451"/>
            </w:tblGrid>
            <w:tr w14:paraId="58AB1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blHeader/>
                <w:jc w:val="center"/>
              </w:trPr>
              <w:tc>
                <w:tcPr>
                  <w:tcW w:w="4123" w:type="pct"/>
                  <w:gridSpan w:val="2"/>
                  <w:tcBorders>
                    <w:tl2br w:val="nil"/>
                    <w:tr2bl w:val="nil"/>
                  </w:tcBorders>
                  <w:vAlign w:val="center"/>
                </w:tcPr>
                <w:p w14:paraId="7CA2D333">
                  <w:pPr>
                    <w:pStyle w:val="51"/>
                    <w:bidi w:val="0"/>
                  </w:pPr>
                  <w:r>
                    <w:t>意见要求</w:t>
                  </w:r>
                </w:p>
              </w:tc>
              <w:tc>
                <w:tcPr>
                  <w:tcW w:w="544" w:type="pct"/>
                  <w:tcBorders>
                    <w:tl2br w:val="nil"/>
                    <w:tr2bl w:val="nil"/>
                  </w:tcBorders>
                  <w:vAlign w:val="center"/>
                </w:tcPr>
                <w:p w14:paraId="74B4E3B3">
                  <w:pPr>
                    <w:pStyle w:val="51"/>
                    <w:bidi w:val="0"/>
                  </w:pPr>
                  <w:r>
                    <w:t>本项目情况</w:t>
                  </w:r>
                </w:p>
              </w:tc>
              <w:tc>
                <w:tcPr>
                  <w:tcW w:w="331" w:type="pct"/>
                  <w:tcBorders>
                    <w:tl2br w:val="nil"/>
                    <w:tr2bl w:val="nil"/>
                  </w:tcBorders>
                  <w:vAlign w:val="center"/>
                </w:tcPr>
                <w:p w14:paraId="4D098B08">
                  <w:pPr>
                    <w:pStyle w:val="51"/>
                    <w:bidi w:val="0"/>
                  </w:pPr>
                  <w:r>
                    <w:t>符合性</w:t>
                  </w:r>
                </w:p>
              </w:tc>
            </w:tr>
            <w:tr w14:paraId="22387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335" w:type="pct"/>
                  <w:tcBorders>
                    <w:tl2br w:val="nil"/>
                    <w:tr2bl w:val="nil"/>
                  </w:tcBorders>
                  <w:vAlign w:val="center"/>
                </w:tcPr>
                <w:p w14:paraId="0169BC5C">
                  <w:pPr>
                    <w:pStyle w:val="51"/>
                    <w:bidi w:val="0"/>
                  </w:pPr>
                  <w:r>
                    <w:t>第一节 健全生态环境保护机制</w:t>
                  </w:r>
                </w:p>
              </w:tc>
              <w:tc>
                <w:tcPr>
                  <w:tcW w:w="3788" w:type="pct"/>
                  <w:tcBorders>
                    <w:tl2br w:val="nil"/>
                    <w:tr2bl w:val="nil"/>
                  </w:tcBorders>
                  <w:vAlign w:val="center"/>
                </w:tcPr>
                <w:p w14:paraId="00C96E77">
                  <w:pPr>
                    <w:pStyle w:val="51"/>
                    <w:bidi w:val="0"/>
                  </w:pPr>
                  <w:r>
                    <w:t>实施最严格的生态保护制度，严禁“三高”项目进吐鲁番，严格执行能源、矿产资源开发一支笔审批制度、环境保护“一票否决”制度，守住生态保护红线、环境质量底线和自然资源利用上线。全面实行排污许可制，适时开展排污权、用水权、用能权、碳排放权交易。健全国土空间开发保护制度，严格落实国土空间规划和用途管控。加强生态环境保护综合执法体系和能力建设，依法依规强化生态环境执法，健全生态环境损害赔偿制度体系。落实中央生态环境保护督察整改要求。探索鼓励高环境风险企业投保环境污染强制责任险，严格落实党政领导干部生态环境责任离任审计与生态环境损害终身责任追究制度。</w:t>
                  </w:r>
                </w:p>
              </w:tc>
              <w:tc>
                <w:tcPr>
                  <w:tcW w:w="544" w:type="pct"/>
                  <w:tcBorders>
                    <w:tl2br w:val="nil"/>
                    <w:tr2bl w:val="nil"/>
                  </w:tcBorders>
                  <w:vAlign w:val="center"/>
                </w:tcPr>
                <w:p w14:paraId="26FC32E8">
                  <w:pPr>
                    <w:pStyle w:val="51"/>
                    <w:bidi w:val="0"/>
                  </w:pPr>
                  <w:r>
                    <w:rPr>
                      <w:rFonts w:hint="eastAsia"/>
                    </w:rPr>
                    <w:t>本项目不属于</w:t>
                  </w:r>
                  <w:r>
                    <w:t>“三高”项目</w:t>
                  </w:r>
                  <w:r>
                    <w:rPr>
                      <w:rFonts w:hint="eastAsia"/>
                    </w:rPr>
                    <w:t>，符合准入要求。</w:t>
                  </w:r>
                </w:p>
              </w:tc>
              <w:tc>
                <w:tcPr>
                  <w:tcW w:w="331" w:type="pct"/>
                  <w:tcBorders>
                    <w:tl2br w:val="nil"/>
                    <w:tr2bl w:val="nil"/>
                  </w:tcBorders>
                  <w:vAlign w:val="center"/>
                </w:tcPr>
                <w:p w14:paraId="2C011058">
                  <w:pPr>
                    <w:pStyle w:val="51"/>
                    <w:bidi w:val="0"/>
                  </w:pPr>
                  <w:r>
                    <w:rPr>
                      <w:rFonts w:hint="eastAsia"/>
                    </w:rPr>
                    <w:t>符合</w:t>
                  </w:r>
                </w:p>
              </w:tc>
            </w:tr>
            <w:tr w14:paraId="62827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335" w:type="pct"/>
                  <w:tcBorders>
                    <w:tl2br w:val="nil"/>
                    <w:tr2bl w:val="nil"/>
                  </w:tcBorders>
                  <w:vAlign w:val="center"/>
                </w:tcPr>
                <w:p w14:paraId="67C66456">
                  <w:pPr>
                    <w:pStyle w:val="51"/>
                    <w:bidi w:val="0"/>
                  </w:pPr>
                  <w:r>
                    <w:t>第二节持续加强环境保护治</w:t>
                  </w:r>
                </w:p>
              </w:tc>
              <w:tc>
                <w:tcPr>
                  <w:tcW w:w="3788" w:type="pct"/>
                  <w:tcBorders>
                    <w:tl2br w:val="nil"/>
                    <w:tr2bl w:val="nil"/>
                  </w:tcBorders>
                  <w:vAlign w:val="center"/>
                </w:tcPr>
                <w:p w14:paraId="060B181C">
                  <w:pPr>
                    <w:pStyle w:val="51"/>
                    <w:bidi w:val="0"/>
                  </w:pPr>
                  <w:r>
                    <w:t>纵深推进大气污染防治行动。强化多污染物协同控制和区域协同治理，加强细颗粒物和臭氧协同控制，减少重污染天气出现。突出抓好“散乱污”企业整治、重点行业污染源治理，大力推进工业废气、汽车尾气、餐饮油烟、秸秆焚烧和道路建筑扬尘治理。突出抓好散煤综合治理，严格控制煤炭消费总量，扎实推进煤改电、煤改气，大力推进“电化农村”，以高昌区为重点，在城中村、城郊村等集中供暖和天然气还未覆盖的区域，全面推广使用电采暖。全面淘汰黄标车，大力推广新能源汽车等清洁交通工具。加快推进火电、热电机组超低排放清洁化改造，加大工业烟粉尘、挥发性有机废气治理。强化城市烟尘整治，推进新型建筑工业化，控制施工和道路扬尘。持续开展餐饮油烟治理，推进农作物秸秆禁烧和综合利用，巩固矿山粉尘整治成果。建立健全重污染天气监测、预警和应急响应体系，不断完善大气污染联防联控机制。</w:t>
                  </w:r>
                </w:p>
                <w:p w14:paraId="606F868F">
                  <w:pPr>
                    <w:pStyle w:val="51"/>
                    <w:bidi w:val="0"/>
                  </w:pPr>
                  <w:r>
                    <w:t>深入实施水污染防治行动。坚持全民参与，形成“政府统领、企业施治、市场驱动、公众参与”的水污染防治新局面。规范污水收集处理及达标排放监管，狠抓装备水平低、环保设施差的小型工业企业整治，推进重点行业工业废水分质集中处理，提高工业污水处理率。推进城镇污水管网全覆盖。加快老旧城区、城郊结合部等重点区域截污配套管网建设，提升污泥处理处置水平，实现城镇周边村庄生活污水纳入城镇污水处理管网收集处理，供排水、垃圾处理等市政基础设施服务向农村延伸，治理设施运维实现长效化。</w:t>
                  </w:r>
                </w:p>
                <w:p w14:paraId="482DBD44">
                  <w:pPr>
                    <w:pStyle w:val="51"/>
                    <w:bidi w:val="0"/>
                  </w:pPr>
                  <w:r>
                    <w:t>稳步开展土壤污染防治行动。实行严格的土壤保护制度，坚持“防、控、治”三位一体，以农用地和建设用地为重点，实行分级分类管控，推动土壤资源永续利用。推进化肥农药减量化，加强白色污染治理。强化对未污染土壤保护，重点保护未污染耕地、林地、草地和饮用水水源地。坚持固体废物减量化、资源化、无害化原则，减少固体废物的产生量和危害性，提高固体废物综合利用和无害化处置能力，推动工业固体废物综合利用，加快建立分类投放、分类收集、分类运输、分类处理的生活垃圾管理系统，推进建筑垃圾源头减量，建立建筑垃圾回收利用体系，鼓励、引导农业固体废物回收利用，合理布局提高危险废物集中处置能力，加强危险废物及医疗废物收集、转运、贮存、处置。加强土壤污染源头治理，加快推进土壤污染风险较大企业搬迁改造工作。建立健全土壤环境调查、评估、风险管控、治理修复及效果评估体系，加强土壤环境监测预警，实现主要农产品产地土壤环境动态监控，实行疑似污染地块、污染地块的动态管理，建立和完善污染场地档案。强化污染场地在开发利用的监督管理，推进污染场地、废弃矿场的修复治理工作。</w:t>
                  </w:r>
                </w:p>
              </w:tc>
              <w:tc>
                <w:tcPr>
                  <w:tcW w:w="544" w:type="pct"/>
                  <w:tcBorders>
                    <w:tl2br w:val="nil"/>
                    <w:tr2bl w:val="nil"/>
                  </w:tcBorders>
                  <w:vAlign w:val="center"/>
                </w:tcPr>
                <w:p w14:paraId="2C645AE0">
                  <w:pPr>
                    <w:pStyle w:val="51"/>
                    <w:bidi w:val="0"/>
                  </w:pPr>
                  <w:r>
                    <w:rPr>
                      <w:rFonts w:hint="eastAsia"/>
                    </w:rPr>
                    <w:t>本</w:t>
                  </w:r>
                  <w:r>
                    <w:rPr>
                      <w:rFonts w:hint="eastAsia"/>
                      <w:lang w:val="en-US" w:eastAsia="zh-CN"/>
                    </w:rPr>
                    <w:t>项目回收</w:t>
                  </w:r>
                  <w:r>
                    <w:rPr>
                      <w:rFonts w:hint="eastAsia"/>
                    </w:rPr>
                    <w:t>其他厂家破碎中报废车辆处理后的破碎料（不含危险废物）</w:t>
                  </w:r>
                  <w:r>
                    <w:rPr>
                      <w:rFonts w:hint="eastAsia"/>
                      <w:lang w:eastAsia="zh-CN"/>
                    </w:rPr>
                    <w:t>，</w:t>
                  </w:r>
                  <w:r>
                    <w:rPr>
                      <w:rFonts w:hint="eastAsia"/>
                      <w:lang w:val="en-US" w:eastAsia="zh-CN"/>
                    </w:rPr>
                    <w:t>通过分选-磁选等工艺对其中铁、不锈钢等物质进行回收</w:t>
                  </w:r>
                  <w:r>
                    <w:rPr>
                      <w:rFonts w:hint="eastAsia"/>
                    </w:rPr>
                    <w:t>，符合“</w:t>
                  </w:r>
                  <w:r>
                    <w:t>坚持固体废物减量化、资源化、无害化原则</w:t>
                  </w:r>
                  <w:r>
                    <w:rPr>
                      <w:rFonts w:hint="eastAsia"/>
                    </w:rPr>
                    <w:t>”的要求。</w:t>
                  </w:r>
                </w:p>
              </w:tc>
              <w:tc>
                <w:tcPr>
                  <w:tcW w:w="331" w:type="pct"/>
                  <w:tcBorders>
                    <w:tl2br w:val="nil"/>
                    <w:tr2bl w:val="nil"/>
                  </w:tcBorders>
                  <w:vAlign w:val="center"/>
                </w:tcPr>
                <w:p w14:paraId="180B5F38">
                  <w:pPr>
                    <w:pStyle w:val="51"/>
                    <w:bidi w:val="0"/>
                  </w:pPr>
                  <w:r>
                    <w:rPr>
                      <w:rFonts w:hint="eastAsia"/>
                    </w:rPr>
                    <w:t>符合</w:t>
                  </w:r>
                </w:p>
              </w:tc>
            </w:tr>
          </w:tbl>
          <w:p w14:paraId="5B3BC683">
            <w:pPr>
              <w:pStyle w:val="5"/>
              <w:bidi w:val="0"/>
            </w:pPr>
            <w:r>
              <w:rPr>
                <w:rFonts w:hint="eastAsia"/>
                <w:lang w:val="en-US" w:eastAsia="zh-CN"/>
              </w:rPr>
              <w:t>5</w:t>
            </w:r>
            <w:r>
              <w:t>与《</w:t>
            </w:r>
            <w:r>
              <w:rPr>
                <w:rFonts w:hint="eastAsia"/>
              </w:rPr>
              <w:t>吐鲁番市</w:t>
            </w:r>
            <w:r>
              <w:t>生态环境保护“十四五”规划》符合性分析</w:t>
            </w:r>
          </w:p>
          <w:p w14:paraId="6E3A2F0B">
            <w:pPr>
              <w:pStyle w:val="41"/>
              <w:bidi w:val="0"/>
            </w:pPr>
            <w:r>
              <w:rPr>
                <w:rFonts w:hint="eastAsia"/>
              </w:rPr>
              <w:t>项目建设符合</w:t>
            </w:r>
            <w:r>
              <w:t>《</w:t>
            </w:r>
            <w:r>
              <w:rPr>
                <w:rFonts w:hint="eastAsia"/>
              </w:rPr>
              <w:t>吐鲁番市</w:t>
            </w:r>
            <w:r>
              <w:t>生态环境保护“十四五”规划》</w:t>
            </w:r>
            <w:r>
              <w:rPr>
                <w:rFonts w:hint="eastAsia"/>
              </w:rPr>
              <w:t>的要求，具体分析见表</w:t>
            </w:r>
            <w:r>
              <w:t>1</w:t>
            </w:r>
            <w:r>
              <w:rPr>
                <w:rFonts w:hint="eastAsia"/>
                <w:lang w:val="en-US" w:eastAsia="zh-CN"/>
              </w:rPr>
              <w:t>-5</w:t>
            </w:r>
            <w:r>
              <w:rPr>
                <w:rFonts w:hint="eastAsia"/>
              </w:rPr>
              <w:t>。</w:t>
            </w:r>
          </w:p>
          <w:p w14:paraId="248FC161">
            <w:pPr>
              <w:pStyle w:val="46"/>
              <w:bidi w:val="0"/>
            </w:pPr>
            <w:r>
              <w:rPr>
                <w:rFonts w:hint="eastAsia"/>
              </w:rPr>
              <w:t>表1</w:t>
            </w:r>
            <w:r>
              <w:rPr>
                <w:rFonts w:hint="eastAsia"/>
                <w:lang w:val="en-US" w:eastAsia="zh-CN"/>
              </w:rPr>
              <w:t xml:space="preserve">-5 </w:t>
            </w:r>
            <w:r>
              <w:rPr>
                <w:rFonts w:hint="eastAsia"/>
              </w:rPr>
              <w:t xml:space="preserve">  与</w:t>
            </w:r>
            <w:r>
              <w:t>《</w:t>
            </w:r>
            <w:r>
              <w:rPr>
                <w:rFonts w:hint="eastAsia"/>
              </w:rPr>
              <w:t>吐鲁番市</w:t>
            </w:r>
            <w:r>
              <w:t>生态环境保护“十四五”规划》</w:t>
            </w:r>
            <w:r>
              <w:rPr>
                <w:rFonts w:hint="eastAsia"/>
              </w:rPr>
              <w:t>符合性分析表</w:t>
            </w:r>
          </w:p>
          <w:tbl>
            <w:tblPr>
              <w:tblStyle w:val="114"/>
              <w:tblW w:w="68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34"/>
              <w:gridCol w:w="2542"/>
              <w:gridCol w:w="727"/>
            </w:tblGrid>
            <w:tr w14:paraId="4CFAC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98" w:type="pct"/>
                  <w:tcBorders>
                    <w:tl2br w:val="nil"/>
                    <w:tr2bl w:val="nil"/>
                  </w:tcBorders>
                  <w:vAlign w:val="center"/>
                </w:tcPr>
                <w:p w14:paraId="5042F1AA">
                  <w:pPr>
                    <w:pStyle w:val="51"/>
                    <w:bidi w:val="0"/>
                  </w:pPr>
                  <w:r>
                    <w:rPr>
                      <w:rFonts w:hint="eastAsia"/>
                    </w:rPr>
                    <w:t>规划要求</w:t>
                  </w:r>
                </w:p>
              </w:tc>
              <w:tc>
                <w:tcPr>
                  <w:tcW w:w="1868" w:type="pct"/>
                  <w:tcBorders>
                    <w:tl2br w:val="nil"/>
                    <w:tr2bl w:val="nil"/>
                  </w:tcBorders>
                  <w:vAlign w:val="center"/>
                </w:tcPr>
                <w:p w14:paraId="580BC3B6">
                  <w:pPr>
                    <w:pStyle w:val="51"/>
                    <w:bidi w:val="0"/>
                  </w:pPr>
                  <w:r>
                    <w:rPr>
                      <w:rFonts w:hint="eastAsia"/>
                    </w:rPr>
                    <w:t>本项目拟采取的措施</w:t>
                  </w:r>
                </w:p>
              </w:tc>
              <w:tc>
                <w:tcPr>
                  <w:tcW w:w="534" w:type="pct"/>
                  <w:tcBorders>
                    <w:tl2br w:val="nil"/>
                    <w:tr2bl w:val="nil"/>
                  </w:tcBorders>
                  <w:vAlign w:val="center"/>
                </w:tcPr>
                <w:p w14:paraId="63C01038">
                  <w:pPr>
                    <w:pStyle w:val="51"/>
                    <w:bidi w:val="0"/>
                  </w:pPr>
                  <w:r>
                    <w:rPr>
                      <w:rFonts w:hint="eastAsia"/>
                    </w:rPr>
                    <w:t>符合性</w:t>
                  </w:r>
                </w:p>
              </w:tc>
            </w:tr>
            <w:tr w14:paraId="4AE21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98" w:type="pct"/>
                  <w:tcBorders>
                    <w:tl2br w:val="nil"/>
                    <w:tr2bl w:val="nil"/>
                  </w:tcBorders>
                  <w:vAlign w:val="center"/>
                </w:tcPr>
                <w:p w14:paraId="52D71BB0">
                  <w:pPr>
                    <w:pStyle w:val="51"/>
                    <w:bidi w:val="0"/>
                  </w:pPr>
                  <w:r>
                    <w:rPr>
                      <w:rFonts w:hint="eastAsia"/>
                    </w:rPr>
                    <w:t>鄯善县和高昌区所有新（改、扩）建项目执行最严格的大气污染物排放标准，实行以环境容量和排污总量确定产业规模、推动行业转型升级的倒逼调控机制，严禁超标排放</w:t>
                  </w:r>
                </w:p>
              </w:tc>
              <w:tc>
                <w:tcPr>
                  <w:tcW w:w="1868" w:type="pct"/>
                  <w:tcBorders>
                    <w:tl2br w:val="nil"/>
                    <w:tr2bl w:val="nil"/>
                  </w:tcBorders>
                  <w:vAlign w:val="center"/>
                </w:tcPr>
                <w:p w14:paraId="4A1A25D6">
                  <w:pPr>
                    <w:pStyle w:val="51"/>
                    <w:bidi w:val="0"/>
                    <w:rPr>
                      <w:rFonts w:hint="eastAsia" w:eastAsia="宋体"/>
                      <w:lang w:eastAsia="zh-CN"/>
                    </w:rPr>
                  </w:pPr>
                  <w:r>
                    <w:rPr>
                      <w:rFonts w:hint="eastAsia"/>
                      <w:lang w:val="en-US" w:eastAsia="zh-CN"/>
                    </w:rPr>
                    <w:t>破碎、筛分产生的颗粒物可满足《大气污染物综合排放标准》（GB16297-1996）</w:t>
                  </w:r>
                  <w:r>
                    <w:t>中的限值要求</w:t>
                  </w:r>
                  <w:r>
                    <w:rPr>
                      <w:rFonts w:hint="eastAsia"/>
                      <w:lang w:eastAsia="zh-CN"/>
                    </w:rPr>
                    <w:t>；</w:t>
                  </w:r>
                </w:p>
              </w:tc>
              <w:tc>
                <w:tcPr>
                  <w:tcW w:w="534" w:type="pct"/>
                  <w:tcBorders>
                    <w:tl2br w:val="nil"/>
                    <w:tr2bl w:val="nil"/>
                  </w:tcBorders>
                  <w:vAlign w:val="center"/>
                </w:tcPr>
                <w:p w14:paraId="77C180AD">
                  <w:pPr>
                    <w:pStyle w:val="51"/>
                    <w:bidi w:val="0"/>
                  </w:pPr>
                  <w:r>
                    <w:rPr>
                      <w:rFonts w:hint="eastAsia"/>
                    </w:rPr>
                    <w:t>符合</w:t>
                  </w:r>
                </w:p>
              </w:tc>
            </w:tr>
            <w:tr w14:paraId="5C365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98" w:type="pct"/>
                  <w:tcBorders>
                    <w:tl2br w:val="nil"/>
                    <w:tr2bl w:val="nil"/>
                  </w:tcBorders>
                  <w:vAlign w:val="center"/>
                </w:tcPr>
                <w:p w14:paraId="604FA36C">
                  <w:pPr>
                    <w:pStyle w:val="51"/>
                    <w:bidi w:val="0"/>
                    <w:rPr>
                      <w:color w:val="auto"/>
                    </w:rPr>
                  </w:pPr>
                  <w:r>
                    <w:rPr>
                      <w:rFonts w:hint="eastAsia"/>
                      <w:color w:val="auto"/>
                    </w:rPr>
                    <w:t>对工艺过程无组织排放源进行深度治理，对无组织排放烟粉尘实施全收集、全处理各类施工场地严格按标准实施工地周边围挡、物料堆放覆盖、土方开挖湿法作业、路面硬化、出入车辆清洗、渣土车辆密闭运输和暂不开发土地临时绿化等措施</w:t>
                  </w:r>
                </w:p>
              </w:tc>
              <w:tc>
                <w:tcPr>
                  <w:tcW w:w="1868" w:type="pct"/>
                  <w:tcBorders>
                    <w:tl2br w:val="nil"/>
                    <w:tr2bl w:val="nil"/>
                  </w:tcBorders>
                  <w:vAlign w:val="center"/>
                </w:tcPr>
                <w:p w14:paraId="1BE70DC3">
                  <w:pPr>
                    <w:pStyle w:val="51"/>
                    <w:bidi w:val="0"/>
                    <w:rPr>
                      <w:color w:val="auto"/>
                    </w:rPr>
                  </w:pPr>
                  <w:r>
                    <w:rPr>
                      <w:rFonts w:hint="eastAsia"/>
                      <w:color w:val="auto"/>
                    </w:rPr>
                    <w:t>各类废物采用吨包包装，暂存在</w:t>
                  </w:r>
                  <w:r>
                    <w:rPr>
                      <w:rFonts w:hint="eastAsia"/>
                      <w:color w:val="auto"/>
                      <w:lang w:val="en-US" w:eastAsia="zh-CN"/>
                    </w:rPr>
                    <w:t>封闭</w:t>
                  </w:r>
                  <w:r>
                    <w:rPr>
                      <w:rFonts w:hint="eastAsia"/>
                      <w:color w:val="auto"/>
                    </w:rPr>
                    <w:t>的固废原料库中，产生的粉尘量</w:t>
                  </w:r>
                  <w:r>
                    <w:rPr>
                      <w:rFonts w:hint="eastAsia"/>
                      <w:color w:val="auto"/>
                      <w:lang w:val="en-US" w:eastAsia="zh-CN"/>
                    </w:rPr>
                    <w:t>较少</w:t>
                  </w:r>
                  <w:r>
                    <w:rPr>
                      <w:rFonts w:hint="eastAsia"/>
                      <w:color w:val="auto"/>
                    </w:rPr>
                    <w:t>；</w:t>
                  </w:r>
                </w:p>
              </w:tc>
              <w:tc>
                <w:tcPr>
                  <w:tcW w:w="534" w:type="pct"/>
                  <w:tcBorders>
                    <w:tl2br w:val="nil"/>
                    <w:tr2bl w:val="nil"/>
                  </w:tcBorders>
                  <w:vAlign w:val="center"/>
                </w:tcPr>
                <w:p w14:paraId="4B1C2DAA">
                  <w:pPr>
                    <w:pStyle w:val="51"/>
                    <w:bidi w:val="0"/>
                  </w:pPr>
                  <w:r>
                    <w:rPr>
                      <w:rFonts w:hint="eastAsia"/>
                    </w:rPr>
                    <w:t>符合</w:t>
                  </w:r>
                </w:p>
              </w:tc>
            </w:tr>
            <w:tr w14:paraId="16A3D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98" w:type="pct"/>
                  <w:tcBorders>
                    <w:tl2br w:val="nil"/>
                    <w:tr2bl w:val="nil"/>
                  </w:tcBorders>
                  <w:vAlign w:val="center"/>
                </w:tcPr>
                <w:p w14:paraId="569145B9">
                  <w:pPr>
                    <w:pStyle w:val="51"/>
                    <w:bidi w:val="0"/>
                  </w:pPr>
                  <w:r>
                    <w:rPr>
                      <w:rFonts w:hint="eastAsia"/>
                    </w:rPr>
                    <w:t>聚焦有色金属采选、冶炼等重点行业企业，严格涉重金属行业污染物排放。以油气资源开发、化工园区为重点，重点解决铬渣、油田含油污泥等问题突出危险废物的综合利用、污染治理和废物处理处置，持续提升油田含油污泥、化工行业工业废液综合利用和处置水平</w:t>
                  </w:r>
                </w:p>
              </w:tc>
              <w:tc>
                <w:tcPr>
                  <w:tcW w:w="1868" w:type="pct"/>
                  <w:tcBorders>
                    <w:tl2br w:val="nil"/>
                    <w:tr2bl w:val="nil"/>
                  </w:tcBorders>
                  <w:vAlign w:val="center"/>
                </w:tcPr>
                <w:p w14:paraId="13B204AD">
                  <w:pPr>
                    <w:pStyle w:val="51"/>
                    <w:bidi w:val="0"/>
                    <w:rPr>
                      <w:rFonts w:hint="eastAsia" w:eastAsia="宋体"/>
                      <w:lang w:val="en-US" w:eastAsia="zh-CN"/>
                    </w:rPr>
                  </w:pPr>
                  <w:r>
                    <w:rPr>
                      <w:rFonts w:hint="eastAsia"/>
                      <w:lang w:val="en-US" w:eastAsia="zh-CN"/>
                    </w:rPr>
                    <w:t>不涉及；</w:t>
                  </w:r>
                </w:p>
              </w:tc>
              <w:tc>
                <w:tcPr>
                  <w:tcW w:w="534" w:type="pct"/>
                  <w:tcBorders>
                    <w:tl2br w:val="nil"/>
                    <w:tr2bl w:val="nil"/>
                  </w:tcBorders>
                  <w:vAlign w:val="center"/>
                </w:tcPr>
                <w:p w14:paraId="45F3C17C">
                  <w:pPr>
                    <w:pStyle w:val="51"/>
                    <w:bidi w:val="0"/>
                  </w:pPr>
                  <w:r>
                    <w:rPr>
                      <w:rFonts w:hint="eastAsia"/>
                    </w:rPr>
                    <w:t>符合</w:t>
                  </w:r>
                </w:p>
              </w:tc>
            </w:tr>
            <w:tr w14:paraId="6D7F7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98" w:type="pct"/>
                  <w:tcBorders>
                    <w:tl2br w:val="nil"/>
                    <w:tr2bl w:val="nil"/>
                  </w:tcBorders>
                  <w:vAlign w:val="center"/>
                </w:tcPr>
                <w:p w14:paraId="262B2205">
                  <w:pPr>
                    <w:pStyle w:val="51"/>
                    <w:bidi w:val="0"/>
                  </w:pPr>
                  <w:r>
                    <w:rPr>
                      <w:rFonts w:hint="eastAsia"/>
                    </w:rPr>
                    <w:t>健全涉重金属重点行业企业全口径清单，依法依规纳入重点排污单位名录，深入推进有色等重点行业重金属污染治理，严格落实重金属污染防治措施和环境监测制度。鄯善县严格执行重金属重点污染物特别排放限值。严格涉重金属企业环境准入管理，涉重金属重点行业新（改、扩）建建设项目实施重金属排放量“等量替代”或“减量替代”，实施分级分类管控。</w:t>
                  </w:r>
                </w:p>
              </w:tc>
              <w:tc>
                <w:tcPr>
                  <w:tcW w:w="1868" w:type="pct"/>
                  <w:tcBorders>
                    <w:tl2br w:val="nil"/>
                    <w:tr2bl w:val="nil"/>
                  </w:tcBorders>
                  <w:vAlign w:val="center"/>
                </w:tcPr>
                <w:p w14:paraId="52E42671">
                  <w:pPr>
                    <w:pStyle w:val="51"/>
                    <w:bidi w:val="0"/>
                    <w:rPr>
                      <w:rFonts w:hint="eastAsia" w:eastAsia="宋体"/>
                      <w:lang w:eastAsia="zh-CN"/>
                    </w:rPr>
                  </w:pPr>
                  <w:r>
                    <w:rPr>
                      <w:rFonts w:hint="eastAsia"/>
                    </w:rPr>
                    <w:t>本项目为</w:t>
                  </w:r>
                  <w:r>
                    <w:rPr>
                      <w:rFonts w:hint="eastAsia"/>
                      <w:lang w:val="en-US" w:eastAsia="zh-CN"/>
                    </w:rPr>
                    <w:t>再生资源回收</w:t>
                  </w:r>
                  <w:r>
                    <w:rPr>
                      <w:rFonts w:hint="eastAsia"/>
                    </w:rPr>
                    <w:t>利用，不</w:t>
                  </w:r>
                  <w:r>
                    <w:rPr>
                      <w:rFonts w:hint="eastAsia"/>
                      <w:lang w:val="en-US" w:eastAsia="zh-CN"/>
                    </w:rPr>
                    <w:t>涉及危险废物、以及</w:t>
                  </w:r>
                  <w:r>
                    <w:rPr>
                      <w:rFonts w:hint="eastAsia"/>
                    </w:rPr>
                    <w:t>重金属重点行业</w:t>
                  </w:r>
                  <w:r>
                    <w:rPr>
                      <w:rFonts w:hint="eastAsia"/>
                      <w:lang w:eastAsia="zh-CN"/>
                    </w:rPr>
                    <w:t>；</w:t>
                  </w:r>
                </w:p>
              </w:tc>
              <w:tc>
                <w:tcPr>
                  <w:tcW w:w="534" w:type="pct"/>
                  <w:tcBorders>
                    <w:tl2br w:val="nil"/>
                    <w:tr2bl w:val="nil"/>
                  </w:tcBorders>
                  <w:vAlign w:val="center"/>
                </w:tcPr>
                <w:p w14:paraId="4E63D63C">
                  <w:pPr>
                    <w:pStyle w:val="51"/>
                    <w:bidi w:val="0"/>
                  </w:pPr>
                  <w:r>
                    <w:rPr>
                      <w:rFonts w:hint="eastAsia"/>
                    </w:rPr>
                    <w:t>符合</w:t>
                  </w:r>
                </w:p>
              </w:tc>
            </w:tr>
            <w:tr w14:paraId="211B2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98" w:type="pct"/>
                  <w:tcBorders>
                    <w:tl2br w:val="nil"/>
                    <w:tr2bl w:val="nil"/>
                  </w:tcBorders>
                  <w:vAlign w:val="center"/>
                </w:tcPr>
                <w:p w14:paraId="5D055A60">
                  <w:pPr>
                    <w:pStyle w:val="51"/>
                    <w:bidi w:val="0"/>
                  </w:pPr>
                  <w:r>
                    <w:rPr>
                      <w:rFonts w:hint="eastAsia"/>
                    </w:rPr>
                    <w:t>加强重点行业重金属污染综合治理。加快实施涉重金属产业技术升级，严格涉重金属行业准入，优化涉重产业空间布局，依法淘汰落后产能，取缔不符合国家产业政策的有色金属冶炼等企业。耕地周边铅锌铜冶炼企业执行颗粒物和重点重金属污染物特别排放限值。探索开展铅、镉的全生命周期环境管理。</w:t>
                  </w:r>
                </w:p>
              </w:tc>
              <w:tc>
                <w:tcPr>
                  <w:tcW w:w="1868" w:type="pct"/>
                  <w:tcBorders>
                    <w:tl2br w:val="nil"/>
                    <w:tr2bl w:val="nil"/>
                  </w:tcBorders>
                  <w:vAlign w:val="center"/>
                </w:tcPr>
                <w:p w14:paraId="558E5D3D">
                  <w:pPr>
                    <w:pStyle w:val="51"/>
                    <w:bidi w:val="0"/>
                  </w:pPr>
                  <w:r>
                    <w:rPr>
                      <w:rFonts w:hint="eastAsia"/>
                    </w:rPr>
                    <w:t>本项目既属于</w:t>
                  </w:r>
                  <w:r>
                    <w:rPr>
                      <w:rFonts w:hint="eastAsia"/>
                      <w:lang w:val="en-US" w:eastAsia="zh-CN"/>
                    </w:rPr>
                    <w:t>再生资源回收</w:t>
                  </w:r>
                  <w:r>
                    <w:rPr>
                      <w:rFonts w:hint="eastAsia"/>
                    </w:rPr>
                    <w:t>处置行业，符合《新疆维吾尔自治区重点行业环境准入条件（修订）》符合性分析，对颗粒物和重金属执行特别排放限值要求。</w:t>
                  </w:r>
                </w:p>
              </w:tc>
              <w:tc>
                <w:tcPr>
                  <w:tcW w:w="534" w:type="pct"/>
                  <w:tcBorders>
                    <w:tl2br w:val="nil"/>
                    <w:tr2bl w:val="nil"/>
                  </w:tcBorders>
                  <w:vAlign w:val="center"/>
                </w:tcPr>
                <w:p w14:paraId="03A5A549">
                  <w:pPr>
                    <w:pStyle w:val="51"/>
                    <w:bidi w:val="0"/>
                  </w:pPr>
                  <w:r>
                    <w:rPr>
                      <w:rFonts w:hint="eastAsia"/>
                    </w:rPr>
                    <w:t>符合</w:t>
                  </w:r>
                </w:p>
              </w:tc>
            </w:tr>
          </w:tbl>
          <w:p w14:paraId="4E1C2FA6">
            <w:pPr>
              <w:pStyle w:val="4"/>
              <w:bidi w:val="0"/>
            </w:pPr>
            <w:r>
              <w:rPr>
                <w:rFonts w:hint="eastAsia"/>
              </w:rPr>
              <w:t>1.3</w:t>
            </w:r>
            <w:r>
              <w:t>与相关</w:t>
            </w:r>
            <w:r>
              <w:rPr>
                <w:rFonts w:hint="eastAsia"/>
              </w:rPr>
              <w:t>导则、标准</w:t>
            </w:r>
            <w:r>
              <w:t>、规范符合性</w:t>
            </w:r>
            <w:r>
              <w:rPr>
                <w:rFonts w:hint="eastAsia"/>
              </w:rPr>
              <w:t>分析</w:t>
            </w:r>
          </w:p>
          <w:p w14:paraId="09F221FD">
            <w:pPr>
              <w:pStyle w:val="5"/>
              <w:bidi w:val="0"/>
            </w:pPr>
            <w:r>
              <w:rPr>
                <w:rFonts w:hint="eastAsia"/>
                <w:lang w:val="en-US" w:eastAsia="zh-CN"/>
              </w:rPr>
              <w:t>1</w:t>
            </w:r>
            <w:r>
              <w:rPr>
                <w:rFonts w:hint="eastAsia"/>
              </w:rPr>
              <w:t>与《新疆维吾尔自治区大气污染防治条例》符合性分析</w:t>
            </w:r>
          </w:p>
          <w:p w14:paraId="2F5F7195">
            <w:pPr>
              <w:pStyle w:val="41"/>
              <w:bidi w:val="0"/>
            </w:pPr>
            <w:r>
              <w:rPr>
                <w:rFonts w:hint="eastAsia"/>
              </w:rPr>
              <w:t>项目建设符合《新疆维吾尔自治区大气污染防治条例》中的相关要求，具体分析见表</w:t>
            </w:r>
            <w:r>
              <w:rPr>
                <w:rFonts w:hint="eastAsia"/>
                <w:lang w:val="en-US" w:eastAsia="zh-CN"/>
              </w:rPr>
              <w:t>1-6</w:t>
            </w:r>
            <w:r>
              <w:rPr>
                <w:rFonts w:hint="eastAsia"/>
              </w:rPr>
              <w:t>。</w:t>
            </w:r>
          </w:p>
          <w:p w14:paraId="0CC9FFD4">
            <w:pPr>
              <w:pStyle w:val="46"/>
              <w:bidi w:val="0"/>
            </w:pPr>
            <w:r>
              <w:rPr>
                <w:rFonts w:hint="eastAsia"/>
              </w:rPr>
              <w:t>表</w:t>
            </w:r>
            <w:r>
              <w:rPr>
                <w:rFonts w:hint="eastAsia"/>
                <w:lang w:val="en-US" w:eastAsia="zh-CN"/>
              </w:rPr>
              <w:t>1-6</w:t>
            </w:r>
            <w:r>
              <w:t xml:space="preserve"> </w:t>
            </w:r>
            <w:r>
              <w:rPr>
                <w:rFonts w:hint="eastAsia"/>
                <w:lang w:val="en-US" w:eastAsia="zh-CN"/>
              </w:rPr>
              <w:t xml:space="preserve"> </w:t>
            </w:r>
            <w:r>
              <w:t xml:space="preserve"> </w:t>
            </w:r>
            <w:r>
              <w:rPr>
                <w:rFonts w:hint="eastAsia"/>
              </w:rPr>
              <w:t>本项目与《新疆维吾尔自治区大气污染防治条例》符合性分析表</w:t>
            </w:r>
          </w:p>
          <w:tbl>
            <w:tblPr>
              <w:tblStyle w:val="129"/>
              <w:tblW w:w="6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91"/>
              <w:gridCol w:w="3690"/>
              <w:gridCol w:w="1828"/>
              <w:gridCol w:w="794"/>
            </w:tblGrid>
            <w:tr w14:paraId="2644D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jc w:val="center"/>
              </w:trPr>
              <w:tc>
                <w:tcPr>
                  <w:tcW w:w="491" w:type="dxa"/>
                  <w:tcBorders>
                    <w:tl2br w:val="nil"/>
                    <w:tr2bl w:val="nil"/>
                  </w:tcBorders>
                  <w:vAlign w:val="center"/>
                </w:tcPr>
                <w:p w14:paraId="13782D5E">
                  <w:pPr>
                    <w:pStyle w:val="51"/>
                    <w:bidi w:val="0"/>
                  </w:pPr>
                  <w:r>
                    <w:t>序号</w:t>
                  </w:r>
                </w:p>
              </w:tc>
              <w:tc>
                <w:tcPr>
                  <w:tcW w:w="3690" w:type="dxa"/>
                  <w:tcBorders>
                    <w:tl2br w:val="nil"/>
                    <w:tr2bl w:val="nil"/>
                  </w:tcBorders>
                  <w:vAlign w:val="center"/>
                </w:tcPr>
                <w:p w14:paraId="2C658465">
                  <w:pPr>
                    <w:pStyle w:val="51"/>
                    <w:bidi w:val="0"/>
                  </w:pPr>
                  <w:r>
                    <w:rPr>
                      <w:rFonts w:hint="eastAsia"/>
                    </w:rPr>
                    <w:t>文件要求</w:t>
                  </w:r>
                </w:p>
              </w:tc>
              <w:tc>
                <w:tcPr>
                  <w:tcW w:w="1828" w:type="dxa"/>
                  <w:tcBorders>
                    <w:tl2br w:val="nil"/>
                    <w:tr2bl w:val="nil"/>
                  </w:tcBorders>
                  <w:vAlign w:val="center"/>
                </w:tcPr>
                <w:p w14:paraId="3B797174">
                  <w:pPr>
                    <w:pStyle w:val="51"/>
                    <w:bidi w:val="0"/>
                  </w:pPr>
                  <w:r>
                    <w:t>本工程相关内容</w:t>
                  </w:r>
                </w:p>
              </w:tc>
              <w:tc>
                <w:tcPr>
                  <w:tcW w:w="794" w:type="dxa"/>
                  <w:tcBorders>
                    <w:tl2br w:val="nil"/>
                    <w:tr2bl w:val="nil"/>
                  </w:tcBorders>
                  <w:vAlign w:val="center"/>
                </w:tcPr>
                <w:p w14:paraId="55750BFB">
                  <w:pPr>
                    <w:pStyle w:val="51"/>
                    <w:bidi w:val="0"/>
                  </w:pPr>
                  <w:r>
                    <w:t>符合性</w:t>
                  </w:r>
                </w:p>
                <w:p w14:paraId="3648640F">
                  <w:pPr>
                    <w:pStyle w:val="51"/>
                    <w:bidi w:val="0"/>
                  </w:pPr>
                  <w:r>
                    <w:t>分析</w:t>
                  </w:r>
                </w:p>
              </w:tc>
            </w:tr>
            <w:tr w14:paraId="3D3B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jc w:val="center"/>
              </w:trPr>
              <w:tc>
                <w:tcPr>
                  <w:tcW w:w="491" w:type="dxa"/>
                  <w:tcBorders>
                    <w:tl2br w:val="nil"/>
                    <w:tr2bl w:val="nil"/>
                  </w:tcBorders>
                  <w:vAlign w:val="center"/>
                </w:tcPr>
                <w:p w14:paraId="1B9171BF">
                  <w:pPr>
                    <w:pStyle w:val="51"/>
                    <w:bidi w:val="0"/>
                    <w:rPr>
                      <w:lang w:val="zh-CN"/>
                    </w:rPr>
                  </w:pPr>
                  <w:r>
                    <w:t>1</w:t>
                  </w:r>
                </w:p>
              </w:tc>
              <w:tc>
                <w:tcPr>
                  <w:tcW w:w="3690" w:type="dxa"/>
                  <w:tcBorders>
                    <w:tl2br w:val="nil"/>
                    <w:tr2bl w:val="nil"/>
                  </w:tcBorders>
                  <w:vAlign w:val="center"/>
                </w:tcPr>
                <w:p w14:paraId="36F82E92">
                  <w:pPr>
                    <w:pStyle w:val="51"/>
                    <w:bidi w:val="0"/>
                  </w:pPr>
                  <w:r>
                    <w:rPr>
                      <w:rFonts w:hint="eastAsia"/>
                    </w:rPr>
                    <w:t>禁止新建、改建、扩建列入淘汰类目录的高污染工业项目。禁止使用列入淘汰类目录的工艺、设备、产品。</w:t>
                  </w:r>
                </w:p>
              </w:tc>
              <w:tc>
                <w:tcPr>
                  <w:tcW w:w="1828" w:type="dxa"/>
                  <w:tcBorders>
                    <w:tl2br w:val="nil"/>
                    <w:tr2bl w:val="nil"/>
                  </w:tcBorders>
                  <w:vAlign w:val="center"/>
                </w:tcPr>
                <w:p w14:paraId="6BAE082A">
                  <w:pPr>
                    <w:pStyle w:val="51"/>
                    <w:bidi w:val="0"/>
                  </w:pPr>
                  <w:r>
                    <w:rPr>
                      <w:rFonts w:hint="eastAsia"/>
                    </w:rPr>
                    <w:t>本项目不属于淘汰类和限制类，本工程为允许类，符合国家产业政策。未使用列入淘汰类目录的工艺、设备、产品。</w:t>
                  </w:r>
                </w:p>
              </w:tc>
              <w:tc>
                <w:tcPr>
                  <w:tcW w:w="794" w:type="dxa"/>
                  <w:tcBorders>
                    <w:tl2br w:val="nil"/>
                    <w:tr2bl w:val="nil"/>
                  </w:tcBorders>
                  <w:vAlign w:val="center"/>
                </w:tcPr>
                <w:p w14:paraId="78F6D8D9">
                  <w:pPr>
                    <w:pStyle w:val="51"/>
                    <w:bidi w:val="0"/>
                  </w:pPr>
                  <w:r>
                    <w:rPr>
                      <w:rFonts w:hint="eastAsia"/>
                    </w:rPr>
                    <w:t>符合</w:t>
                  </w:r>
                </w:p>
              </w:tc>
            </w:tr>
            <w:tr w14:paraId="65C7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jc w:val="center"/>
              </w:trPr>
              <w:tc>
                <w:tcPr>
                  <w:tcW w:w="491" w:type="dxa"/>
                  <w:tcBorders>
                    <w:tl2br w:val="nil"/>
                    <w:tr2bl w:val="nil"/>
                  </w:tcBorders>
                  <w:vAlign w:val="center"/>
                </w:tcPr>
                <w:p w14:paraId="374A8632">
                  <w:pPr>
                    <w:pStyle w:val="51"/>
                    <w:bidi w:val="0"/>
                    <w:rPr>
                      <w:lang w:val="zh-CN"/>
                    </w:rPr>
                  </w:pPr>
                  <w:r>
                    <w:t>2</w:t>
                  </w:r>
                </w:p>
              </w:tc>
              <w:tc>
                <w:tcPr>
                  <w:tcW w:w="3690" w:type="dxa"/>
                  <w:tcBorders>
                    <w:tl2br w:val="nil"/>
                    <w:tr2bl w:val="nil"/>
                  </w:tcBorders>
                  <w:vAlign w:val="center"/>
                </w:tcPr>
                <w:p w14:paraId="186F41A0">
                  <w:pPr>
                    <w:pStyle w:val="51"/>
                    <w:bidi w:val="0"/>
                    <w:rPr>
                      <w:color w:val="auto"/>
                    </w:rPr>
                  </w:pPr>
                  <w:r>
                    <w:rPr>
                      <w:rFonts w:hint="eastAsia"/>
                      <w:color w:val="auto"/>
                    </w:rPr>
                    <w:t>贮存易产生扬尘的煤炭、煤矸石、煤渣、煤灰、水泥、石灰、石膏、砂土等物料的堆场应当密闭；不能密闭的，贮存单位或者个人应当采取下列防尘措施：</w:t>
                  </w:r>
                </w:p>
                <w:p w14:paraId="39B751E8">
                  <w:pPr>
                    <w:pStyle w:val="51"/>
                    <w:bidi w:val="0"/>
                    <w:rPr>
                      <w:color w:val="auto"/>
                    </w:rPr>
                  </w:pPr>
                  <w:r>
                    <w:rPr>
                      <w:rFonts w:hint="eastAsia"/>
                      <w:color w:val="auto"/>
                    </w:rPr>
                    <w:t>（一）堆场的场坪、路面应当进行硬化处理，并保持路面整洁；</w:t>
                  </w:r>
                </w:p>
                <w:p w14:paraId="2C7A2988">
                  <w:pPr>
                    <w:pStyle w:val="51"/>
                    <w:bidi w:val="0"/>
                    <w:rPr>
                      <w:color w:val="auto"/>
                    </w:rPr>
                  </w:pPr>
                  <w:r>
                    <w:rPr>
                      <w:rFonts w:hint="eastAsia"/>
                      <w:color w:val="auto"/>
                    </w:rPr>
                    <w:t>（二）堆场周边应当配备高于堆存物料的围挡、防风抑尘网等设施；</w:t>
                  </w:r>
                </w:p>
                <w:p w14:paraId="78B6AB57">
                  <w:pPr>
                    <w:pStyle w:val="51"/>
                    <w:bidi w:val="0"/>
                    <w:rPr>
                      <w:color w:val="auto"/>
                    </w:rPr>
                  </w:pPr>
                  <w:r>
                    <w:rPr>
                      <w:rFonts w:hint="eastAsia"/>
                      <w:color w:val="auto"/>
                    </w:rPr>
                    <w:t>（三）按照物料类别采取相应的覆盖、喷淋和围挡等防风抑尘措施。</w:t>
                  </w:r>
                </w:p>
                <w:p w14:paraId="66AABE40">
                  <w:pPr>
                    <w:pStyle w:val="51"/>
                    <w:bidi w:val="0"/>
                    <w:rPr>
                      <w:color w:val="auto"/>
                    </w:rPr>
                  </w:pPr>
                  <w:r>
                    <w:rPr>
                      <w:rFonts w:hint="eastAsia"/>
                      <w:color w:val="auto"/>
                    </w:rPr>
                    <w:t>露天装卸物料应当采取密闭或者喷淋等抑尘措施；输送的物料应当在装料、卸料处配备吸尘、喷淋等防尘设施。</w:t>
                  </w:r>
                </w:p>
              </w:tc>
              <w:tc>
                <w:tcPr>
                  <w:tcW w:w="1828" w:type="dxa"/>
                  <w:tcBorders>
                    <w:tl2br w:val="nil"/>
                    <w:tr2bl w:val="nil"/>
                  </w:tcBorders>
                  <w:vAlign w:val="center"/>
                </w:tcPr>
                <w:p w14:paraId="72FAB87B">
                  <w:pPr>
                    <w:pStyle w:val="51"/>
                    <w:bidi w:val="0"/>
                    <w:rPr>
                      <w:color w:val="auto"/>
                    </w:rPr>
                  </w:pPr>
                  <w:r>
                    <w:rPr>
                      <w:rFonts w:hint="eastAsia"/>
                      <w:color w:val="auto"/>
                    </w:rPr>
                    <w:t>项目原料及产品库均采用全封闭结构。</w:t>
                  </w:r>
                </w:p>
              </w:tc>
              <w:tc>
                <w:tcPr>
                  <w:tcW w:w="794" w:type="dxa"/>
                  <w:tcBorders>
                    <w:tl2br w:val="nil"/>
                    <w:tr2bl w:val="nil"/>
                  </w:tcBorders>
                  <w:vAlign w:val="center"/>
                </w:tcPr>
                <w:p w14:paraId="39248A66">
                  <w:pPr>
                    <w:pStyle w:val="51"/>
                    <w:bidi w:val="0"/>
                  </w:pPr>
                  <w:r>
                    <w:rPr>
                      <w:rFonts w:hint="eastAsia"/>
                    </w:rPr>
                    <w:t>符合</w:t>
                  </w:r>
                </w:p>
              </w:tc>
            </w:tr>
          </w:tbl>
          <w:p w14:paraId="4FDE1FF2">
            <w:pPr>
              <w:pStyle w:val="5"/>
              <w:bidi w:val="0"/>
            </w:pPr>
            <w:r>
              <w:rPr>
                <w:rFonts w:hint="eastAsia"/>
                <w:lang w:val="en-US" w:eastAsia="zh-CN"/>
              </w:rPr>
              <w:t>2</w:t>
            </w:r>
            <w:r>
              <w:rPr>
                <w:rFonts w:hint="eastAsia"/>
              </w:rPr>
              <w:t>与《新疆维吾尔自治区坎儿井保护条例》符合性分析</w:t>
            </w:r>
          </w:p>
          <w:p w14:paraId="70945B3A">
            <w:pPr>
              <w:pStyle w:val="38"/>
              <w:bidi w:val="0"/>
            </w:pPr>
            <w:r>
              <w:rPr>
                <w:rFonts w:hint="eastAsia"/>
              </w:rPr>
              <w:t>项目建设符合《新疆维吾尔自治区坎儿井保护条例》中的相关要求，具体分析见表</w:t>
            </w:r>
            <w:r>
              <w:rPr>
                <w:rFonts w:hint="eastAsia"/>
                <w:lang w:val="en-US" w:eastAsia="zh-CN"/>
              </w:rPr>
              <w:t>1-7</w:t>
            </w:r>
            <w:r>
              <w:rPr>
                <w:rFonts w:hint="eastAsia"/>
              </w:rPr>
              <w:t>。</w:t>
            </w:r>
          </w:p>
          <w:p w14:paraId="5BF1E92A">
            <w:pPr>
              <w:pStyle w:val="46"/>
              <w:bidi w:val="0"/>
            </w:pPr>
            <w:r>
              <w:rPr>
                <w:rFonts w:hint="eastAsia"/>
              </w:rPr>
              <w:t>表</w:t>
            </w:r>
            <w:r>
              <w:rPr>
                <w:rFonts w:hint="eastAsia"/>
                <w:lang w:val="en-US" w:eastAsia="zh-CN"/>
              </w:rPr>
              <w:t xml:space="preserve">1-7 </w:t>
            </w:r>
            <w:r>
              <w:t xml:space="preserve">  </w:t>
            </w:r>
            <w:r>
              <w:rPr>
                <w:rFonts w:hint="eastAsia"/>
              </w:rPr>
              <w:t>本项目与《新疆维吾尔自治区坎儿井保护条例》符合性分析表</w:t>
            </w:r>
          </w:p>
          <w:tbl>
            <w:tblPr>
              <w:tblStyle w:val="129"/>
              <w:tblW w:w="6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91"/>
              <w:gridCol w:w="3053"/>
              <w:gridCol w:w="2529"/>
              <w:gridCol w:w="730"/>
            </w:tblGrid>
            <w:tr w14:paraId="6A9B6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jc w:val="center"/>
              </w:trPr>
              <w:tc>
                <w:tcPr>
                  <w:tcW w:w="491" w:type="dxa"/>
                  <w:tcBorders>
                    <w:tl2br w:val="nil"/>
                    <w:tr2bl w:val="nil"/>
                  </w:tcBorders>
                  <w:vAlign w:val="center"/>
                </w:tcPr>
                <w:p w14:paraId="6E8801FA">
                  <w:pPr>
                    <w:pStyle w:val="51"/>
                    <w:bidi w:val="0"/>
                  </w:pPr>
                  <w:r>
                    <w:t>序号</w:t>
                  </w:r>
                </w:p>
              </w:tc>
              <w:tc>
                <w:tcPr>
                  <w:tcW w:w="3053" w:type="dxa"/>
                  <w:tcBorders>
                    <w:tl2br w:val="nil"/>
                    <w:tr2bl w:val="nil"/>
                  </w:tcBorders>
                  <w:vAlign w:val="center"/>
                </w:tcPr>
                <w:p w14:paraId="36658D4F">
                  <w:pPr>
                    <w:pStyle w:val="51"/>
                    <w:bidi w:val="0"/>
                  </w:pPr>
                  <w:r>
                    <w:rPr>
                      <w:rFonts w:hint="eastAsia"/>
                    </w:rPr>
                    <w:t>条例要求</w:t>
                  </w:r>
                </w:p>
              </w:tc>
              <w:tc>
                <w:tcPr>
                  <w:tcW w:w="2529" w:type="dxa"/>
                  <w:tcBorders>
                    <w:tl2br w:val="nil"/>
                    <w:tr2bl w:val="nil"/>
                  </w:tcBorders>
                  <w:vAlign w:val="center"/>
                </w:tcPr>
                <w:p w14:paraId="22A569B5">
                  <w:pPr>
                    <w:pStyle w:val="51"/>
                    <w:bidi w:val="0"/>
                  </w:pPr>
                  <w:r>
                    <w:t>本工程相关内容</w:t>
                  </w:r>
                </w:p>
              </w:tc>
              <w:tc>
                <w:tcPr>
                  <w:tcW w:w="730" w:type="dxa"/>
                  <w:tcBorders>
                    <w:tl2br w:val="nil"/>
                    <w:tr2bl w:val="nil"/>
                  </w:tcBorders>
                  <w:vAlign w:val="center"/>
                </w:tcPr>
                <w:p w14:paraId="68CC9776">
                  <w:pPr>
                    <w:pStyle w:val="51"/>
                    <w:bidi w:val="0"/>
                  </w:pPr>
                  <w:r>
                    <w:t>符合性分析</w:t>
                  </w:r>
                </w:p>
              </w:tc>
            </w:tr>
            <w:tr w14:paraId="6DD95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jc w:val="center"/>
              </w:trPr>
              <w:tc>
                <w:tcPr>
                  <w:tcW w:w="491" w:type="dxa"/>
                  <w:tcBorders>
                    <w:tl2br w:val="nil"/>
                    <w:tr2bl w:val="nil"/>
                  </w:tcBorders>
                  <w:vAlign w:val="center"/>
                </w:tcPr>
                <w:p w14:paraId="7A003C7F">
                  <w:pPr>
                    <w:pStyle w:val="51"/>
                    <w:bidi w:val="0"/>
                    <w:rPr>
                      <w:lang w:val="zh-CN"/>
                    </w:rPr>
                  </w:pPr>
                  <w:r>
                    <w:t>1</w:t>
                  </w:r>
                </w:p>
              </w:tc>
              <w:tc>
                <w:tcPr>
                  <w:tcW w:w="3053" w:type="dxa"/>
                  <w:tcBorders>
                    <w:tl2br w:val="nil"/>
                    <w:tr2bl w:val="nil"/>
                  </w:tcBorders>
                  <w:vAlign w:val="center"/>
                </w:tcPr>
                <w:p w14:paraId="3D95D237">
                  <w:pPr>
                    <w:pStyle w:val="51"/>
                    <w:bidi w:val="0"/>
                  </w:pPr>
                  <w:r>
                    <w:t>保护坎儿井的特有景观，不得破坏附属于坎儿井竖井的堆土。</w:t>
                  </w:r>
                </w:p>
              </w:tc>
              <w:tc>
                <w:tcPr>
                  <w:tcW w:w="2529" w:type="dxa"/>
                  <w:tcBorders>
                    <w:tl2br w:val="nil"/>
                    <w:tr2bl w:val="nil"/>
                  </w:tcBorders>
                  <w:vAlign w:val="center"/>
                </w:tcPr>
                <w:p w14:paraId="667BE661">
                  <w:pPr>
                    <w:pStyle w:val="51"/>
                    <w:bidi w:val="0"/>
                  </w:pPr>
                  <w:r>
                    <w:rPr>
                      <w:rFonts w:hint="eastAsia"/>
                    </w:rPr>
                    <w:t>本项目位于</w:t>
                  </w:r>
                  <w:r>
                    <w:rPr>
                      <w:rFonts w:hint="eastAsia"/>
                      <w:lang w:val="en-US" w:eastAsia="zh-CN"/>
                    </w:rPr>
                    <w:t>鄯善县东侧，</w:t>
                  </w:r>
                  <w:r>
                    <w:rPr>
                      <w:rFonts w:hint="eastAsia"/>
                    </w:rPr>
                    <w:t>评价范围内无坎儿井</w:t>
                  </w:r>
                </w:p>
              </w:tc>
              <w:tc>
                <w:tcPr>
                  <w:tcW w:w="730" w:type="dxa"/>
                  <w:tcBorders>
                    <w:tl2br w:val="nil"/>
                    <w:tr2bl w:val="nil"/>
                  </w:tcBorders>
                  <w:vAlign w:val="center"/>
                </w:tcPr>
                <w:p w14:paraId="472C83F3">
                  <w:pPr>
                    <w:pStyle w:val="51"/>
                    <w:bidi w:val="0"/>
                  </w:pPr>
                  <w:r>
                    <w:rPr>
                      <w:rFonts w:hint="eastAsia"/>
                    </w:rPr>
                    <w:t>符合</w:t>
                  </w:r>
                </w:p>
              </w:tc>
            </w:tr>
            <w:tr w14:paraId="3EBFC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jc w:val="center"/>
              </w:trPr>
              <w:tc>
                <w:tcPr>
                  <w:tcW w:w="491" w:type="dxa"/>
                  <w:tcBorders>
                    <w:tl2br w:val="nil"/>
                    <w:tr2bl w:val="nil"/>
                  </w:tcBorders>
                  <w:vAlign w:val="center"/>
                </w:tcPr>
                <w:p w14:paraId="3106661A">
                  <w:pPr>
                    <w:pStyle w:val="51"/>
                    <w:bidi w:val="0"/>
                    <w:rPr>
                      <w:lang w:val="zh-CN"/>
                    </w:rPr>
                  </w:pPr>
                  <w:r>
                    <w:t>2</w:t>
                  </w:r>
                </w:p>
              </w:tc>
              <w:tc>
                <w:tcPr>
                  <w:tcW w:w="3053" w:type="dxa"/>
                  <w:tcBorders>
                    <w:tl2br w:val="nil"/>
                    <w:tr2bl w:val="nil"/>
                  </w:tcBorders>
                  <w:vAlign w:val="center"/>
                </w:tcPr>
                <w:p w14:paraId="7B7BA140">
                  <w:pPr>
                    <w:pStyle w:val="51"/>
                    <w:bidi w:val="0"/>
                  </w:pPr>
                  <w:r>
                    <w:t>禁止向坎儿井水源、明渠、蓄水池倾倒废污水、垃圾等废弃物。</w:t>
                  </w:r>
                </w:p>
              </w:tc>
              <w:tc>
                <w:tcPr>
                  <w:tcW w:w="2529" w:type="dxa"/>
                  <w:tcBorders>
                    <w:tl2br w:val="nil"/>
                    <w:tr2bl w:val="nil"/>
                  </w:tcBorders>
                  <w:vAlign w:val="center"/>
                </w:tcPr>
                <w:p w14:paraId="5A80D251">
                  <w:pPr>
                    <w:pStyle w:val="51"/>
                    <w:bidi w:val="0"/>
                  </w:pPr>
                  <w:r>
                    <w:rPr>
                      <w:rFonts w:hint="eastAsia"/>
                    </w:rPr>
                    <w:t>生活污水、生产废水及各类固体废物均得到妥善处置。</w:t>
                  </w:r>
                </w:p>
              </w:tc>
              <w:tc>
                <w:tcPr>
                  <w:tcW w:w="730" w:type="dxa"/>
                  <w:tcBorders>
                    <w:tl2br w:val="nil"/>
                    <w:tr2bl w:val="nil"/>
                  </w:tcBorders>
                  <w:vAlign w:val="center"/>
                </w:tcPr>
                <w:p w14:paraId="1656B031">
                  <w:pPr>
                    <w:pStyle w:val="51"/>
                    <w:bidi w:val="0"/>
                  </w:pPr>
                  <w:r>
                    <w:rPr>
                      <w:rFonts w:hint="eastAsia"/>
                    </w:rPr>
                    <w:t>符合</w:t>
                  </w:r>
                </w:p>
              </w:tc>
            </w:tr>
            <w:tr w14:paraId="44DB4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jc w:val="center"/>
              </w:trPr>
              <w:tc>
                <w:tcPr>
                  <w:tcW w:w="491" w:type="dxa"/>
                  <w:tcBorders>
                    <w:tl2br w:val="nil"/>
                    <w:tr2bl w:val="nil"/>
                  </w:tcBorders>
                  <w:vAlign w:val="center"/>
                </w:tcPr>
                <w:p w14:paraId="34A7C7CD">
                  <w:pPr>
                    <w:pStyle w:val="51"/>
                    <w:bidi w:val="0"/>
                    <w:rPr>
                      <w:lang w:val="zh-CN"/>
                    </w:rPr>
                  </w:pPr>
                  <w:r>
                    <w:t>3</w:t>
                  </w:r>
                </w:p>
              </w:tc>
              <w:tc>
                <w:tcPr>
                  <w:tcW w:w="3053" w:type="dxa"/>
                  <w:tcBorders>
                    <w:tl2br w:val="nil"/>
                    <w:tr2bl w:val="nil"/>
                  </w:tcBorders>
                  <w:vAlign w:val="center"/>
                </w:tcPr>
                <w:p w14:paraId="57D63260">
                  <w:pPr>
                    <w:pStyle w:val="51"/>
                    <w:bidi w:val="0"/>
                  </w:pPr>
                  <w:r>
                    <w:t>新建、改建、扩建公路、铁路、输油输气管道以及石油、天燃气开采等各类工程，需要穿越、跨越坎儿井的，应当对工程建设期间、运行过程中可能给坎儿井造成的危害进行论证，并制定坎儿井保护方案。</w:t>
                  </w:r>
                </w:p>
              </w:tc>
              <w:tc>
                <w:tcPr>
                  <w:tcW w:w="2529" w:type="dxa"/>
                  <w:tcBorders>
                    <w:tl2br w:val="nil"/>
                    <w:tr2bl w:val="nil"/>
                  </w:tcBorders>
                  <w:vAlign w:val="center"/>
                </w:tcPr>
                <w:p w14:paraId="4AC7C277">
                  <w:pPr>
                    <w:pStyle w:val="51"/>
                    <w:bidi w:val="0"/>
                  </w:pPr>
                  <w:r>
                    <w:rPr>
                      <w:rFonts w:hint="eastAsia"/>
                    </w:rPr>
                    <w:t>本项目位于</w:t>
                  </w:r>
                  <w:r>
                    <w:rPr>
                      <w:rFonts w:hint="eastAsia"/>
                      <w:lang w:val="en-US" w:eastAsia="zh-CN"/>
                    </w:rPr>
                    <w:t>鄯善县东侧</w:t>
                  </w:r>
                  <w:r>
                    <w:rPr>
                      <w:rFonts w:hint="eastAsia"/>
                    </w:rPr>
                    <w:t>，地下水评价范围内无坎儿井</w:t>
                  </w:r>
                </w:p>
              </w:tc>
              <w:tc>
                <w:tcPr>
                  <w:tcW w:w="730" w:type="dxa"/>
                  <w:tcBorders>
                    <w:tl2br w:val="nil"/>
                    <w:tr2bl w:val="nil"/>
                  </w:tcBorders>
                  <w:vAlign w:val="center"/>
                </w:tcPr>
                <w:p w14:paraId="2BF7CCCE">
                  <w:pPr>
                    <w:pStyle w:val="51"/>
                    <w:bidi w:val="0"/>
                  </w:pPr>
                  <w:r>
                    <w:rPr>
                      <w:rFonts w:hint="eastAsia"/>
                    </w:rPr>
                    <w:t>符合</w:t>
                  </w:r>
                </w:p>
              </w:tc>
            </w:tr>
            <w:tr w14:paraId="2D3C4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jc w:val="center"/>
              </w:trPr>
              <w:tc>
                <w:tcPr>
                  <w:tcW w:w="491" w:type="dxa"/>
                  <w:tcBorders>
                    <w:tl2br w:val="nil"/>
                    <w:tr2bl w:val="nil"/>
                  </w:tcBorders>
                  <w:vAlign w:val="center"/>
                </w:tcPr>
                <w:p w14:paraId="7003C4B6">
                  <w:pPr>
                    <w:pStyle w:val="51"/>
                    <w:bidi w:val="0"/>
                  </w:pPr>
                  <w:r>
                    <w:rPr>
                      <w:rFonts w:hint="eastAsia"/>
                    </w:rPr>
                    <w:t>4</w:t>
                  </w:r>
                </w:p>
              </w:tc>
              <w:tc>
                <w:tcPr>
                  <w:tcW w:w="3053" w:type="dxa"/>
                  <w:tcBorders>
                    <w:tl2br w:val="nil"/>
                    <w:tr2bl w:val="nil"/>
                  </w:tcBorders>
                  <w:vAlign w:val="center"/>
                </w:tcPr>
                <w:p w14:paraId="4B337042">
                  <w:pPr>
                    <w:pStyle w:val="51"/>
                    <w:bidi w:val="0"/>
                  </w:pPr>
                  <w:r>
                    <w:t>在坎儿井周围从事爆破、勘探、开采等活动的，应当事先告知邻近的坎儿井所有者，并采取有效措施，防止对坎儿井造成破坏。</w:t>
                  </w:r>
                </w:p>
              </w:tc>
              <w:tc>
                <w:tcPr>
                  <w:tcW w:w="2529" w:type="dxa"/>
                  <w:tcBorders>
                    <w:tl2br w:val="nil"/>
                    <w:tr2bl w:val="nil"/>
                  </w:tcBorders>
                  <w:vAlign w:val="center"/>
                </w:tcPr>
                <w:p w14:paraId="74DF5633">
                  <w:pPr>
                    <w:pStyle w:val="51"/>
                    <w:bidi w:val="0"/>
                  </w:pPr>
                  <w:r>
                    <w:rPr>
                      <w:rFonts w:hint="eastAsia"/>
                    </w:rPr>
                    <w:t>评价范围内无坎儿井，且项目不进行爆破、勘探及开采等活动</w:t>
                  </w:r>
                </w:p>
              </w:tc>
              <w:tc>
                <w:tcPr>
                  <w:tcW w:w="730" w:type="dxa"/>
                  <w:tcBorders>
                    <w:tl2br w:val="nil"/>
                    <w:tr2bl w:val="nil"/>
                  </w:tcBorders>
                  <w:vAlign w:val="center"/>
                </w:tcPr>
                <w:p w14:paraId="3C69FEA8">
                  <w:pPr>
                    <w:pStyle w:val="51"/>
                    <w:bidi w:val="0"/>
                  </w:pPr>
                  <w:r>
                    <w:rPr>
                      <w:rFonts w:hint="eastAsia"/>
                    </w:rPr>
                    <w:t>符合</w:t>
                  </w:r>
                </w:p>
              </w:tc>
            </w:tr>
            <w:tr w14:paraId="138E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jc w:val="center"/>
              </w:trPr>
              <w:tc>
                <w:tcPr>
                  <w:tcW w:w="491" w:type="dxa"/>
                  <w:tcBorders>
                    <w:tl2br w:val="nil"/>
                    <w:tr2bl w:val="nil"/>
                  </w:tcBorders>
                  <w:vAlign w:val="center"/>
                </w:tcPr>
                <w:p w14:paraId="3DFE5CD4">
                  <w:pPr>
                    <w:pStyle w:val="51"/>
                    <w:bidi w:val="0"/>
                  </w:pPr>
                  <w:r>
                    <w:rPr>
                      <w:rFonts w:hint="eastAsia"/>
                    </w:rPr>
                    <w:t>5</w:t>
                  </w:r>
                </w:p>
              </w:tc>
              <w:tc>
                <w:tcPr>
                  <w:tcW w:w="3053" w:type="dxa"/>
                  <w:tcBorders>
                    <w:tl2br w:val="nil"/>
                    <w:tr2bl w:val="nil"/>
                  </w:tcBorders>
                  <w:vAlign w:val="center"/>
                </w:tcPr>
                <w:p w14:paraId="1A6233E1">
                  <w:pPr>
                    <w:pStyle w:val="51"/>
                    <w:bidi w:val="0"/>
                  </w:pPr>
                  <w:r>
                    <w:t>使用个人所有的坎儿井的水，应当经坎儿井所有者同意，并签订用水协议。</w:t>
                  </w:r>
                </w:p>
              </w:tc>
              <w:tc>
                <w:tcPr>
                  <w:tcW w:w="2529" w:type="dxa"/>
                  <w:tcBorders>
                    <w:tl2br w:val="nil"/>
                    <w:tr2bl w:val="nil"/>
                  </w:tcBorders>
                  <w:vAlign w:val="center"/>
                </w:tcPr>
                <w:p w14:paraId="101833ED">
                  <w:pPr>
                    <w:pStyle w:val="51"/>
                    <w:bidi w:val="0"/>
                  </w:pPr>
                  <w:r>
                    <w:rPr>
                      <w:rFonts w:hint="eastAsia"/>
                    </w:rPr>
                    <w:t>项目用水由</w:t>
                  </w:r>
                  <w:r>
                    <w:rPr>
                      <w:rFonts w:hint="eastAsia"/>
                      <w:lang w:val="en-US" w:eastAsia="zh-CN"/>
                    </w:rPr>
                    <w:t>市政供水管网</w:t>
                  </w:r>
                  <w:r>
                    <w:rPr>
                      <w:rFonts w:hint="eastAsia"/>
                    </w:rPr>
                    <w:t>供给，不使用坎儿井的水</w:t>
                  </w:r>
                </w:p>
              </w:tc>
              <w:tc>
                <w:tcPr>
                  <w:tcW w:w="730" w:type="dxa"/>
                  <w:tcBorders>
                    <w:tl2br w:val="nil"/>
                    <w:tr2bl w:val="nil"/>
                  </w:tcBorders>
                  <w:vAlign w:val="center"/>
                </w:tcPr>
                <w:p w14:paraId="543D55DA">
                  <w:pPr>
                    <w:pStyle w:val="51"/>
                    <w:bidi w:val="0"/>
                  </w:pPr>
                  <w:r>
                    <w:rPr>
                      <w:rFonts w:hint="eastAsia"/>
                    </w:rPr>
                    <w:t>符合</w:t>
                  </w:r>
                </w:p>
              </w:tc>
            </w:tr>
          </w:tbl>
          <w:p w14:paraId="7AF0E843">
            <w:pPr>
              <w:pStyle w:val="5"/>
              <w:bidi w:val="0"/>
            </w:pPr>
            <w:r>
              <w:rPr>
                <w:rFonts w:hint="eastAsia"/>
                <w:lang w:val="en-US" w:eastAsia="zh-CN"/>
              </w:rPr>
              <w:t>3</w:t>
            </w:r>
            <w:r>
              <w:rPr>
                <w:rFonts w:hint="eastAsia"/>
              </w:rPr>
              <w:t>与《关于深入打好污染防治攻坚战的实施方案》符合性分析</w:t>
            </w:r>
          </w:p>
          <w:p w14:paraId="0BC7F3E6">
            <w:pPr>
              <w:pStyle w:val="41"/>
              <w:bidi w:val="0"/>
            </w:pPr>
            <w:bookmarkStart w:id="26" w:name="_Hlk151720544"/>
            <w:r>
              <w:rPr>
                <w:rFonts w:hint="eastAsia"/>
              </w:rPr>
              <w:t>项目建设符合《关于深入打好污染防治攻坚战的实施方案》中的相关要求，具体分析见表</w:t>
            </w:r>
            <w:r>
              <w:rPr>
                <w:rFonts w:hint="eastAsia"/>
                <w:lang w:val="en-US" w:eastAsia="zh-CN"/>
              </w:rPr>
              <w:t>1-8</w:t>
            </w:r>
            <w:r>
              <w:rPr>
                <w:rFonts w:hint="eastAsia"/>
              </w:rPr>
              <w:t>。</w:t>
            </w:r>
          </w:p>
          <w:p w14:paraId="49C2C197">
            <w:pPr>
              <w:pStyle w:val="46"/>
              <w:bidi w:val="0"/>
            </w:pPr>
            <w:bookmarkStart w:id="27" w:name="_Hlk150727505"/>
            <w:r>
              <w:rPr>
                <w:rFonts w:hint="eastAsia"/>
              </w:rPr>
              <w:t>表</w:t>
            </w:r>
            <w:r>
              <w:rPr>
                <w:rFonts w:hint="eastAsia"/>
                <w:lang w:val="en-US" w:eastAsia="zh-CN"/>
              </w:rPr>
              <w:t>1-8</w:t>
            </w:r>
            <w:r>
              <w:t xml:space="preserve"> </w:t>
            </w:r>
            <w:r>
              <w:rPr>
                <w:rFonts w:hint="eastAsia"/>
                <w:lang w:val="en-US" w:eastAsia="zh-CN"/>
              </w:rPr>
              <w:t xml:space="preserve"> </w:t>
            </w:r>
            <w:r>
              <w:t xml:space="preserve"> </w:t>
            </w:r>
            <w:r>
              <w:rPr>
                <w:rFonts w:hint="eastAsia"/>
              </w:rPr>
              <w:t>与《关于深入打好污染防治攻坚战的实施方案》符合性分析表</w:t>
            </w:r>
          </w:p>
          <w:tbl>
            <w:tblPr>
              <w:tblStyle w:val="129"/>
              <w:tblW w:w="680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492"/>
              <w:gridCol w:w="3693"/>
              <w:gridCol w:w="1824"/>
              <w:gridCol w:w="794"/>
            </w:tblGrid>
            <w:tr w14:paraId="5F7792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7" w:hRule="atLeast"/>
                <w:jc w:val="center"/>
              </w:trPr>
              <w:tc>
                <w:tcPr>
                  <w:tcW w:w="623" w:type="dxa"/>
                  <w:tcBorders>
                    <w:tl2br w:val="nil"/>
                    <w:tr2bl w:val="nil"/>
                  </w:tcBorders>
                  <w:vAlign w:val="center"/>
                </w:tcPr>
                <w:p w14:paraId="3B3C6423">
                  <w:pPr>
                    <w:pStyle w:val="51"/>
                    <w:bidi w:val="0"/>
                  </w:pPr>
                  <w:r>
                    <w:t>序号</w:t>
                  </w:r>
                </w:p>
              </w:tc>
              <w:tc>
                <w:tcPr>
                  <w:tcW w:w="4797" w:type="dxa"/>
                  <w:tcBorders>
                    <w:tl2br w:val="nil"/>
                    <w:tr2bl w:val="nil"/>
                  </w:tcBorders>
                  <w:vAlign w:val="center"/>
                </w:tcPr>
                <w:p w14:paraId="35743DDE">
                  <w:pPr>
                    <w:pStyle w:val="51"/>
                    <w:bidi w:val="0"/>
                  </w:pPr>
                  <w:r>
                    <w:rPr>
                      <w:rFonts w:hint="eastAsia"/>
                    </w:rPr>
                    <w:t>方案要求</w:t>
                  </w:r>
                </w:p>
              </w:tc>
              <w:tc>
                <w:tcPr>
                  <w:tcW w:w="2360" w:type="dxa"/>
                  <w:tcBorders>
                    <w:tl2br w:val="nil"/>
                    <w:tr2bl w:val="nil"/>
                  </w:tcBorders>
                  <w:vAlign w:val="center"/>
                </w:tcPr>
                <w:p w14:paraId="23B10B5F">
                  <w:pPr>
                    <w:pStyle w:val="51"/>
                    <w:bidi w:val="0"/>
                  </w:pPr>
                  <w:r>
                    <w:t>本工程相关内容</w:t>
                  </w:r>
                </w:p>
              </w:tc>
              <w:tc>
                <w:tcPr>
                  <w:tcW w:w="1017" w:type="dxa"/>
                  <w:tcBorders>
                    <w:tl2br w:val="nil"/>
                    <w:tr2bl w:val="nil"/>
                  </w:tcBorders>
                  <w:vAlign w:val="center"/>
                </w:tcPr>
                <w:p w14:paraId="287F080B">
                  <w:pPr>
                    <w:pStyle w:val="51"/>
                    <w:bidi w:val="0"/>
                  </w:pPr>
                  <w:r>
                    <w:t>符合性</w:t>
                  </w:r>
                </w:p>
                <w:p w14:paraId="432DBE14">
                  <w:pPr>
                    <w:pStyle w:val="51"/>
                    <w:bidi w:val="0"/>
                  </w:pPr>
                  <w:r>
                    <w:t>分析</w:t>
                  </w:r>
                </w:p>
              </w:tc>
            </w:tr>
            <w:tr w14:paraId="5400FE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7" w:hRule="atLeast"/>
                <w:jc w:val="center"/>
              </w:trPr>
              <w:tc>
                <w:tcPr>
                  <w:tcW w:w="623" w:type="dxa"/>
                  <w:tcBorders>
                    <w:tl2br w:val="nil"/>
                    <w:tr2bl w:val="nil"/>
                  </w:tcBorders>
                  <w:vAlign w:val="center"/>
                </w:tcPr>
                <w:p w14:paraId="734BFE6D">
                  <w:pPr>
                    <w:pStyle w:val="51"/>
                    <w:bidi w:val="0"/>
                  </w:pPr>
                  <w:r>
                    <w:t>1</w:t>
                  </w:r>
                </w:p>
              </w:tc>
              <w:tc>
                <w:tcPr>
                  <w:tcW w:w="4797" w:type="dxa"/>
                  <w:tcBorders>
                    <w:tl2br w:val="nil"/>
                    <w:tr2bl w:val="nil"/>
                  </w:tcBorders>
                  <w:vAlign w:val="center"/>
                </w:tcPr>
                <w:p w14:paraId="4708A0F7">
                  <w:pPr>
                    <w:pStyle w:val="51"/>
                    <w:bidi w:val="0"/>
                  </w:pPr>
                  <w:r>
                    <w:rPr>
                      <w:rFonts w:hint="eastAsia"/>
                    </w:rPr>
                    <w:t>壮大清洁能源产业，加快非化石能源发展，实施绿电替代，优化用能结构，到2025年非化石能源消费比重提高到18%左右。</w:t>
                  </w:r>
                </w:p>
              </w:tc>
              <w:tc>
                <w:tcPr>
                  <w:tcW w:w="2360" w:type="dxa"/>
                  <w:tcBorders>
                    <w:tl2br w:val="nil"/>
                    <w:tr2bl w:val="nil"/>
                  </w:tcBorders>
                  <w:vAlign w:val="center"/>
                </w:tcPr>
                <w:p w14:paraId="31B62884">
                  <w:pPr>
                    <w:pStyle w:val="51"/>
                    <w:bidi w:val="0"/>
                  </w:pPr>
                  <w:r>
                    <w:rPr>
                      <w:rFonts w:hint="eastAsia"/>
                    </w:rPr>
                    <w:t>本项目</w:t>
                  </w:r>
                  <w:r>
                    <w:rPr>
                      <w:rFonts w:hint="eastAsia"/>
                      <w:lang w:val="en-US" w:eastAsia="zh-CN"/>
                    </w:rPr>
                    <w:t>主要使用电，不涉及石化能源；</w:t>
                  </w:r>
                </w:p>
              </w:tc>
              <w:tc>
                <w:tcPr>
                  <w:tcW w:w="1017" w:type="dxa"/>
                  <w:tcBorders>
                    <w:tl2br w:val="nil"/>
                    <w:tr2bl w:val="nil"/>
                  </w:tcBorders>
                  <w:vAlign w:val="center"/>
                </w:tcPr>
                <w:p w14:paraId="620866D5">
                  <w:pPr>
                    <w:pStyle w:val="51"/>
                    <w:bidi w:val="0"/>
                  </w:pPr>
                  <w:r>
                    <w:rPr>
                      <w:rFonts w:hint="eastAsia"/>
                    </w:rPr>
                    <w:t>符合</w:t>
                  </w:r>
                </w:p>
              </w:tc>
            </w:tr>
            <w:tr w14:paraId="7ECB9C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7" w:hRule="atLeast"/>
                <w:jc w:val="center"/>
              </w:trPr>
              <w:tc>
                <w:tcPr>
                  <w:tcW w:w="623" w:type="dxa"/>
                  <w:tcBorders>
                    <w:tl2br w:val="nil"/>
                    <w:tr2bl w:val="nil"/>
                  </w:tcBorders>
                  <w:vAlign w:val="center"/>
                </w:tcPr>
                <w:p w14:paraId="40A06349">
                  <w:pPr>
                    <w:pStyle w:val="51"/>
                    <w:bidi w:val="0"/>
                  </w:pPr>
                  <w:r>
                    <w:t>2</w:t>
                  </w:r>
                </w:p>
              </w:tc>
              <w:tc>
                <w:tcPr>
                  <w:tcW w:w="4797" w:type="dxa"/>
                  <w:tcBorders>
                    <w:tl2br w:val="nil"/>
                    <w:tr2bl w:val="nil"/>
                  </w:tcBorders>
                  <w:vAlign w:val="center"/>
                </w:tcPr>
                <w:p w14:paraId="07494314">
                  <w:pPr>
                    <w:pStyle w:val="51"/>
                    <w:bidi w:val="0"/>
                  </w:pPr>
                  <w:r>
                    <w:rPr>
                      <w:rFonts w:hint="eastAsia"/>
                    </w:rPr>
                    <w:t>大气污染防治重点区域严禁新增钢铁、水泥熟料、平板玻璃、煤化工产能，严控新增炼油产能，其他地区钢铁、水泥熟料、平板玻璃、炼油、电解铝等新建、扩建项目严格实施产能等量或减量置换要求。</w:t>
                  </w:r>
                </w:p>
              </w:tc>
              <w:tc>
                <w:tcPr>
                  <w:tcW w:w="2360" w:type="dxa"/>
                  <w:tcBorders>
                    <w:tl2br w:val="nil"/>
                    <w:tr2bl w:val="nil"/>
                  </w:tcBorders>
                  <w:vAlign w:val="center"/>
                </w:tcPr>
                <w:p w14:paraId="5523856E">
                  <w:pPr>
                    <w:pStyle w:val="51"/>
                    <w:bidi w:val="0"/>
                  </w:pPr>
                  <w:r>
                    <w:rPr>
                      <w:rFonts w:hint="eastAsia"/>
                    </w:rPr>
                    <w:t>本项目</w:t>
                  </w:r>
                  <w:r>
                    <w:rPr>
                      <w:rFonts w:hint="eastAsia"/>
                      <w:lang w:val="en-US" w:eastAsia="zh-CN"/>
                    </w:rPr>
                    <w:t>再生资质的回收利用</w:t>
                  </w:r>
                  <w:r>
                    <w:rPr>
                      <w:rFonts w:hint="eastAsia"/>
                    </w:rPr>
                    <w:t>，不属于严禁、严控行业</w:t>
                  </w:r>
                </w:p>
              </w:tc>
              <w:tc>
                <w:tcPr>
                  <w:tcW w:w="1017" w:type="dxa"/>
                  <w:tcBorders>
                    <w:tl2br w:val="nil"/>
                    <w:tr2bl w:val="nil"/>
                  </w:tcBorders>
                  <w:vAlign w:val="center"/>
                </w:tcPr>
                <w:p w14:paraId="5DE4DB9F">
                  <w:pPr>
                    <w:pStyle w:val="51"/>
                    <w:bidi w:val="0"/>
                  </w:pPr>
                  <w:r>
                    <w:rPr>
                      <w:rFonts w:hint="eastAsia"/>
                    </w:rPr>
                    <w:t>符合</w:t>
                  </w:r>
                </w:p>
              </w:tc>
            </w:tr>
            <w:tr w14:paraId="0C5F6A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7" w:hRule="atLeast"/>
                <w:jc w:val="center"/>
              </w:trPr>
              <w:tc>
                <w:tcPr>
                  <w:tcW w:w="623" w:type="dxa"/>
                  <w:tcBorders>
                    <w:tl2br w:val="nil"/>
                    <w:tr2bl w:val="nil"/>
                  </w:tcBorders>
                  <w:vAlign w:val="center"/>
                </w:tcPr>
                <w:p w14:paraId="6DDB1629">
                  <w:pPr>
                    <w:pStyle w:val="51"/>
                    <w:bidi w:val="0"/>
                  </w:pPr>
                  <w:r>
                    <w:t>3</w:t>
                  </w:r>
                </w:p>
              </w:tc>
              <w:tc>
                <w:tcPr>
                  <w:tcW w:w="4797" w:type="dxa"/>
                  <w:tcBorders>
                    <w:tl2br w:val="nil"/>
                    <w:tr2bl w:val="nil"/>
                  </w:tcBorders>
                  <w:vAlign w:val="center"/>
                </w:tcPr>
                <w:p w14:paraId="1EE18617">
                  <w:pPr>
                    <w:pStyle w:val="51"/>
                    <w:bidi w:val="0"/>
                  </w:pPr>
                  <w:r>
                    <w:rPr>
                      <w:rFonts w:hint="eastAsia"/>
                    </w:rPr>
                    <w:t>持续推进集中供热，充分发挥大型煤电机组供热能力。推进重点行业深度治理，实施全工况脱硫脱硝提标改造，加大无组织排放治理力度，深度开展工业炉窑综合整治</w:t>
                  </w:r>
                </w:p>
              </w:tc>
              <w:tc>
                <w:tcPr>
                  <w:tcW w:w="2360" w:type="dxa"/>
                  <w:tcBorders>
                    <w:tl2br w:val="nil"/>
                    <w:tr2bl w:val="nil"/>
                  </w:tcBorders>
                  <w:vAlign w:val="center"/>
                </w:tcPr>
                <w:p w14:paraId="69ACB60A">
                  <w:pPr>
                    <w:pStyle w:val="51"/>
                    <w:bidi w:val="0"/>
                    <w:rPr>
                      <w:rFonts w:hint="default" w:eastAsia="宋体"/>
                      <w:lang w:val="en-US" w:eastAsia="zh-CN"/>
                    </w:rPr>
                  </w:pPr>
                  <w:r>
                    <w:rPr>
                      <w:rFonts w:hint="eastAsia"/>
                    </w:rPr>
                    <w:t>本项目供热采用</w:t>
                  </w:r>
                  <w:r>
                    <w:rPr>
                      <w:rFonts w:hint="eastAsia"/>
                      <w:lang w:val="en-US" w:eastAsia="zh-CN"/>
                    </w:rPr>
                    <w:t>集中供热</w:t>
                  </w:r>
                </w:p>
              </w:tc>
              <w:tc>
                <w:tcPr>
                  <w:tcW w:w="1017" w:type="dxa"/>
                  <w:tcBorders>
                    <w:tl2br w:val="nil"/>
                    <w:tr2bl w:val="nil"/>
                  </w:tcBorders>
                  <w:vAlign w:val="center"/>
                </w:tcPr>
                <w:p w14:paraId="22F89851">
                  <w:pPr>
                    <w:pStyle w:val="51"/>
                    <w:bidi w:val="0"/>
                  </w:pPr>
                  <w:r>
                    <w:rPr>
                      <w:rFonts w:hint="eastAsia"/>
                    </w:rPr>
                    <w:t>符合</w:t>
                  </w:r>
                </w:p>
              </w:tc>
            </w:tr>
            <w:tr w14:paraId="56279A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7" w:hRule="atLeast"/>
                <w:jc w:val="center"/>
              </w:trPr>
              <w:tc>
                <w:tcPr>
                  <w:tcW w:w="623" w:type="dxa"/>
                  <w:tcBorders>
                    <w:tl2br w:val="nil"/>
                    <w:tr2bl w:val="nil"/>
                  </w:tcBorders>
                  <w:vAlign w:val="center"/>
                </w:tcPr>
                <w:p w14:paraId="12A32104">
                  <w:pPr>
                    <w:pStyle w:val="51"/>
                    <w:bidi w:val="0"/>
                  </w:pPr>
                  <w:r>
                    <w:rPr>
                      <w:rFonts w:hint="eastAsia"/>
                    </w:rPr>
                    <w:t>4</w:t>
                  </w:r>
                </w:p>
              </w:tc>
              <w:tc>
                <w:tcPr>
                  <w:tcW w:w="4797" w:type="dxa"/>
                  <w:tcBorders>
                    <w:tl2br w:val="nil"/>
                    <w:tr2bl w:val="nil"/>
                  </w:tcBorders>
                  <w:vAlign w:val="center"/>
                </w:tcPr>
                <w:p w14:paraId="70376101">
                  <w:pPr>
                    <w:pStyle w:val="51"/>
                    <w:bidi w:val="0"/>
                  </w:pPr>
                  <w:r>
                    <w:rPr>
                      <w:rFonts w:hint="eastAsia"/>
                    </w:rPr>
                    <w:t>实施噪声污染防治行动，畅通噪声污染投诉渠道，加快解决群众关心的突出噪声问题。</w:t>
                  </w:r>
                </w:p>
              </w:tc>
              <w:tc>
                <w:tcPr>
                  <w:tcW w:w="2360" w:type="dxa"/>
                  <w:tcBorders>
                    <w:tl2br w:val="nil"/>
                    <w:tr2bl w:val="nil"/>
                  </w:tcBorders>
                  <w:vAlign w:val="center"/>
                </w:tcPr>
                <w:p w14:paraId="02BEF600">
                  <w:pPr>
                    <w:pStyle w:val="51"/>
                    <w:bidi w:val="0"/>
                  </w:pPr>
                  <w:r>
                    <w:rPr>
                      <w:rFonts w:hint="eastAsia"/>
                    </w:rPr>
                    <w:t>各生产设备采用低噪声设备、基础减振等措施后厂界可实现达标排放</w:t>
                  </w:r>
                </w:p>
              </w:tc>
              <w:tc>
                <w:tcPr>
                  <w:tcW w:w="1017" w:type="dxa"/>
                  <w:tcBorders>
                    <w:tl2br w:val="nil"/>
                    <w:tr2bl w:val="nil"/>
                  </w:tcBorders>
                  <w:vAlign w:val="center"/>
                </w:tcPr>
                <w:p w14:paraId="1216FA32">
                  <w:pPr>
                    <w:pStyle w:val="51"/>
                    <w:bidi w:val="0"/>
                  </w:pPr>
                  <w:r>
                    <w:rPr>
                      <w:rFonts w:hint="eastAsia"/>
                    </w:rPr>
                    <w:t>符合</w:t>
                  </w:r>
                </w:p>
              </w:tc>
            </w:tr>
            <w:bookmarkEnd w:id="26"/>
            <w:bookmarkEnd w:id="27"/>
          </w:tbl>
          <w:p w14:paraId="766FF1F1">
            <w:pPr>
              <w:pStyle w:val="5"/>
              <w:bidi w:val="0"/>
            </w:pPr>
            <w:r>
              <w:rPr>
                <w:rFonts w:hint="eastAsia"/>
                <w:lang w:val="en-US" w:eastAsia="zh-CN"/>
              </w:rPr>
              <w:t>4</w:t>
            </w:r>
            <w:r>
              <w:rPr>
                <w:rFonts w:hint="eastAsia"/>
              </w:rPr>
              <w:t>与《关于开展大宗固体废弃物综合利用示范的通知》符合性分析</w:t>
            </w:r>
          </w:p>
          <w:p w14:paraId="6224A394">
            <w:pPr>
              <w:pStyle w:val="41"/>
              <w:bidi w:val="0"/>
            </w:pPr>
            <w:bookmarkStart w:id="28" w:name="_Hlk151720556"/>
            <w:r>
              <w:rPr>
                <w:rFonts w:hint="eastAsia"/>
              </w:rPr>
              <w:t>项目建设符合《关于开展大宗固体废弃物综合利用示范的通知》中的相关要求，具体分析见表</w:t>
            </w:r>
            <w:r>
              <w:rPr>
                <w:rFonts w:hint="eastAsia"/>
                <w:lang w:val="en-US" w:eastAsia="zh-CN"/>
              </w:rPr>
              <w:t>1-9</w:t>
            </w:r>
            <w:r>
              <w:rPr>
                <w:rFonts w:hint="eastAsia"/>
              </w:rPr>
              <w:t>。</w:t>
            </w:r>
          </w:p>
          <w:p w14:paraId="22AA95A3">
            <w:pPr>
              <w:pStyle w:val="46"/>
              <w:bidi w:val="0"/>
            </w:pPr>
            <w:bookmarkStart w:id="29" w:name="_Hlk150727519"/>
            <w:r>
              <w:rPr>
                <w:rFonts w:hint="eastAsia"/>
              </w:rPr>
              <w:t>表</w:t>
            </w:r>
            <w:r>
              <w:rPr>
                <w:rFonts w:hint="eastAsia"/>
                <w:lang w:val="en-US" w:eastAsia="zh-CN"/>
              </w:rPr>
              <w:t>1-9</w:t>
            </w:r>
            <w:r>
              <w:t xml:space="preserve">  </w:t>
            </w:r>
            <w:r>
              <w:rPr>
                <w:rFonts w:hint="eastAsia"/>
              </w:rPr>
              <w:t>与《关于开展大宗固体废弃物综合利用示范的通知》符合性分析</w:t>
            </w:r>
          </w:p>
          <w:tbl>
            <w:tblPr>
              <w:tblStyle w:val="129"/>
              <w:tblW w:w="680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366"/>
              <w:gridCol w:w="3492"/>
              <w:gridCol w:w="2150"/>
              <w:gridCol w:w="795"/>
            </w:tblGrid>
            <w:tr w14:paraId="65170C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7" w:hRule="atLeast"/>
                <w:jc w:val="center"/>
              </w:trPr>
              <w:tc>
                <w:tcPr>
                  <w:tcW w:w="459" w:type="dxa"/>
                  <w:tcBorders>
                    <w:tl2br w:val="nil"/>
                    <w:tr2bl w:val="nil"/>
                  </w:tcBorders>
                  <w:vAlign w:val="center"/>
                </w:tcPr>
                <w:p w14:paraId="0EA30223">
                  <w:pPr>
                    <w:pStyle w:val="51"/>
                    <w:bidi w:val="0"/>
                  </w:pPr>
                  <w:r>
                    <w:t>序号</w:t>
                  </w:r>
                </w:p>
              </w:tc>
              <w:tc>
                <w:tcPr>
                  <w:tcW w:w="4536" w:type="dxa"/>
                  <w:tcBorders>
                    <w:tl2br w:val="nil"/>
                    <w:tr2bl w:val="nil"/>
                  </w:tcBorders>
                  <w:vAlign w:val="center"/>
                </w:tcPr>
                <w:p w14:paraId="2DBDFF25">
                  <w:pPr>
                    <w:pStyle w:val="51"/>
                    <w:bidi w:val="0"/>
                  </w:pPr>
                  <w:r>
                    <w:rPr>
                      <w:rFonts w:hint="eastAsia"/>
                    </w:rPr>
                    <w:t>通知要求</w:t>
                  </w:r>
                </w:p>
              </w:tc>
              <w:tc>
                <w:tcPr>
                  <w:tcW w:w="2785" w:type="dxa"/>
                  <w:tcBorders>
                    <w:tl2br w:val="nil"/>
                    <w:tr2bl w:val="nil"/>
                  </w:tcBorders>
                  <w:vAlign w:val="center"/>
                </w:tcPr>
                <w:p w14:paraId="044A1126">
                  <w:pPr>
                    <w:pStyle w:val="51"/>
                    <w:bidi w:val="0"/>
                  </w:pPr>
                  <w:r>
                    <w:t>本工程相关内容</w:t>
                  </w:r>
                </w:p>
              </w:tc>
              <w:tc>
                <w:tcPr>
                  <w:tcW w:w="1017" w:type="dxa"/>
                  <w:tcBorders>
                    <w:tl2br w:val="nil"/>
                    <w:tr2bl w:val="nil"/>
                  </w:tcBorders>
                  <w:vAlign w:val="center"/>
                </w:tcPr>
                <w:p w14:paraId="3F6848F8">
                  <w:pPr>
                    <w:pStyle w:val="51"/>
                    <w:bidi w:val="0"/>
                  </w:pPr>
                  <w:r>
                    <w:t>符合性</w:t>
                  </w:r>
                </w:p>
                <w:p w14:paraId="4664FD82">
                  <w:pPr>
                    <w:pStyle w:val="51"/>
                    <w:bidi w:val="0"/>
                  </w:pPr>
                  <w:r>
                    <w:t>分析</w:t>
                  </w:r>
                </w:p>
              </w:tc>
            </w:tr>
            <w:tr w14:paraId="163DCD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7" w:hRule="atLeast"/>
                <w:jc w:val="center"/>
              </w:trPr>
              <w:tc>
                <w:tcPr>
                  <w:tcW w:w="459" w:type="dxa"/>
                  <w:tcBorders>
                    <w:tl2br w:val="nil"/>
                    <w:tr2bl w:val="nil"/>
                  </w:tcBorders>
                  <w:vAlign w:val="center"/>
                </w:tcPr>
                <w:p w14:paraId="3E2262C9">
                  <w:pPr>
                    <w:pStyle w:val="51"/>
                    <w:bidi w:val="0"/>
                  </w:pPr>
                  <w:r>
                    <w:t>1</w:t>
                  </w:r>
                </w:p>
              </w:tc>
              <w:tc>
                <w:tcPr>
                  <w:tcW w:w="4536" w:type="dxa"/>
                  <w:tcBorders>
                    <w:tl2br w:val="nil"/>
                    <w:tr2bl w:val="nil"/>
                  </w:tcBorders>
                  <w:vAlign w:val="center"/>
                </w:tcPr>
                <w:p w14:paraId="7B8BB400">
                  <w:pPr>
                    <w:pStyle w:val="51"/>
                    <w:bidi w:val="0"/>
                  </w:pPr>
                  <w:r>
                    <w:rPr>
                      <w:rFonts w:hint="eastAsia"/>
                    </w:rPr>
                    <w:t>鼓励企业优化生产工艺流程，选用高效节能设备，减少资源能源投入，发挥大宗固废综合利用对天然矿产资源的替代和对降碳的协同增效作用。</w:t>
                  </w:r>
                </w:p>
              </w:tc>
              <w:tc>
                <w:tcPr>
                  <w:tcW w:w="2785" w:type="dxa"/>
                  <w:tcBorders>
                    <w:tl2br w:val="nil"/>
                    <w:tr2bl w:val="nil"/>
                  </w:tcBorders>
                  <w:vAlign w:val="center"/>
                </w:tcPr>
                <w:p w14:paraId="3CBB5D28">
                  <w:pPr>
                    <w:pStyle w:val="51"/>
                    <w:bidi w:val="0"/>
                  </w:pPr>
                  <w:r>
                    <w:rPr>
                      <w:rFonts w:hint="eastAsia"/>
                    </w:rPr>
                    <w:t>本项目采用高效节能设备</w:t>
                  </w:r>
                </w:p>
              </w:tc>
              <w:tc>
                <w:tcPr>
                  <w:tcW w:w="1017" w:type="dxa"/>
                  <w:tcBorders>
                    <w:tl2br w:val="nil"/>
                    <w:tr2bl w:val="nil"/>
                  </w:tcBorders>
                  <w:vAlign w:val="center"/>
                </w:tcPr>
                <w:p w14:paraId="30761180">
                  <w:pPr>
                    <w:pStyle w:val="51"/>
                    <w:bidi w:val="0"/>
                  </w:pPr>
                  <w:r>
                    <w:rPr>
                      <w:rFonts w:hint="eastAsia"/>
                    </w:rPr>
                    <w:t>符合</w:t>
                  </w:r>
                </w:p>
              </w:tc>
            </w:tr>
            <w:tr w14:paraId="32FBDD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7" w:hRule="atLeast"/>
                <w:jc w:val="center"/>
              </w:trPr>
              <w:tc>
                <w:tcPr>
                  <w:tcW w:w="459" w:type="dxa"/>
                  <w:tcBorders>
                    <w:tl2br w:val="nil"/>
                    <w:tr2bl w:val="nil"/>
                  </w:tcBorders>
                  <w:vAlign w:val="center"/>
                </w:tcPr>
                <w:p w14:paraId="147DF00B">
                  <w:pPr>
                    <w:pStyle w:val="51"/>
                    <w:bidi w:val="0"/>
                  </w:pPr>
                  <w:r>
                    <w:t>2</w:t>
                  </w:r>
                </w:p>
              </w:tc>
              <w:tc>
                <w:tcPr>
                  <w:tcW w:w="4536" w:type="dxa"/>
                  <w:tcBorders>
                    <w:tl2br w:val="nil"/>
                    <w:tr2bl w:val="nil"/>
                  </w:tcBorders>
                  <w:vAlign w:val="center"/>
                </w:tcPr>
                <w:p w14:paraId="3D4EADE5">
                  <w:pPr>
                    <w:pStyle w:val="51"/>
                    <w:bidi w:val="0"/>
                  </w:pPr>
                  <w:r>
                    <w:rPr>
                      <w:rFonts w:hint="eastAsia"/>
                    </w:rPr>
                    <w:t>示范基地主管部门要通过信息化措施，建立大宗固废综合利用台账，强化大宗固废源头减量、过程清洁生产、末端处置利用的全过程管理。</w:t>
                  </w:r>
                </w:p>
              </w:tc>
              <w:tc>
                <w:tcPr>
                  <w:tcW w:w="2785" w:type="dxa"/>
                  <w:tcBorders>
                    <w:tl2br w:val="nil"/>
                    <w:tr2bl w:val="nil"/>
                  </w:tcBorders>
                  <w:vAlign w:val="center"/>
                </w:tcPr>
                <w:p w14:paraId="44A4C698">
                  <w:pPr>
                    <w:pStyle w:val="51"/>
                    <w:bidi w:val="0"/>
                  </w:pPr>
                  <w:r>
                    <w:rPr>
                      <w:rFonts w:hint="eastAsia"/>
                    </w:rPr>
                    <w:t>本项目属于废弃资源加工</w:t>
                  </w:r>
                  <w:r>
                    <w:rPr>
                      <w:rFonts w:hint="eastAsia"/>
                      <w:lang w:val="en-US" w:eastAsia="zh-CN"/>
                    </w:rPr>
                    <w:t>回收</w:t>
                  </w:r>
                  <w:r>
                    <w:rPr>
                      <w:rFonts w:hint="eastAsia"/>
                    </w:rPr>
                    <w:t>，可实现固体废物的减量化和无害化</w:t>
                  </w:r>
                </w:p>
              </w:tc>
              <w:tc>
                <w:tcPr>
                  <w:tcW w:w="1017" w:type="dxa"/>
                  <w:tcBorders>
                    <w:tl2br w:val="nil"/>
                    <w:tr2bl w:val="nil"/>
                  </w:tcBorders>
                  <w:vAlign w:val="center"/>
                </w:tcPr>
                <w:p w14:paraId="31493E6C">
                  <w:pPr>
                    <w:pStyle w:val="51"/>
                    <w:bidi w:val="0"/>
                  </w:pPr>
                  <w:r>
                    <w:rPr>
                      <w:rFonts w:hint="eastAsia"/>
                    </w:rPr>
                    <w:t>符合</w:t>
                  </w:r>
                </w:p>
              </w:tc>
            </w:tr>
            <w:bookmarkEnd w:id="28"/>
            <w:bookmarkEnd w:id="29"/>
          </w:tbl>
          <w:p w14:paraId="37F1EB72">
            <w:pPr>
              <w:pStyle w:val="5"/>
              <w:bidi w:val="0"/>
              <w:rPr>
                <w:rFonts w:hint="eastAsia"/>
                <w:lang w:val="en-US" w:eastAsia="zh-CN"/>
              </w:rPr>
            </w:pPr>
            <w:r>
              <w:rPr>
                <w:rFonts w:hint="eastAsia"/>
                <w:lang w:val="en-US" w:eastAsia="zh-CN"/>
              </w:rPr>
              <w:t>5与《关于“十四五”大宗固体废弃物综合利用的指导意见》符合性分析</w:t>
            </w:r>
          </w:p>
          <w:p w14:paraId="11141D9F">
            <w:pPr>
              <w:pStyle w:val="41"/>
              <w:bidi w:val="0"/>
              <w:rPr>
                <w:rFonts w:hint="eastAsia"/>
              </w:rPr>
            </w:pPr>
            <w:bookmarkStart w:id="30" w:name="_Hlk150727533"/>
            <w:bookmarkStart w:id="31" w:name="_Hlk151720566"/>
            <w:r>
              <w:rPr>
                <w:rFonts w:hint="eastAsia"/>
              </w:rPr>
              <w:t>《关于“十四五”大宗固体废弃物综合利用的指导意见》中规定：强化大宗固废综合利用全流程管理，严格落实全过程环境污染防治责任。推行大宗固废绿色运输，鼓励使用专用运输设备和车辆，加强大宗固废运输过程管理。鼓励利废企业开展清洁生产审核，严格执行污染物排放标准，完善环境保护措施，防止二次污染。鼓励从赤泥中回收铁、碱、氧化铝，从冶炼渣中回收稀有稀散金属和稀贵金属等有价组分，提高矿产资源利用效率，保障国家资源安全，逐步提高冶炼渣综合利用率。</w:t>
            </w:r>
          </w:p>
          <w:p w14:paraId="3E19B3AA">
            <w:pPr>
              <w:pStyle w:val="41"/>
              <w:bidi w:val="0"/>
            </w:pPr>
            <w:r>
              <w:rPr>
                <w:rFonts w:hint="eastAsia"/>
              </w:rPr>
              <w:t>本项目</w:t>
            </w:r>
            <w:r>
              <w:rPr>
                <w:rFonts w:hint="eastAsia"/>
                <w:lang w:val="en-US" w:eastAsia="zh-CN"/>
              </w:rPr>
              <w:t>回收</w:t>
            </w:r>
            <w:r>
              <w:rPr>
                <w:rFonts w:hint="eastAsia"/>
              </w:rPr>
              <w:t>其他厂家破碎中报废车辆处理后的破碎料（不含危险废物）</w:t>
            </w:r>
            <w:r>
              <w:rPr>
                <w:rFonts w:hint="eastAsia"/>
                <w:lang w:eastAsia="zh-CN"/>
              </w:rPr>
              <w:t>，</w:t>
            </w:r>
            <w:r>
              <w:rPr>
                <w:rFonts w:hint="eastAsia"/>
                <w:lang w:val="en-US" w:eastAsia="zh-CN"/>
              </w:rPr>
              <w:t>通过分选-磁选等工艺对其中铁、不锈钢等物质进行回收</w:t>
            </w:r>
            <w:r>
              <w:rPr>
                <w:rFonts w:hint="eastAsia"/>
              </w:rPr>
              <w:t>，实行全过程的环境管理，各类废气均采取了相应的废气治理措施，且可以实现达标排放，项目实施后定期开展清洁生产审核，符合意见要求。</w:t>
            </w:r>
            <w:bookmarkEnd w:id="30"/>
          </w:p>
          <w:bookmarkEnd w:id="31"/>
          <w:p w14:paraId="52F58513">
            <w:pPr>
              <w:pStyle w:val="4"/>
              <w:bidi w:val="0"/>
            </w:pPr>
            <w:r>
              <w:rPr>
                <w:rFonts w:hint="eastAsia"/>
              </w:rPr>
              <w:t>1</w:t>
            </w:r>
            <w:r>
              <w:t>.4与“三线一单”</w:t>
            </w:r>
            <w:r>
              <w:rPr>
                <w:rFonts w:hint="eastAsia"/>
              </w:rPr>
              <w:t>和生态环境分区管控的符合性</w:t>
            </w:r>
            <w:r>
              <w:t>分析</w:t>
            </w:r>
          </w:p>
          <w:p w14:paraId="1599E11B">
            <w:pPr>
              <w:pStyle w:val="41"/>
              <w:bidi w:val="0"/>
            </w:pPr>
            <w:r>
              <w:rPr>
                <w:rFonts w:hint="eastAsia"/>
              </w:rPr>
              <w:t>（1）生态保护红线</w:t>
            </w:r>
          </w:p>
          <w:p w14:paraId="2A2015E9">
            <w:pPr>
              <w:pStyle w:val="41"/>
              <w:bidi w:val="0"/>
              <w:rPr>
                <w:rFonts w:hint="default" w:eastAsia="宋体"/>
                <w:lang w:val="en-US" w:eastAsia="zh-CN"/>
              </w:rPr>
            </w:pPr>
            <w:r>
              <w:rPr>
                <w:rFonts w:hint="eastAsia"/>
              </w:rPr>
              <w:t>项目区各环境要素评价范围内无自然保护区、风景名胜区、世界自然遗产、饮用水水源保护区、自然保护地、居民区、医院、学校等环境敏感目标，</w:t>
            </w:r>
            <w:r>
              <w:t>本项目位于</w:t>
            </w:r>
            <w:r>
              <w:rPr>
                <w:rFonts w:hint="eastAsia"/>
                <w:lang w:val="en-US" w:eastAsia="zh-CN"/>
              </w:rPr>
              <w:t>鄯善县东侧，312国道以东，项目所在单位属于鄯善县城镇生活重点管控单元，环境管控单元编码为：ZH65042120005，不涉及生态保护红线。</w:t>
            </w:r>
          </w:p>
          <w:p w14:paraId="58DFF33E">
            <w:pPr>
              <w:pStyle w:val="41"/>
              <w:bidi w:val="0"/>
            </w:pPr>
            <w:r>
              <w:rPr>
                <w:rFonts w:hint="eastAsia"/>
              </w:rPr>
              <w:t>（2）环境质量底线</w:t>
            </w:r>
          </w:p>
          <w:p w14:paraId="4A383F96">
            <w:pPr>
              <w:pStyle w:val="41"/>
              <w:bidi w:val="0"/>
            </w:pPr>
            <w:r>
              <w:rPr>
                <w:rFonts w:hint="eastAsia"/>
                <w:color w:val="auto"/>
                <w:lang w:val="en-US" w:eastAsia="zh-CN"/>
              </w:rPr>
              <w:t>项目上料机、滚筛、空选机及破碎机等工序厂房内，加工过程采用布袋除尘器对粉尘颗粒物进行去除，处理后的颗粒物以无组织形式排放；原料储存过程采用吨袋、遮盖等措施，可有效减少颗粒物的产生；项目颗粒物可满足《大气污染物综合排放标准》（GB16297-1996）表2中排放标准限值；项目废水主要为清洗废水及生活污水，清洗废水经沉降后循环使用；生活污水经污水管网，排入鄯善县污水处理厂处置。</w:t>
            </w:r>
            <w:r>
              <w:rPr>
                <w:color w:val="auto"/>
              </w:rPr>
              <w:t>噪声主要</w:t>
            </w:r>
            <w:r>
              <w:t>为机械设备运行噪声，其等效连续A声级值在75～90dB(A</w:t>
            </w:r>
            <w:r>
              <w:rPr>
                <w:rFonts w:hint="eastAsia"/>
              </w:rPr>
              <w:t>），</w:t>
            </w:r>
            <w:r>
              <w:t>选用低噪声设备，空压机等高噪声设备安置于室内，并采取车间隔声措施，高噪声设备采用加装减振垫等措施</w:t>
            </w:r>
            <w:r>
              <w:rPr>
                <w:rFonts w:hint="eastAsia"/>
              </w:rPr>
              <w:t>后，厂界昼夜噪声值均满足</w:t>
            </w:r>
            <w:r>
              <w:t>《工业企业厂界环境噪声排放标准》（GB12348-2008）3类标准</w:t>
            </w:r>
            <w:r>
              <w:rPr>
                <w:rFonts w:hint="eastAsia"/>
              </w:rPr>
              <w:t>要求</w:t>
            </w:r>
            <w:r>
              <w:rPr>
                <w:rFonts w:hint="eastAsia"/>
                <w:lang w:eastAsia="zh-CN"/>
              </w:rPr>
              <w:t>。</w:t>
            </w:r>
            <w:r>
              <w:t>生活垃圾集中收集后交由环卫部门统一清运</w:t>
            </w:r>
            <w:r>
              <w:rPr>
                <w:rFonts w:hint="eastAsia"/>
              </w:rPr>
              <w:t>至鄯善县生活垃圾填埋场</w:t>
            </w:r>
            <w:r>
              <w:t>。</w:t>
            </w:r>
            <w:r>
              <w:rPr>
                <w:rFonts w:hint="eastAsia"/>
              </w:rPr>
              <w:t>项目产生的废气和噪声均可实现达标排放，废水及固体废物均可实现妥善处置，不会突破区域环境质量底线。</w:t>
            </w:r>
          </w:p>
          <w:p w14:paraId="51722F72">
            <w:pPr>
              <w:pStyle w:val="41"/>
              <w:bidi w:val="0"/>
            </w:pPr>
            <w:r>
              <w:rPr>
                <w:rFonts w:hint="eastAsia"/>
              </w:rPr>
              <w:t>（</w:t>
            </w:r>
            <w:r>
              <w:t>3</w:t>
            </w:r>
            <w:r>
              <w:rPr>
                <w:rFonts w:hint="eastAsia"/>
              </w:rPr>
              <w:t>）资源利用上线</w:t>
            </w:r>
          </w:p>
          <w:p w14:paraId="12DF16FC">
            <w:pPr>
              <w:pStyle w:val="41"/>
              <w:bidi w:val="0"/>
            </w:pPr>
            <w:r>
              <w:rPr>
                <w:rFonts w:hint="eastAsia"/>
              </w:rPr>
              <w:t>项目能源消耗主要为水和电能，均由现有供水及供电设施供给，其消耗量相对于区域整体资源量相对较小，不会突破区域资源利用上线。</w:t>
            </w:r>
          </w:p>
          <w:p w14:paraId="57DA0E0F">
            <w:pPr>
              <w:pStyle w:val="41"/>
              <w:bidi w:val="0"/>
            </w:pPr>
            <w:r>
              <w:rPr>
                <w:rFonts w:hint="eastAsia"/>
              </w:rPr>
              <w:t>（4）生态环境准入清单</w:t>
            </w:r>
          </w:p>
          <w:p w14:paraId="11672823">
            <w:pPr>
              <w:pStyle w:val="41"/>
              <w:bidi w:val="0"/>
            </w:pPr>
            <w:r>
              <w:rPr>
                <w:rFonts w:hint="eastAsia"/>
              </w:rPr>
              <w:t>①</w:t>
            </w:r>
            <w:r>
              <w:t>与《关于印发&lt;新疆维吾尔自治区“三线一单”生态环境分区管控方案&gt;的通知》（新政发〔2021〕18号）符合性分析</w:t>
            </w:r>
          </w:p>
          <w:p w14:paraId="6A91ABAC">
            <w:pPr>
              <w:pStyle w:val="41"/>
              <w:bidi w:val="0"/>
            </w:pPr>
            <w:r>
              <w:t>根据《关于印发&lt;新疆维吾尔自治区“三线一单”生态环境分区管控方案》的通知&gt;（新政发〔2021〕18号），自治区按照管控要求，划定优先保护单元、重点管控单元、一般管控单元三类，实施分类管控。</w:t>
            </w:r>
          </w:p>
          <w:p w14:paraId="38E3F019">
            <w:pPr>
              <w:pStyle w:val="41"/>
              <w:bidi w:val="0"/>
            </w:pPr>
            <w:r>
              <w:t>优先保护单元主要包括生态保护红线区和生态保护红线区以外的饮用水水源保护区、水源涵养区、防风固沙区、土地沙化防控区、水土流失防控区等一般生态空间管控区。生态保护红线区执行生态保护红线管理办法的有关要求；一般生态空间管控区应以生态保护优先原则，开发建设活动应严格执行相关法律、法规要求，严守生态环境质量底线，确保生态功能不降低。</w:t>
            </w:r>
          </w:p>
          <w:p w14:paraId="3DBA953E">
            <w:pPr>
              <w:pStyle w:val="41"/>
              <w:bidi w:val="0"/>
            </w:pPr>
            <w:r>
              <w:t>重点管控单元主要包括城镇建成区、工业园区和开发强度大、污染物排放强度高的工业聚集区等。重点管控单元要着力优化空间布局，不断提升资源利用效率，有针对性地加强污染物排放管控和环境风险防控，解决生态环境质量不达标、生态环境风险高等问题。</w:t>
            </w:r>
          </w:p>
          <w:p w14:paraId="1F037D09">
            <w:pPr>
              <w:pStyle w:val="41"/>
              <w:bidi w:val="0"/>
            </w:pPr>
            <w:r>
              <w:t>一般管控单元主要包括优先保护单元和重点管控单元之外的其他区域。一般管控单元主要落实生态环境保护基本要求，推动区域环境质量持续改善。</w:t>
            </w:r>
          </w:p>
          <w:p w14:paraId="45035F7F">
            <w:pPr>
              <w:pStyle w:val="41"/>
              <w:bidi w:val="0"/>
            </w:pPr>
            <w:r>
              <w:t>本项目位于</w:t>
            </w:r>
            <w:r>
              <w:rPr>
                <w:rFonts w:hint="eastAsia"/>
                <w:lang w:val="en-US" w:eastAsia="zh-CN"/>
              </w:rPr>
              <w:t>鄯善县东侧，312国道以东，</w:t>
            </w:r>
            <w:r>
              <w:t>不位于生态保护红线区域和生态保护红线区以外的饮用水水源保护区、水源涵养区、防风固沙区、土地沙化防控区、水土流失防控区等一般生态空间管控区，项目所在区域属于</w:t>
            </w:r>
            <w:r>
              <w:rPr>
                <w:rFonts w:hint="eastAsia"/>
              </w:rPr>
              <w:t>重点</w:t>
            </w:r>
            <w:r>
              <w:t>管控单元，本项目在建设中严格落实生态环境保护措施，推动区域环境质量可持续发展，综合分析，本项目符合《关于印发&lt;新疆维吾尔自治区“三线一单”生态环境分区管控方案</w:t>
            </w:r>
            <w:r>
              <w:rPr>
                <w:rFonts w:hint="eastAsia"/>
              </w:rPr>
              <w:t>&gt;</w:t>
            </w:r>
            <w:r>
              <w:t>的通知》</w:t>
            </w:r>
            <w:r>
              <w:rPr>
                <w:rFonts w:hint="eastAsia"/>
              </w:rPr>
              <w:t>（</w:t>
            </w:r>
            <w:r>
              <w:t>新政发〔2021〕18号</w:t>
            </w:r>
            <w:r>
              <w:rPr>
                <w:rFonts w:hint="eastAsia"/>
              </w:rPr>
              <w:t>）</w:t>
            </w:r>
            <w:r>
              <w:t>要求。</w:t>
            </w:r>
          </w:p>
          <w:p w14:paraId="0B215516">
            <w:pPr>
              <w:pStyle w:val="41"/>
              <w:bidi w:val="0"/>
            </w:pPr>
            <w:r>
              <w:rPr>
                <w:rFonts w:hint="eastAsia"/>
              </w:rPr>
              <w:t>②</w:t>
            </w:r>
            <w:r>
              <w:t>与《吐鲁番市“三线一单”生态环境分区管控方案》</w:t>
            </w:r>
            <w:r>
              <w:rPr>
                <w:rFonts w:hint="eastAsia"/>
              </w:rPr>
              <w:t>（</w:t>
            </w:r>
            <w:r>
              <w:t>吐政办〔2021〕24号</w:t>
            </w:r>
            <w:r>
              <w:rPr>
                <w:rFonts w:hint="eastAsia"/>
              </w:rPr>
              <w:t>）</w:t>
            </w:r>
            <w:r>
              <w:t>符合性分析</w:t>
            </w:r>
          </w:p>
          <w:p w14:paraId="487F438B">
            <w:pPr>
              <w:pStyle w:val="41"/>
              <w:bidi w:val="0"/>
            </w:pPr>
            <w:r>
              <w:t>本项目位于</w:t>
            </w:r>
            <w:r>
              <w:rPr>
                <w:rFonts w:hint="eastAsia"/>
                <w:lang w:val="en-US" w:eastAsia="zh-CN"/>
              </w:rPr>
              <w:t>鄯善县东侧，312国道以东</w:t>
            </w:r>
            <w:r>
              <w:t>，根据吐政办〔2021〕24号，</w:t>
            </w:r>
            <w:bookmarkStart w:id="32" w:name="_Hlk152378119"/>
            <w:r>
              <w:t>项目所在单元属于</w:t>
            </w:r>
            <w:bookmarkEnd w:id="32"/>
            <w:r>
              <w:rPr>
                <w:rFonts w:hint="eastAsia"/>
                <w:lang w:val="en-US" w:eastAsia="zh-CN"/>
              </w:rPr>
              <w:t>属于鄯善县城镇生活重点管控单元，环境管控单元编码为：ZH65042120005</w:t>
            </w:r>
            <w:r>
              <w:t>，该环境管控单元分类准入清单及符合性分析见表</w:t>
            </w:r>
            <w:r>
              <w:rPr>
                <w:rFonts w:hint="eastAsia"/>
              </w:rPr>
              <w:t>1</w:t>
            </w:r>
            <w:r>
              <w:rPr>
                <w:rFonts w:hint="eastAsia"/>
                <w:lang w:val="en-US" w:eastAsia="zh-CN"/>
              </w:rPr>
              <w:t>-10</w:t>
            </w:r>
            <w:r>
              <w:t>，图</w:t>
            </w:r>
            <w:r>
              <w:rPr>
                <w:rFonts w:hint="eastAsia"/>
              </w:rPr>
              <w:t>1-1。</w:t>
            </w:r>
          </w:p>
          <w:p w14:paraId="73C5924E">
            <w:pPr>
              <w:pStyle w:val="46"/>
              <w:bidi w:val="0"/>
            </w:pPr>
            <w:r>
              <w:t>表</w:t>
            </w:r>
            <w:r>
              <w:rPr>
                <w:rFonts w:hint="eastAsia"/>
              </w:rPr>
              <w:t>1</w:t>
            </w:r>
            <w:r>
              <w:rPr>
                <w:rFonts w:hint="eastAsia"/>
                <w:lang w:val="en-US" w:eastAsia="zh-CN"/>
              </w:rPr>
              <w:t>-10</w:t>
            </w:r>
            <w:r>
              <w:t xml:space="preserve">  鄯善县重点管控单元分类准入清单及符合性分析</w:t>
            </w:r>
          </w:p>
          <w:tbl>
            <w:tblPr>
              <w:tblStyle w:val="114"/>
              <w:tblW w:w="68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4380"/>
              <w:gridCol w:w="1326"/>
              <w:gridCol w:w="529"/>
            </w:tblGrid>
            <w:tr w14:paraId="5A617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blHeader/>
                <w:jc w:val="center"/>
              </w:trPr>
              <w:tc>
                <w:tcPr>
                  <w:tcW w:w="568" w:type="dxa"/>
                  <w:tcBorders>
                    <w:tl2br w:val="nil"/>
                    <w:tr2bl w:val="nil"/>
                  </w:tcBorders>
                  <w:vAlign w:val="center"/>
                </w:tcPr>
                <w:p w14:paraId="72B7313C">
                  <w:pPr>
                    <w:pStyle w:val="51"/>
                    <w:bidi w:val="0"/>
                  </w:pPr>
                  <w:r>
                    <w:t>项目</w:t>
                  </w:r>
                </w:p>
              </w:tc>
              <w:tc>
                <w:tcPr>
                  <w:tcW w:w="4380" w:type="dxa"/>
                  <w:tcBorders>
                    <w:tl2br w:val="nil"/>
                    <w:tr2bl w:val="nil"/>
                  </w:tcBorders>
                  <w:vAlign w:val="center"/>
                </w:tcPr>
                <w:p w14:paraId="3D126C31">
                  <w:pPr>
                    <w:pStyle w:val="51"/>
                    <w:bidi w:val="0"/>
                  </w:pPr>
                  <w:r>
                    <w:rPr>
                      <w:rFonts w:hint="eastAsia"/>
                    </w:rPr>
                    <w:t>重点管控单元管控要求</w:t>
                  </w:r>
                </w:p>
              </w:tc>
              <w:tc>
                <w:tcPr>
                  <w:tcW w:w="1326" w:type="dxa"/>
                  <w:tcBorders>
                    <w:tl2br w:val="nil"/>
                    <w:tr2bl w:val="nil"/>
                  </w:tcBorders>
                  <w:vAlign w:val="center"/>
                </w:tcPr>
                <w:p w14:paraId="1E424B68">
                  <w:pPr>
                    <w:pStyle w:val="51"/>
                    <w:bidi w:val="0"/>
                  </w:pPr>
                  <w:r>
                    <w:t>符合性分析</w:t>
                  </w:r>
                </w:p>
              </w:tc>
              <w:tc>
                <w:tcPr>
                  <w:tcW w:w="529" w:type="dxa"/>
                  <w:tcBorders>
                    <w:tl2br w:val="nil"/>
                    <w:tr2bl w:val="nil"/>
                  </w:tcBorders>
                  <w:vAlign w:val="center"/>
                </w:tcPr>
                <w:p w14:paraId="6B83FD36">
                  <w:pPr>
                    <w:pStyle w:val="51"/>
                    <w:bidi w:val="0"/>
                  </w:pPr>
                  <w:r>
                    <w:t>结论</w:t>
                  </w:r>
                </w:p>
              </w:tc>
            </w:tr>
            <w:tr w14:paraId="61EAB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568" w:type="dxa"/>
                  <w:tcBorders>
                    <w:tl2br w:val="nil"/>
                    <w:tr2bl w:val="nil"/>
                  </w:tcBorders>
                  <w:vAlign w:val="center"/>
                </w:tcPr>
                <w:p w14:paraId="1F6A576C">
                  <w:pPr>
                    <w:pStyle w:val="51"/>
                    <w:bidi w:val="0"/>
                  </w:pPr>
                  <w:r>
                    <w:t>空间布局约束</w:t>
                  </w:r>
                </w:p>
              </w:tc>
              <w:tc>
                <w:tcPr>
                  <w:tcW w:w="4380" w:type="dxa"/>
                  <w:tcBorders>
                    <w:tl2br w:val="nil"/>
                    <w:tr2bl w:val="nil"/>
                  </w:tcBorders>
                  <w:vAlign w:val="center"/>
                </w:tcPr>
                <w:p w14:paraId="594840D4">
                  <w:pPr>
                    <w:pStyle w:val="51"/>
                    <w:bidi w:val="0"/>
                    <w:rPr>
                      <w:rFonts w:hint="eastAsia"/>
                    </w:rPr>
                  </w:pPr>
                  <w:r>
                    <w:rPr>
                      <w:rFonts w:hint="eastAsia"/>
                    </w:rPr>
                    <w:t>1.禁止新建、扩建、改建原油加工、天然气加工、油母页岩提炼原油、煤制原油及其他石油制品、煤化工、炼焦、煤炭热解、电石、除单纯混合和分装外的化学原料制造、化学品制造、炼钢、炼铁、金属冶炼等三类工业项目，现有三类工业项目应制定计划，限期外迁；禁止新建金属压延加工、含有电镀/喷漆等表面处理工艺的金属制品加工制造（喷漆工艺指使用油性漆量（含稀释剂）10吨及以上）等涉气二类工业项目（基础设施等民生工程除外），改、扩建的不得新增大气污染物排放因子和排放总量。</w:t>
                  </w:r>
                </w:p>
                <w:p w14:paraId="64E5E744">
                  <w:pPr>
                    <w:pStyle w:val="51"/>
                    <w:bidi w:val="0"/>
                    <w:rPr>
                      <w:rFonts w:hint="eastAsia"/>
                    </w:rPr>
                  </w:pPr>
                  <w:r>
                    <w:rPr>
                      <w:rFonts w:hint="eastAsia"/>
                    </w:rPr>
                    <w:t>2.不得在居民集中区新建垃圾分拣中心等臭气异味影响较大的项目；不得在居民集中区新建涉及易燃易爆物质的大型仓储项目。</w:t>
                  </w:r>
                </w:p>
                <w:p w14:paraId="377EC2C8">
                  <w:pPr>
                    <w:pStyle w:val="51"/>
                    <w:bidi w:val="0"/>
                  </w:pPr>
                  <w:r>
                    <w:rPr>
                      <w:rFonts w:hint="eastAsia"/>
                    </w:rPr>
                    <w:t>3.新建、扩建、改建公路、铁路、输油输气管道等各类工程，需要穿越、跨越坎儿井的，应当对工程建设期间、运行过程中可能给坎儿井造成的危害进行论证，并制定坎儿井保护方案。</w:t>
                  </w:r>
                </w:p>
              </w:tc>
              <w:tc>
                <w:tcPr>
                  <w:tcW w:w="1326" w:type="dxa"/>
                  <w:tcBorders>
                    <w:tl2br w:val="nil"/>
                    <w:tr2bl w:val="nil"/>
                  </w:tcBorders>
                  <w:vAlign w:val="center"/>
                </w:tcPr>
                <w:p w14:paraId="28B3C11B">
                  <w:pPr>
                    <w:pStyle w:val="51"/>
                    <w:bidi w:val="0"/>
                    <w:rPr>
                      <w:rFonts w:hint="default" w:eastAsia="宋体"/>
                      <w:lang w:val="en-US" w:eastAsia="zh-CN"/>
                    </w:rPr>
                  </w:pPr>
                  <w:r>
                    <w:rPr>
                      <w:rFonts w:hint="eastAsia"/>
                    </w:rPr>
                    <w:t>本项目</w:t>
                  </w:r>
                  <w:r>
                    <w:rPr>
                      <w:rFonts w:hint="eastAsia"/>
                      <w:lang w:val="en-US" w:eastAsia="zh-CN"/>
                    </w:rPr>
                    <w:t>位于鄯善县东侧，312国道以东，不属于居民集中区域，大气污染物主要为颗粒物，采取有效措施后可达标排放。</w:t>
                  </w:r>
                </w:p>
                <w:p w14:paraId="335E4705">
                  <w:pPr>
                    <w:pStyle w:val="51"/>
                    <w:bidi w:val="0"/>
                  </w:pPr>
                </w:p>
              </w:tc>
              <w:tc>
                <w:tcPr>
                  <w:tcW w:w="529" w:type="dxa"/>
                  <w:tcBorders>
                    <w:tl2br w:val="nil"/>
                    <w:tr2bl w:val="nil"/>
                  </w:tcBorders>
                  <w:vAlign w:val="center"/>
                </w:tcPr>
                <w:p w14:paraId="28824C71">
                  <w:pPr>
                    <w:pStyle w:val="51"/>
                    <w:bidi w:val="0"/>
                  </w:pPr>
                  <w:r>
                    <w:t>符合</w:t>
                  </w:r>
                </w:p>
              </w:tc>
            </w:tr>
            <w:tr w14:paraId="1249C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568" w:type="dxa"/>
                  <w:tcBorders>
                    <w:tl2br w:val="nil"/>
                    <w:tr2bl w:val="nil"/>
                  </w:tcBorders>
                  <w:vAlign w:val="center"/>
                </w:tcPr>
                <w:p w14:paraId="0D5896C7">
                  <w:pPr>
                    <w:pStyle w:val="51"/>
                    <w:bidi w:val="0"/>
                  </w:pPr>
                  <w:r>
                    <w:t>污染物排放管控</w:t>
                  </w:r>
                </w:p>
              </w:tc>
              <w:tc>
                <w:tcPr>
                  <w:tcW w:w="4380" w:type="dxa"/>
                  <w:tcBorders>
                    <w:tl2br w:val="nil"/>
                    <w:tr2bl w:val="nil"/>
                  </w:tcBorders>
                  <w:vAlign w:val="center"/>
                </w:tcPr>
                <w:p w14:paraId="1881BBC1">
                  <w:pPr>
                    <w:pStyle w:val="51"/>
                    <w:bidi w:val="0"/>
                    <w:rPr>
                      <w:rFonts w:hint="eastAsia"/>
                    </w:rPr>
                  </w:pPr>
                  <w:r>
                    <w:rPr>
                      <w:rFonts w:hint="eastAsia"/>
                    </w:rPr>
                    <w:t>1.加强噪声和臭气异味防治。涉臭气异味企业应采取封闭、加盖等收集处理措施，提高臭气废气收集率和处理率，明显减少工业臭气异味排放；完成餐饮油烟综合整治，大中型餐饮企业（包括单位食堂）必须安装高效油烟净化装置并进行定期清洗；严格施工扬尘监管。</w:t>
                  </w:r>
                </w:p>
                <w:p w14:paraId="6F7F7441">
                  <w:pPr>
                    <w:pStyle w:val="51"/>
                    <w:bidi w:val="0"/>
                    <w:rPr>
                      <w:rFonts w:hint="eastAsia"/>
                    </w:rPr>
                  </w:pPr>
                  <w:r>
                    <w:rPr>
                      <w:rFonts w:hint="eastAsia"/>
                    </w:rPr>
                    <w:t>2.县级以上城镇生活污水集中处理率达到90%以上；县级以上城镇生活垃圾无害化处理率达到100%。加强污水处理设施运行管理，全面加强配套管网建设，推进污泥处理处置。</w:t>
                  </w:r>
                </w:p>
                <w:p w14:paraId="1AD4405D">
                  <w:pPr>
                    <w:pStyle w:val="51"/>
                    <w:bidi w:val="0"/>
                    <w:rPr>
                      <w:rFonts w:hint="eastAsia"/>
                    </w:rPr>
                  </w:pPr>
                  <w:r>
                    <w:rPr>
                      <w:rFonts w:hint="eastAsia"/>
                    </w:rPr>
                    <w:t>3.通过经济手段引导供热、供气、供电管网覆盖区域居民减少散煤使用，大力推进“电化农村”建设。逐步将风能、太阳能、电力等清洁能源利用项目扩展到各乡镇。</w:t>
                  </w:r>
                </w:p>
                <w:p w14:paraId="7958A709">
                  <w:pPr>
                    <w:pStyle w:val="51"/>
                    <w:bidi w:val="0"/>
                    <w:rPr>
                      <w:rFonts w:hint="eastAsia"/>
                    </w:rPr>
                  </w:pPr>
                  <w:r>
                    <w:rPr>
                      <w:rFonts w:hint="eastAsia"/>
                    </w:rPr>
                    <w:t>4.推进农业农村污染防治，防治畜禽养殖污染，科学规划布局畜禽养殖，配套建设粪便污水贮存、处理、利用设施，新改扩建规模化畜禽养殖场（小区）要实施雨污分流、粪便污水资源化利用；控制农业面源污染，控制农田化肥农药使用量，大力发展生态循环农业，加快推广测土配方施肥、安全用药、绿色防控、农业废弃物资源化利用等农业清洁生产技术与装备；优化种植业结构与布局；加快农村环境综合整治。</w:t>
                  </w:r>
                </w:p>
                <w:p w14:paraId="014F155E">
                  <w:pPr>
                    <w:pStyle w:val="51"/>
                    <w:bidi w:val="0"/>
                    <w:rPr>
                      <w:rFonts w:hint="eastAsia"/>
                    </w:rPr>
                  </w:pPr>
                  <w:r>
                    <w:rPr>
                      <w:rFonts w:hint="eastAsia"/>
                    </w:rPr>
                    <w:t>5.推进农村生活污水治理。因地制宜，采取“以城带村”、“以乡（镇）带村”、“联村”、“单村”、“联户”、“单户”等多种方式，实施农村生活污水治理工程，合理布局，科学设计。</w:t>
                  </w:r>
                </w:p>
                <w:p w14:paraId="023FA64A">
                  <w:pPr>
                    <w:pStyle w:val="51"/>
                    <w:bidi w:val="0"/>
                  </w:pPr>
                  <w:r>
                    <w:rPr>
                      <w:rFonts w:hint="eastAsia"/>
                    </w:rPr>
                    <w:t>6.严格按照《新疆维吾尔自治区坎儿井保护条例》对区域内坎儿井进行保护，禁止向坎儿井水源、明渠、蓄水池倾倒废污水、垃圾等废弃物。</w:t>
                  </w:r>
                </w:p>
              </w:tc>
              <w:tc>
                <w:tcPr>
                  <w:tcW w:w="1326" w:type="dxa"/>
                  <w:tcBorders>
                    <w:tl2br w:val="nil"/>
                    <w:tr2bl w:val="nil"/>
                  </w:tcBorders>
                  <w:vAlign w:val="center"/>
                </w:tcPr>
                <w:p w14:paraId="2E141517">
                  <w:pPr>
                    <w:pStyle w:val="51"/>
                    <w:bidi w:val="0"/>
                    <w:rPr>
                      <w:rFonts w:hint="default" w:eastAsia="宋体"/>
                      <w:lang w:val="en-US" w:eastAsia="zh-CN"/>
                    </w:rPr>
                  </w:pPr>
                  <w:r>
                    <w:rPr>
                      <w:rFonts w:hint="eastAsia"/>
                      <w:lang w:val="en-US" w:eastAsia="zh-CN"/>
                    </w:rPr>
                    <w:t>项目产生的大气污染物主要为颗粒物，采取有效措施后可达标排放。</w:t>
                  </w:r>
                </w:p>
                <w:p w14:paraId="422A45F1">
                  <w:pPr>
                    <w:pStyle w:val="51"/>
                    <w:bidi w:val="0"/>
                    <w:rPr>
                      <w:rFonts w:hint="default" w:eastAsia="宋体"/>
                      <w:lang w:val="en-US" w:eastAsia="zh-CN"/>
                    </w:rPr>
                  </w:pPr>
                  <w:r>
                    <w:rPr>
                      <w:rFonts w:hint="eastAsia"/>
                      <w:lang w:val="en-US" w:eastAsia="zh-CN"/>
                    </w:rPr>
                    <w:t>清洗废水经沉降后循环使用，不外排；生活污水通过市政污水管网排入污水处理厂处置；生活垃圾由环卫部门统一清运至鄯善县垃圾填埋场处置。</w:t>
                  </w:r>
                </w:p>
              </w:tc>
              <w:tc>
                <w:tcPr>
                  <w:tcW w:w="529" w:type="dxa"/>
                  <w:tcBorders>
                    <w:tl2br w:val="nil"/>
                    <w:tr2bl w:val="nil"/>
                  </w:tcBorders>
                  <w:vAlign w:val="center"/>
                </w:tcPr>
                <w:p w14:paraId="5B18AF3D">
                  <w:pPr>
                    <w:pStyle w:val="51"/>
                    <w:bidi w:val="0"/>
                  </w:pPr>
                  <w:r>
                    <w:t>符合</w:t>
                  </w:r>
                </w:p>
              </w:tc>
            </w:tr>
            <w:tr w14:paraId="1C620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568" w:type="dxa"/>
                  <w:tcBorders>
                    <w:tl2br w:val="nil"/>
                    <w:tr2bl w:val="nil"/>
                  </w:tcBorders>
                  <w:vAlign w:val="center"/>
                </w:tcPr>
                <w:p w14:paraId="5992B310">
                  <w:pPr>
                    <w:pStyle w:val="51"/>
                    <w:bidi w:val="0"/>
                  </w:pPr>
                  <w:r>
                    <w:t>环境风险防控</w:t>
                  </w:r>
                </w:p>
              </w:tc>
              <w:tc>
                <w:tcPr>
                  <w:tcW w:w="4380" w:type="dxa"/>
                  <w:tcBorders>
                    <w:tl2br w:val="nil"/>
                    <w:tr2bl w:val="nil"/>
                  </w:tcBorders>
                  <w:vAlign w:val="center"/>
                </w:tcPr>
                <w:p w14:paraId="2ABD0360">
                  <w:pPr>
                    <w:pStyle w:val="51"/>
                    <w:bidi w:val="0"/>
                    <w:rPr>
                      <w:rFonts w:hint="eastAsia"/>
                    </w:rPr>
                  </w:pPr>
                  <w:r>
                    <w:rPr>
                      <w:rFonts w:hint="eastAsia"/>
                    </w:rPr>
                    <w:t>1.紧邻居住、科教、医院等环境敏感点的工业用地，禁止新建环境风险潜势等级高于Ⅲ级的建设项目。</w:t>
                  </w:r>
                </w:p>
                <w:p w14:paraId="0D42C9D2">
                  <w:pPr>
                    <w:pStyle w:val="51"/>
                    <w:bidi w:val="0"/>
                    <w:rPr>
                      <w:rFonts w:hint="eastAsia"/>
                    </w:rPr>
                  </w:pPr>
                  <w:r>
                    <w:rPr>
                      <w:rFonts w:hint="eastAsia"/>
                    </w:rPr>
                    <w:t>2.严格管控易导致环境风险的有毒有害和易燃易爆物质的使用和贮运，涉及此类物质的项目必须编制风险应急预案。</w:t>
                  </w:r>
                </w:p>
                <w:p w14:paraId="19D52470">
                  <w:pPr>
                    <w:pStyle w:val="51"/>
                    <w:bidi w:val="0"/>
                    <w:rPr>
                      <w:rFonts w:hint="eastAsia"/>
                    </w:rPr>
                  </w:pPr>
                  <w:r>
                    <w:rPr>
                      <w:rFonts w:hint="eastAsia"/>
                    </w:rPr>
                    <w:t>3.强化企业环境风险防范设施设备建设和正常运行监管，建立常态化的企业隐患排查整治监管机制，涉危的风险企业应及时编制环境风险应急预案并定期更新，每年至少开展一次应急演练。强化应急物资储备和救援队伍建设。</w:t>
                  </w:r>
                </w:p>
                <w:p w14:paraId="61708CC9">
                  <w:pPr>
                    <w:pStyle w:val="51"/>
                    <w:bidi w:val="0"/>
                  </w:pPr>
                  <w:r>
                    <w:rPr>
                      <w:rFonts w:hint="eastAsia"/>
                    </w:rPr>
                    <w:t>4.加强风险防控体系建设，防范环境风险。稳妥处置突发环境污染事件，制定和完善污染事故处置应急预案，强化危险源、敏感点的监测、分析、预测、预警。</w:t>
                  </w:r>
                </w:p>
              </w:tc>
              <w:tc>
                <w:tcPr>
                  <w:tcW w:w="1326" w:type="dxa"/>
                  <w:tcBorders>
                    <w:tl2br w:val="nil"/>
                    <w:tr2bl w:val="nil"/>
                  </w:tcBorders>
                  <w:vAlign w:val="center"/>
                </w:tcPr>
                <w:p w14:paraId="3E55E0A0">
                  <w:pPr>
                    <w:pStyle w:val="51"/>
                    <w:bidi w:val="0"/>
                    <w:rPr>
                      <w:rFonts w:hint="default" w:eastAsia="宋体"/>
                      <w:lang w:val="en-US" w:eastAsia="zh-CN"/>
                    </w:rPr>
                  </w:pPr>
                  <w:r>
                    <w:rPr>
                      <w:rFonts w:hint="eastAsia"/>
                      <w:lang w:val="en-US" w:eastAsia="zh-CN"/>
                    </w:rPr>
                    <w:t>项目属于再生资源回收利用，不涉及危险废物及重金属，环境风险潜势等级为简单分析，</w:t>
                  </w:r>
                  <w:r>
                    <w:rPr>
                      <w:rFonts w:hint="eastAsia"/>
                    </w:rPr>
                    <w:t>一般固体废物暂存间、</w:t>
                  </w:r>
                  <w:r>
                    <w:rPr>
                      <w:rFonts w:hint="eastAsia"/>
                      <w:lang w:val="en-US" w:eastAsia="zh-CN"/>
                    </w:rPr>
                    <w:t>清洗漂浮槽</w:t>
                  </w:r>
                  <w:r>
                    <w:rPr>
                      <w:rFonts w:hint="eastAsia"/>
                    </w:rPr>
                    <w:t>等均进行了防渗处理</w:t>
                  </w:r>
                  <w:r>
                    <w:t>。</w:t>
                  </w:r>
                  <w:r>
                    <w:rPr>
                      <w:rFonts w:hint="eastAsia"/>
                      <w:lang w:val="en-US" w:eastAsia="zh-CN"/>
                    </w:rPr>
                    <w:t>项目后续按照要求编制环境风险应急预案。</w:t>
                  </w:r>
                </w:p>
              </w:tc>
              <w:tc>
                <w:tcPr>
                  <w:tcW w:w="529" w:type="dxa"/>
                  <w:tcBorders>
                    <w:tl2br w:val="nil"/>
                    <w:tr2bl w:val="nil"/>
                  </w:tcBorders>
                  <w:vAlign w:val="center"/>
                </w:tcPr>
                <w:p w14:paraId="30BA3E6D">
                  <w:pPr>
                    <w:pStyle w:val="51"/>
                    <w:bidi w:val="0"/>
                  </w:pPr>
                  <w:r>
                    <w:t>符合</w:t>
                  </w:r>
                </w:p>
              </w:tc>
            </w:tr>
            <w:tr w14:paraId="28E92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568" w:type="dxa"/>
                  <w:tcBorders>
                    <w:tl2br w:val="nil"/>
                    <w:tr2bl w:val="nil"/>
                  </w:tcBorders>
                  <w:vAlign w:val="center"/>
                </w:tcPr>
                <w:p w14:paraId="03D03B8B">
                  <w:pPr>
                    <w:pStyle w:val="51"/>
                    <w:bidi w:val="0"/>
                  </w:pPr>
                  <w:r>
                    <w:t>资源利用效率</w:t>
                  </w:r>
                </w:p>
              </w:tc>
              <w:tc>
                <w:tcPr>
                  <w:tcW w:w="4380" w:type="dxa"/>
                  <w:tcBorders>
                    <w:tl2br w:val="nil"/>
                    <w:tr2bl w:val="nil"/>
                  </w:tcBorders>
                  <w:vAlign w:val="center"/>
                </w:tcPr>
                <w:p w14:paraId="0EA21D6E">
                  <w:pPr>
                    <w:pStyle w:val="51"/>
                    <w:bidi w:val="0"/>
                  </w:pPr>
                  <w:r>
                    <w:rPr>
                      <w:rFonts w:hint="eastAsia"/>
                    </w:rPr>
                    <w:t>全面开展节水型社会建设，推进节水产品推广普及，限制高耗水服务业用水。</w:t>
                  </w:r>
                </w:p>
              </w:tc>
              <w:tc>
                <w:tcPr>
                  <w:tcW w:w="1326" w:type="dxa"/>
                  <w:tcBorders>
                    <w:tl2br w:val="nil"/>
                    <w:tr2bl w:val="nil"/>
                  </w:tcBorders>
                  <w:vAlign w:val="center"/>
                </w:tcPr>
                <w:p w14:paraId="52CA5E62">
                  <w:pPr>
                    <w:pStyle w:val="51"/>
                    <w:bidi w:val="0"/>
                  </w:pPr>
                  <w:r>
                    <w:rPr>
                      <w:rFonts w:hint="eastAsia"/>
                    </w:rPr>
                    <w:t>/</w:t>
                  </w:r>
                </w:p>
              </w:tc>
              <w:tc>
                <w:tcPr>
                  <w:tcW w:w="529" w:type="dxa"/>
                  <w:tcBorders>
                    <w:tl2br w:val="nil"/>
                    <w:tr2bl w:val="nil"/>
                  </w:tcBorders>
                  <w:vAlign w:val="center"/>
                </w:tcPr>
                <w:p w14:paraId="35AE1277">
                  <w:pPr>
                    <w:pStyle w:val="51"/>
                    <w:bidi w:val="0"/>
                  </w:pPr>
                  <w:r>
                    <w:rPr>
                      <w:rFonts w:hint="eastAsia"/>
                    </w:rPr>
                    <w:t>/</w:t>
                  </w:r>
                </w:p>
              </w:tc>
            </w:tr>
          </w:tbl>
          <w:p w14:paraId="39D0B9D0">
            <w:pPr>
              <w:pStyle w:val="41"/>
              <w:bidi w:val="0"/>
            </w:pPr>
            <w:r>
              <w:t>综合分析，本项目符合《吐鲁番市“三线一单”生态环境分区管控方案》</w:t>
            </w:r>
            <w:r>
              <w:rPr>
                <w:rFonts w:hint="eastAsia"/>
              </w:rPr>
              <w:t>（</w:t>
            </w:r>
            <w:r>
              <w:t>吐政办〔2021〕24号</w:t>
            </w:r>
            <w:r>
              <w:rPr>
                <w:rFonts w:hint="eastAsia"/>
              </w:rPr>
              <w:t>）</w:t>
            </w:r>
            <w:r>
              <w:t>要求。</w:t>
            </w:r>
          </w:p>
          <w:p w14:paraId="0086DF3C">
            <w:pPr>
              <w:pStyle w:val="4"/>
              <w:bidi w:val="0"/>
              <w:rPr>
                <w:rFonts w:hint="default"/>
                <w:color w:val="auto"/>
                <w:lang w:val="en-US" w:eastAsia="zh-CN"/>
              </w:rPr>
            </w:pPr>
            <w:r>
              <w:rPr>
                <w:rFonts w:hint="eastAsia"/>
                <w:color w:val="auto"/>
                <w:lang w:val="en-US" w:eastAsia="zh-CN"/>
              </w:rPr>
              <w:t>1.5</w:t>
            </w:r>
            <w:r>
              <w:rPr>
                <w:rFonts w:hint="default"/>
                <w:color w:val="auto"/>
                <w:lang w:val="en-US" w:eastAsia="zh-CN"/>
              </w:rPr>
              <w:t>选址合理性</w:t>
            </w:r>
            <w:r>
              <w:rPr>
                <w:rFonts w:hint="eastAsia"/>
                <w:color w:val="auto"/>
                <w:lang w:val="en-US" w:eastAsia="zh-CN"/>
              </w:rPr>
              <w:t>分析</w:t>
            </w:r>
          </w:p>
          <w:p w14:paraId="1E15E020">
            <w:pPr>
              <w:pStyle w:val="39"/>
              <w:bidi w:val="0"/>
              <w:rPr>
                <w:rFonts w:hint="default"/>
                <w:color w:val="auto"/>
                <w:lang w:val="en-US" w:eastAsia="zh-CN"/>
              </w:rPr>
            </w:pPr>
            <w:r>
              <w:rPr>
                <w:rFonts w:hint="default"/>
                <w:color w:val="auto"/>
                <w:lang w:val="en-US" w:eastAsia="zh-CN"/>
              </w:rPr>
              <w:t>本项目位于内鄯善县</w:t>
            </w:r>
            <w:r>
              <w:rPr>
                <w:rFonts w:hint="eastAsia"/>
                <w:color w:val="auto"/>
                <w:lang w:val="en-US" w:eastAsia="zh-CN"/>
              </w:rPr>
              <w:t>东侧，312国道以东</w:t>
            </w:r>
            <w:r>
              <w:rPr>
                <w:rFonts w:hint="default"/>
                <w:color w:val="auto"/>
                <w:lang w:val="en-US" w:eastAsia="zh-CN"/>
              </w:rPr>
              <w:t>，符合《新疆维吾尔自治区重点行业环境准入条件（修订）》要求。本项目为</w:t>
            </w:r>
            <w:r>
              <w:rPr>
                <w:rFonts w:hint="eastAsia"/>
                <w:lang w:val="en-US" w:eastAsia="zh-CN"/>
              </w:rPr>
              <w:t>回收</w:t>
            </w:r>
            <w:r>
              <w:rPr>
                <w:rFonts w:hint="eastAsia"/>
              </w:rPr>
              <w:t>其他厂家破碎中报废车辆处理后的破碎料（不含危险废物）</w:t>
            </w:r>
            <w:r>
              <w:rPr>
                <w:rFonts w:hint="eastAsia"/>
                <w:lang w:eastAsia="zh-CN"/>
              </w:rPr>
              <w:t>，</w:t>
            </w:r>
            <w:r>
              <w:rPr>
                <w:rFonts w:hint="eastAsia"/>
                <w:lang w:val="en-US" w:eastAsia="zh-CN"/>
              </w:rPr>
              <w:t>通过分选-磁选等工艺对其中铁、不锈钢等物质进行回收，</w:t>
            </w:r>
            <w:r>
              <w:rPr>
                <w:rFonts w:hint="default"/>
                <w:color w:val="auto"/>
                <w:lang w:val="en-US" w:eastAsia="zh-CN"/>
              </w:rPr>
              <w:t>拟建厂址的有利条件主要有以下几个方面：</w:t>
            </w:r>
          </w:p>
          <w:p w14:paraId="0A539B8F">
            <w:pPr>
              <w:pStyle w:val="39"/>
              <w:bidi w:val="0"/>
              <w:rPr>
                <w:rFonts w:hint="default"/>
                <w:color w:val="auto"/>
                <w:lang w:val="en-US" w:eastAsia="zh-CN"/>
              </w:rPr>
            </w:pPr>
            <w:r>
              <w:rPr>
                <w:rFonts w:hint="default"/>
                <w:color w:val="auto"/>
                <w:lang w:val="en-US" w:eastAsia="zh-CN"/>
              </w:rPr>
              <w:t>（1）环境敏感程度</w:t>
            </w:r>
          </w:p>
          <w:p w14:paraId="5D51DEC5">
            <w:pPr>
              <w:pStyle w:val="39"/>
              <w:bidi w:val="0"/>
              <w:rPr>
                <w:rFonts w:hint="default"/>
                <w:color w:val="auto"/>
                <w:lang w:val="en-US" w:eastAsia="zh-CN"/>
              </w:rPr>
            </w:pPr>
            <w:r>
              <w:rPr>
                <w:rFonts w:hint="default"/>
                <w:color w:val="auto"/>
                <w:lang w:val="en-US" w:eastAsia="zh-CN"/>
              </w:rPr>
              <w:t>本项目位于鄯善县</w:t>
            </w:r>
            <w:r>
              <w:rPr>
                <w:rFonts w:hint="eastAsia"/>
                <w:color w:val="auto"/>
                <w:lang w:val="en-US" w:eastAsia="zh-CN"/>
              </w:rPr>
              <w:t>东侧，312国道以东</w:t>
            </w:r>
            <w:r>
              <w:rPr>
                <w:rFonts w:hint="default"/>
                <w:color w:val="auto"/>
                <w:lang w:val="en-US" w:eastAsia="zh-CN"/>
              </w:rPr>
              <w:t>，项目评价范围内无国家法律、法规、行政规章及规划确定或县级以上人民政府批准的自然保护区、生态功能保护区、风景名胜区、饮用水水源保护区等需要特殊保护的地区；</w:t>
            </w:r>
            <w:r>
              <w:rPr>
                <w:rFonts w:hint="eastAsia"/>
                <w:color w:val="auto"/>
                <w:lang w:val="en-US" w:eastAsia="zh-CN"/>
              </w:rPr>
              <w:t>周边不属于</w:t>
            </w:r>
            <w:r>
              <w:rPr>
                <w:rFonts w:hint="eastAsia"/>
              </w:rPr>
              <w:t>居民集中区</w:t>
            </w:r>
            <w:r>
              <w:rPr>
                <w:rFonts w:hint="default"/>
                <w:color w:val="auto"/>
                <w:lang w:val="en-US" w:eastAsia="zh-CN"/>
              </w:rPr>
              <w:t>，故本项目厂址环境敏感程度不高。</w:t>
            </w:r>
          </w:p>
          <w:p w14:paraId="6E936078">
            <w:pPr>
              <w:pStyle w:val="39"/>
              <w:bidi w:val="0"/>
              <w:rPr>
                <w:rFonts w:hint="default"/>
                <w:color w:val="auto"/>
                <w:lang w:val="en-US" w:eastAsia="zh-CN"/>
              </w:rPr>
            </w:pPr>
            <w:r>
              <w:rPr>
                <w:rFonts w:hint="default"/>
                <w:color w:val="auto"/>
                <w:lang w:val="en-US" w:eastAsia="zh-CN"/>
              </w:rPr>
              <w:t>（2）周边环境</w:t>
            </w:r>
          </w:p>
          <w:p w14:paraId="60AC4EE5">
            <w:pPr>
              <w:pStyle w:val="39"/>
              <w:bidi w:val="0"/>
              <w:rPr>
                <w:rFonts w:hint="default"/>
                <w:color w:val="auto"/>
                <w:lang w:val="en-US" w:eastAsia="zh-CN"/>
              </w:rPr>
            </w:pPr>
            <w:r>
              <w:rPr>
                <w:rFonts w:hint="default"/>
                <w:color w:val="auto"/>
                <w:lang w:val="en-US" w:eastAsia="zh-CN"/>
              </w:rPr>
              <w:t>本项目建设场地周边交通方便，</w:t>
            </w:r>
            <w:r>
              <w:rPr>
                <w:rFonts w:hint="eastAsia"/>
                <w:color w:val="auto"/>
                <w:lang w:val="en-US" w:eastAsia="zh-CN"/>
              </w:rPr>
              <w:t>距离西侧312国道约为500m</w:t>
            </w:r>
            <w:r>
              <w:rPr>
                <w:rFonts w:hint="default"/>
                <w:color w:val="auto"/>
                <w:lang w:val="en-US" w:eastAsia="zh-CN"/>
              </w:rPr>
              <w:t>，项目交通运输、供水供电等条件能够满足项目建设需要，可确保本项目与周边总体协调发展。</w:t>
            </w:r>
          </w:p>
          <w:p w14:paraId="1F2DBEE4">
            <w:pPr>
              <w:pStyle w:val="39"/>
              <w:bidi w:val="0"/>
              <w:rPr>
                <w:rFonts w:hint="default"/>
                <w:color w:val="auto"/>
                <w:lang w:val="en-US" w:eastAsia="zh-CN"/>
              </w:rPr>
            </w:pPr>
            <w:r>
              <w:rPr>
                <w:rFonts w:hint="default"/>
                <w:color w:val="auto"/>
                <w:lang w:val="en-US" w:eastAsia="zh-CN"/>
              </w:rPr>
              <w:t>（3）环境容量分析</w:t>
            </w:r>
          </w:p>
          <w:p w14:paraId="52C2AE97">
            <w:pPr>
              <w:pStyle w:val="39"/>
              <w:bidi w:val="0"/>
              <w:rPr>
                <w:rFonts w:hint="default"/>
                <w:color w:val="auto"/>
                <w:lang w:val="en-US" w:eastAsia="zh-CN"/>
              </w:rPr>
            </w:pPr>
            <w:r>
              <w:rPr>
                <w:rFonts w:hint="default"/>
                <w:color w:val="auto"/>
                <w:lang w:val="en-US" w:eastAsia="zh-CN"/>
              </w:rPr>
              <w:t>根据环境功能区划，项目所在区域CO、O</w:t>
            </w:r>
            <w:r>
              <w:rPr>
                <w:rFonts w:hint="default"/>
                <w:color w:val="auto"/>
                <w:vertAlign w:val="subscript"/>
                <w:lang w:val="en-US" w:eastAsia="zh-CN"/>
              </w:rPr>
              <w:t>3</w:t>
            </w:r>
            <w:r>
              <w:rPr>
                <w:rFonts w:hint="default"/>
                <w:color w:val="auto"/>
                <w:lang w:val="en-US" w:eastAsia="zh-CN"/>
              </w:rPr>
              <w:t>、SO</w:t>
            </w:r>
            <w:r>
              <w:rPr>
                <w:rFonts w:hint="default"/>
                <w:color w:val="auto"/>
                <w:vertAlign w:val="subscript"/>
                <w:lang w:val="en-US" w:eastAsia="zh-CN"/>
              </w:rPr>
              <w:t>2</w:t>
            </w:r>
            <w:r>
              <w:rPr>
                <w:rFonts w:hint="default"/>
                <w:color w:val="auto"/>
                <w:lang w:val="en-US" w:eastAsia="zh-CN"/>
              </w:rPr>
              <w:t>、NO</w:t>
            </w:r>
            <w:r>
              <w:rPr>
                <w:rFonts w:hint="default"/>
                <w:color w:val="auto"/>
                <w:vertAlign w:val="subscript"/>
                <w:lang w:val="en-US" w:eastAsia="zh-CN"/>
              </w:rPr>
              <w:t>2</w:t>
            </w:r>
            <w:r>
              <w:rPr>
                <w:rFonts w:hint="default"/>
                <w:color w:val="auto"/>
                <w:lang w:val="en-US" w:eastAsia="zh-CN"/>
              </w:rPr>
              <w:t>均满足《环境空气质量标准》GB3095-2012）的二级标准要求、PM</w:t>
            </w:r>
            <w:r>
              <w:rPr>
                <w:rFonts w:hint="default"/>
                <w:color w:val="auto"/>
                <w:vertAlign w:val="subscript"/>
                <w:lang w:val="en-US" w:eastAsia="zh-CN"/>
              </w:rPr>
              <w:t>10</w:t>
            </w:r>
            <w:r>
              <w:rPr>
                <w:rFonts w:hint="default"/>
                <w:color w:val="auto"/>
                <w:lang w:val="en-US" w:eastAsia="zh-CN"/>
              </w:rPr>
              <w:t>、PM</w:t>
            </w:r>
            <w:r>
              <w:rPr>
                <w:rFonts w:hint="default"/>
                <w:color w:val="auto"/>
                <w:vertAlign w:val="subscript"/>
                <w:lang w:val="en-US" w:eastAsia="zh-CN"/>
              </w:rPr>
              <w:t>2.5</w:t>
            </w:r>
            <w:r>
              <w:rPr>
                <w:rFonts w:hint="default"/>
                <w:color w:val="auto"/>
                <w:lang w:val="en-US" w:eastAsia="zh-CN"/>
              </w:rPr>
              <w:t>均不满足《环境空气质量标准》GB3095-2012）的二级标准要求，本项目所在区域为非达标区域；声环境质量达到《声环境质量标准》(GB3096-2008)3类区标准。</w:t>
            </w:r>
          </w:p>
          <w:p w14:paraId="17377D55">
            <w:pPr>
              <w:pStyle w:val="39"/>
              <w:bidi w:val="0"/>
              <w:rPr>
                <w:rFonts w:hint="default"/>
                <w:color w:val="auto"/>
                <w:lang w:val="en-US" w:eastAsia="zh-CN"/>
              </w:rPr>
            </w:pPr>
            <w:r>
              <w:rPr>
                <w:rFonts w:hint="default"/>
                <w:color w:val="auto"/>
                <w:lang w:val="en-US" w:eastAsia="zh-CN"/>
              </w:rPr>
              <w:t>区域环境现状能够满足环境功能区划的要求，项目所在地具有一定的环境容量，厂址与区域的环境质量现状基本相容。从环境影响预测结果来看，本项目建设不会改变区域地下水、土壤、环境空气、声环境等的功能要求。</w:t>
            </w:r>
          </w:p>
          <w:p w14:paraId="68C5E1CC">
            <w:pPr>
              <w:pStyle w:val="39"/>
              <w:bidi w:val="0"/>
              <w:rPr>
                <w:rFonts w:hint="default"/>
                <w:color w:val="auto"/>
                <w:lang w:val="en-US" w:eastAsia="zh-CN"/>
              </w:rPr>
            </w:pPr>
            <w:r>
              <w:rPr>
                <w:rFonts w:hint="default"/>
                <w:color w:val="auto"/>
                <w:lang w:val="en-US" w:eastAsia="zh-CN"/>
              </w:rPr>
              <w:t>综上所述，本项目选址合理。</w:t>
            </w:r>
          </w:p>
          <w:p w14:paraId="703730FE">
            <w:pPr>
              <w:pStyle w:val="39"/>
              <w:bidi w:val="0"/>
              <w:rPr>
                <w:rFonts w:hint="default"/>
                <w:color w:val="auto"/>
                <w:lang w:val="en-US" w:eastAsia="zh-CN"/>
              </w:rPr>
            </w:pPr>
          </w:p>
          <w:p w14:paraId="3A0F7E54">
            <w:pPr>
              <w:pStyle w:val="39"/>
              <w:bidi w:val="0"/>
              <w:rPr>
                <w:rFonts w:hint="default"/>
                <w:color w:val="auto"/>
                <w:lang w:val="en-US" w:eastAsia="zh-CN"/>
              </w:rPr>
            </w:pPr>
          </w:p>
          <w:p w14:paraId="22956E76">
            <w:pPr>
              <w:pStyle w:val="39"/>
              <w:bidi w:val="0"/>
              <w:rPr>
                <w:rFonts w:hint="default"/>
                <w:color w:val="auto"/>
                <w:lang w:val="en-US" w:eastAsia="zh-CN"/>
              </w:rPr>
            </w:pPr>
          </w:p>
          <w:p w14:paraId="1BFE77EB">
            <w:pPr>
              <w:pStyle w:val="39"/>
              <w:bidi w:val="0"/>
              <w:rPr>
                <w:rFonts w:hint="default"/>
                <w:color w:val="auto"/>
                <w:lang w:val="en-US" w:eastAsia="zh-CN"/>
              </w:rPr>
            </w:pPr>
          </w:p>
          <w:p w14:paraId="2C24663A">
            <w:pPr>
              <w:pStyle w:val="39"/>
              <w:bidi w:val="0"/>
              <w:rPr>
                <w:rFonts w:hint="default"/>
                <w:color w:val="auto"/>
                <w:lang w:val="en-US" w:eastAsia="zh-CN"/>
              </w:rPr>
            </w:pPr>
          </w:p>
          <w:p w14:paraId="08211340">
            <w:pPr>
              <w:pStyle w:val="39"/>
              <w:bidi w:val="0"/>
              <w:rPr>
                <w:rFonts w:hint="default"/>
                <w:color w:val="auto"/>
                <w:lang w:val="en-US" w:eastAsia="zh-CN"/>
              </w:rPr>
            </w:pPr>
          </w:p>
          <w:p w14:paraId="12DD4F6E">
            <w:pPr>
              <w:pStyle w:val="39"/>
              <w:bidi w:val="0"/>
              <w:rPr>
                <w:rFonts w:hint="default"/>
                <w:color w:val="auto"/>
                <w:lang w:val="en-US" w:eastAsia="zh-CN"/>
              </w:rPr>
            </w:pPr>
          </w:p>
          <w:p w14:paraId="250CEC91">
            <w:pPr>
              <w:pStyle w:val="39"/>
              <w:bidi w:val="0"/>
              <w:rPr>
                <w:rFonts w:hint="default"/>
                <w:color w:val="auto"/>
                <w:lang w:val="en-US" w:eastAsia="zh-CN"/>
              </w:rPr>
            </w:pPr>
          </w:p>
          <w:p w14:paraId="0131EFD3">
            <w:pPr>
              <w:pStyle w:val="39"/>
              <w:bidi w:val="0"/>
              <w:rPr>
                <w:rFonts w:hint="default"/>
                <w:color w:val="auto"/>
                <w:lang w:val="en-US" w:eastAsia="zh-CN"/>
              </w:rPr>
            </w:pPr>
          </w:p>
          <w:p w14:paraId="7EDC6BBA">
            <w:pPr>
              <w:pStyle w:val="39"/>
              <w:bidi w:val="0"/>
              <w:rPr>
                <w:rFonts w:hint="default"/>
                <w:color w:val="auto"/>
                <w:lang w:val="en-US" w:eastAsia="zh-CN"/>
              </w:rPr>
            </w:pPr>
          </w:p>
          <w:p w14:paraId="72326147">
            <w:pPr>
              <w:pStyle w:val="39"/>
              <w:bidi w:val="0"/>
              <w:rPr>
                <w:rFonts w:hint="default"/>
                <w:color w:val="auto"/>
                <w:lang w:val="en-US" w:eastAsia="zh-CN"/>
              </w:rPr>
            </w:pPr>
          </w:p>
          <w:p w14:paraId="047069A2">
            <w:pPr>
              <w:pStyle w:val="39"/>
              <w:bidi w:val="0"/>
              <w:rPr>
                <w:rFonts w:hint="default"/>
                <w:color w:val="auto"/>
                <w:lang w:val="en-US" w:eastAsia="zh-CN"/>
              </w:rPr>
            </w:pPr>
          </w:p>
          <w:p w14:paraId="1885131D">
            <w:pPr>
              <w:pStyle w:val="39"/>
              <w:bidi w:val="0"/>
              <w:rPr>
                <w:rFonts w:hint="default"/>
                <w:color w:val="auto"/>
                <w:lang w:val="en-US" w:eastAsia="zh-CN"/>
              </w:rPr>
            </w:pPr>
          </w:p>
          <w:p w14:paraId="1235EE88">
            <w:pPr>
              <w:pStyle w:val="39"/>
              <w:bidi w:val="0"/>
              <w:rPr>
                <w:rFonts w:hint="default"/>
                <w:color w:val="auto"/>
                <w:lang w:val="en-US" w:eastAsia="zh-CN"/>
              </w:rPr>
            </w:pPr>
          </w:p>
          <w:p w14:paraId="09A6EA33">
            <w:pPr>
              <w:pStyle w:val="39"/>
              <w:bidi w:val="0"/>
              <w:rPr>
                <w:rFonts w:hint="default"/>
                <w:color w:val="auto"/>
                <w:lang w:val="en-US" w:eastAsia="zh-CN"/>
              </w:rPr>
            </w:pPr>
          </w:p>
          <w:p w14:paraId="577FBD43">
            <w:pPr>
              <w:pStyle w:val="39"/>
              <w:bidi w:val="0"/>
              <w:rPr>
                <w:rFonts w:hint="default"/>
                <w:color w:val="auto"/>
                <w:lang w:val="en-US" w:eastAsia="zh-CN"/>
              </w:rPr>
            </w:pPr>
          </w:p>
          <w:p w14:paraId="4B5ACBB8">
            <w:pPr>
              <w:pStyle w:val="39"/>
              <w:bidi w:val="0"/>
              <w:rPr>
                <w:rFonts w:hint="default"/>
                <w:color w:val="auto"/>
                <w:lang w:val="en-US" w:eastAsia="zh-CN"/>
              </w:rPr>
            </w:pPr>
          </w:p>
          <w:p w14:paraId="2C847E36">
            <w:pPr>
              <w:pStyle w:val="39"/>
              <w:bidi w:val="0"/>
              <w:rPr>
                <w:rFonts w:hint="default"/>
                <w:color w:val="auto"/>
                <w:lang w:val="en-US" w:eastAsia="zh-CN"/>
              </w:rPr>
            </w:pPr>
          </w:p>
          <w:p w14:paraId="63DE8AD6">
            <w:pPr>
              <w:pStyle w:val="39"/>
              <w:bidi w:val="0"/>
              <w:rPr>
                <w:rFonts w:hint="eastAsia"/>
                <w:color w:val="auto"/>
                <w:lang w:val="en-US" w:eastAsia="zh-CN"/>
              </w:rPr>
            </w:pPr>
          </w:p>
        </w:tc>
      </w:tr>
    </w:tbl>
    <w:p w14:paraId="4E2F8007">
      <w:pPr>
        <w:spacing w:line="360" w:lineRule="auto"/>
        <w:outlineLvl w:val="9"/>
        <w:rPr>
          <w:rFonts w:eastAsia="黑体"/>
          <w:color w:val="auto"/>
          <w:sz w:val="30"/>
        </w:rPr>
        <w:sectPr>
          <w:footerReference r:id="rId6"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14:paraId="02B43279">
      <w:pPr>
        <w:pStyle w:val="27"/>
        <w:jc w:val="center"/>
        <w:outlineLvl w:val="0"/>
        <w:rPr>
          <w:rFonts w:ascii="黑体" w:hAnsi="黑体" w:eastAsia="黑体"/>
          <w:snapToGrid w:val="0"/>
          <w:color w:val="auto"/>
          <w:sz w:val="30"/>
          <w:szCs w:val="30"/>
        </w:rPr>
      </w:pPr>
      <w:bookmarkStart w:id="33" w:name="_Toc26899"/>
      <w:bookmarkStart w:id="34" w:name="_Toc21764"/>
      <w:r>
        <w:rPr>
          <w:rFonts w:hint="eastAsia" w:ascii="黑体" w:hAnsi="黑体" w:eastAsia="黑体"/>
          <w:snapToGrid w:val="0"/>
          <w:color w:val="auto"/>
          <w:sz w:val="30"/>
          <w:szCs w:val="30"/>
        </w:rPr>
        <w:t>二、建设项目工程分析</w:t>
      </w:r>
      <w:bookmarkEnd w:id="33"/>
      <w:bookmarkEnd w:id="34"/>
    </w:p>
    <w:tbl>
      <w:tblPr>
        <w:tblStyle w:val="31"/>
        <w:tblW w:w="87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8"/>
        <w:gridCol w:w="8129"/>
      </w:tblGrid>
      <w:tr w14:paraId="038236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58" w:type="dxa"/>
            <w:vAlign w:val="center"/>
          </w:tcPr>
          <w:p w14:paraId="64AE5946">
            <w:pPr>
              <w:pStyle w:val="27"/>
              <w:adjustRightInd w:val="0"/>
              <w:snapToGrid w:val="0"/>
              <w:spacing w:before="0" w:beforeAutospacing="0" w:after="0" w:afterAutospacing="0"/>
              <w:jc w:val="center"/>
              <w:rPr>
                <w:rFonts w:cs="宋体"/>
                <w:color w:val="auto"/>
                <w:sz w:val="21"/>
                <w:szCs w:val="21"/>
              </w:rPr>
            </w:pPr>
            <w:r>
              <w:rPr>
                <w:rFonts w:hint="eastAsia" w:cs="宋体"/>
                <w:color w:val="auto"/>
                <w:sz w:val="21"/>
                <w:szCs w:val="21"/>
              </w:rPr>
              <w:t>建设内容</w:t>
            </w:r>
          </w:p>
        </w:tc>
        <w:tc>
          <w:tcPr>
            <w:tcW w:w="8129" w:type="dxa"/>
            <w:vAlign w:val="top"/>
          </w:tcPr>
          <w:p w14:paraId="0FBD4BF2">
            <w:pPr>
              <w:pStyle w:val="4"/>
              <w:bidi w:val="0"/>
              <w:rPr>
                <w:color w:val="auto"/>
              </w:rPr>
            </w:pPr>
            <w:r>
              <w:rPr>
                <w:rFonts w:hint="eastAsia"/>
                <w:color w:val="auto"/>
              </w:rPr>
              <w:t>2.</w:t>
            </w:r>
            <w:r>
              <w:rPr>
                <w:rFonts w:hint="eastAsia"/>
                <w:color w:val="auto"/>
                <w:lang w:val="en-US" w:eastAsia="zh-CN"/>
              </w:rPr>
              <w:t>1</w:t>
            </w:r>
            <w:r>
              <w:rPr>
                <w:color w:val="auto"/>
              </w:rPr>
              <w:t>项目基本情况</w:t>
            </w:r>
          </w:p>
          <w:p w14:paraId="17B1EE1D">
            <w:pPr>
              <w:pStyle w:val="39"/>
              <w:bidi w:val="0"/>
              <w:rPr>
                <w:rFonts w:hint="default" w:eastAsia="宋体"/>
                <w:color w:val="auto"/>
                <w:lang w:val="en-US" w:eastAsia="zh-CN"/>
              </w:rPr>
            </w:pPr>
            <w:r>
              <w:rPr>
                <w:rFonts w:hint="default" w:ascii="宋体" w:hAnsi="宋体" w:cs="宋体"/>
                <w:color w:val="auto"/>
                <w:sz w:val="24"/>
                <w:szCs w:val="24"/>
                <w:lang w:val="en-US"/>
              </w:rPr>
              <w:t>鄯善县强盛再生资源回收利用项目</w:t>
            </w:r>
            <w:r>
              <w:rPr>
                <w:rFonts w:hint="eastAsia" w:ascii="宋体" w:hAnsi="宋体" w:cs="宋体"/>
                <w:color w:val="auto"/>
                <w:sz w:val="24"/>
                <w:szCs w:val="24"/>
                <w:lang w:val="en-US" w:eastAsia="zh-CN"/>
              </w:rPr>
              <w:t>，主要</w:t>
            </w:r>
            <w:r>
              <w:rPr>
                <w:rFonts w:hint="eastAsia"/>
                <w:color w:val="auto"/>
                <w:lang w:val="en-US" w:eastAsia="zh-CN"/>
              </w:rPr>
              <w:t>回收</w:t>
            </w:r>
            <w:r>
              <w:rPr>
                <w:rFonts w:hint="eastAsia"/>
                <w:color w:val="auto"/>
              </w:rPr>
              <w:t>其他厂家破碎中报废车辆处理后的破碎料（不含危险废物）</w:t>
            </w:r>
            <w:r>
              <w:rPr>
                <w:rFonts w:hint="eastAsia"/>
                <w:color w:val="auto"/>
                <w:lang w:eastAsia="zh-CN"/>
              </w:rPr>
              <w:t>，</w:t>
            </w:r>
            <w:r>
              <w:rPr>
                <w:rFonts w:hint="eastAsia"/>
                <w:color w:val="auto"/>
                <w:lang w:val="en-US" w:eastAsia="zh-CN"/>
              </w:rPr>
              <w:t>通过分选-磁选，漂浮选，静电分选等工艺对其中铁、不锈钢、橡胶、塑料等物质进行筛选回收，年处理固废20000吨/a</w:t>
            </w:r>
            <w:r>
              <w:rPr>
                <w:rFonts w:hint="eastAsia" w:ascii="宋体" w:hAnsi="宋体" w:cs="宋体"/>
                <w:color w:val="auto"/>
                <w:sz w:val="24"/>
                <w:szCs w:val="24"/>
                <w:lang w:val="en-US" w:eastAsia="zh-CN"/>
              </w:rPr>
              <w:t>。</w:t>
            </w:r>
            <w:r>
              <w:rPr>
                <w:rFonts w:hint="eastAsia"/>
                <w:color w:val="auto"/>
                <w:lang w:val="en-US" w:eastAsia="zh-CN"/>
              </w:rPr>
              <w:t>项目位于鄯善县东侧，312国道以东约500m处，租赁个人已建的标准厂房，不新增占地，现有厂区占地面积约为6000m</w:t>
            </w:r>
            <w:r>
              <w:rPr>
                <w:rFonts w:hint="eastAsia"/>
                <w:color w:val="auto"/>
                <w:vertAlign w:val="superscript"/>
                <w:lang w:val="en-US" w:eastAsia="zh-CN"/>
              </w:rPr>
              <w:t>2</w:t>
            </w:r>
            <w:r>
              <w:rPr>
                <w:rFonts w:hint="eastAsia"/>
                <w:color w:val="auto"/>
                <w:lang w:val="en-US" w:eastAsia="zh-CN"/>
              </w:rPr>
              <w:t>，其中生产车间为1F建筑物，占地面位约为1000m</w:t>
            </w:r>
            <w:r>
              <w:rPr>
                <w:rFonts w:hint="eastAsia"/>
                <w:color w:val="auto"/>
                <w:vertAlign w:val="superscript"/>
                <w:lang w:val="en-US" w:eastAsia="zh-CN"/>
              </w:rPr>
              <w:t>2</w:t>
            </w:r>
            <w:r>
              <w:rPr>
                <w:rFonts w:hint="eastAsia"/>
                <w:color w:val="auto"/>
                <w:lang w:val="en-US" w:eastAsia="zh-CN"/>
              </w:rPr>
              <w:t>；办公楼为1F建筑物，占地面积为200m</w:t>
            </w:r>
            <w:r>
              <w:rPr>
                <w:rFonts w:hint="eastAsia"/>
                <w:color w:val="auto"/>
                <w:vertAlign w:val="superscript"/>
                <w:lang w:val="en-US" w:eastAsia="zh-CN"/>
              </w:rPr>
              <w:t>2</w:t>
            </w:r>
            <w:r>
              <w:rPr>
                <w:rFonts w:hint="eastAsia"/>
                <w:color w:val="auto"/>
                <w:lang w:val="en-US" w:eastAsia="zh-CN"/>
              </w:rPr>
              <w:t>；现有厂房、办公楼等设施均已建设完成，本项目无需再进行施工建设；项目供水、供电、供暖、排水等公用设施齐全，本项目仅需要安装生产设备、环保设施即可进行生产运营。</w:t>
            </w:r>
          </w:p>
          <w:p w14:paraId="50194EED">
            <w:pPr>
              <w:pStyle w:val="4"/>
              <w:bidi w:val="0"/>
              <w:rPr>
                <w:rFonts w:hint="eastAsia"/>
                <w:color w:val="auto"/>
              </w:rPr>
            </w:pPr>
            <w:r>
              <w:rPr>
                <w:rFonts w:hint="eastAsia"/>
                <w:color w:val="auto"/>
              </w:rPr>
              <w:t>2.</w:t>
            </w:r>
            <w:r>
              <w:rPr>
                <w:rFonts w:hint="eastAsia"/>
                <w:color w:val="auto"/>
                <w:lang w:val="en-US" w:eastAsia="zh-CN"/>
              </w:rPr>
              <w:t>2</w:t>
            </w:r>
            <w:r>
              <w:rPr>
                <w:color w:val="auto"/>
              </w:rPr>
              <w:t>工程</w:t>
            </w:r>
            <w:r>
              <w:rPr>
                <w:rFonts w:hint="eastAsia"/>
                <w:color w:val="auto"/>
              </w:rPr>
              <w:t>建设</w:t>
            </w:r>
            <w:r>
              <w:rPr>
                <w:color w:val="auto"/>
              </w:rPr>
              <w:t>内容</w:t>
            </w:r>
          </w:p>
          <w:p w14:paraId="135BD073">
            <w:pPr>
              <w:pStyle w:val="39"/>
              <w:bidi w:val="0"/>
              <w:rPr>
                <w:rFonts w:hint="eastAsia"/>
                <w:color w:val="auto"/>
                <w:lang w:val="en-US" w:eastAsia="zh-CN"/>
              </w:rPr>
            </w:pPr>
            <w:r>
              <w:rPr>
                <w:rFonts w:hint="eastAsia"/>
                <w:color w:val="auto"/>
              </w:rPr>
              <w:t>本项目主要建设内容</w:t>
            </w:r>
            <w:r>
              <w:rPr>
                <w:rFonts w:hint="eastAsia"/>
                <w:color w:val="auto"/>
                <w:lang w:val="en-US" w:eastAsia="zh-CN"/>
              </w:rPr>
              <w:t>见表2-1。</w:t>
            </w:r>
          </w:p>
          <w:p w14:paraId="7C0528E8">
            <w:pPr>
              <w:pStyle w:val="46"/>
              <w:bidi w:val="0"/>
              <w:rPr>
                <w:rFonts w:hint="default"/>
                <w:color w:val="auto"/>
                <w:lang w:val="en-US" w:eastAsia="zh-CN"/>
              </w:rPr>
            </w:pPr>
            <w:r>
              <w:rPr>
                <w:color w:val="auto"/>
              </w:rPr>
              <w:t>表</w:t>
            </w:r>
            <w:r>
              <w:rPr>
                <w:rFonts w:hint="eastAsia"/>
                <w:color w:val="auto"/>
                <w:lang w:val="en-US" w:eastAsia="zh-CN"/>
              </w:rPr>
              <w:t>2</w:t>
            </w:r>
            <w:r>
              <w:rPr>
                <w:color w:val="auto"/>
              </w:rPr>
              <w:t>-</w:t>
            </w:r>
            <w:r>
              <w:rPr>
                <w:rFonts w:hint="eastAsia"/>
                <w:color w:val="auto"/>
                <w:lang w:val="en-US" w:eastAsia="zh-CN"/>
              </w:rPr>
              <w:t xml:space="preserve">1 </w:t>
            </w:r>
            <w:r>
              <w:rPr>
                <w:rFonts w:hint="eastAsia"/>
                <w:color w:val="auto"/>
              </w:rPr>
              <w:t xml:space="preserve">  </w:t>
            </w:r>
            <w:r>
              <w:rPr>
                <w:rFonts w:hint="eastAsia"/>
                <w:color w:val="auto"/>
                <w:lang w:val="en-US" w:eastAsia="zh-CN"/>
              </w:rPr>
              <w:t>拟建项目工程组成一览表</w:t>
            </w:r>
          </w:p>
          <w:tbl>
            <w:tblPr>
              <w:tblStyle w:val="32"/>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103"/>
              <w:gridCol w:w="4822"/>
              <w:gridCol w:w="700"/>
            </w:tblGrid>
            <w:tr w14:paraId="06E57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312" w:type="dxa"/>
                  <w:tcBorders>
                    <w:tl2br w:val="nil"/>
                    <w:tr2bl w:val="nil"/>
                  </w:tcBorders>
                  <w:vAlign w:val="center"/>
                </w:tcPr>
                <w:p w14:paraId="2DEC20A0">
                  <w:pPr>
                    <w:pStyle w:val="51"/>
                    <w:bidi w:val="0"/>
                    <w:rPr>
                      <w:rFonts w:hint="default"/>
                      <w:color w:val="auto"/>
                    </w:rPr>
                  </w:pPr>
                  <w:r>
                    <w:rPr>
                      <w:rFonts w:hint="eastAsia"/>
                      <w:color w:val="auto"/>
                    </w:rPr>
                    <w:t>工程类别</w:t>
                  </w:r>
                </w:p>
              </w:tc>
              <w:tc>
                <w:tcPr>
                  <w:tcW w:w="5925" w:type="dxa"/>
                  <w:gridSpan w:val="2"/>
                  <w:tcBorders>
                    <w:tl2br w:val="nil"/>
                    <w:tr2bl w:val="nil"/>
                  </w:tcBorders>
                  <w:vAlign w:val="center"/>
                </w:tcPr>
                <w:p w14:paraId="6150B1B6">
                  <w:pPr>
                    <w:pStyle w:val="51"/>
                    <w:bidi w:val="0"/>
                    <w:rPr>
                      <w:rFonts w:hint="eastAsia"/>
                      <w:color w:val="auto"/>
                    </w:rPr>
                  </w:pPr>
                  <w:r>
                    <w:rPr>
                      <w:rFonts w:hint="eastAsia"/>
                      <w:color w:val="auto"/>
                    </w:rPr>
                    <w:t>工程内容</w:t>
                  </w:r>
                </w:p>
              </w:tc>
              <w:tc>
                <w:tcPr>
                  <w:tcW w:w="700" w:type="dxa"/>
                  <w:tcBorders>
                    <w:tl2br w:val="nil"/>
                    <w:tr2bl w:val="nil"/>
                  </w:tcBorders>
                  <w:vAlign w:val="center"/>
                </w:tcPr>
                <w:p w14:paraId="6B868F18">
                  <w:pPr>
                    <w:pStyle w:val="51"/>
                    <w:bidi w:val="0"/>
                    <w:rPr>
                      <w:rFonts w:hint="eastAsia" w:eastAsia="宋体"/>
                      <w:color w:val="auto"/>
                      <w:lang w:val="en-US" w:eastAsia="zh-CN"/>
                    </w:rPr>
                  </w:pPr>
                  <w:r>
                    <w:rPr>
                      <w:rFonts w:hint="eastAsia"/>
                      <w:color w:val="auto"/>
                      <w:lang w:val="en-US" w:eastAsia="zh-CN"/>
                    </w:rPr>
                    <w:t>备注</w:t>
                  </w:r>
                </w:p>
              </w:tc>
            </w:tr>
            <w:tr w14:paraId="5869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1312" w:type="dxa"/>
                  <w:vMerge w:val="restart"/>
                  <w:tcBorders>
                    <w:tl2br w:val="nil"/>
                    <w:tr2bl w:val="nil"/>
                  </w:tcBorders>
                  <w:vAlign w:val="center"/>
                </w:tcPr>
                <w:p w14:paraId="7395C0EE">
                  <w:pPr>
                    <w:pStyle w:val="51"/>
                    <w:bidi w:val="0"/>
                    <w:rPr>
                      <w:rFonts w:hint="default"/>
                      <w:color w:val="auto"/>
                      <w:lang w:val="en-US" w:eastAsia="zh-CN"/>
                    </w:rPr>
                  </w:pPr>
                  <w:r>
                    <w:rPr>
                      <w:rFonts w:hint="eastAsia"/>
                      <w:color w:val="auto"/>
                      <w:lang w:val="en-US" w:eastAsia="zh-CN"/>
                    </w:rPr>
                    <w:t>主体工程</w:t>
                  </w:r>
                </w:p>
              </w:tc>
              <w:tc>
                <w:tcPr>
                  <w:tcW w:w="1103" w:type="dxa"/>
                  <w:tcBorders>
                    <w:tl2br w:val="nil"/>
                    <w:tr2bl w:val="nil"/>
                  </w:tcBorders>
                  <w:vAlign w:val="center"/>
                </w:tcPr>
                <w:p w14:paraId="5A567BFE">
                  <w:pPr>
                    <w:pStyle w:val="51"/>
                    <w:bidi w:val="0"/>
                    <w:rPr>
                      <w:rFonts w:hint="default"/>
                      <w:color w:val="auto"/>
                      <w:lang w:val="en-US" w:eastAsia="zh-CN"/>
                    </w:rPr>
                  </w:pPr>
                  <w:r>
                    <w:rPr>
                      <w:rFonts w:hint="eastAsia"/>
                      <w:color w:val="auto"/>
                      <w:lang w:val="en-US" w:eastAsia="zh-CN"/>
                    </w:rPr>
                    <w:t>生产厂房</w:t>
                  </w:r>
                </w:p>
              </w:tc>
              <w:tc>
                <w:tcPr>
                  <w:tcW w:w="4822" w:type="dxa"/>
                  <w:tcBorders>
                    <w:tl2br w:val="nil"/>
                    <w:tr2bl w:val="nil"/>
                  </w:tcBorders>
                  <w:vAlign w:val="center"/>
                </w:tcPr>
                <w:p w14:paraId="6517D2D9">
                  <w:pPr>
                    <w:pStyle w:val="51"/>
                    <w:bidi w:val="0"/>
                    <w:rPr>
                      <w:rFonts w:hint="default" w:eastAsia="宋体"/>
                      <w:color w:val="auto"/>
                      <w:lang w:val="en-US" w:eastAsia="zh-CN"/>
                    </w:rPr>
                  </w:pPr>
                  <w:r>
                    <w:rPr>
                      <w:rFonts w:hint="eastAsia"/>
                      <w:color w:val="auto"/>
                      <w:lang w:val="en-US" w:eastAsia="zh-CN"/>
                    </w:rPr>
                    <w:t>设置金属筛分、风选、杂金属分选等工序；占地面积约为1000m</w:t>
                  </w:r>
                  <w:r>
                    <w:rPr>
                      <w:rFonts w:hint="eastAsia"/>
                      <w:color w:val="auto"/>
                      <w:vertAlign w:val="superscript"/>
                      <w:lang w:val="en-US" w:eastAsia="zh-CN"/>
                    </w:rPr>
                    <w:t>2</w:t>
                  </w:r>
                  <w:r>
                    <w:rPr>
                      <w:rFonts w:hint="eastAsia"/>
                      <w:color w:val="auto"/>
                      <w:lang w:val="en-US" w:eastAsia="zh-CN"/>
                    </w:rPr>
                    <w:t>；</w:t>
                  </w:r>
                </w:p>
              </w:tc>
              <w:tc>
                <w:tcPr>
                  <w:tcW w:w="700" w:type="dxa"/>
                  <w:tcBorders>
                    <w:tl2br w:val="nil"/>
                    <w:tr2bl w:val="nil"/>
                  </w:tcBorders>
                  <w:vAlign w:val="center"/>
                </w:tcPr>
                <w:p w14:paraId="378F1FF7">
                  <w:pPr>
                    <w:pStyle w:val="51"/>
                    <w:bidi w:val="0"/>
                    <w:rPr>
                      <w:rFonts w:hint="default"/>
                      <w:color w:val="auto"/>
                      <w:lang w:val="en-US" w:eastAsia="zh-CN"/>
                    </w:rPr>
                  </w:pPr>
                  <w:r>
                    <w:rPr>
                      <w:rFonts w:hint="eastAsia"/>
                      <w:color w:val="auto"/>
                      <w:lang w:val="en-US" w:eastAsia="zh-CN"/>
                    </w:rPr>
                    <w:t>利用</w:t>
                  </w:r>
                </w:p>
              </w:tc>
            </w:tr>
            <w:tr w14:paraId="3D79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1312" w:type="dxa"/>
                  <w:vMerge w:val="continue"/>
                  <w:tcBorders>
                    <w:tl2br w:val="nil"/>
                    <w:tr2bl w:val="nil"/>
                  </w:tcBorders>
                  <w:vAlign w:val="center"/>
                </w:tcPr>
                <w:p w14:paraId="44093392">
                  <w:pPr>
                    <w:pStyle w:val="51"/>
                    <w:bidi w:val="0"/>
                    <w:rPr>
                      <w:color w:val="auto"/>
                    </w:rPr>
                  </w:pPr>
                </w:p>
              </w:tc>
              <w:tc>
                <w:tcPr>
                  <w:tcW w:w="1103" w:type="dxa"/>
                  <w:tcBorders>
                    <w:tl2br w:val="nil"/>
                    <w:tr2bl w:val="nil"/>
                  </w:tcBorders>
                  <w:vAlign w:val="center"/>
                </w:tcPr>
                <w:p w14:paraId="762D815C">
                  <w:pPr>
                    <w:pStyle w:val="51"/>
                    <w:bidi w:val="0"/>
                    <w:rPr>
                      <w:rFonts w:hint="default" w:ascii="Times New Roman" w:hAnsi="Times New Roman" w:cs="Times New Roman"/>
                      <w:color w:val="auto"/>
                      <w:lang w:val="en-US" w:eastAsia="zh-CN"/>
                    </w:rPr>
                  </w:pPr>
                  <w:r>
                    <w:rPr>
                      <w:rFonts w:hint="eastAsia" w:cs="Times New Roman"/>
                      <w:color w:val="auto"/>
                      <w:lang w:val="en-US" w:eastAsia="zh-CN"/>
                    </w:rPr>
                    <w:t>漂浮分选</w:t>
                  </w:r>
                </w:p>
              </w:tc>
              <w:tc>
                <w:tcPr>
                  <w:tcW w:w="4822" w:type="dxa"/>
                  <w:tcBorders>
                    <w:tl2br w:val="nil"/>
                    <w:tr2bl w:val="nil"/>
                  </w:tcBorders>
                  <w:vAlign w:val="center"/>
                </w:tcPr>
                <w:p w14:paraId="79FEFFC0">
                  <w:pPr>
                    <w:pStyle w:val="51"/>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设置6座23.04m³漂浮槽（8×1.8×1.6），以及175.3m</w:t>
                  </w:r>
                  <w:r>
                    <w:rPr>
                      <w:rFonts w:hint="default" w:ascii="Times New Roman" w:hAnsi="Times New Roman" w:cs="Times New Roman"/>
                      <w:color w:val="auto"/>
                      <w:vertAlign w:val="superscript"/>
                      <w:lang w:val="en-US" w:eastAsia="zh-CN"/>
                    </w:rPr>
                    <w:t>3</w:t>
                  </w:r>
                  <w:r>
                    <w:rPr>
                      <w:rFonts w:hint="default" w:ascii="Times New Roman" w:hAnsi="Times New Roman" w:cs="Times New Roman"/>
                      <w:color w:val="auto"/>
                      <w:lang w:val="en-US" w:eastAsia="zh-CN"/>
                    </w:rPr>
                    <w:t>的二级沉淀池（8×1.8×1.6），漂浮槽废水循环使用；</w:t>
                  </w:r>
                  <w:r>
                    <w:rPr>
                      <w:rFonts w:hint="eastAsia" w:cs="Times New Roman"/>
                      <w:color w:val="auto"/>
                      <w:lang w:val="en-US" w:eastAsia="zh-CN"/>
                    </w:rPr>
                    <w:t>漂浮分选位于厂房南侧空地。</w:t>
                  </w:r>
                </w:p>
              </w:tc>
              <w:tc>
                <w:tcPr>
                  <w:tcW w:w="700" w:type="dxa"/>
                  <w:tcBorders>
                    <w:tl2br w:val="nil"/>
                    <w:tr2bl w:val="nil"/>
                  </w:tcBorders>
                  <w:vAlign w:val="center"/>
                </w:tcPr>
                <w:p w14:paraId="2C246134">
                  <w:pPr>
                    <w:pStyle w:val="51"/>
                    <w:bidi w:val="0"/>
                    <w:rPr>
                      <w:rFonts w:hint="default"/>
                      <w:color w:val="auto"/>
                      <w:lang w:val="en-US" w:eastAsia="zh-CN"/>
                    </w:rPr>
                  </w:pPr>
                  <w:r>
                    <w:rPr>
                      <w:rFonts w:hint="eastAsia"/>
                      <w:color w:val="auto"/>
                      <w:lang w:val="en-US" w:eastAsia="zh-CN"/>
                    </w:rPr>
                    <w:t>新建</w:t>
                  </w:r>
                </w:p>
              </w:tc>
            </w:tr>
            <w:tr w14:paraId="70CE1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1312" w:type="dxa"/>
                  <w:vMerge w:val="restart"/>
                  <w:tcBorders>
                    <w:tl2br w:val="nil"/>
                    <w:tr2bl w:val="nil"/>
                  </w:tcBorders>
                  <w:vAlign w:val="center"/>
                </w:tcPr>
                <w:p w14:paraId="002A7C8B">
                  <w:pPr>
                    <w:pStyle w:val="51"/>
                    <w:bidi w:val="0"/>
                    <w:rPr>
                      <w:rFonts w:hint="default"/>
                      <w:color w:val="auto"/>
                      <w:lang w:val="en-US" w:eastAsia="zh-CN"/>
                    </w:rPr>
                  </w:pPr>
                  <w:r>
                    <w:rPr>
                      <w:rFonts w:hint="eastAsia"/>
                      <w:color w:val="auto"/>
                      <w:lang w:val="en-US" w:eastAsia="zh-CN"/>
                    </w:rPr>
                    <w:t>辅助工程</w:t>
                  </w:r>
                </w:p>
              </w:tc>
              <w:tc>
                <w:tcPr>
                  <w:tcW w:w="1103" w:type="dxa"/>
                  <w:tcBorders>
                    <w:tl2br w:val="nil"/>
                    <w:tr2bl w:val="nil"/>
                  </w:tcBorders>
                  <w:vAlign w:val="center"/>
                </w:tcPr>
                <w:p w14:paraId="4E124724">
                  <w:pPr>
                    <w:pStyle w:val="51"/>
                    <w:bidi w:val="0"/>
                    <w:ind w:firstLine="0" w:firstLineChars="0"/>
                    <w:rPr>
                      <w:rFonts w:hint="default"/>
                      <w:color w:val="auto"/>
                      <w:lang w:val="en-US" w:eastAsia="zh-CN"/>
                    </w:rPr>
                  </w:pPr>
                  <w:r>
                    <w:rPr>
                      <w:rFonts w:hint="eastAsia"/>
                      <w:color w:val="auto"/>
                      <w:lang w:val="en-US" w:eastAsia="zh-CN"/>
                    </w:rPr>
                    <w:t>办公楼</w:t>
                  </w:r>
                </w:p>
              </w:tc>
              <w:tc>
                <w:tcPr>
                  <w:tcW w:w="4822" w:type="dxa"/>
                  <w:tcBorders>
                    <w:tl2br w:val="nil"/>
                    <w:tr2bl w:val="nil"/>
                  </w:tcBorders>
                  <w:vAlign w:val="center"/>
                </w:tcPr>
                <w:p w14:paraId="6BB50618">
                  <w:pPr>
                    <w:pStyle w:val="51"/>
                    <w:bidi w:val="0"/>
                    <w:ind w:firstLine="0" w:firstLineChars="0"/>
                    <w:rPr>
                      <w:rFonts w:hint="default"/>
                      <w:color w:val="auto"/>
                      <w:lang w:val="en-US" w:eastAsia="zh-CN"/>
                    </w:rPr>
                  </w:pPr>
                  <w:r>
                    <w:rPr>
                      <w:rFonts w:hint="eastAsia"/>
                      <w:color w:val="auto"/>
                      <w:lang w:val="en-US" w:eastAsia="zh-CN"/>
                    </w:rPr>
                    <w:t>1F框架建筑物，占地面积约为200m</w:t>
                  </w:r>
                  <w:r>
                    <w:rPr>
                      <w:rFonts w:hint="eastAsia"/>
                      <w:color w:val="auto"/>
                      <w:vertAlign w:val="superscript"/>
                      <w:lang w:val="en-US" w:eastAsia="zh-CN"/>
                    </w:rPr>
                    <w:t>2</w:t>
                  </w:r>
                  <w:r>
                    <w:rPr>
                      <w:rFonts w:hint="eastAsia"/>
                      <w:color w:val="auto"/>
                      <w:lang w:val="en-US" w:eastAsia="zh-CN"/>
                    </w:rPr>
                    <w:t>；</w:t>
                  </w:r>
                </w:p>
              </w:tc>
              <w:tc>
                <w:tcPr>
                  <w:tcW w:w="700" w:type="dxa"/>
                  <w:tcBorders>
                    <w:tl2br w:val="nil"/>
                    <w:tr2bl w:val="nil"/>
                  </w:tcBorders>
                  <w:vAlign w:val="center"/>
                </w:tcPr>
                <w:p w14:paraId="1B26713E">
                  <w:pPr>
                    <w:pStyle w:val="51"/>
                    <w:bidi w:val="0"/>
                    <w:ind w:firstLine="0" w:firstLineChars="0"/>
                    <w:rPr>
                      <w:rFonts w:hint="default"/>
                      <w:color w:val="auto"/>
                      <w:lang w:val="en-US" w:eastAsia="zh-CN"/>
                    </w:rPr>
                  </w:pPr>
                  <w:r>
                    <w:rPr>
                      <w:rFonts w:hint="eastAsia"/>
                      <w:color w:val="auto"/>
                      <w:lang w:val="en-US" w:eastAsia="zh-CN"/>
                    </w:rPr>
                    <w:t>利用</w:t>
                  </w:r>
                </w:p>
              </w:tc>
            </w:tr>
            <w:tr w14:paraId="7768E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1312" w:type="dxa"/>
                  <w:vMerge w:val="continue"/>
                  <w:tcBorders>
                    <w:tl2br w:val="nil"/>
                    <w:tr2bl w:val="nil"/>
                  </w:tcBorders>
                  <w:vAlign w:val="center"/>
                </w:tcPr>
                <w:p w14:paraId="216D754F">
                  <w:pPr>
                    <w:pStyle w:val="51"/>
                    <w:bidi w:val="0"/>
                    <w:ind w:firstLine="0" w:firstLineChars="0"/>
                    <w:rPr>
                      <w:color w:val="auto"/>
                    </w:rPr>
                  </w:pPr>
                </w:p>
              </w:tc>
              <w:tc>
                <w:tcPr>
                  <w:tcW w:w="1103" w:type="dxa"/>
                  <w:tcBorders>
                    <w:tl2br w:val="nil"/>
                    <w:tr2bl w:val="nil"/>
                  </w:tcBorders>
                  <w:vAlign w:val="center"/>
                </w:tcPr>
                <w:p w14:paraId="4EA7DBF4">
                  <w:pPr>
                    <w:pStyle w:val="51"/>
                    <w:bidi w:val="0"/>
                    <w:ind w:firstLine="0" w:firstLineChars="0"/>
                    <w:rPr>
                      <w:rFonts w:hint="default"/>
                      <w:color w:val="auto"/>
                      <w:lang w:val="en-US" w:eastAsia="zh-CN"/>
                    </w:rPr>
                  </w:pPr>
                  <w:r>
                    <w:rPr>
                      <w:rFonts w:hint="eastAsia"/>
                      <w:color w:val="auto"/>
                      <w:lang w:val="en-US" w:eastAsia="zh-CN"/>
                    </w:rPr>
                    <w:t>配电室</w:t>
                  </w:r>
                </w:p>
              </w:tc>
              <w:tc>
                <w:tcPr>
                  <w:tcW w:w="4822" w:type="dxa"/>
                  <w:tcBorders>
                    <w:tl2br w:val="nil"/>
                    <w:tr2bl w:val="nil"/>
                  </w:tcBorders>
                  <w:vAlign w:val="center"/>
                </w:tcPr>
                <w:p w14:paraId="3F9D2526">
                  <w:pPr>
                    <w:pStyle w:val="51"/>
                    <w:bidi w:val="0"/>
                    <w:ind w:firstLine="0" w:firstLineChars="0"/>
                    <w:rPr>
                      <w:rFonts w:hint="default"/>
                      <w:color w:val="auto"/>
                      <w:lang w:val="en-US" w:eastAsia="zh-CN"/>
                    </w:rPr>
                  </w:pPr>
                  <w:r>
                    <w:rPr>
                      <w:rFonts w:hint="eastAsia"/>
                      <w:color w:val="auto"/>
                      <w:lang w:val="en-US" w:eastAsia="zh-CN"/>
                    </w:rPr>
                    <w:t>占地面积为50m</w:t>
                  </w:r>
                  <w:r>
                    <w:rPr>
                      <w:rFonts w:hint="eastAsia"/>
                      <w:color w:val="auto"/>
                      <w:vertAlign w:val="superscript"/>
                      <w:lang w:val="en-US" w:eastAsia="zh-CN"/>
                    </w:rPr>
                    <w:t>2</w:t>
                  </w:r>
                  <w:r>
                    <w:rPr>
                      <w:rFonts w:hint="eastAsia"/>
                      <w:color w:val="auto"/>
                      <w:lang w:val="en-US" w:eastAsia="zh-CN"/>
                    </w:rPr>
                    <w:t>；</w:t>
                  </w:r>
                </w:p>
              </w:tc>
              <w:tc>
                <w:tcPr>
                  <w:tcW w:w="700" w:type="dxa"/>
                  <w:tcBorders>
                    <w:tl2br w:val="nil"/>
                    <w:tr2bl w:val="nil"/>
                  </w:tcBorders>
                  <w:vAlign w:val="center"/>
                </w:tcPr>
                <w:p w14:paraId="72688174">
                  <w:pPr>
                    <w:pStyle w:val="51"/>
                    <w:bidi w:val="0"/>
                    <w:ind w:firstLine="0" w:firstLineChars="0"/>
                    <w:rPr>
                      <w:rFonts w:hint="default"/>
                      <w:color w:val="auto"/>
                      <w:lang w:val="en-US" w:eastAsia="zh-CN"/>
                    </w:rPr>
                  </w:pPr>
                  <w:r>
                    <w:rPr>
                      <w:rFonts w:hint="eastAsia"/>
                      <w:color w:val="auto"/>
                      <w:lang w:val="en-US" w:eastAsia="zh-CN"/>
                    </w:rPr>
                    <w:t>利用</w:t>
                  </w:r>
                </w:p>
              </w:tc>
            </w:tr>
            <w:tr w14:paraId="2AB8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1312" w:type="dxa"/>
                  <w:vMerge w:val="restart"/>
                  <w:tcBorders>
                    <w:tl2br w:val="nil"/>
                    <w:tr2bl w:val="nil"/>
                  </w:tcBorders>
                  <w:vAlign w:val="center"/>
                </w:tcPr>
                <w:p w14:paraId="24B95A21">
                  <w:pPr>
                    <w:pStyle w:val="51"/>
                    <w:bidi w:val="0"/>
                    <w:rPr>
                      <w:rFonts w:hint="default"/>
                      <w:color w:val="auto"/>
                      <w:lang w:val="en-US" w:eastAsia="zh-CN"/>
                    </w:rPr>
                  </w:pPr>
                  <w:r>
                    <w:rPr>
                      <w:rFonts w:hint="eastAsia"/>
                      <w:color w:val="auto"/>
                      <w:lang w:val="en-US" w:eastAsia="zh-CN"/>
                    </w:rPr>
                    <w:t>储运工程</w:t>
                  </w:r>
                </w:p>
              </w:tc>
              <w:tc>
                <w:tcPr>
                  <w:tcW w:w="1103" w:type="dxa"/>
                  <w:tcBorders>
                    <w:tl2br w:val="nil"/>
                    <w:tr2bl w:val="nil"/>
                  </w:tcBorders>
                  <w:vAlign w:val="center"/>
                </w:tcPr>
                <w:p w14:paraId="7FDEE8B4">
                  <w:pPr>
                    <w:pStyle w:val="51"/>
                    <w:bidi w:val="0"/>
                    <w:rPr>
                      <w:rFonts w:hint="default" w:eastAsia="宋体"/>
                      <w:color w:val="auto"/>
                      <w:lang w:val="en-US" w:eastAsia="zh-CN"/>
                    </w:rPr>
                  </w:pPr>
                  <w:r>
                    <w:rPr>
                      <w:rFonts w:hint="eastAsia"/>
                      <w:color w:val="auto"/>
                      <w:lang w:val="en-US" w:eastAsia="zh-CN"/>
                    </w:rPr>
                    <w:t>成品仓库</w:t>
                  </w:r>
                </w:p>
              </w:tc>
              <w:tc>
                <w:tcPr>
                  <w:tcW w:w="4822" w:type="dxa"/>
                  <w:tcBorders>
                    <w:tl2br w:val="nil"/>
                    <w:tr2bl w:val="nil"/>
                  </w:tcBorders>
                  <w:vAlign w:val="center"/>
                </w:tcPr>
                <w:p w14:paraId="7406BB99">
                  <w:pPr>
                    <w:pStyle w:val="51"/>
                    <w:bidi w:val="0"/>
                    <w:rPr>
                      <w:rFonts w:hint="default"/>
                      <w:color w:val="auto"/>
                      <w:lang w:val="en-US" w:eastAsia="zh-CN"/>
                    </w:rPr>
                  </w:pPr>
                  <w:r>
                    <w:rPr>
                      <w:rFonts w:hint="eastAsia"/>
                      <w:color w:val="auto"/>
                      <w:lang w:val="en-US" w:eastAsia="zh-CN"/>
                    </w:rPr>
                    <w:t>占地面积为150m</w:t>
                  </w:r>
                  <w:r>
                    <w:rPr>
                      <w:rFonts w:hint="eastAsia"/>
                      <w:color w:val="auto"/>
                      <w:vertAlign w:val="superscript"/>
                      <w:lang w:val="en-US" w:eastAsia="zh-CN"/>
                    </w:rPr>
                    <w:t>2</w:t>
                  </w:r>
                  <w:r>
                    <w:rPr>
                      <w:rFonts w:hint="eastAsia"/>
                      <w:color w:val="auto"/>
                      <w:lang w:val="en-US" w:eastAsia="zh-CN"/>
                    </w:rPr>
                    <w:t>；位于项目区东北侧；</w:t>
                  </w:r>
                </w:p>
              </w:tc>
              <w:tc>
                <w:tcPr>
                  <w:tcW w:w="700" w:type="dxa"/>
                  <w:tcBorders>
                    <w:tl2br w:val="nil"/>
                    <w:tr2bl w:val="nil"/>
                  </w:tcBorders>
                  <w:vAlign w:val="center"/>
                </w:tcPr>
                <w:p w14:paraId="19A76C54">
                  <w:pPr>
                    <w:pStyle w:val="51"/>
                    <w:bidi w:val="0"/>
                    <w:rPr>
                      <w:rFonts w:hint="default"/>
                      <w:color w:val="auto"/>
                      <w:lang w:val="en-US" w:eastAsia="zh-CN"/>
                    </w:rPr>
                  </w:pPr>
                  <w:r>
                    <w:rPr>
                      <w:rFonts w:hint="eastAsia"/>
                      <w:color w:val="auto"/>
                      <w:lang w:val="en-US" w:eastAsia="zh-CN"/>
                    </w:rPr>
                    <w:t>利用</w:t>
                  </w:r>
                </w:p>
              </w:tc>
            </w:tr>
            <w:tr w14:paraId="613F8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1312" w:type="dxa"/>
                  <w:vMerge w:val="continue"/>
                  <w:tcBorders>
                    <w:tl2br w:val="nil"/>
                    <w:tr2bl w:val="nil"/>
                  </w:tcBorders>
                  <w:vAlign w:val="center"/>
                </w:tcPr>
                <w:p w14:paraId="6016DB41">
                  <w:pPr>
                    <w:pStyle w:val="51"/>
                    <w:bidi w:val="0"/>
                    <w:rPr>
                      <w:color w:val="auto"/>
                    </w:rPr>
                  </w:pPr>
                </w:p>
              </w:tc>
              <w:tc>
                <w:tcPr>
                  <w:tcW w:w="1103" w:type="dxa"/>
                  <w:tcBorders>
                    <w:tl2br w:val="nil"/>
                    <w:tr2bl w:val="nil"/>
                  </w:tcBorders>
                  <w:vAlign w:val="center"/>
                </w:tcPr>
                <w:p w14:paraId="4B894118">
                  <w:pPr>
                    <w:pStyle w:val="51"/>
                    <w:bidi w:val="0"/>
                    <w:rPr>
                      <w:rFonts w:hint="default" w:eastAsia="宋体"/>
                      <w:color w:val="auto"/>
                      <w:lang w:val="en-US" w:eastAsia="zh-CN"/>
                    </w:rPr>
                  </w:pPr>
                  <w:r>
                    <w:rPr>
                      <w:rFonts w:hint="eastAsia"/>
                      <w:color w:val="auto"/>
                      <w:lang w:val="en-US" w:eastAsia="zh-CN"/>
                    </w:rPr>
                    <w:t>原料堆场/仓库</w:t>
                  </w:r>
                </w:p>
              </w:tc>
              <w:tc>
                <w:tcPr>
                  <w:tcW w:w="4822" w:type="dxa"/>
                  <w:tcBorders>
                    <w:tl2br w:val="nil"/>
                    <w:tr2bl w:val="nil"/>
                  </w:tcBorders>
                  <w:vAlign w:val="center"/>
                </w:tcPr>
                <w:p w14:paraId="60E82624">
                  <w:pPr>
                    <w:pStyle w:val="51"/>
                    <w:bidi w:val="0"/>
                    <w:rPr>
                      <w:rFonts w:hint="default" w:eastAsia="宋体"/>
                      <w:color w:val="auto"/>
                      <w:lang w:val="en-US" w:eastAsia="zh-CN"/>
                    </w:rPr>
                  </w:pPr>
                  <w:r>
                    <w:rPr>
                      <w:rFonts w:hint="eastAsia"/>
                      <w:color w:val="auto"/>
                      <w:lang w:val="en-US" w:eastAsia="zh-CN"/>
                    </w:rPr>
                    <w:t>占地面积为350m</w:t>
                  </w:r>
                  <w:r>
                    <w:rPr>
                      <w:rFonts w:hint="eastAsia"/>
                      <w:color w:val="auto"/>
                      <w:vertAlign w:val="superscript"/>
                      <w:lang w:val="en-US" w:eastAsia="zh-CN"/>
                    </w:rPr>
                    <w:t>2</w:t>
                  </w:r>
                  <w:r>
                    <w:rPr>
                      <w:rFonts w:hint="eastAsia"/>
                      <w:color w:val="auto"/>
                      <w:lang w:val="en-US" w:eastAsia="zh-CN"/>
                    </w:rPr>
                    <w:t>；</w:t>
                  </w:r>
                </w:p>
              </w:tc>
              <w:tc>
                <w:tcPr>
                  <w:tcW w:w="700" w:type="dxa"/>
                  <w:tcBorders>
                    <w:tl2br w:val="nil"/>
                    <w:tr2bl w:val="nil"/>
                  </w:tcBorders>
                  <w:vAlign w:val="center"/>
                </w:tcPr>
                <w:p w14:paraId="3BD4DE9E">
                  <w:pPr>
                    <w:pStyle w:val="51"/>
                    <w:bidi w:val="0"/>
                    <w:rPr>
                      <w:rFonts w:hint="default" w:eastAsia="宋体"/>
                      <w:color w:val="auto"/>
                      <w:lang w:val="en-US" w:eastAsia="zh-CN"/>
                    </w:rPr>
                  </w:pPr>
                  <w:r>
                    <w:rPr>
                      <w:rFonts w:hint="eastAsia"/>
                      <w:color w:val="auto"/>
                      <w:lang w:val="en-US" w:eastAsia="zh-CN"/>
                    </w:rPr>
                    <w:t>利用</w:t>
                  </w:r>
                </w:p>
              </w:tc>
            </w:tr>
            <w:tr w14:paraId="04C91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312" w:type="dxa"/>
                  <w:vMerge w:val="restart"/>
                  <w:tcBorders>
                    <w:tl2br w:val="nil"/>
                    <w:tr2bl w:val="nil"/>
                  </w:tcBorders>
                  <w:vAlign w:val="center"/>
                </w:tcPr>
                <w:p w14:paraId="742C1213">
                  <w:pPr>
                    <w:pStyle w:val="51"/>
                    <w:bidi w:val="0"/>
                    <w:rPr>
                      <w:rFonts w:hint="default"/>
                      <w:color w:val="auto"/>
                    </w:rPr>
                  </w:pPr>
                  <w:r>
                    <w:rPr>
                      <w:rFonts w:hint="default"/>
                      <w:color w:val="auto"/>
                    </w:rPr>
                    <w:t>公用工程</w:t>
                  </w:r>
                </w:p>
              </w:tc>
              <w:tc>
                <w:tcPr>
                  <w:tcW w:w="1103" w:type="dxa"/>
                  <w:tcBorders>
                    <w:tl2br w:val="nil"/>
                    <w:tr2bl w:val="nil"/>
                  </w:tcBorders>
                  <w:vAlign w:val="center"/>
                </w:tcPr>
                <w:p w14:paraId="5F617E13">
                  <w:pPr>
                    <w:pStyle w:val="51"/>
                    <w:bidi w:val="0"/>
                    <w:rPr>
                      <w:rFonts w:hint="default"/>
                      <w:color w:val="auto"/>
                    </w:rPr>
                  </w:pPr>
                  <w:r>
                    <w:rPr>
                      <w:rFonts w:hint="default"/>
                      <w:color w:val="auto"/>
                    </w:rPr>
                    <w:t>供水</w:t>
                  </w:r>
                </w:p>
              </w:tc>
              <w:tc>
                <w:tcPr>
                  <w:tcW w:w="4822" w:type="dxa"/>
                  <w:tcBorders>
                    <w:tl2br w:val="nil"/>
                    <w:tr2bl w:val="nil"/>
                  </w:tcBorders>
                  <w:vAlign w:val="center"/>
                </w:tcPr>
                <w:p w14:paraId="220F05A0">
                  <w:pPr>
                    <w:pStyle w:val="51"/>
                    <w:bidi w:val="0"/>
                    <w:rPr>
                      <w:rFonts w:hint="default"/>
                      <w:color w:val="auto"/>
                      <w:lang w:val="en-US" w:eastAsia="zh-CN"/>
                    </w:rPr>
                  </w:pPr>
                  <w:r>
                    <w:rPr>
                      <w:rFonts w:hint="eastAsia"/>
                      <w:color w:val="auto"/>
                      <w:lang w:val="en-US" w:eastAsia="zh-CN"/>
                    </w:rPr>
                    <w:t>依托现有供水工程；</w:t>
                  </w:r>
                </w:p>
              </w:tc>
              <w:tc>
                <w:tcPr>
                  <w:tcW w:w="700" w:type="dxa"/>
                  <w:tcBorders>
                    <w:tl2br w:val="nil"/>
                    <w:tr2bl w:val="nil"/>
                  </w:tcBorders>
                  <w:vAlign w:val="center"/>
                </w:tcPr>
                <w:p w14:paraId="3B97A8FB">
                  <w:pPr>
                    <w:pStyle w:val="51"/>
                    <w:bidi w:val="0"/>
                    <w:rPr>
                      <w:rFonts w:hint="default"/>
                      <w:color w:val="auto"/>
                      <w:lang w:val="en-US" w:eastAsia="zh-CN"/>
                    </w:rPr>
                  </w:pPr>
                  <w:r>
                    <w:rPr>
                      <w:rFonts w:hint="eastAsia"/>
                      <w:color w:val="auto"/>
                      <w:lang w:val="en-US" w:eastAsia="zh-CN"/>
                    </w:rPr>
                    <w:t>依托</w:t>
                  </w:r>
                </w:p>
              </w:tc>
            </w:tr>
            <w:tr w14:paraId="33C1E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312" w:type="dxa"/>
                  <w:vMerge w:val="continue"/>
                  <w:tcBorders>
                    <w:tl2br w:val="nil"/>
                    <w:tr2bl w:val="nil"/>
                  </w:tcBorders>
                  <w:vAlign w:val="center"/>
                </w:tcPr>
                <w:p w14:paraId="26C2213E">
                  <w:pPr>
                    <w:pStyle w:val="51"/>
                    <w:bidi w:val="0"/>
                    <w:rPr>
                      <w:rFonts w:hint="default"/>
                      <w:color w:val="auto"/>
                    </w:rPr>
                  </w:pPr>
                </w:p>
              </w:tc>
              <w:tc>
                <w:tcPr>
                  <w:tcW w:w="1103" w:type="dxa"/>
                  <w:tcBorders>
                    <w:tl2br w:val="nil"/>
                    <w:tr2bl w:val="nil"/>
                  </w:tcBorders>
                  <w:vAlign w:val="center"/>
                </w:tcPr>
                <w:p w14:paraId="5EDEA8BC">
                  <w:pPr>
                    <w:pStyle w:val="51"/>
                    <w:bidi w:val="0"/>
                    <w:rPr>
                      <w:rFonts w:hint="default"/>
                      <w:color w:val="auto"/>
                    </w:rPr>
                  </w:pPr>
                  <w:r>
                    <w:rPr>
                      <w:rFonts w:hint="default"/>
                      <w:color w:val="auto"/>
                    </w:rPr>
                    <w:t>排水</w:t>
                  </w:r>
                </w:p>
              </w:tc>
              <w:tc>
                <w:tcPr>
                  <w:tcW w:w="4822" w:type="dxa"/>
                  <w:tcBorders>
                    <w:tl2br w:val="nil"/>
                    <w:tr2bl w:val="nil"/>
                  </w:tcBorders>
                  <w:vAlign w:val="center"/>
                </w:tcPr>
                <w:p w14:paraId="12C9A927">
                  <w:pPr>
                    <w:pStyle w:val="51"/>
                    <w:bidi w:val="0"/>
                    <w:rPr>
                      <w:rFonts w:hint="default"/>
                      <w:color w:val="auto"/>
                      <w:lang w:val="en-US" w:eastAsia="zh-CN"/>
                    </w:rPr>
                  </w:pPr>
                  <w:r>
                    <w:rPr>
                      <w:rFonts w:hint="eastAsia"/>
                      <w:color w:val="auto"/>
                      <w:lang w:val="en-US" w:eastAsia="zh-CN"/>
                    </w:rPr>
                    <w:t>依托现有化粪池；</w:t>
                  </w:r>
                </w:p>
              </w:tc>
              <w:tc>
                <w:tcPr>
                  <w:tcW w:w="700" w:type="dxa"/>
                  <w:tcBorders>
                    <w:tl2br w:val="nil"/>
                    <w:tr2bl w:val="nil"/>
                  </w:tcBorders>
                  <w:vAlign w:val="center"/>
                </w:tcPr>
                <w:p w14:paraId="6AC88F95">
                  <w:pPr>
                    <w:pStyle w:val="51"/>
                    <w:bidi w:val="0"/>
                    <w:rPr>
                      <w:rFonts w:hint="default"/>
                      <w:color w:val="auto"/>
                      <w:lang w:val="en-US" w:eastAsia="zh-CN"/>
                    </w:rPr>
                  </w:pPr>
                  <w:r>
                    <w:rPr>
                      <w:rFonts w:hint="eastAsia"/>
                      <w:color w:val="auto"/>
                      <w:lang w:val="en-US" w:eastAsia="zh-CN"/>
                    </w:rPr>
                    <w:t>依托</w:t>
                  </w:r>
                </w:p>
              </w:tc>
            </w:tr>
            <w:tr w14:paraId="1C70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 w:hRule="atLeast"/>
                <w:jc w:val="center"/>
              </w:trPr>
              <w:tc>
                <w:tcPr>
                  <w:tcW w:w="1312" w:type="dxa"/>
                  <w:vMerge w:val="continue"/>
                  <w:tcBorders>
                    <w:tl2br w:val="nil"/>
                    <w:tr2bl w:val="nil"/>
                  </w:tcBorders>
                  <w:vAlign w:val="center"/>
                </w:tcPr>
                <w:p w14:paraId="3701BF26">
                  <w:pPr>
                    <w:pStyle w:val="51"/>
                    <w:bidi w:val="0"/>
                    <w:rPr>
                      <w:rFonts w:hint="default"/>
                      <w:color w:val="auto"/>
                    </w:rPr>
                  </w:pPr>
                </w:p>
              </w:tc>
              <w:tc>
                <w:tcPr>
                  <w:tcW w:w="1103" w:type="dxa"/>
                  <w:tcBorders>
                    <w:tl2br w:val="nil"/>
                    <w:tr2bl w:val="nil"/>
                  </w:tcBorders>
                  <w:vAlign w:val="center"/>
                </w:tcPr>
                <w:p w14:paraId="1AFBCCE9">
                  <w:pPr>
                    <w:pStyle w:val="51"/>
                    <w:bidi w:val="0"/>
                    <w:rPr>
                      <w:rFonts w:hint="eastAsia"/>
                      <w:color w:val="auto"/>
                      <w:lang w:eastAsia="zh-CN"/>
                    </w:rPr>
                  </w:pPr>
                  <w:r>
                    <w:rPr>
                      <w:rFonts w:hint="default"/>
                      <w:color w:val="auto"/>
                    </w:rPr>
                    <w:t>供电</w:t>
                  </w:r>
                </w:p>
              </w:tc>
              <w:tc>
                <w:tcPr>
                  <w:tcW w:w="4822" w:type="dxa"/>
                  <w:tcBorders>
                    <w:tl2br w:val="nil"/>
                    <w:tr2bl w:val="nil"/>
                  </w:tcBorders>
                  <w:vAlign w:val="center"/>
                </w:tcPr>
                <w:p w14:paraId="7E81BF0F">
                  <w:pPr>
                    <w:pStyle w:val="51"/>
                    <w:bidi w:val="0"/>
                    <w:rPr>
                      <w:rFonts w:hint="default" w:eastAsia="宋体"/>
                      <w:color w:val="auto"/>
                      <w:lang w:val="en-US" w:eastAsia="zh-CN"/>
                    </w:rPr>
                  </w:pPr>
                  <w:r>
                    <w:rPr>
                      <w:rFonts w:hint="eastAsia"/>
                      <w:color w:val="auto"/>
                      <w:lang w:val="en-US" w:eastAsia="zh-CN"/>
                    </w:rPr>
                    <w:t>依托现有供电工程；</w:t>
                  </w:r>
                </w:p>
              </w:tc>
              <w:tc>
                <w:tcPr>
                  <w:tcW w:w="700" w:type="dxa"/>
                  <w:tcBorders>
                    <w:tl2br w:val="nil"/>
                    <w:tr2bl w:val="nil"/>
                  </w:tcBorders>
                  <w:vAlign w:val="center"/>
                </w:tcPr>
                <w:p w14:paraId="5EC4DCF2">
                  <w:pPr>
                    <w:pStyle w:val="51"/>
                    <w:bidi w:val="0"/>
                    <w:rPr>
                      <w:rFonts w:hint="default"/>
                      <w:color w:val="auto"/>
                      <w:lang w:val="en-US" w:eastAsia="zh-CN"/>
                    </w:rPr>
                  </w:pPr>
                  <w:r>
                    <w:rPr>
                      <w:rFonts w:hint="eastAsia"/>
                      <w:color w:val="auto"/>
                      <w:lang w:val="en-US" w:eastAsia="zh-CN"/>
                    </w:rPr>
                    <w:t>依托</w:t>
                  </w:r>
                </w:p>
              </w:tc>
            </w:tr>
            <w:tr w14:paraId="04B9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 w:hRule="atLeast"/>
                <w:jc w:val="center"/>
              </w:trPr>
              <w:tc>
                <w:tcPr>
                  <w:tcW w:w="1312" w:type="dxa"/>
                  <w:vMerge w:val="continue"/>
                  <w:tcBorders>
                    <w:tl2br w:val="nil"/>
                    <w:tr2bl w:val="nil"/>
                  </w:tcBorders>
                  <w:vAlign w:val="center"/>
                </w:tcPr>
                <w:p w14:paraId="288EBA67">
                  <w:pPr>
                    <w:pStyle w:val="51"/>
                    <w:bidi w:val="0"/>
                    <w:rPr>
                      <w:color w:val="auto"/>
                    </w:rPr>
                  </w:pPr>
                </w:p>
              </w:tc>
              <w:tc>
                <w:tcPr>
                  <w:tcW w:w="1103" w:type="dxa"/>
                  <w:tcBorders>
                    <w:tl2br w:val="nil"/>
                    <w:tr2bl w:val="nil"/>
                  </w:tcBorders>
                  <w:vAlign w:val="center"/>
                </w:tcPr>
                <w:p w14:paraId="64A1FB58">
                  <w:pPr>
                    <w:pStyle w:val="51"/>
                    <w:bidi w:val="0"/>
                    <w:rPr>
                      <w:rFonts w:hint="default"/>
                      <w:color w:val="auto"/>
                      <w:lang w:val="en-US" w:eastAsia="zh-CN"/>
                    </w:rPr>
                  </w:pPr>
                  <w:r>
                    <w:rPr>
                      <w:rFonts w:hint="eastAsia"/>
                      <w:color w:val="auto"/>
                      <w:lang w:val="en-US" w:eastAsia="zh-CN"/>
                    </w:rPr>
                    <w:t>供暖</w:t>
                  </w:r>
                </w:p>
              </w:tc>
              <w:tc>
                <w:tcPr>
                  <w:tcW w:w="4822" w:type="dxa"/>
                  <w:tcBorders>
                    <w:tl2br w:val="nil"/>
                    <w:tr2bl w:val="nil"/>
                  </w:tcBorders>
                  <w:vAlign w:val="center"/>
                </w:tcPr>
                <w:p w14:paraId="4FDBBB85">
                  <w:pPr>
                    <w:pStyle w:val="51"/>
                    <w:bidi w:val="0"/>
                    <w:rPr>
                      <w:rFonts w:hint="default"/>
                      <w:color w:val="auto"/>
                      <w:lang w:val="en-US" w:eastAsia="zh-CN"/>
                    </w:rPr>
                  </w:pPr>
                  <w:r>
                    <w:rPr>
                      <w:rFonts w:hint="eastAsia"/>
                      <w:color w:val="auto"/>
                      <w:lang w:val="en-US" w:eastAsia="zh-CN"/>
                    </w:rPr>
                    <w:t>依托现有集中供暖；</w:t>
                  </w:r>
                </w:p>
              </w:tc>
              <w:tc>
                <w:tcPr>
                  <w:tcW w:w="700" w:type="dxa"/>
                  <w:tcBorders>
                    <w:tl2br w:val="nil"/>
                    <w:tr2bl w:val="nil"/>
                  </w:tcBorders>
                  <w:vAlign w:val="center"/>
                </w:tcPr>
                <w:p w14:paraId="03F10B6A">
                  <w:pPr>
                    <w:pStyle w:val="51"/>
                    <w:bidi w:val="0"/>
                    <w:rPr>
                      <w:rFonts w:hint="default"/>
                      <w:color w:val="auto"/>
                      <w:lang w:val="en-US" w:eastAsia="zh-CN"/>
                    </w:rPr>
                  </w:pPr>
                  <w:r>
                    <w:rPr>
                      <w:rFonts w:hint="eastAsia"/>
                      <w:color w:val="auto"/>
                      <w:lang w:val="en-US" w:eastAsia="zh-CN"/>
                    </w:rPr>
                    <w:t>依托</w:t>
                  </w:r>
                </w:p>
              </w:tc>
            </w:tr>
            <w:tr w14:paraId="0A2B7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 w:hRule="atLeast"/>
                <w:jc w:val="center"/>
              </w:trPr>
              <w:tc>
                <w:tcPr>
                  <w:tcW w:w="1312" w:type="dxa"/>
                  <w:vMerge w:val="restart"/>
                  <w:tcBorders>
                    <w:tl2br w:val="nil"/>
                    <w:tr2bl w:val="nil"/>
                  </w:tcBorders>
                  <w:vAlign w:val="center"/>
                </w:tcPr>
                <w:p w14:paraId="3685F17B">
                  <w:pPr>
                    <w:pStyle w:val="51"/>
                    <w:bidi w:val="0"/>
                    <w:rPr>
                      <w:rFonts w:hint="default"/>
                      <w:color w:val="auto"/>
                      <w:lang w:val="en-US" w:eastAsia="zh-CN"/>
                    </w:rPr>
                  </w:pPr>
                  <w:r>
                    <w:rPr>
                      <w:rFonts w:hint="eastAsia"/>
                      <w:color w:val="auto"/>
                      <w:lang w:val="en-US" w:eastAsia="zh-CN"/>
                    </w:rPr>
                    <w:t>环保工程</w:t>
                  </w:r>
                </w:p>
              </w:tc>
              <w:tc>
                <w:tcPr>
                  <w:tcW w:w="1103" w:type="dxa"/>
                  <w:tcBorders>
                    <w:tl2br w:val="nil"/>
                    <w:tr2bl w:val="nil"/>
                  </w:tcBorders>
                  <w:vAlign w:val="center"/>
                </w:tcPr>
                <w:p w14:paraId="2356C6C7">
                  <w:pPr>
                    <w:pStyle w:val="51"/>
                    <w:bidi w:val="0"/>
                    <w:rPr>
                      <w:rFonts w:hint="default" w:eastAsia="宋体"/>
                      <w:color w:val="auto"/>
                      <w:lang w:val="en-US" w:eastAsia="zh-CN"/>
                    </w:rPr>
                  </w:pPr>
                  <w:r>
                    <w:rPr>
                      <w:rFonts w:hint="eastAsia"/>
                      <w:color w:val="auto"/>
                      <w:lang w:val="en-US" w:eastAsia="zh-CN"/>
                    </w:rPr>
                    <w:t>废气</w:t>
                  </w:r>
                </w:p>
              </w:tc>
              <w:tc>
                <w:tcPr>
                  <w:tcW w:w="4822" w:type="dxa"/>
                  <w:tcBorders>
                    <w:tl2br w:val="nil"/>
                    <w:tr2bl w:val="nil"/>
                  </w:tcBorders>
                  <w:vAlign w:val="center"/>
                </w:tcPr>
                <w:p w14:paraId="44B975B0">
                  <w:pPr>
                    <w:pStyle w:val="51"/>
                    <w:bidi w:val="0"/>
                    <w:rPr>
                      <w:rFonts w:hint="eastAsia"/>
                      <w:color w:val="auto"/>
                      <w:lang w:val="en-US" w:eastAsia="zh-CN"/>
                    </w:rPr>
                  </w:pPr>
                  <w:r>
                    <w:rPr>
                      <w:rFonts w:hint="eastAsia"/>
                      <w:color w:val="auto"/>
                      <w:lang w:val="en-US" w:eastAsia="zh-CN"/>
                    </w:rPr>
                    <w:t>项目破碎、筛分、风选等均位于厂房内，采用移动式布袋除尘器进行处理，处理后以无组织形式排放；</w:t>
                  </w:r>
                </w:p>
                <w:p w14:paraId="4BA335C0">
                  <w:pPr>
                    <w:pStyle w:val="51"/>
                    <w:bidi w:val="0"/>
                    <w:rPr>
                      <w:rFonts w:hint="default"/>
                      <w:color w:val="auto"/>
                      <w:lang w:val="en-US" w:eastAsia="zh-CN"/>
                    </w:rPr>
                  </w:pPr>
                  <w:r>
                    <w:rPr>
                      <w:rFonts w:hint="eastAsia"/>
                      <w:color w:val="auto"/>
                      <w:lang w:val="en-US" w:eastAsia="zh-CN"/>
                    </w:rPr>
                    <w:t>原料采用吨袋盛装存放于仓库内，产生少量颗粒物以无组织形式排放；</w:t>
                  </w:r>
                </w:p>
              </w:tc>
              <w:tc>
                <w:tcPr>
                  <w:tcW w:w="700" w:type="dxa"/>
                  <w:tcBorders>
                    <w:tl2br w:val="nil"/>
                    <w:tr2bl w:val="nil"/>
                  </w:tcBorders>
                  <w:vAlign w:val="center"/>
                </w:tcPr>
                <w:p w14:paraId="2B2FBA5B">
                  <w:pPr>
                    <w:pStyle w:val="51"/>
                    <w:bidi w:val="0"/>
                    <w:rPr>
                      <w:rFonts w:hint="default"/>
                      <w:color w:val="auto"/>
                      <w:lang w:val="en-US" w:eastAsia="zh-CN"/>
                    </w:rPr>
                  </w:pPr>
                  <w:r>
                    <w:rPr>
                      <w:rFonts w:hint="eastAsia"/>
                      <w:color w:val="auto"/>
                      <w:lang w:val="en-US" w:eastAsia="zh-CN"/>
                    </w:rPr>
                    <w:t>新建</w:t>
                  </w:r>
                </w:p>
              </w:tc>
            </w:tr>
            <w:tr w14:paraId="7B17A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 w:hRule="atLeast"/>
                <w:jc w:val="center"/>
              </w:trPr>
              <w:tc>
                <w:tcPr>
                  <w:tcW w:w="1312" w:type="dxa"/>
                  <w:vMerge w:val="continue"/>
                  <w:tcBorders>
                    <w:tl2br w:val="nil"/>
                    <w:tr2bl w:val="nil"/>
                  </w:tcBorders>
                  <w:vAlign w:val="center"/>
                </w:tcPr>
                <w:p w14:paraId="49ED9059">
                  <w:pPr>
                    <w:pStyle w:val="51"/>
                    <w:bidi w:val="0"/>
                    <w:rPr>
                      <w:color w:val="auto"/>
                    </w:rPr>
                  </w:pPr>
                </w:p>
              </w:tc>
              <w:tc>
                <w:tcPr>
                  <w:tcW w:w="1103" w:type="dxa"/>
                  <w:tcBorders>
                    <w:tl2br w:val="nil"/>
                    <w:tr2bl w:val="nil"/>
                  </w:tcBorders>
                  <w:vAlign w:val="center"/>
                </w:tcPr>
                <w:p w14:paraId="0C9773E4">
                  <w:pPr>
                    <w:pStyle w:val="51"/>
                    <w:bidi w:val="0"/>
                    <w:rPr>
                      <w:rFonts w:hint="default"/>
                      <w:color w:val="auto"/>
                      <w:lang w:val="en-US" w:eastAsia="zh-CN"/>
                    </w:rPr>
                  </w:pPr>
                  <w:r>
                    <w:rPr>
                      <w:rFonts w:hint="eastAsia"/>
                      <w:color w:val="auto"/>
                      <w:lang w:val="en-US" w:eastAsia="zh-CN"/>
                    </w:rPr>
                    <w:t>废水</w:t>
                  </w:r>
                </w:p>
              </w:tc>
              <w:tc>
                <w:tcPr>
                  <w:tcW w:w="4822" w:type="dxa"/>
                  <w:tcBorders>
                    <w:tl2br w:val="nil"/>
                    <w:tr2bl w:val="nil"/>
                  </w:tcBorders>
                  <w:vAlign w:val="center"/>
                </w:tcPr>
                <w:p w14:paraId="51C7937A">
                  <w:pPr>
                    <w:pStyle w:val="51"/>
                    <w:bidi w:val="0"/>
                    <w:rPr>
                      <w:rFonts w:hint="default"/>
                      <w:color w:val="auto"/>
                      <w:lang w:val="en-US" w:eastAsia="zh-CN"/>
                    </w:rPr>
                  </w:pPr>
                  <w:r>
                    <w:rPr>
                      <w:rFonts w:hint="eastAsia"/>
                      <w:color w:val="auto"/>
                      <w:lang w:val="en-US" w:eastAsia="zh-CN"/>
                    </w:rPr>
                    <w:t>项目漂选槽清洗废水经沉淀后回用，无生产废水；生活污水经市政污水管网排入污水处理厂处置；</w:t>
                  </w:r>
                </w:p>
              </w:tc>
              <w:tc>
                <w:tcPr>
                  <w:tcW w:w="700" w:type="dxa"/>
                  <w:tcBorders>
                    <w:tl2br w:val="nil"/>
                    <w:tr2bl w:val="nil"/>
                  </w:tcBorders>
                  <w:vAlign w:val="center"/>
                </w:tcPr>
                <w:p w14:paraId="3EAD86DD">
                  <w:pPr>
                    <w:pStyle w:val="51"/>
                    <w:bidi w:val="0"/>
                    <w:rPr>
                      <w:rFonts w:hint="default"/>
                      <w:color w:val="auto"/>
                      <w:lang w:val="en-US" w:eastAsia="zh-CN"/>
                    </w:rPr>
                  </w:pPr>
                  <w:r>
                    <w:rPr>
                      <w:rFonts w:hint="eastAsia"/>
                      <w:color w:val="auto"/>
                      <w:lang w:val="en-US" w:eastAsia="zh-CN"/>
                    </w:rPr>
                    <w:t>依托</w:t>
                  </w:r>
                </w:p>
              </w:tc>
            </w:tr>
            <w:tr w14:paraId="5E6EB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 w:hRule="atLeast"/>
                <w:jc w:val="center"/>
              </w:trPr>
              <w:tc>
                <w:tcPr>
                  <w:tcW w:w="1312" w:type="dxa"/>
                  <w:vMerge w:val="continue"/>
                  <w:tcBorders>
                    <w:tl2br w:val="nil"/>
                    <w:tr2bl w:val="nil"/>
                  </w:tcBorders>
                  <w:vAlign w:val="center"/>
                </w:tcPr>
                <w:p w14:paraId="137D89A0">
                  <w:pPr>
                    <w:pStyle w:val="51"/>
                    <w:bidi w:val="0"/>
                    <w:rPr>
                      <w:rFonts w:hint="default"/>
                      <w:color w:val="auto"/>
                    </w:rPr>
                  </w:pPr>
                </w:p>
              </w:tc>
              <w:tc>
                <w:tcPr>
                  <w:tcW w:w="1103" w:type="dxa"/>
                  <w:tcBorders>
                    <w:tl2br w:val="nil"/>
                    <w:tr2bl w:val="nil"/>
                  </w:tcBorders>
                  <w:vAlign w:val="center"/>
                </w:tcPr>
                <w:p w14:paraId="40389C9C">
                  <w:pPr>
                    <w:pStyle w:val="51"/>
                    <w:bidi w:val="0"/>
                    <w:rPr>
                      <w:rFonts w:hint="default" w:eastAsia="宋体"/>
                      <w:color w:val="auto"/>
                      <w:lang w:val="en-US" w:eastAsia="zh-CN"/>
                    </w:rPr>
                  </w:pPr>
                  <w:r>
                    <w:rPr>
                      <w:rFonts w:hint="eastAsia"/>
                      <w:color w:val="auto"/>
                      <w:lang w:val="en-US" w:eastAsia="zh-CN"/>
                    </w:rPr>
                    <w:t>噪声</w:t>
                  </w:r>
                </w:p>
              </w:tc>
              <w:tc>
                <w:tcPr>
                  <w:tcW w:w="4822" w:type="dxa"/>
                  <w:tcBorders>
                    <w:tl2br w:val="nil"/>
                    <w:tr2bl w:val="nil"/>
                  </w:tcBorders>
                  <w:vAlign w:val="center"/>
                </w:tcPr>
                <w:p w14:paraId="5CDF621F">
                  <w:pPr>
                    <w:pStyle w:val="51"/>
                    <w:bidi w:val="0"/>
                    <w:rPr>
                      <w:rFonts w:hint="eastAsia" w:eastAsia="宋体"/>
                      <w:color w:val="auto"/>
                      <w:lang w:val="en-US" w:eastAsia="zh-CN"/>
                    </w:rPr>
                  </w:pPr>
                  <w:r>
                    <w:rPr>
                      <w:rFonts w:hint="default"/>
                      <w:color w:val="auto"/>
                      <w:lang w:val="en-US"/>
                    </w:rPr>
                    <w:t>选用低噪声设备，设备加装减振垫，设备设置在车间内</w:t>
                  </w:r>
                  <w:r>
                    <w:rPr>
                      <w:rFonts w:hint="eastAsia"/>
                      <w:color w:val="auto"/>
                      <w:lang w:val="en-US" w:eastAsia="zh-CN"/>
                    </w:rPr>
                    <w:t>，加</w:t>
                  </w:r>
                  <w:r>
                    <w:rPr>
                      <w:rFonts w:hint="default"/>
                      <w:color w:val="auto"/>
                      <w:lang w:val="en-US"/>
                    </w:rPr>
                    <w:t>强厂区车辆运输管理等措施</w:t>
                  </w:r>
                  <w:r>
                    <w:rPr>
                      <w:rFonts w:hint="eastAsia"/>
                      <w:color w:val="auto"/>
                      <w:lang w:val="en-US" w:eastAsia="zh-CN"/>
                    </w:rPr>
                    <w:t>；</w:t>
                  </w:r>
                </w:p>
              </w:tc>
              <w:tc>
                <w:tcPr>
                  <w:tcW w:w="700" w:type="dxa"/>
                  <w:tcBorders>
                    <w:tl2br w:val="nil"/>
                    <w:tr2bl w:val="nil"/>
                  </w:tcBorders>
                  <w:vAlign w:val="center"/>
                </w:tcPr>
                <w:p w14:paraId="3B611190">
                  <w:pPr>
                    <w:pStyle w:val="51"/>
                    <w:bidi w:val="0"/>
                    <w:rPr>
                      <w:rFonts w:hint="default"/>
                      <w:color w:val="auto"/>
                      <w:lang w:val="en-US" w:eastAsia="zh-CN"/>
                    </w:rPr>
                  </w:pPr>
                  <w:r>
                    <w:rPr>
                      <w:rFonts w:hint="eastAsia"/>
                      <w:color w:val="auto"/>
                      <w:lang w:val="en-US" w:eastAsia="zh-CN"/>
                    </w:rPr>
                    <w:t>已建</w:t>
                  </w:r>
                </w:p>
              </w:tc>
            </w:tr>
            <w:tr w14:paraId="6C2B1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 w:hRule="atLeast"/>
                <w:jc w:val="center"/>
              </w:trPr>
              <w:tc>
                <w:tcPr>
                  <w:tcW w:w="1312" w:type="dxa"/>
                  <w:vMerge w:val="continue"/>
                  <w:tcBorders>
                    <w:tl2br w:val="nil"/>
                    <w:tr2bl w:val="nil"/>
                  </w:tcBorders>
                  <w:vAlign w:val="center"/>
                </w:tcPr>
                <w:p w14:paraId="6F74BC8C">
                  <w:pPr>
                    <w:pStyle w:val="51"/>
                    <w:bidi w:val="0"/>
                    <w:rPr>
                      <w:color w:val="auto"/>
                    </w:rPr>
                  </w:pPr>
                </w:p>
              </w:tc>
              <w:tc>
                <w:tcPr>
                  <w:tcW w:w="1103" w:type="dxa"/>
                  <w:tcBorders>
                    <w:tl2br w:val="nil"/>
                    <w:tr2bl w:val="nil"/>
                  </w:tcBorders>
                  <w:vAlign w:val="center"/>
                </w:tcPr>
                <w:p w14:paraId="681628E0">
                  <w:pPr>
                    <w:pStyle w:val="51"/>
                    <w:bidi w:val="0"/>
                    <w:rPr>
                      <w:rFonts w:hint="default" w:eastAsia="宋体"/>
                      <w:color w:val="auto"/>
                      <w:lang w:val="en-US" w:eastAsia="zh-CN"/>
                    </w:rPr>
                  </w:pPr>
                  <w:r>
                    <w:rPr>
                      <w:rFonts w:hint="eastAsia"/>
                      <w:color w:val="auto"/>
                      <w:lang w:val="en-US" w:eastAsia="zh-CN"/>
                    </w:rPr>
                    <w:t>固体废物</w:t>
                  </w:r>
                </w:p>
              </w:tc>
              <w:tc>
                <w:tcPr>
                  <w:tcW w:w="4822" w:type="dxa"/>
                  <w:tcBorders>
                    <w:tl2br w:val="nil"/>
                    <w:tr2bl w:val="nil"/>
                  </w:tcBorders>
                  <w:vAlign w:val="center"/>
                </w:tcPr>
                <w:p w14:paraId="0D931712">
                  <w:pPr>
                    <w:pStyle w:val="51"/>
                    <w:bidi w:val="0"/>
                    <w:rPr>
                      <w:rFonts w:hint="default" w:eastAsia="宋体"/>
                      <w:color w:val="auto"/>
                      <w:lang w:val="en-US" w:eastAsia="zh-CN"/>
                    </w:rPr>
                  </w:pPr>
                  <w:r>
                    <w:rPr>
                      <w:rFonts w:hint="eastAsia"/>
                      <w:color w:val="auto"/>
                      <w:lang w:val="en-US" w:eastAsia="zh-CN"/>
                    </w:rPr>
                    <w:t>生活垃圾依托生活区垃圾箱收集，定期由环卫部门清运；漂浮槽产生的污泥运至一般固废填埋场处置；设备定期维护产生的废机油暂存于危废暂存间，委托有资质的单位进行处置。</w:t>
                  </w:r>
                </w:p>
              </w:tc>
              <w:tc>
                <w:tcPr>
                  <w:tcW w:w="700" w:type="dxa"/>
                  <w:tcBorders>
                    <w:tl2br w:val="nil"/>
                    <w:tr2bl w:val="nil"/>
                  </w:tcBorders>
                  <w:vAlign w:val="center"/>
                </w:tcPr>
                <w:p w14:paraId="6B591243">
                  <w:pPr>
                    <w:pStyle w:val="51"/>
                    <w:bidi w:val="0"/>
                    <w:rPr>
                      <w:rFonts w:hint="default"/>
                      <w:color w:val="auto"/>
                      <w:lang w:val="en-US" w:eastAsia="zh-CN"/>
                    </w:rPr>
                  </w:pPr>
                  <w:r>
                    <w:rPr>
                      <w:rFonts w:hint="eastAsia"/>
                      <w:color w:val="auto"/>
                      <w:lang w:val="en-US" w:eastAsia="zh-CN"/>
                    </w:rPr>
                    <w:t>新建</w:t>
                  </w:r>
                </w:p>
              </w:tc>
            </w:tr>
            <w:tr w14:paraId="07095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 w:hRule="atLeast"/>
                <w:jc w:val="center"/>
              </w:trPr>
              <w:tc>
                <w:tcPr>
                  <w:tcW w:w="1312" w:type="dxa"/>
                  <w:vMerge w:val="continue"/>
                  <w:tcBorders>
                    <w:tl2br w:val="nil"/>
                    <w:tr2bl w:val="nil"/>
                  </w:tcBorders>
                  <w:vAlign w:val="center"/>
                </w:tcPr>
                <w:p w14:paraId="687C107E">
                  <w:pPr>
                    <w:pStyle w:val="51"/>
                    <w:bidi w:val="0"/>
                    <w:rPr>
                      <w:color w:val="auto"/>
                    </w:rPr>
                  </w:pPr>
                </w:p>
              </w:tc>
              <w:tc>
                <w:tcPr>
                  <w:tcW w:w="1103" w:type="dxa"/>
                  <w:tcBorders>
                    <w:tl2br w:val="nil"/>
                    <w:tr2bl w:val="nil"/>
                  </w:tcBorders>
                  <w:vAlign w:val="center"/>
                </w:tcPr>
                <w:p w14:paraId="587097BC">
                  <w:pPr>
                    <w:pStyle w:val="51"/>
                    <w:bidi w:val="0"/>
                    <w:rPr>
                      <w:rFonts w:hint="default"/>
                      <w:color w:val="auto"/>
                      <w:lang w:val="en-US" w:eastAsia="zh-CN"/>
                    </w:rPr>
                  </w:pPr>
                  <w:r>
                    <w:rPr>
                      <w:rFonts w:hint="eastAsia"/>
                      <w:color w:val="auto"/>
                      <w:lang w:val="en-US" w:eastAsia="zh-CN"/>
                    </w:rPr>
                    <w:t>环境风险</w:t>
                  </w:r>
                </w:p>
              </w:tc>
              <w:tc>
                <w:tcPr>
                  <w:tcW w:w="5522" w:type="dxa"/>
                  <w:gridSpan w:val="2"/>
                  <w:tcBorders>
                    <w:tl2br w:val="nil"/>
                    <w:tr2bl w:val="nil"/>
                  </w:tcBorders>
                  <w:vAlign w:val="center"/>
                </w:tcPr>
                <w:p w14:paraId="32438E8A">
                  <w:pPr>
                    <w:pStyle w:val="51"/>
                    <w:bidi w:val="0"/>
                    <w:rPr>
                      <w:rFonts w:hint="eastAsia"/>
                      <w:color w:val="auto"/>
                      <w:lang w:val="en-US" w:eastAsia="zh-CN"/>
                    </w:rPr>
                  </w:pPr>
                  <w:r>
                    <w:rPr>
                      <w:rFonts w:hint="eastAsia" w:ascii="Times New Roman" w:hAnsi="Times New Roman" w:cs="Times New Roman"/>
                      <w:color w:val="auto"/>
                      <w:szCs w:val="21"/>
                      <w:lang w:val="en-US" w:eastAsia="zh-CN"/>
                    </w:rPr>
                    <w:t>修编</w:t>
                  </w:r>
                  <w:r>
                    <w:rPr>
                      <w:rFonts w:hint="default" w:ascii="Times New Roman" w:hAnsi="Times New Roman" w:cs="Times New Roman"/>
                      <w:color w:val="auto"/>
                      <w:szCs w:val="21"/>
                    </w:rPr>
                    <w:t>应急预案，加强管理</w:t>
                  </w:r>
                </w:p>
              </w:tc>
            </w:tr>
          </w:tbl>
          <w:p w14:paraId="064A5B0D">
            <w:pPr>
              <w:pStyle w:val="4"/>
              <w:bidi w:val="0"/>
              <w:rPr>
                <w:rFonts w:hint="default"/>
                <w:color w:val="auto"/>
                <w:lang w:val="en-US" w:eastAsia="zh-CN"/>
              </w:rPr>
            </w:pPr>
            <w:r>
              <w:rPr>
                <w:rFonts w:hint="eastAsia"/>
                <w:color w:val="auto"/>
                <w:lang w:val="en-US" w:eastAsia="zh-CN"/>
              </w:rPr>
              <w:t>2.3主要生产设备</w:t>
            </w:r>
          </w:p>
          <w:p w14:paraId="6BEC0FFF">
            <w:pPr>
              <w:pStyle w:val="38"/>
              <w:bidi w:val="0"/>
              <w:rPr>
                <w:rFonts w:hint="default"/>
                <w:lang w:val="en-US" w:eastAsia="zh-CN"/>
              </w:rPr>
            </w:pPr>
            <w:r>
              <w:rPr>
                <w:rFonts w:hint="eastAsia"/>
                <w:lang w:val="en-US" w:eastAsia="zh-CN"/>
              </w:rPr>
              <w:t>本项目主要新增设备如下；</w:t>
            </w:r>
          </w:p>
          <w:p w14:paraId="1C1A06F9">
            <w:pPr>
              <w:pStyle w:val="46"/>
              <w:bidi w:val="0"/>
              <w:rPr>
                <w:rFonts w:hint="default" w:eastAsia="宋体"/>
                <w:color w:val="auto"/>
                <w:lang w:val="en-US" w:eastAsia="zh-CN"/>
              </w:rPr>
            </w:pPr>
            <w:r>
              <w:rPr>
                <w:color w:val="auto"/>
              </w:rPr>
              <w:t>表</w:t>
            </w:r>
            <w:r>
              <w:rPr>
                <w:rFonts w:hint="eastAsia"/>
                <w:color w:val="auto"/>
                <w:lang w:val="en-US" w:eastAsia="zh-CN"/>
              </w:rPr>
              <w:t>2-2</w:t>
            </w:r>
            <w:r>
              <w:rPr>
                <w:color w:val="auto"/>
              </w:rPr>
              <w:t xml:space="preserve">   </w:t>
            </w:r>
            <w:r>
              <w:rPr>
                <w:rFonts w:hint="eastAsia"/>
                <w:color w:val="auto"/>
                <w:lang w:val="en-US" w:eastAsia="zh-CN"/>
              </w:rPr>
              <w:t>本项目主要设备一览表</w:t>
            </w:r>
          </w:p>
          <w:tbl>
            <w:tblPr>
              <w:tblStyle w:val="114"/>
              <w:tblW w:w="79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0"/>
              <w:gridCol w:w="2608"/>
              <w:gridCol w:w="1953"/>
              <w:gridCol w:w="1078"/>
              <w:gridCol w:w="1078"/>
            </w:tblGrid>
            <w:tr w14:paraId="31F35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220" w:type="dxa"/>
                  <w:noWrap w:val="0"/>
                  <w:vAlign w:val="top"/>
                </w:tcPr>
                <w:p w14:paraId="63FE5253">
                  <w:pPr>
                    <w:pStyle w:val="51"/>
                    <w:bidi w:val="0"/>
                    <w:rPr>
                      <w:rFonts w:hint="eastAsia"/>
                      <w:lang w:val="en-US" w:eastAsia="zh-CN"/>
                    </w:rPr>
                  </w:pPr>
                  <w:r>
                    <w:rPr>
                      <w:rFonts w:hint="eastAsia"/>
                      <w:lang w:val="en-US" w:eastAsia="zh-CN"/>
                    </w:rPr>
                    <w:t>序号</w:t>
                  </w:r>
                </w:p>
              </w:tc>
              <w:tc>
                <w:tcPr>
                  <w:tcW w:w="2608" w:type="dxa"/>
                  <w:noWrap w:val="0"/>
                  <w:vAlign w:val="top"/>
                </w:tcPr>
                <w:p w14:paraId="421CDF17">
                  <w:pPr>
                    <w:pStyle w:val="51"/>
                    <w:bidi w:val="0"/>
                  </w:pPr>
                  <w:r>
                    <w:t>设备名称</w:t>
                  </w:r>
                </w:p>
              </w:tc>
              <w:tc>
                <w:tcPr>
                  <w:tcW w:w="1953" w:type="dxa"/>
                  <w:noWrap w:val="0"/>
                  <w:vAlign w:val="top"/>
                </w:tcPr>
                <w:p w14:paraId="04215771">
                  <w:pPr>
                    <w:pStyle w:val="51"/>
                    <w:bidi w:val="0"/>
                  </w:pPr>
                  <w:r>
                    <w:t>设备型号</w:t>
                  </w:r>
                </w:p>
              </w:tc>
              <w:tc>
                <w:tcPr>
                  <w:tcW w:w="1078" w:type="dxa"/>
                  <w:noWrap w:val="0"/>
                  <w:vAlign w:val="top"/>
                </w:tcPr>
                <w:p w14:paraId="687F461F">
                  <w:pPr>
                    <w:pStyle w:val="51"/>
                    <w:bidi w:val="0"/>
                  </w:pPr>
                  <w:r>
                    <w:t>数量</w:t>
                  </w:r>
                </w:p>
              </w:tc>
              <w:tc>
                <w:tcPr>
                  <w:tcW w:w="1078" w:type="dxa"/>
                  <w:noWrap w:val="0"/>
                  <w:vAlign w:val="top"/>
                </w:tcPr>
                <w:p w14:paraId="0749B3D9">
                  <w:pPr>
                    <w:pStyle w:val="51"/>
                    <w:bidi w:val="0"/>
                    <w:rPr>
                      <w:rFonts w:hint="eastAsia" w:eastAsia="宋体"/>
                      <w:lang w:val="en-US" w:eastAsia="zh-CN"/>
                    </w:rPr>
                  </w:pPr>
                  <w:r>
                    <w:rPr>
                      <w:rFonts w:hint="eastAsia"/>
                      <w:lang w:val="en-US" w:eastAsia="zh-CN"/>
                    </w:rPr>
                    <w:t>单位</w:t>
                  </w:r>
                </w:p>
              </w:tc>
            </w:tr>
            <w:tr w14:paraId="6845E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220" w:type="dxa"/>
                  <w:noWrap w:val="0"/>
                  <w:vAlign w:val="top"/>
                </w:tcPr>
                <w:p w14:paraId="194A5911">
                  <w:pPr>
                    <w:pStyle w:val="51"/>
                    <w:bidi w:val="0"/>
                    <w:rPr>
                      <w:rFonts w:hint="eastAsia" w:eastAsia="宋体"/>
                      <w:lang w:val="en-US" w:eastAsia="zh-CN"/>
                    </w:rPr>
                  </w:pPr>
                  <w:r>
                    <w:rPr>
                      <w:rFonts w:hint="eastAsia"/>
                      <w:lang w:val="en-US" w:eastAsia="zh-CN"/>
                    </w:rPr>
                    <w:t>1</w:t>
                  </w:r>
                </w:p>
              </w:tc>
              <w:tc>
                <w:tcPr>
                  <w:tcW w:w="2608" w:type="dxa"/>
                  <w:noWrap w:val="0"/>
                  <w:vAlign w:val="top"/>
                </w:tcPr>
                <w:p w14:paraId="736ABF2D">
                  <w:pPr>
                    <w:pStyle w:val="51"/>
                    <w:bidi w:val="0"/>
                  </w:pPr>
                  <w:r>
                    <w:t>上料机</w:t>
                  </w:r>
                </w:p>
              </w:tc>
              <w:tc>
                <w:tcPr>
                  <w:tcW w:w="1953" w:type="dxa"/>
                  <w:noWrap w:val="0"/>
                  <w:vAlign w:val="top"/>
                </w:tcPr>
                <w:p w14:paraId="4CF4522B">
                  <w:pPr>
                    <w:pStyle w:val="51"/>
                    <w:bidi w:val="0"/>
                    <w:rPr>
                      <w:rFonts w:hint="eastAsia" w:eastAsia="宋体"/>
                      <w:lang w:val="en-US" w:eastAsia="zh-CN"/>
                    </w:rPr>
                  </w:pPr>
                  <w:r>
                    <w:rPr>
                      <w:rFonts w:hint="eastAsia"/>
                      <w:lang w:val="en-US" w:eastAsia="zh-CN"/>
                    </w:rPr>
                    <w:t>/</w:t>
                  </w:r>
                </w:p>
              </w:tc>
              <w:tc>
                <w:tcPr>
                  <w:tcW w:w="1078" w:type="dxa"/>
                  <w:noWrap w:val="0"/>
                  <w:vAlign w:val="top"/>
                </w:tcPr>
                <w:p w14:paraId="179C0FBD">
                  <w:pPr>
                    <w:pStyle w:val="51"/>
                    <w:bidi w:val="0"/>
                  </w:pPr>
                  <w:r>
                    <w:t>10</w:t>
                  </w:r>
                </w:p>
              </w:tc>
              <w:tc>
                <w:tcPr>
                  <w:tcW w:w="1078" w:type="dxa"/>
                  <w:noWrap w:val="0"/>
                  <w:vAlign w:val="top"/>
                </w:tcPr>
                <w:p w14:paraId="2E3CE683">
                  <w:pPr>
                    <w:pStyle w:val="51"/>
                    <w:bidi w:val="0"/>
                    <w:rPr>
                      <w:rFonts w:hint="eastAsia" w:eastAsia="宋体"/>
                      <w:lang w:val="en-US" w:eastAsia="zh-CN"/>
                    </w:rPr>
                  </w:pPr>
                  <w:r>
                    <w:rPr>
                      <w:rFonts w:hint="eastAsia"/>
                      <w:lang w:val="en-US" w:eastAsia="zh-CN"/>
                    </w:rPr>
                    <w:t>台</w:t>
                  </w:r>
                </w:p>
              </w:tc>
            </w:tr>
            <w:tr w14:paraId="6A52C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220" w:type="dxa"/>
                  <w:noWrap w:val="0"/>
                  <w:vAlign w:val="top"/>
                </w:tcPr>
                <w:p w14:paraId="0511A251">
                  <w:pPr>
                    <w:pStyle w:val="51"/>
                    <w:bidi w:val="0"/>
                    <w:rPr>
                      <w:rFonts w:hint="eastAsia" w:eastAsia="宋体"/>
                      <w:lang w:val="en-US" w:eastAsia="zh-CN"/>
                    </w:rPr>
                  </w:pPr>
                  <w:r>
                    <w:rPr>
                      <w:rFonts w:hint="eastAsia"/>
                      <w:lang w:val="en-US" w:eastAsia="zh-CN"/>
                    </w:rPr>
                    <w:t>2</w:t>
                  </w:r>
                </w:p>
              </w:tc>
              <w:tc>
                <w:tcPr>
                  <w:tcW w:w="2608" w:type="dxa"/>
                  <w:noWrap w:val="0"/>
                  <w:vAlign w:val="top"/>
                </w:tcPr>
                <w:p w14:paraId="3131DA79">
                  <w:pPr>
                    <w:pStyle w:val="51"/>
                    <w:bidi w:val="0"/>
                  </w:pPr>
                  <w:r>
                    <w:t>滚筛</w:t>
                  </w:r>
                </w:p>
              </w:tc>
              <w:tc>
                <w:tcPr>
                  <w:tcW w:w="1953" w:type="dxa"/>
                  <w:noWrap w:val="0"/>
                  <w:vAlign w:val="top"/>
                </w:tcPr>
                <w:p w14:paraId="30224341">
                  <w:pPr>
                    <w:pStyle w:val="51"/>
                    <w:bidi w:val="0"/>
                    <w:rPr>
                      <w:rFonts w:hint="eastAsia" w:eastAsia="宋体"/>
                      <w:lang w:val="en-US" w:eastAsia="zh-CN"/>
                    </w:rPr>
                  </w:pPr>
                  <w:r>
                    <w:rPr>
                      <w:rFonts w:hint="eastAsia"/>
                      <w:lang w:val="en-US" w:eastAsia="zh-CN"/>
                    </w:rPr>
                    <w:t>/</w:t>
                  </w:r>
                </w:p>
              </w:tc>
              <w:tc>
                <w:tcPr>
                  <w:tcW w:w="1078" w:type="dxa"/>
                  <w:noWrap w:val="0"/>
                  <w:vAlign w:val="top"/>
                </w:tcPr>
                <w:p w14:paraId="1943D9FE">
                  <w:pPr>
                    <w:pStyle w:val="51"/>
                    <w:bidi w:val="0"/>
                  </w:pPr>
                  <w:r>
                    <w:t>3</w:t>
                  </w:r>
                </w:p>
              </w:tc>
              <w:tc>
                <w:tcPr>
                  <w:tcW w:w="1078" w:type="dxa"/>
                  <w:noWrap w:val="0"/>
                  <w:vAlign w:val="top"/>
                </w:tcPr>
                <w:p w14:paraId="18094EE3">
                  <w:pPr>
                    <w:pStyle w:val="51"/>
                    <w:bidi w:val="0"/>
                  </w:pPr>
                  <w:r>
                    <w:rPr>
                      <w:rFonts w:hint="eastAsia"/>
                      <w:lang w:val="en-US" w:eastAsia="zh-CN"/>
                    </w:rPr>
                    <w:t>台</w:t>
                  </w:r>
                </w:p>
              </w:tc>
            </w:tr>
            <w:tr w14:paraId="1517C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220" w:type="dxa"/>
                  <w:noWrap w:val="0"/>
                  <w:vAlign w:val="top"/>
                </w:tcPr>
                <w:p w14:paraId="297E1A48">
                  <w:pPr>
                    <w:pStyle w:val="51"/>
                    <w:bidi w:val="0"/>
                    <w:rPr>
                      <w:rFonts w:hint="eastAsia" w:eastAsia="宋体"/>
                      <w:lang w:val="en-US" w:eastAsia="zh-CN"/>
                    </w:rPr>
                  </w:pPr>
                  <w:r>
                    <w:rPr>
                      <w:rFonts w:hint="eastAsia"/>
                      <w:lang w:val="en-US" w:eastAsia="zh-CN"/>
                    </w:rPr>
                    <w:t>3</w:t>
                  </w:r>
                </w:p>
              </w:tc>
              <w:tc>
                <w:tcPr>
                  <w:tcW w:w="2608" w:type="dxa"/>
                  <w:noWrap w:val="0"/>
                  <w:vAlign w:val="top"/>
                </w:tcPr>
                <w:p w14:paraId="2E37199C">
                  <w:pPr>
                    <w:pStyle w:val="51"/>
                    <w:bidi w:val="0"/>
                  </w:pPr>
                  <w:r>
                    <w:t>摇筛</w:t>
                  </w:r>
                </w:p>
              </w:tc>
              <w:tc>
                <w:tcPr>
                  <w:tcW w:w="1953" w:type="dxa"/>
                  <w:noWrap w:val="0"/>
                  <w:vAlign w:val="top"/>
                </w:tcPr>
                <w:p w14:paraId="1180DE5C">
                  <w:pPr>
                    <w:pStyle w:val="51"/>
                    <w:bidi w:val="0"/>
                    <w:rPr>
                      <w:rFonts w:hint="eastAsia" w:eastAsia="宋体"/>
                      <w:lang w:val="en-US" w:eastAsia="zh-CN"/>
                    </w:rPr>
                  </w:pPr>
                  <w:r>
                    <w:rPr>
                      <w:rFonts w:hint="eastAsia"/>
                      <w:lang w:val="en-US" w:eastAsia="zh-CN"/>
                    </w:rPr>
                    <w:t>/</w:t>
                  </w:r>
                </w:p>
              </w:tc>
              <w:tc>
                <w:tcPr>
                  <w:tcW w:w="1078" w:type="dxa"/>
                  <w:noWrap w:val="0"/>
                  <w:vAlign w:val="top"/>
                </w:tcPr>
                <w:p w14:paraId="79D6FA58">
                  <w:pPr>
                    <w:pStyle w:val="51"/>
                    <w:bidi w:val="0"/>
                  </w:pPr>
                  <w:r>
                    <w:t>2</w:t>
                  </w:r>
                </w:p>
              </w:tc>
              <w:tc>
                <w:tcPr>
                  <w:tcW w:w="1078" w:type="dxa"/>
                  <w:noWrap w:val="0"/>
                  <w:vAlign w:val="top"/>
                </w:tcPr>
                <w:p w14:paraId="269B6C82">
                  <w:pPr>
                    <w:pStyle w:val="51"/>
                    <w:bidi w:val="0"/>
                  </w:pPr>
                  <w:r>
                    <w:rPr>
                      <w:rFonts w:hint="eastAsia"/>
                      <w:lang w:val="en-US" w:eastAsia="zh-CN"/>
                    </w:rPr>
                    <w:t>台</w:t>
                  </w:r>
                </w:p>
              </w:tc>
            </w:tr>
            <w:tr w14:paraId="516C4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220" w:type="dxa"/>
                  <w:noWrap w:val="0"/>
                  <w:vAlign w:val="top"/>
                </w:tcPr>
                <w:p w14:paraId="2D4DD497">
                  <w:pPr>
                    <w:pStyle w:val="51"/>
                    <w:bidi w:val="0"/>
                    <w:rPr>
                      <w:rFonts w:hint="eastAsia" w:eastAsia="宋体"/>
                      <w:lang w:val="en-US" w:eastAsia="zh-CN"/>
                    </w:rPr>
                  </w:pPr>
                  <w:r>
                    <w:rPr>
                      <w:rFonts w:hint="eastAsia"/>
                      <w:lang w:val="en-US" w:eastAsia="zh-CN"/>
                    </w:rPr>
                    <w:t>4</w:t>
                  </w:r>
                </w:p>
              </w:tc>
              <w:tc>
                <w:tcPr>
                  <w:tcW w:w="2608" w:type="dxa"/>
                  <w:noWrap w:val="0"/>
                  <w:vAlign w:val="top"/>
                </w:tcPr>
                <w:p w14:paraId="4562E509">
                  <w:pPr>
                    <w:pStyle w:val="51"/>
                    <w:bidi w:val="0"/>
                  </w:pPr>
                  <w:r>
                    <w:t>硅胶机</w:t>
                  </w:r>
                </w:p>
              </w:tc>
              <w:tc>
                <w:tcPr>
                  <w:tcW w:w="1953" w:type="dxa"/>
                  <w:noWrap w:val="0"/>
                  <w:vAlign w:val="top"/>
                </w:tcPr>
                <w:p w14:paraId="29B5A929">
                  <w:pPr>
                    <w:pStyle w:val="51"/>
                    <w:bidi w:val="0"/>
                    <w:rPr>
                      <w:rFonts w:hint="eastAsia" w:eastAsia="宋体"/>
                      <w:lang w:val="en-US" w:eastAsia="zh-CN"/>
                    </w:rPr>
                  </w:pPr>
                  <w:r>
                    <w:rPr>
                      <w:rFonts w:hint="eastAsia"/>
                      <w:lang w:val="en-US" w:eastAsia="zh-CN"/>
                    </w:rPr>
                    <w:t>/</w:t>
                  </w:r>
                </w:p>
              </w:tc>
              <w:tc>
                <w:tcPr>
                  <w:tcW w:w="1078" w:type="dxa"/>
                  <w:noWrap w:val="0"/>
                  <w:vAlign w:val="top"/>
                </w:tcPr>
                <w:p w14:paraId="53E937A8">
                  <w:pPr>
                    <w:pStyle w:val="51"/>
                    <w:bidi w:val="0"/>
                  </w:pPr>
                  <w:r>
                    <w:t>1</w:t>
                  </w:r>
                </w:p>
              </w:tc>
              <w:tc>
                <w:tcPr>
                  <w:tcW w:w="1078" w:type="dxa"/>
                  <w:noWrap w:val="0"/>
                  <w:vAlign w:val="top"/>
                </w:tcPr>
                <w:p w14:paraId="679AD337">
                  <w:pPr>
                    <w:pStyle w:val="51"/>
                    <w:bidi w:val="0"/>
                  </w:pPr>
                  <w:r>
                    <w:rPr>
                      <w:rFonts w:hint="eastAsia"/>
                      <w:lang w:val="en-US" w:eastAsia="zh-CN"/>
                    </w:rPr>
                    <w:t>台</w:t>
                  </w:r>
                </w:p>
              </w:tc>
            </w:tr>
            <w:tr w14:paraId="03C42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220" w:type="dxa"/>
                  <w:noWrap w:val="0"/>
                  <w:vAlign w:val="top"/>
                </w:tcPr>
                <w:p w14:paraId="6B355FB5">
                  <w:pPr>
                    <w:pStyle w:val="51"/>
                    <w:bidi w:val="0"/>
                    <w:rPr>
                      <w:rFonts w:hint="eastAsia" w:eastAsia="宋体"/>
                      <w:lang w:val="en-US" w:eastAsia="zh-CN"/>
                    </w:rPr>
                  </w:pPr>
                  <w:r>
                    <w:rPr>
                      <w:rFonts w:hint="eastAsia"/>
                      <w:lang w:val="en-US" w:eastAsia="zh-CN"/>
                    </w:rPr>
                    <w:t>5</w:t>
                  </w:r>
                </w:p>
              </w:tc>
              <w:tc>
                <w:tcPr>
                  <w:tcW w:w="2608" w:type="dxa"/>
                  <w:noWrap w:val="0"/>
                  <w:vAlign w:val="top"/>
                </w:tcPr>
                <w:p w14:paraId="30D8C57F">
                  <w:pPr>
                    <w:pStyle w:val="51"/>
                    <w:bidi w:val="0"/>
                  </w:pPr>
                  <w:r>
                    <w:t>磁滚机</w:t>
                  </w:r>
                </w:p>
              </w:tc>
              <w:tc>
                <w:tcPr>
                  <w:tcW w:w="1953" w:type="dxa"/>
                  <w:noWrap w:val="0"/>
                  <w:vAlign w:val="top"/>
                </w:tcPr>
                <w:p w14:paraId="1067B08C">
                  <w:pPr>
                    <w:pStyle w:val="51"/>
                    <w:bidi w:val="0"/>
                    <w:rPr>
                      <w:rFonts w:hint="eastAsia" w:eastAsia="宋体"/>
                      <w:lang w:val="en-US" w:eastAsia="zh-CN"/>
                    </w:rPr>
                  </w:pPr>
                  <w:r>
                    <w:rPr>
                      <w:rFonts w:hint="eastAsia"/>
                      <w:lang w:val="en-US" w:eastAsia="zh-CN"/>
                    </w:rPr>
                    <w:t>/</w:t>
                  </w:r>
                </w:p>
              </w:tc>
              <w:tc>
                <w:tcPr>
                  <w:tcW w:w="1078" w:type="dxa"/>
                  <w:noWrap w:val="0"/>
                  <w:vAlign w:val="top"/>
                </w:tcPr>
                <w:p w14:paraId="79949711">
                  <w:pPr>
                    <w:pStyle w:val="51"/>
                    <w:bidi w:val="0"/>
                  </w:pPr>
                  <w:r>
                    <w:t>1</w:t>
                  </w:r>
                </w:p>
              </w:tc>
              <w:tc>
                <w:tcPr>
                  <w:tcW w:w="1078" w:type="dxa"/>
                  <w:noWrap w:val="0"/>
                  <w:vAlign w:val="top"/>
                </w:tcPr>
                <w:p w14:paraId="6E4785CC">
                  <w:pPr>
                    <w:pStyle w:val="51"/>
                    <w:bidi w:val="0"/>
                  </w:pPr>
                  <w:r>
                    <w:rPr>
                      <w:rFonts w:hint="eastAsia"/>
                      <w:lang w:val="en-US" w:eastAsia="zh-CN"/>
                    </w:rPr>
                    <w:t>台</w:t>
                  </w:r>
                </w:p>
              </w:tc>
            </w:tr>
            <w:tr w14:paraId="69027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220" w:type="dxa"/>
                  <w:noWrap w:val="0"/>
                  <w:vAlign w:val="top"/>
                </w:tcPr>
                <w:p w14:paraId="53625651">
                  <w:pPr>
                    <w:pStyle w:val="51"/>
                    <w:bidi w:val="0"/>
                    <w:rPr>
                      <w:rFonts w:hint="eastAsia" w:eastAsia="宋体"/>
                      <w:lang w:val="en-US" w:eastAsia="zh-CN"/>
                    </w:rPr>
                  </w:pPr>
                  <w:r>
                    <w:rPr>
                      <w:rFonts w:hint="eastAsia"/>
                      <w:lang w:val="en-US" w:eastAsia="zh-CN"/>
                    </w:rPr>
                    <w:t>6</w:t>
                  </w:r>
                </w:p>
              </w:tc>
              <w:tc>
                <w:tcPr>
                  <w:tcW w:w="2608" w:type="dxa"/>
                  <w:noWrap w:val="0"/>
                  <w:vAlign w:val="top"/>
                </w:tcPr>
                <w:p w14:paraId="7D616AEA">
                  <w:pPr>
                    <w:pStyle w:val="51"/>
                    <w:bidi w:val="0"/>
                  </w:pPr>
                  <w:r>
                    <w:t>涡电流分选机</w:t>
                  </w:r>
                </w:p>
              </w:tc>
              <w:tc>
                <w:tcPr>
                  <w:tcW w:w="1953" w:type="dxa"/>
                  <w:noWrap w:val="0"/>
                  <w:vAlign w:val="top"/>
                </w:tcPr>
                <w:p w14:paraId="57F7A7C3">
                  <w:pPr>
                    <w:pStyle w:val="51"/>
                    <w:bidi w:val="0"/>
                  </w:pPr>
                  <w:r>
                    <w:t>1200型</w:t>
                  </w:r>
                </w:p>
              </w:tc>
              <w:tc>
                <w:tcPr>
                  <w:tcW w:w="1078" w:type="dxa"/>
                  <w:noWrap w:val="0"/>
                  <w:vAlign w:val="top"/>
                </w:tcPr>
                <w:p w14:paraId="636C9B8C">
                  <w:pPr>
                    <w:pStyle w:val="51"/>
                    <w:bidi w:val="0"/>
                  </w:pPr>
                  <w:r>
                    <w:t>6</w:t>
                  </w:r>
                </w:p>
              </w:tc>
              <w:tc>
                <w:tcPr>
                  <w:tcW w:w="1078" w:type="dxa"/>
                  <w:noWrap w:val="0"/>
                  <w:vAlign w:val="top"/>
                </w:tcPr>
                <w:p w14:paraId="43AA0901">
                  <w:pPr>
                    <w:pStyle w:val="51"/>
                    <w:bidi w:val="0"/>
                  </w:pPr>
                  <w:r>
                    <w:rPr>
                      <w:rFonts w:hint="eastAsia"/>
                      <w:lang w:val="en-US" w:eastAsia="zh-CN"/>
                    </w:rPr>
                    <w:t>台</w:t>
                  </w:r>
                </w:p>
              </w:tc>
            </w:tr>
            <w:tr w14:paraId="47D60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220" w:type="dxa"/>
                  <w:noWrap w:val="0"/>
                  <w:vAlign w:val="top"/>
                </w:tcPr>
                <w:p w14:paraId="2F3629E5">
                  <w:pPr>
                    <w:pStyle w:val="51"/>
                    <w:bidi w:val="0"/>
                    <w:rPr>
                      <w:rFonts w:hint="eastAsia" w:eastAsia="宋体"/>
                      <w:lang w:val="en-US" w:eastAsia="zh-CN"/>
                    </w:rPr>
                  </w:pPr>
                  <w:r>
                    <w:rPr>
                      <w:rFonts w:hint="eastAsia"/>
                      <w:lang w:val="en-US" w:eastAsia="zh-CN"/>
                    </w:rPr>
                    <w:t>7</w:t>
                  </w:r>
                </w:p>
              </w:tc>
              <w:tc>
                <w:tcPr>
                  <w:tcW w:w="2608" w:type="dxa"/>
                  <w:noWrap w:val="0"/>
                  <w:vAlign w:val="top"/>
                </w:tcPr>
                <w:p w14:paraId="5D392E9F">
                  <w:pPr>
                    <w:pStyle w:val="51"/>
                    <w:bidi w:val="0"/>
                  </w:pPr>
                  <w:r>
                    <w:t>不锈钢分选机</w:t>
                  </w:r>
                </w:p>
              </w:tc>
              <w:tc>
                <w:tcPr>
                  <w:tcW w:w="1953" w:type="dxa"/>
                  <w:noWrap w:val="0"/>
                  <w:vAlign w:val="top"/>
                </w:tcPr>
                <w:p w14:paraId="219D66AD">
                  <w:pPr>
                    <w:pStyle w:val="51"/>
                    <w:bidi w:val="0"/>
                    <w:rPr>
                      <w:rFonts w:hint="eastAsia" w:eastAsia="宋体"/>
                      <w:lang w:val="en-US" w:eastAsia="zh-CN"/>
                    </w:rPr>
                  </w:pPr>
                  <w:r>
                    <w:rPr>
                      <w:rFonts w:hint="eastAsia"/>
                      <w:lang w:val="en-US" w:eastAsia="zh-CN"/>
                    </w:rPr>
                    <w:t>/</w:t>
                  </w:r>
                </w:p>
              </w:tc>
              <w:tc>
                <w:tcPr>
                  <w:tcW w:w="1078" w:type="dxa"/>
                  <w:noWrap w:val="0"/>
                  <w:vAlign w:val="top"/>
                </w:tcPr>
                <w:p w14:paraId="38EFE682">
                  <w:pPr>
                    <w:pStyle w:val="51"/>
                    <w:bidi w:val="0"/>
                  </w:pPr>
                  <w:r>
                    <w:t>2</w:t>
                  </w:r>
                </w:p>
              </w:tc>
              <w:tc>
                <w:tcPr>
                  <w:tcW w:w="1078" w:type="dxa"/>
                  <w:noWrap w:val="0"/>
                  <w:vAlign w:val="top"/>
                </w:tcPr>
                <w:p w14:paraId="38F6DF82">
                  <w:pPr>
                    <w:pStyle w:val="51"/>
                    <w:bidi w:val="0"/>
                  </w:pPr>
                  <w:r>
                    <w:rPr>
                      <w:rFonts w:hint="eastAsia"/>
                      <w:lang w:val="en-US" w:eastAsia="zh-CN"/>
                    </w:rPr>
                    <w:t>台</w:t>
                  </w:r>
                </w:p>
              </w:tc>
            </w:tr>
            <w:tr w14:paraId="3C4B9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220" w:type="dxa"/>
                  <w:noWrap w:val="0"/>
                  <w:vAlign w:val="top"/>
                </w:tcPr>
                <w:p w14:paraId="208A38C2">
                  <w:pPr>
                    <w:pStyle w:val="51"/>
                    <w:bidi w:val="0"/>
                    <w:rPr>
                      <w:rFonts w:hint="eastAsia" w:eastAsia="宋体"/>
                      <w:lang w:val="en-US" w:eastAsia="zh-CN"/>
                    </w:rPr>
                  </w:pPr>
                  <w:r>
                    <w:rPr>
                      <w:rFonts w:hint="eastAsia"/>
                      <w:lang w:val="en-US" w:eastAsia="zh-CN"/>
                    </w:rPr>
                    <w:t>8</w:t>
                  </w:r>
                </w:p>
              </w:tc>
              <w:tc>
                <w:tcPr>
                  <w:tcW w:w="2608" w:type="dxa"/>
                  <w:noWrap w:val="0"/>
                  <w:vAlign w:val="top"/>
                </w:tcPr>
                <w:p w14:paraId="6424A7C0">
                  <w:pPr>
                    <w:pStyle w:val="51"/>
                    <w:bidi w:val="0"/>
                  </w:pPr>
                  <w:r>
                    <w:t>静电分选机</w:t>
                  </w:r>
                </w:p>
              </w:tc>
              <w:tc>
                <w:tcPr>
                  <w:tcW w:w="1953" w:type="dxa"/>
                  <w:noWrap w:val="0"/>
                  <w:vAlign w:val="top"/>
                </w:tcPr>
                <w:p w14:paraId="2E4B7300">
                  <w:pPr>
                    <w:pStyle w:val="51"/>
                    <w:bidi w:val="0"/>
                    <w:rPr>
                      <w:rFonts w:hint="eastAsia" w:eastAsia="宋体"/>
                      <w:lang w:val="en-US" w:eastAsia="zh-CN"/>
                    </w:rPr>
                  </w:pPr>
                  <w:r>
                    <w:rPr>
                      <w:rFonts w:hint="eastAsia"/>
                      <w:lang w:val="en-US" w:eastAsia="zh-CN"/>
                    </w:rPr>
                    <w:t>/</w:t>
                  </w:r>
                </w:p>
              </w:tc>
              <w:tc>
                <w:tcPr>
                  <w:tcW w:w="1078" w:type="dxa"/>
                  <w:noWrap w:val="0"/>
                  <w:vAlign w:val="top"/>
                </w:tcPr>
                <w:p w14:paraId="0B841121">
                  <w:pPr>
                    <w:pStyle w:val="51"/>
                    <w:bidi w:val="0"/>
                  </w:pPr>
                  <w:r>
                    <w:t>2</w:t>
                  </w:r>
                </w:p>
              </w:tc>
              <w:tc>
                <w:tcPr>
                  <w:tcW w:w="1078" w:type="dxa"/>
                  <w:noWrap w:val="0"/>
                  <w:vAlign w:val="top"/>
                </w:tcPr>
                <w:p w14:paraId="4DB71608">
                  <w:pPr>
                    <w:pStyle w:val="51"/>
                    <w:bidi w:val="0"/>
                  </w:pPr>
                  <w:r>
                    <w:rPr>
                      <w:rFonts w:hint="eastAsia"/>
                      <w:lang w:val="en-US" w:eastAsia="zh-CN"/>
                    </w:rPr>
                    <w:t>台</w:t>
                  </w:r>
                </w:p>
              </w:tc>
            </w:tr>
            <w:tr w14:paraId="35B83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220" w:type="dxa"/>
                  <w:noWrap w:val="0"/>
                  <w:vAlign w:val="top"/>
                </w:tcPr>
                <w:p w14:paraId="40D39167">
                  <w:pPr>
                    <w:pStyle w:val="51"/>
                    <w:bidi w:val="0"/>
                    <w:rPr>
                      <w:rFonts w:hint="eastAsia" w:eastAsia="宋体"/>
                      <w:lang w:val="en-US" w:eastAsia="zh-CN"/>
                    </w:rPr>
                  </w:pPr>
                  <w:r>
                    <w:rPr>
                      <w:rFonts w:hint="eastAsia"/>
                      <w:lang w:val="en-US" w:eastAsia="zh-CN"/>
                    </w:rPr>
                    <w:t>9</w:t>
                  </w:r>
                </w:p>
              </w:tc>
              <w:tc>
                <w:tcPr>
                  <w:tcW w:w="2608" w:type="dxa"/>
                  <w:noWrap w:val="0"/>
                  <w:vAlign w:val="top"/>
                </w:tcPr>
                <w:p w14:paraId="4B72A8F1">
                  <w:pPr>
                    <w:pStyle w:val="51"/>
                    <w:bidi w:val="0"/>
                  </w:pPr>
                  <w:r>
                    <w:t>漂浮槽</w:t>
                  </w:r>
                </w:p>
              </w:tc>
              <w:tc>
                <w:tcPr>
                  <w:tcW w:w="1953" w:type="dxa"/>
                  <w:noWrap w:val="0"/>
                  <w:vAlign w:val="top"/>
                </w:tcPr>
                <w:p w14:paraId="5AAE1928">
                  <w:pPr>
                    <w:pStyle w:val="51"/>
                    <w:bidi w:val="0"/>
                  </w:pPr>
                  <w:r>
                    <w:t>8</w:t>
                  </w:r>
                  <w:r>
                    <w:rPr>
                      <w:rFonts w:hint="default"/>
                    </w:rPr>
                    <w:t>×</w:t>
                  </w:r>
                  <w:r>
                    <w:t>1.8</w:t>
                  </w:r>
                  <w:r>
                    <w:rPr>
                      <w:rFonts w:hint="default"/>
                    </w:rPr>
                    <w:t>×</w:t>
                  </w:r>
                  <w:r>
                    <w:t>1.6</w:t>
                  </w:r>
                </w:p>
              </w:tc>
              <w:tc>
                <w:tcPr>
                  <w:tcW w:w="1078" w:type="dxa"/>
                  <w:noWrap w:val="0"/>
                  <w:vAlign w:val="top"/>
                </w:tcPr>
                <w:p w14:paraId="23AA5B8B">
                  <w:pPr>
                    <w:pStyle w:val="51"/>
                    <w:bidi w:val="0"/>
                  </w:pPr>
                  <w:r>
                    <w:t>3</w:t>
                  </w:r>
                </w:p>
              </w:tc>
              <w:tc>
                <w:tcPr>
                  <w:tcW w:w="1078" w:type="dxa"/>
                  <w:noWrap w:val="0"/>
                  <w:vAlign w:val="top"/>
                </w:tcPr>
                <w:p w14:paraId="3C953782">
                  <w:pPr>
                    <w:pStyle w:val="51"/>
                    <w:bidi w:val="0"/>
                  </w:pPr>
                  <w:r>
                    <w:rPr>
                      <w:rFonts w:hint="eastAsia"/>
                      <w:lang w:val="en-US" w:eastAsia="zh-CN"/>
                    </w:rPr>
                    <w:t>座</w:t>
                  </w:r>
                </w:p>
              </w:tc>
            </w:tr>
            <w:tr w14:paraId="026C8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220" w:type="dxa"/>
                  <w:noWrap w:val="0"/>
                  <w:vAlign w:val="top"/>
                </w:tcPr>
                <w:p w14:paraId="2B65C097">
                  <w:pPr>
                    <w:pStyle w:val="51"/>
                    <w:bidi w:val="0"/>
                    <w:rPr>
                      <w:rFonts w:hint="default" w:eastAsia="宋体"/>
                      <w:lang w:val="en-US" w:eastAsia="zh-CN"/>
                    </w:rPr>
                  </w:pPr>
                  <w:r>
                    <w:rPr>
                      <w:rFonts w:hint="eastAsia"/>
                      <w:lang w:val="en-US" w:eastAsia="zh-CN"/>
                    </w:rPr>
                    <w:t>10</w:t>
                  </w:r>
                </w:p>
              </w:tc>
              <w:tc>
                <w:tcPr>
                  <w:tcW w:w="2608" w:type="dxa"/>
                  <w:noWrap w:val="0"/>
                  <w:vAlign w:val="top"/>
                </w:tcPr>
                <w:p w14:paraId="47B674C9">
                  <w:pPr>
                    <w:pStyle w:val="51"/>
                    <w:bidi w:val="0"/>
                  </w:pPr>
                  <w:r>
                    <w:t>漂浮槽</w:t>
                  </w:r>
                </w:p>
              </w:tc>
              <w:tc>
                <w:tcPr>
                  <w:tcW w:w="1953" w:type="dxa"/>
                  <w:noWrap w:val="0"/>
                  <w:vAlign w:val="top"/>
                </w:tcPr>
                <w:p w14:paraId="4B610D49">
                  <w:pPr>
                    <w:pStyle w:val="51"/>
                    <w:bidi w:val="0"/>
                  </w:pPr>
                  <w:r>
                    <w:t>10</w:t>
                  </w:r>
                  <w:r>
                    <w:rPr>
                      <w:rFonts w:hint="default"/>
                    </w:rPr>
                    <w:t>×</w:t>
                  </w:r>
                  <w:r>
                    <w:t>1.8</w:t>
                  </w:r>
                  <w:r>
                    <w:rPr>
                      <w:rFonts w:hint="default"/>
                    </w:rPr>
                    <w:t>×</w:t>
                  </w:r>
                  <w:r>
                    <w:t>1.6</w:t>
                  </w:r>
                </w:p>
              </w:tc>
              <w:tc>
                <w:tcPr>
                  <w:tcW w:w="1078" w:type="dxa"/>
                  <w:noWrap w:val="0"/>
                  <w:vAlign w:val="top"/>
                </w:tcPr>
                <w:p w14:paraId="797279AB">
                  <w:pPr>
                    <w:pStyle w:val="51"/>
                    <w:bidi w:val="0"/>
                  </w:pPr>
                  <w:r>
                    <w:t>3</w:t>
                  </w:r>
                </w:p>
              </w:tc>
              <w:tc>
                <w:tcPr>
                  <w:tcW w:w="1078" w:type="dxa"/>
                  <w:noWrap w:val="0"/>
                  <w:vAlign w:val="top"/>
                </w:tcPr>
                <w:p w14:paraId="354E707C">
                  <w:pPr>
                    <w:pStyle w:val="51"/>
                    <w:bidi w:val="0"/>
                    <w:rPr>
                      <w:rFonts w:hint="eastAsia" w:eastAsia="宋体"/>
                      <w:lang w:val="en-US" w:eastAsia="zh-CN"/>
                    </w:rPr>
                  </w:pPr>
                  <w:r>
                    <w:rPr>
                      <w:rFonts w:hint="eastAsia"/>
                      <w:lang w:val="en-US" w:eastAsia="zh-CN"/>
                    </w:rPr>
                    <w:t>座</w:t>
                  </w:r>
                </w:p>
              </w:tc>
            </w:tr>
            <w:tr w14:paraId="07FB4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220" w:type="dxa"/>
                  <w:noWrap w:val="0"/>
                  <w:vAlign w:val="top"/>
                </w:tcPr>
                <w:p w14:paraId="480661EC">
                  <w:pPr>
                    <w:pStyle w:val="51"/>
                    <w:bidi w:val="0"/>
                    <w:rPr>
                      <w:rFonts w:hint="default" w:eastAsia="宋体"/>
                      <w:lang w:val="en-US" w:eastAsia="zh-CN"/>
                    </w:rPr>
                  </w:pPr>
                  <w:r>
                    <w:rPr>
                      <w:rFonts w:hint="eastAsia"/>
                      <w:lang w:val="en-US" w:eastAsia="zh-CN"/>
                    </w:rPr>
                    <w:t>11</w:t>
                  </w:r>
                </w:p>
              </w:tc>
              <w:tc>
                <w:tcPr>
                  <w:tcW w:w="2608" w:type="dxa"/>
                  <w:noWrap w:val="0"/>
                  <w:vAlign w:val="top"/>
                </w:tcPr>
                <w:p w14:paraId="551ED533">
                  <w:pPr>
                    <w:pStyle w:val="51"/>
                    <w:bidi w:val="0"/>
                  </w:pPr>
                  <w:r>
                    <w:t>破碎机</w:t>
                  </w:r>
                </w:p>
              </w:tc>
              <w:tc>
                <w:tcPr>
                  <w:tcW w:w="1953" w:type="dxa"/>
                  <w:noWrap w:val="0"/>
                  <w:vAlign w:val="top"/>
                </w:tcPr>
                <w:p w14:paraId="0F1937EC">
                  <w:pPr>
                    <w:pStyle w:val="51"/>
                    <w:bidi w:val="0"/>
                    <w:rPr>
                      <w:rFonts w:hint="eastAsia" w:eastAsia="宋体"/>
                      <w:lang w:val="en-US" w:eastAsia="zh-CN"/>
                    </w:rPr>
                  </w:pPr>
                  <w:r>
                    <w:rPr>
                      <w:rFonts w:hint="eastAsia"/>
                      <w:lang w:val="en-US" w:eastAsia="zh-CN"/>
                    </w:rPr>
                    <w:t>/</w:t>
                  </w:r>
                </w:p>
              </w:tc>
              <w:tc>
                <w:tcPr>
                  <w:tcW w:w="1078" w:type="dxa"/>
                  <w:noWrap w:val="0"/>
                  <w:vAlign w:val="top"/>
                </w:tcPr>
                <w:p w14:paraId="535CE21E">
                  <w:pPr>
                    <w:pStyle w:val="51"/>
                    <w:bidi w:val="0"/>
                  </w:pPr>
                  <w:r>
                    <w:t>2</w:t>
                  </w:r>
                </w:p>
              </w:tc>
              <w:tc>
                <w:tcPr>
                  <w:tcW w:w="1078" w:type="dxa"/>
                  <w:noWrap w:val="0"/>
                  <w:vAlign w:val="top"/>
                </w:tcPr>
                <w:p w14:paraId="51399E00">
                  <w:pPr>
                    <w:pStyle w:val="51"/>
                    <w:bidi w:val="0"/>
                  </w:pPr>
                  <w:r>
                    <w:rPr>
                      <w:rFonts w:hint="eastAsia"/>
                      <w:lang w:val="en-US" w:eastAsia="zh-CN"/>
                    </w:rPr>
                    <w:t>台</w:t>
                  </w:r>
                </w:p>
              </w:tc>
            </w:tr>
            <w:tr w14:paraId="37B5D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220" w:type="dxa"/>
                  <w:noWrap w:val="0"/>
                  <w:vAlign w:val="top"/>
                </w:tcPr>
                <w:p w14:paraId="5EA49275">
                  <w:pPr>
                    <w:pStyle w:val="51"/>
                    <w:bidi w:val="0"/>
                    <w:rPr>
                      <w:rFonts w:hint="default" w:eastAsia="宋体"/>
                      <w:lang w:val="en-US" w:eastAsia="zh-CN"/>
                    </w:rPr>
                  </w:pPr>
                  <w:r>
                    <w:rPr>
                      <w:rFonts w:hint="eastAsia"/>
                      <w:lang w:val="en-US" w:eastAsia="zh-CN"/>
                    </w:rPr>
                    <w:t>12</w:t>
                  </w:r>
                </w:p>
              </w:tc>
              <w:tc>
                <w:tcPr>
                  <w:tcW w:w="2608" w:type="dxa"/>
                  <w:noWrap w:val="0"/>
                  <w:vAlign w:val="top"/>
                </w:tcPr>
                <w:p w14:paraId="03E9DEEF">
                  <w:pPr>
                    <w:pStyle w:val="51"/>
                    <w:bidi w:val="0"/>
                  </w:pPr>
                  <w:r>
                    <w:t>甩干机</w:t>
                  </w:r>
                </w:p>
              </w:tc>
              <w:tc>
                <w:tcPr>
                  <w:tcW w:w="1953" w:type="dxa"/>
                  <w:noWrap w:val="0"/>
                  <w:vAlign w:val="top"/>
                </w:tcPr>
                <w:p w14:paraId="03B72B3E">
                  <w:pPr>
                    <w:pStyle w:val="51"/>
                    <w:bidi w:val="0"/>
                    <w:rPr>
                      <w:rFonts w:hint="eastAsia" w:eastAsia="宋体"/>
                      <w:lang w:val="en-US" w:eastAsia="zh-CN"/>
                    </w:rPr>
                  </w:pPr>
                  <w:r>
                    <w:rPr>
                      <w:rFonts w:hint="eastAsia"/>
                      <w:lang w:val="en-US" w:eastAsia="zh-CN"/>
                    </w:rPr>
                    <w:t>/</w:t>
                  </w:r>
                </w:p>
              </w:tc>
              <w:tc>
                <w:tcPr>
                  <w:tcW w:w="1078" w:type="dxa"/>
                  <w:noWrap w:val="0"/>
                  <w:vAlign w:val="top"/>
                </w:tcPr>
                <w:p w14:paraId="08F58ED8">
                  <w:pPr>
                    <w:pStyle w:val="51"/>
                    <w:bidi w:val="0"/>
                  </w:pPr>
                  <w:r>
                    <w:t>2</w:t>
                  </w:r>
                </w:p>
              </w:tc>
              <w:tc>
                <w:tcPr>
                  <w:tcW w:w="1078" w:type="dxa"/>
                  <w:noWrap w:val="0"/>
                  <w:vAlign w:val="top"/>
                </w:tcPr>
                <w:p w14:paraId="6A709472">
                  <w:pPr>
                    <w:pStyle w:val="51"/>
                    <w:bidi w:val="0"/>
                  </w:pPr>
                  <w:r>
                    <w:rPr>
                      <w:rFonts w:hint="eastAsia"/>
                      <w:lang w:val="en-US" w:eastAsia="zh-CN"/>
                    </w:rPr>
                    <w:t>台</w:t>
                  </w:r>
                </w:p>
              </w:tc>
            </w:tr>
            <w:tr w14:paraId="5C640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220" w:type="dxa"/>
                  <w:noWrap w:val="0"/>
                  <w:vAlign w:val="top"/>
                </w:tcPr>
                <w:p w14:paraId="6062540D">
                  <w:pPr>
                    <w:pStyle w:val="51"/>
                    <w:bidi w:val="0"/>
                    <w:rPr>
                      <w:rFonts w:hint="default" w:eastAsia="宋体"/>
                      <w:lang w:val="en-US" w:eastAsia="zh-CN"/>
                    </w:rPr>
                  </w:pPr>
                  <w:r>
                    <w:rPr>
                      <w:rFonts w:hint="eastAsia"/>
                      <w:lang w:val="en-US" w:eastAsia="zh-CN"/>
                    </w:rPr>
                    <w:t>13</w:t>
                  </w:r>
                </w:p>
              </w:tc>
              <w:tc>
                <w:tcPr>
                  <w:tcW w:w="2608" w:type="dxa"/>
                  <w:noWrap w:val="0"/>
                  <w:vAlign w:val="top"/>
                </w:tcPr>
                <w:p w14:paraId="5FD2A15F">
                  <w:pPr>
                    <w:pStyle w:val="51"/>
                    <w:bidi w:val="0"/>
                  </w:pPr>
                  <w:r>
                    <w:t>风选机</w:t>
                  </w:r>
                </w:p>
              </w:tc>
              <w:tc>
                <w:tcPr>
                  <w:tcW w:w="1953" w:type="dxa"/>
                  <w:noWrap w:val="0"/>
                  <w:vAlign w:val="top"/>
                </w:tcPr>
                <w:p w14:paraId="2DF92636">
                  <w:pPr>
                    <w:pStyle w:val="51"/>
                    <w:bidi w:val="0"/>
                    <w:rPr>
                      <w:rFonts w:hint="eastAsia" w:eastAsia="宋体"/>
                      <w:lang w:val="en-US" w:eastAsia="zh-CN"/>
                    </w:rPr>
                  </w:pPr>
                  <w:r>
                    <w:rPr>
                      <w:rFonts w:hint="eastAsia"/>
                      <w:lang w:val="en-US" w:eastAsia="zh-CN"/>
                    </w:rPr>
                    <w:t>/</w:t>
                  </w:r>
                </w:p>
              </w:tc>
              <w:tc>
                <w:tcPr>
                  <w:tcW w:w="1078" w:type="dxa"/>
                  <w:noWrap w:val="0"/>
                  <w:vAlign w:val="top"/>
                </w:tcPr>
                <w:p w14:paraId="3849AAFA">
                  <w:pPr>
                    <w:pStyle w:val="51"/>
                    <w:bidi w:val="0"/>
                  </w:pPr>
                  <w:r>
                    <w:t>2</w:t>
                  </w:r>
                </w:p>
              </w:tc>
              <w:tc>
                <w:tcPr>
                  <w:tcW w:w="1078" w:type="dxa"/>
                  <w:noWrap w:val="0"/>
                  <w:vAlign w:val="top"/>
                </w:tcPr>
                <w:p w14:paraId="21FC3809">
                  <w:pPr>
                    <w:pStyle w:val="51"/>
                    <w:bidi w:val="0"/>
                  </w:pPr>
                  <w:r>
                    <w:rPr>
                      <w:rFonts w:hint="eastAsia"/>
                      <w:lang w:val="en-US" w:eastAsia="zh-CN"/>
                    </w:rPr>
                    <w:t>台</w:t>
                  </w:r>
                </w:p>
              </w:tc>
            </w:tr>
            <w:tr w14:paraId="61874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220" w:type="dxa"/>
                  <w:noWrap w:val="0"/>
                  <w:vAlign w:val="top"/>
                </w:tcPr>
                <w:p w14:paraId="0776F3F1">
                  <w:pPr>
                    <w:pStyle w:val="51"/>
                    <w:bidi w:val="0"/>
                    <w:rPr>
                      <w:rFonts w:hint="default" w:eastAsia="宋体"/>
                      <w:lang w:val="en-US" w:eastAsia="zh-CN"/>
                    </w:rPr>
                  </w:pPr>
                  <w:r>
                    <w:rPr>
                      <w:rFonts w:hint="eastAsia"/>
                      <w:lang w:val="en-US" w:eastAsia="zh-CN"/>
                    </w:rPr>
                    <w:t>14</w:t>
                  </w:r>
                </w:p>
              </w:tc>
              <w:tc>
                <w:tcPr>
                  <w:tcW w:w="2608" w:type="dxa"/>
                  <w:noWrap w:val="0"/>
                  <w:vAlign w:val="top"/>
                </w:tcPr>
                <w:p w14:paraId="5963F612">
                  <w:pPr>
                    <w:pStyle w:val="51"/>
                    <w:bidi w:val="0"/>
                  </w:pPr>
                  <w:r>
                    <w:t>空分机</w:t>
                  </w:r>
                </w:p>
              </w:tc>
              <w:tc>
                <w:tcPr>
                  <w:tcW w:w="1953" w:type="dxa"/>
                  <w:noWrap w:val="0"/>
                  <w:vAlign w:val="top"/>
                </w:tcPr>
                <w:p w14:paraId="7F7E7643">
                  <w:pPr>
                    <w:pStyle w:val="51"/>
                    <w:bidi w:val="0"/>
                    <w:rPr>
                      <w:rFonts w:hint="eastAsia" w:eastAsia="宋体"/>
                      <w:lang w:val="en-US" w:eastAsia="zh-CN"/>
                    </w:rPr>
                  </w:pPr>
                  <w:r>
                    <w:rPr>
                      <w:rFonts w:hint="eastAsia"/>
                      <w:lang w:val="en-US" w:eastAsia="zh-CN"/>
                    </w:rPr>
                    <w:t>/</w:t>
                  </w:r>
                </w:p>
              </w:tc>
              <w:tc>
                <w:tcPr>
                  <w:tcW w:w="1078" w:type="dxa"/>
                  <w:noWrap w:val="0"/>
                  <w:vAlign w:val="top"/>
                </w:tcPr>
                <w:p w14:paraId="6612FC4A">
                  <w:pPr>
                    <w:pStyle w:val="51"/>
                    <w:bidi w:val="0"/>
                  </w:pPr>
                  <w:r>
                    <w:t>2</w:t>
                  </w:r>
                </w:p>
              </w:tc>
              <w:tc>
                <w:tcPr>
                  <w:tcW w:w="1078" w:type="dxa"/>
                  <w:noWrap w:val="0"/>
                  <w:vAlign w:val="top"/>
                </w:tcPr>
                <w:p w14:paraId="0EA45358">
                  <w:pPr>
                    <w:pStyle w:val="51"/>
                    <w:bidi w:val="0"/>
                  </w:pPr>
                  <w:r>
                    <w:rPr>
                      <w:rFonts w:hint="eastAsia"/>
                      <w:lang w:val="en-US" w:eastAsia="zh-CN"/>
                    </w:rPr>
                    <w:t>台</w:t>
                  </w:r>
                </w:p>
              </w:tc>
            </w:tr>
            <w:tr w14:paraId="5E007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220" w:type="dxa"/>
                  <w:noWrap w:val="0"/>
                  <w:vAlign w:val="top"/>
                </w:tcPr>
                <w:p w14:paraId="64900D20">
                  <w:pPr>
                    <w:pStyle w:val="51"/>
                    <w:bidi w:val="0"/>
                    <w:rPr>
                      <w:rFonts w:hint="default" w:eastAsia="宋体"/>
                      <w:lang w:val="en-US" w:eastAsia="zh-CN"/>
                    </w:rPr>
                  </w:pPr>
                  <w:r>
                    <w:rPr>
                      <w:rFonts w:hint="eastAsia"/>
                      <w:lang w:val="en-US" w:eastAsia="zh-CN"/>
                    </w:rPr>
                    <w:t>155</w:t>
                  </w:r>
                </w:p>
              </w:tc>
              <w:tc>
                <w:tcPr>
                  <w:tcW w:w="2608" w:type="dxa"/>
                  <w:noWrap w:val="0"/>
                  <w:vAlign w:val="top"/>
                </w:tcPr>
                <w:p w14:paraId="51FBD011">
                  <w:pPr>
                    <w:pStyle w:val="51"/>
                    <w:bidi w:val="0"/>
                  </w:pPr>
                  <w:r>
                    <w:t>烘干机</w:t>
                  </w:r>
                </w:p>
              </w:tc>
              <w:tc>
                <w:tcPr>
                  <w:tcW w:w="1953" w:type="dxa"/>
                  <w:noWrap w:val="0"/>
                  <w:vAlign w:val="top"/>
                </w:tcPr>
                <w:p w14:paraId="0522CE04">
                  <w:pPr>
                    <w:pStyle w:val="51"/>
                    <w:bidi w:val="0"/>
                    <w:rPr>
                      <w:rFonts w:hint="eastAsia" w:eastAsia="宋体"/>
                      <w:lang w:val="en-US" w:eastAsia="zh-CN"/>
                    </w:rPr>
                  </w:pPr>
                  <w:r>
                    <w:rPr>
                      <w:rFonts w:hint="eastAsia"/>
                      <w:lang w:val="en-US" w:eastAsia="zh-CN"/>
                    </w:rPr>
                    <w:t>/</w:t>
                  </w:r>
                </w:p>
              </w:tc>
              <w:tc>
                <w:tcPr>
                  <w:tcW w:w="1078" w:type="dxa"/>
                  <w:noWrap w:val="0"/>
                  <w:vAlign w:val="top"/>
                </w:tcPr>
                <w:p w14:paraId="4BD0A0B5">
                  <w:pPr>
                    <w:pStyle w:val="51"/>
                    <w:bidi w:val="0"/>
                  </w:pPr>
                  <w:r>
                    <w:t>1</w:t>
                  </w:r>
                </w:p>
              </w:tc>
              <w:tc>
                <w:tcPr>
                  <w:tcW w:w="1078" w:type="dxa"/>
                  <w:noWrap w:val="0"/>
                  <w:vAlign w:val="top"/>
                </w:tcPr>
                <w:p w14:paraId="28587259">
                  <w:pPr>
                    <w:pStyle w:val="51"/>
                    <w:bidi w:val="0"/>
                  </w:pPr>
                  <w:r>
                    <w:rPr>
                      <w:rFonts w:hint="eastAsia"/>
                      <w:lang w:val="en-US" w:eastAsia="zh-CN"/>
                    </w:rPr>
                    <w:t>台</w:t>
                  </w:r>
                </w:p>
              </w:tc>
            </w:tr>
            <w:tr w14:paraId="4BB98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220" w:type="dxa"/>
                  <w:noWrap w:val="0"/>
                  <w:vAlign w:val="top"/>
                </w:tcPr>
                <w:p w14:paraId="1A74A928">
                  <w:pPr>
                    <w:pStyle w:val="51"/>
                    <w:bidi w:val="0"/>
                    <w:rPr>
                      <w:rFonts w:hint="default" w:eastAsia="宋体"/>
                      <w:lang w:val="en-US" w:eastAsia="zh-CN"/>
                    </w:rPr>
                  </w:pPr>
                  <w:r>
                    <w:rPr>
                      <w:rFonts w:hint="eastAsia"/>
                      <w:lang w:val="en-US" w:eastAsia="zh-CN"/>
                    </w:rPr>
                    <w:t>16</w:t>
                  </w:r>
                </w:p>
              </w:tc>
              <w:tc>
                <w:tcPr>
                  <w:tcW w:w="2608" w:type="dxa"/>
                  <w:noWrap w:val="0"/>
                  <w:vAlign w:val="top"/>
                </w:tcPr>
                <w:p w14:paraId="2AD83C3D">
                  <w:pPr>
                    <w:pStyle w:val="51"/>
                    <w:bidi w:val="0"/>
                  </w:pPr>
                  <w:r>
                    <w:t>摇床</w:t>
                  </w:r>
                </w:p>
              </w:tc>
              <w:tc>
                <w:tcPr>
                  <w:tcW w:w="1953" w:type="dxa"/>
                  <w:noWrap w:val="0"/>
                  <w:vAlign w:val="top"/>
                </w:tcPr>
                <w:p w14:paraId="3DBE0816">
                  <w:pPr>
                    <w:pStyle w:val="51"/>
                    <w:bidi w:val="0"/>
                    <w:rPr>
                      <w:rFonts w:hint="eastAsia" w:eastAsia="宋体"/>
                      <w:lang w:val="en-US" w:eastAsia="zh-CN"/>
                    </w:rPr>
                  </w:pPr>
                  <w:r>
                    <w:rPr>
                      <w:rFonts w:hint="eastAsia"/>
                      <w:lang w:val="en-US" w:eastAsia="zh-CN"/>
                    </w:rPr>
                    <w:t>/</w:t>
                  </w:r>
                </w:p>
              </w:tc>
              <w:tc>
                <w:tcPr>
                  <w:tcW w:w="1078" w:type="dxa"/>
                  <w:noWrap w:val="0"/>
                  <w:vAlign w:val="top"/>
                </w:tcPr>
                <w:p w14:paraId="74E84458">
                  <w:pPr>
                    <w:pStyle w:val="51"/>
                    <w:bidi w:val="0"/>
                  </w:pPr>
                  <w:r>
                    <w:t>10</w:t>
                  </w:r>
                </w:p>
              </w:tc>
              <w:tc>
                <w:tcPr>
                  <w:tcW w:w="1078" w:type="dxa"/>
                  <w:noWrap w:val="0"/>
                  <w:vAlign w:val="top"/>
                </w:tcPr>
                <w:p w14:paraId="0DC70D9B">
                  <w:pPr>
                    <w:pStyle w:val="51"/>
                    <w:bidi w:val="0"/>
                  </w:pPr>
                  <w:r>
                    <w:rPr>
                      <w:rFonts w:hint="eastAsia"/>
                      <w:lang w:val="en-US" w:eastAsia="zh-CN"/>
                    </w:rPr>
                    <w:t>台</w:t>
                  </w:r>
                </w:p>
              </w:tc>
            </w:tr>
            <w:tr w14:paraId="62658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220" w:type="dxa"/>
                  <w:noWrap w:val="0"/>
                  <w:vAlign w:val="top"/>
                </w:tcPr>
                <w:p w14:paraId="0BA0D3C8">
                  <w:pPr>
                    <w:pStyle w:val="51"/>
                    <w:bidi w:val="0"/>
                    <w:rPr>
                      <w:rFonts w:hint="default" w:eastAsia="宋体"/>
                      <w:lang w:val="en-US" w:eastAsia="zh-CN"/>
                    </w:rPr>
                  </w:pPr>
                  <w:r>
                    <w:rPr>
                      <w:rFonts w:hint="eastAsia"/>
                      <w:lang w:val="en-US" w:eastAsia="zh-CN"/>
                    </w:rPr>
                    <w:t>17</w:t>
                  </w:r>
                </w:p>
              </w:tc>
              <w:tc>
                <w:tcPr>
                  <w:tcW w:w="2608" w:type="dxa"/>
                  <w:noWrap w:val="0"/>
                  <w:vAlign w:val="top"/>
                </w:tcPr>
                <w:p w14:paraId="31C78B65">
                  <w:pPr>
                    <w:pStyle w:val="51"/>
                    <w:bidi w:val="0"/>
                  </w:pPr>
                  <w:r>
                    <w:t>气浮机</w:t>
                  </w:r>
                </w:p>
              </w:tc>
              <w:tc>
                <w:tcPr>
                  <w:tcW w:w="1953" w:type="dxa"/>
                  <w:noWrap w:val="0"/>
                  <w:vAlign w:val="top"/>
                </w:tcPr>
                <w:p w14:paraId="188648E6">
                  <w:pPr>
                    <w:pStyle w:val="51"/>
                    <w:bidi w:val="0"/>
                    <w:rPr>
                      <w:rFonts w:hint="eastAsia" w:eastAsia="宋体"/>
                      <w:lang w:val="en-US" w:eastAsia="zh-CN"/>
                    </w:rPr>
                  </w:pPr>
                  <w:r>
                    <w:rPr>
                      <w:rFonts w:hint="eastAsia"/>
                      <w:lang w:val="en-US" w:eastAsia="zh-CN"/>
                    </w:rPr>
                    <w:t>/</w:t>
                  </w:r>
                </w:p>
              </w:tc>
              <w:tc>
                <w:tcPr>
                  <w:tcW w:w="1078" w:type="dxa"/>
                  <w:noWrap w:val="0"/>
                  <w:vAlign w:val="top"/>
                </w:tcPr>
                <w:p w14:paraId="414FC752">
                  <w:pPr>
                    <w:pStyle w:val="51"/>
                    <w:bidi w:val="0"/>
                  </w:pPr>
                  <w:r>
                    <w:t>1</w:t>
                  </w:r>
                </w:p>
              </w:tc>
              <w:tc>
                <w:tcPr>
                  <w:tcW w:w="1078" w:type="dxa"/>
                  <w:noWrap w:val="0"/>
                  <w:vAlign w:val="top"/>
                </w:tcPr>
                <w:p w14:paraId="58DB7D81">
                  <w:pPr>
                    <w:pStyle w:val="51"/>
                    <w:bidi w:val="0"/>
                  </w:pPr>
                  <w:r>
                    <w:rPr>
                      <w:rFonts w:hint="eastAsia"/>
                      <w:lang w:val="en-US" w:eastAsia="zh-CN"/>
                    </w:rPr>
                    <w:t>台</w:t>
                  </w:r>
                </w:p>
              </w:tc>
            </w:tr>
            <w:tr w14:paraId="579F1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220" w:type="dxa"/>
                  <w:noWrap w:val="0"/>
                  <w:vAlign w:val="top"/>
                </w:tcPr>
                <w:p w14:paraId="0DC176B4">
                  <w:pPr>
                    <w:pStyle w:val="51"/>
                    <w:bidi w:val="0"/>
                    <w:rPr>
                      <w:rFonts w:hint="default" w:eastAsia="宋体"/>
                      <w:lang w:val="en-US" w:eastAsia="zh-CN"/>
                    </w:rPr>
                  </w:pPr>
                  <w:r>
                    <w:rPr>
                      <w:rFonts w:hint="eastAsia"/>
                      <w:lang w:val="en-US" w:eastAsia="zh-CN"/>
                    </w:rPr>
                    <w:t>18</w:t>
                  </w:r>
                </w:p>
              </w:tc>
              <w:tc>
                <w:tcPr>
                  <w:tcW w:w="2608" w:type="dxa"/>
                  <w:noWrap w:val="0"/>
                  <w:vAlign w:val="top"/>
                </w:tcPr>
                <w:p w14:paraId="4A78EAF0">
                  <w:pPr>
                    <w:pStyle w:val="51"/>
                    <w:bidi w:val="0"/>
                  </w:pPr>
                  <w:r>
                    <w:t>色选机</w:t>
                  </w:r>
                </w:p>
              </w:tc>
              <w:tc>
                <w:tcPr>
                  <w:tcW w:w="1953" w:type="dxa"/>
                  <w:noWrap w:val="0"/>
                  <w:vAlign w:val="top"/>
                </w:tcPr>
                <w:p w14:paraId="065AB573">
                  <w:pPr>
                    <w:pStyle w:val="51"/>
                    <w:bidi w:val="0"/>
                    <w:rPr>
                      <w:rFonts w:hint="eastAsia" w:eastAsia="宋体"/>
                      <w:lang w:val="en-US" w:eastAsia="zh-CN"/>
                    </w:rPr>
                  </w:pPr>
                  <w:r>
                    <w:rPr>
                      <w:rFonts w:hint="eastAsia"/>
                      <w:lang w:val="en-US" w:eastAsia="zh-CN"/>
                    </w:rPr>
                    <w:t>/</w:t>
                  </w:r>
                </w:p>
              </w:tc>
              <w:tc>
                <w:tcPr>
                  <w:tcW w:w="1078" w:type="dxa"/>
                  <w:noWrap w:val="0"/>
                  <w:vAlign w:val="top"/>
                </w:tcPr>
                <w:p w14:paraId="496F5694">
                  <w:pPr>
                    <w:pStyle w:val="51"/>
                    <w:bidi w:val="0"/>
                  </w:pPr>
                  <w:r>
                    <w:t>2</w:t>
                  </w:r>
                </w:p>
              </w:tc>
              <w:tc>
                <w:tcPr>
                  <w:tcW w:w="1078" w:type="dxa"/>
                  <w:noWrap w:val="0"/>
                  <w:vAlign w:val="top"/>
                </w:tcPr>
                <w:p w14:paraId="1F549477">
                  <w:pPr>
                    <w:pStyle w:val="51"/>
                    <w:bidi w:val="0"/>
                  </w:pPr>
                  <w:r>
                    <w:rPr>
                      <w:rFonts w:hint="eastAsia"/>
                      <w:lang w:val="en-US" w:eastAsia="zh-CN"/>
                    </w:rPr>
                    <w:t>台</w:t>
                  </w:r>
                </w:p>
              </w:tc>
            </w:tr>
            <w:tr w14:paraId="1B1D3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220" w:type="dxa"/>
                  <w:noWrap w:val="0"/>
                  <w:vAlign w:val="top"/>
                </w:tcPr>
                <w:p w14:paraId="59F7F821">
                  <w:pPr>
                    <w:pStyle w:val="51"/>
                    <w:bidi w:val="0"/>
                    <w:rPr>
                      <w:rFonts w:hint="default" w:eastAsia="宋体"/>
                      <w:lang w:val="en-US" w:eastAsia="zh-CN"/>
                    </w:rPr>
                  </w:pPr>
                  <w:r>
                    <w:rPr>
                      <w:rFonts w:hint="eastAsia"/>
                      <w:lang w:val="en-US" w:eastAsia="zh-CN"/>
                    </w:rPr>
                    <w:t>19</w:t>
                  </w:r>
                </w:p>
              </w:tc>
              <w:tc>
                <w:tcPr>
                  <w:tcW w:w="2608" w:type="dxa"/>
                  <w:noWrap w:val="0"/>
                  <w:vAlign w:val="top"/>
                </w:tcPr>
                <w:p w14:paraId="5E470791">
                  <w:pPr>
                    <w:pStyle w:val="51"/>
                    <w:bidi w:val="0"/>
                  </w:pPr>
                  <w:r>
                    <w:t>浮选机</w:t>
                  </w:r>
                </w:p>
              </w:tc>
              <w:tc>
                <w:tcPr>
                  <w:tcW w:w="1953" w:type="dxa"/>
                  <w:noWrap w:val="0"/>
                  <w:vAlign w:val="top"/>
                </w:tcPr>
                <w:p w14:paraId="792F9C54">
                  <w:pPr>
                    <w:pStyle w:val="51"/>
                    <w:bidi w:val="0"/>
                    <w:rPr>
                      <w:rFonts w:hint="eastAsia" w:eastAsia="宋体"/>
                      <w:lang w:val="en-US" w:eastAsia="zh-CN"/>
                    </w:rPr>
                  </w:pPr>
                  <w:r>
                    <w:rPr>
                      <w:rFonts w:hint="eastAsia"/>
                      <w:lang w:val="en-US" w:eastAsia="zh-CN"/>
                    </w:rPr>
                    <w:t>/</w:t>
                  </w:r>
                </w:p>
              </w:tc>
              <w:tc>
                <w:tcPr>
                  <w:tcW w:w="1078" w:type="dxa"/>
                  <w:noWrap w:val="0"/>
                  <w:vAlign w:val="top"/>
                </w:tcPr>
                <w:p w14:paraId="368FB58F">
                  <w:pPr>
                    <w:pStyle w:val="51"/>
                    <w:bidi w:val="0"/>
                  </w:pPr>
                  <w:r>
                    <w:t>1</w:t>
                  </w:r>
                </w:p>
              </w:tc>
              <w:tc>
                <w:tcPr>
                  <w:tcW w:w="1078" w:type="dxa"/>
                  <w:noWrap w:val="0"/>
                  <w:vAlign w:val="top"/>
                </w:tcPr>
                <w:p w14:paraId="4241687F">
                  <w:pPr>
                    <w:pStyle w:val="51"/>
                    <w:bidi w:val="0"/>
                  </w:pPr>
                  <w:r>
                    <w:rPr>
                      <w:rFonts w:hint="eastAsia"/>
                      <w:lang w:val="en-US" w:eastAsia="zh-CN"/>
                    </w:rPr>
                    <w:t>台</w:t>
                  </w:r>
                </w:p>
              </w:tc>
            </w:tr>
            <w:tr w14:paraId="0F7AA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220" w:type="dxa"/>
                  <w:noWrap w:val="0"/>
                  <w:vAlign w:val="top"/>
                </w:tcPr>
                <w:p w14:paraId="31EEC533">
                  <w:pPr>
                    <w:pStyle w:val="51"/>
                    <w:bidi w:val="0"/>
                    <w:rPr>
                      <w:rFonts w:hint="default" w:eastAsia="宋体"/>
                      <w:lang w:val="en-US" w:eastAsia="zh-CN"/>
                    </w:rPr>
                  </w:pPr>
                  <w:r>
                    <w:rPr>
                      <w:rFonts w:hint="eastAsia"/>
                      <w:lang w:val="en-US" w:eastAsia="zh-CN"/>
                    </w:rPr>
                    <w:t>20</w:t>
                  </w:r>
                </w:p>
              </w:tc>
              <w:tc>
                <w:tcPr>
                  <w:tcW w:w="2608" w:type="dxa"/>
                  <w:noWrap w:val="0"/>
                  <w:vAlign w:val="top"/>
                </w:tcPr>
                <w:p w14:paraId="7FEFF820">
                  <w:pPr>
                    <w:pStyle w:val="51"/>
                    <w:bidi w:val="0"/>
                  </w:pPr>
                  <w:r>
                    <w:t>球磨机</w:t>
                  </w:r>
                </w:p>
              </w:tc>
              <w:tc>
                <w:tcPr>
                  <w:tcW w:w="1953" w:type="dxa"/>
                  <w:noWrap w:val="0"/>
                  <w:vAlign w:val="top"/>
                </w:tcPr>
                <w:p w14:paraId="44DFE27B">
                  <w:pPr>
                    <w:pStyle w:val="51"/>
                    <w:bidi w:val="0"/>
                    <w:rPr>
                      <w:rFonts w:hint="eastAsia" w:eastAsia="宋体"/>
                      <w:lang w:val="en-US" w:eastAsia="zh-CN"/>
                    </w:rPr>
                  </w:pPr>
                  <w:r>
                    <w:rPr>
                      <w:rFonts w:hint="eastAsia"/>
                      <w:lang w:val="en-US" w:eastAsia="zh-CN"/>
                    </w:rPr>
                    <w:t>/</w:t>
                  </w:r>
                </w:p>
              </w:tc>
              <w:tc>
                <w:tcPr>
                  <w:tcW w:w="1078" w:type="dxa"/>
                  <w:noWrap w:val="0"/>
                  <w:vAlign w:val="top"/>
                </w:tcPr>
                <w:p w14:paraId="2FDCB49D">
                  <w:pPr>
                    <w:pStyle w:val="51"/>
                    <w:bidi w:val="0"/>
                  </w:pPr>
                  <w:r>
                    <w:t>2</w:t>
                  </w:r>
                </w:p>
              </w:tc>
              <w:tc>
                <w:tcPr>
                  <w:tcW w:w="1078" w:type="dxa"/>
                  <w:noWrap w:val="0"/>
                  <w:vAlign w:val="top"/>
                </w:tcPr>
                <w:p w14:paraId="7E8842A8">
                  <w:pPr>
                    <w:pStyle w:val="51"/>
                    <w:bidi w:val="0"/>
                  </w:pPr>
                  <w:r>
                    <w:rPr>
                      <w:rFonts w:hint="eastAsia"/>
                      <w:lang w:val="en-US" w:eastAsia="zh-CN"/>
                    </w:rPr>
                    <w:t>台</w:t>
                  </w:r>
                </w:p>
              </w:tc>
            </w:tr>
          </w:tbl>
          <w:p w14:paraId="68100067">
            <w:pPr>
              <w:rPr>
                <w:color w:val="auto"/>
              </w:rPr>
            </w:pPr>
          </w:p>
          <w:p w14:paraId="775E83E6">
            <w:pPr>
              <w:pStyle w:val="4"/>
              <w:bidi w:val="0"/>
              <w:rPr>
                <w:rFonts w:hint="default"/>
                <w:color w:val="auto"/>
                <w:lang w:val="en-US" w:eastAsia="zh-CN"/>
              </w:rPr>
            </w:pPr>
            <w:r>
              <w:rPr>
                <w:rFonts w:hint="eastAsia"/>
                <w:color w:val="auto"/>
                <w:lang w:val="en-US" w:eastAsia="zh-CN"/>
              </w:rPr>
              <w:t>2.4原辅料消耗</w:t>
            </w:r>
          </w:p>
          <w:p w14:paraId="5A2F6CD3">
            <w:pPr>
              <w:pStyle w:val="38"/>
              <w:bidi w:val="0"/>
              <w:rPr>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color w:val="auto"/>
              </w:rPr>
              <w:t>原辅材料消耗</w:t>
            </w:r>
          </w:p>
          <w:p w14:paraId="78BBC4EF">
            <w:pPr>
              <w:pStyle w:val="38"/>
              <w:bidi w:val="0"/>
              <w:rPr>
                <w:color w:val="auto"/>
              </w:rPr>
            </w:pPr>
            <w:r>
              <w:rPr>
                <w:rFonts w:hint="eastAsia" w:ascii="宋体" w:hAnsi="宋体" w:cs="宋体"/>
                <w:color w:val="auto"/>
                <w:sz w:val="24"/>
                <w:szCs w:val="24"/>
                <w:lang w:val="en-US" w:eastAsia="zh-CN"/>
              </w:rPr>
              <w:t>项目主要</w:t>
            </w:r>
            <w:r>
              <w:rPr>
                <w:rFonts w:hint="eastAsia"/>
                <w:color w:val="auto"/>
                <w:lang w:val="en-US" w:eastAsia="zh-CN"/>
              </w:rPr>
              <w:t>回收</w:t>
            </w:r>
            <w:r>
              <w:rPr>
                <w:rFonts w:hint="eastAsia"/>
                <w:color w:val="auto"/>
              </w:rPr>
              <w:t>其他厂家破碎中报废车辆处理后的破碎料（不含危险废物）</w:t>
            </w:r>
            <w:r>
              <w:rPr>
                <w:rFonts w:hint="eastAsia"/>
                <w:color w:val="auto"/>
                <w:lang w:eastAsia="zh-CN"/>
              </w:rPr>
              <w:t>，</w:t>
            </w:r>
            <w:r>
              <w:rPr>
                <w:rFonts w:hint="eastAsia"/>
                <w:color w:val="auto"/>
                <w:lang w:val="en-US" w:eastAsia="zh-CN"/>
              </w:rPr>
              <w:t>通过分选-磁选，漂浮选，静电分选等工艺对其中铁、不锈钢、橡胶、塑料等物质进行筛选回收，年处理固废20000吨/a</w:t>
            </w:r>
          </w:p>
          <w:p w14:paraId="095B5191">
            <w:pPr>
              <w:pStyle w:val="46"/>
              <w:bidi w:val="0"/>
              <w:rPr>
                <w:rFonts w:hint="eastAsia" w:ascii="宋体" w:hAnsi="宋体" w:eastAsia="宋体" w:cs="宋体"/>
                <w:color w:val="auto"/>
                <w:szCs w:val="24"/>
                <w:lang w:eastAsia="zh-CN"/>
              </w:rPr>
            </w:pPr>
            <w:r>
              <w:rPr>
                <w:color w:val="auto"/>
              </w:rPr>
              <w:t>表</w:t>
            </w:r>
            <w:r>
              <w:rPr>
                <w:rFonts w:hint="eastAsia"/>
                <w:color w:val="auto"/>
                <w:lang w:val="en-US" w:eastAsia="zh-CN"/>
              </w:rPr>
              <w:t>2-3</w:t>
            </w:r>
            <w:r>
              <w:rPr>
                <w:color w:val="auto"/>
              </w:rPr>
              <w:t xml:space="preserve">   改扩建工程新增原辅材料及动力消耗一览表</w:t>
            </w:r>
          </w:p>
          <w:tbl>
            <w:tblPr>
              <w:tblStyle w:val="114"/>
              <w:tblW w:w="79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7"/>
              <w:gridCol w:w="850"/>
              <w:gridCol w:w="933"/>
              <w:gridCol w:w="1642"/>
              <w:gridCol w:w="1738"/>
              <w:gridCol w:w="2177"/>
            </w:tblGrid>
            <w:tr w14:paraId="3B5F4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597" w:type="dxa"/>
                  <w:tcBorders>
                    <w:tl2br w:val="nil"/>
                    <w:tr2bl w:val="nil"/>
                  </w:tcBorders>
                  <w:vAlign w:val="center"/>
                </w:tcPr>
                <w:p w14:paraId="3F9A1B58">
                  <w:pPr>
                    <w:pStyle w:val="51"/>
                    <w:bidi w:val="0"/>
                    <w:jc w:val="center"/>
                    <w:rPr>
                      <w:rFonts w:hint="eastAsia" w:eastAsia="宋体"/>
                      <w:color w:val="auto"/>
                      <w:lang w:val="en-US" w:eastAsia="zh-CN"/>
                    </w:rPr>
                  </w:pPr>
                  <w:r>
                    <w:rPr>
                      <w:rFonts w:hint="eastAsia"/>
                      <w:color w:val="auto"/>
                      <w:lang w:val="en-US" w:eastAsia="zh-CN"/>
                    </w:rPr>
                    <w:t>序号</w:t>
                  </w:r>
                </w:p>
              </w:tc>
              <w:tc>
                <w:tcPr>
                  <w:tcW w:w="1783" w:type="dxa"/>
                  <w:gridSpan w:val="2"/>
                  <w:tcBorders>
                    <w:tl2br w:val="nil"/>
                    <w:tr2bl w:val="nil"/>
                  </w:tcBorders>
                  <w:vAlign w:val="center"/>
                </w:tcPr>
                <w:p w14:paraId="25D95987">
                  <w:pPr>
                    <w:pStyle w:val="51"/>
                    <w:bidi w:val="0"/>
                    <w:jc w:val="center"/>
                    <w:rPr>
                      <w:color w:val="auto"/>
                    </w:rPr>
                  </w:pPr>
                  <w:r>
                    <w:rPr>
                      <w:color w:val="auto"/>
                    </w:rPr>
                    <w:t>名称</w:t>
                  </w:r>
                </w:p>
              </w:tc>
              <w:tc>
                <w:tcPr>
                  <w:tcW w:w="1642" w:type="dxa"/>
                  <w:tcBorders>
                    <w:tl2br w:val="nil"/>
                    <w:tr2bl w:val="nil"/>
                  </w:tcBorders>
                  <w:vAlign w:val="center"/>
                </w:tcPr>
                <w:p w14:paraId="6A8804DB">
                  <w:pPr>
                    <w:pStyle w:val="51"/>
                    <w:bidi w:val="0"/>
                    <w:jc w:val="center"/>
                    <w:rPr>
                      <w:color w:val="auto"/>
                    </w:rPr>
                  </w:pPr>
                  <w:r>
                    <w:rPr>
                      <w:color w:val="auto"/>
                    </w:rPr>
                    <w:t>年消耗量（t/a）</w:t>
                  </w:r>
                </w:p>
              </w:tc>
              <w:tc>
                <w:tcPr>
                  <w:tcW w:w="1738" w:type="dxa"/>
                  <w:tcBorders>
                    <w:tl2br w:val="nil"/>
                    <w:tr2bl w:val="nil"/>
                  </w:tcBorders>
                  <w:vAlign w:val="center"/>
                </w:tcPr>
                <w:p w14:paraId="231F39DA">
                  <w:pPr>
                    <w:pStyle w:val="51"/>
                    <w:bidi w:val="0"/>
                    <w:jc w:val="center"/>
                    <w:rPr>
                      <w:rFonts w:hint="default" w:eastAsia="宋体"/>
                      <w:color w:val="auto"/>
                      <w:lang w:val="en-US" w:eastAsia="zh-CN"/>
                    </w:rPr>
                  </w:pPr>
                  <w:r>
                    <w:rPr>
                      <w:rFonts w:hint="eastAsia"/>
                      <w:color w:val="auto"/>
                      <w:lang w:val="en-US" w:eastAsia="zh-CN"/>
                    </w:rPr>
                    <w:t>储存方式</w:t>
                  </w:r>
                </w:p>
              </w:tc>
              <w:tc>
                <w:tcPr>
                  <w:tcW w:w="2177" w:type="dxa"/>
                  <w:tcBorders>
                    <w:tl2br w:val="nil"/>
                    <w:tr2bl w:val="nil"/>
                  </w:tcBorders>
                  <w:vAlign w:val="center"/>
                </w:tcPr>
                <w:p w14:paraId="43FD95A5">
                  <w:pPr>
                    <w:pStyle w:val="51"/>
                    <w:bidi w:val="0"/>
                    <w:ind w:firstLine="0" w:firstLineChars="0"/>
                    <w:jc w:val="center"/>
                    <w:rPr>
                      <w:color w:val="auto"/>
                    </w:rPr>
                  </w:pPr>
                  <w:r>
                    <w:rPr>
                      <w:color w:val="auto"/>
                    </w:rPr>
                    <w:t>物料来源</w:t>
                  </w:r>
                </w:p>
              </w:tc>
            </w:tr>
            <w:tr w14:paraId="6A9AD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597" w:type="dxa"/>
                  <w:tcBorders>
                    <w:tl2br w:val="nil"/>
                    <w:tr2bl w:val="nil"/>
                  </w:tcBorders>
                  <w:vAlign w:val="center"/>
                </w:tcPr>
                <w:p w14:paraId="44F077AC">
                  <w:pPr>
                    <w:pStyle w:val="51"/>
                    <w:bidi w:val="0"/>
                    <w:jc w:val="center"/>
                    <w:rPr>
                      <w:rFonts w:hint="eastAsia" w:eastAsia="宋体"/>
                      <w:color w:val="auto"/>
                      <w:lang w:eastAsia="zh-CN"/>
                    </w:rPr>
                  </w:pPr>
                  <w:r>
                    <w:rPr>
                      <w:rFonts w:hint="eastAsia"/>
                      <w:color w:val="auto"/>
                      <w:lang w:val="en-US" w:eastAsia="zh-CN"/>
                    </w:rPr>
                    <w:t>1</w:t>
                  </w:r>
                </w:p>
              </w:tc>
              <w:tc>
                <w:tcPr>
                  <w:tcW w:w="850" w:type="dxa"/>
                  <w:tcBorders>
                    <w:tl2br w:val="nil"/>
                    <w:tr2bl w:val="nil"/>
                  </w:tcBorders>
                  <w:vAlign w:val="center"/>
                </w:tcPr>
                <w:p w14:paraId="3B098240">
                  <w:pPr>
                    <w:pStyle w:val="51"/>
                    <w:bidi w:val="0"/>
                    <w:jc w:val="center"/>
                    <w:rPr>
                      <w:rFonts w:hint="eastAsia" w:eastAsia="宋体"/>
                      <w:color w:val="auto"/>
                      <w:lang w:val="en-US" w:eastAsia="zh-CN"/>
                    </w:rPr>
                  </w:pPr>
                  <w:r>
                    <w:rPr>
                      <w:rFonts w:hint="eastAsia"/>
                      <w:color w:val="auto"/>
                      <w:lang w:val="en-US" w:eastAsia="zh-CN"/>
                    </w:rPr>
                    <w:t>原料</w:t>
                  </w:r>
                </w:p>
              </w:tc>
              <w:tc>
                <w:tcPr>
                  <w:tcW w:w="933" w:type="dxa"/>
                  <w:tcBorders>
                    <w:tl2br w:val="nil"/>
                    <w:tr2bl w:val="nil"/>
                  </w:tcBorders>
                  <w:vAlign w:val="center"/>
                </w:tcPr>
                <w:p w14:paraId="75D308AE">
                  <w:pPr>
                    <w:pStyle w:val="51"/>
                    <w:bidi w:val="0"/>
                    <w:ind w:firstLine="0" w:firstLineChars="0"/>
                    <w:jc w:val="center"/>
                    <w:rPr>
                      <w:color w:val="auto"/>
                    </w:rPr>
                  </w:pPr>
                  <w:r>
                    <w:rPr>
                      <w:rFonts w:hint="eastAsia"/>
                      <w:color w:val="auto"/>
                    </w:rPr>
                    <w:t>破碎料</w:t>
                  </w:r>
                </w:p>
              </w:tc>
              <w:tc>
                <w:tcPr>
                  <w:tcW w:w="1642" w:type="dxa"/>
                  <w:tcBorders>
                    <w:tl2br w:val="nil"/>
                    <w:tr2bl w:val="nil"/>
                  </w:tcBorders>
                  <w:vAlign w:val="center"/>
                </w:tcPr>
                <w:p w14:paraId="37DD1BB0">
                  <w:pPr>
                    <w:pStyle w:val="51"/>
                    <w:bidi w:val="0"/>
                    <w:jc w:val="center"/>
                    <w:rPr>
                      <w:rFonts w:hint="default" w:eastAsia="宋体"/>
                      <w:color w:val="auto"/>
                      <w:lang w:val="en-US" w:eastAsia="zh-CN"/>
                    </w:rPr>
                  </w:pPr>
                  <w:r>
                    <w:rPr>
                      <w:rFonts w:hint="eastAsia"/>
                      <w:color w:val="auto"/>
                      <w:lang w:val="en-US" w:eastAsia="zh-CN"/>
                    </w:rPr>
                    <w:t>20000</w:t>
                  </w:r>
                </w:p>
              </w:tc>
              <w:tc>
                <w:tcPr>
                  <w:tcW w:w="1738" w:type="dxa"/>
                  <w:tcBorders>
                    <w:tl2br w:val="nil"/>
                    <w:tr2bl w:val="nil"/>
                  </w:tcBorders>
                  <w:vAlign w:val="center"/>
                </w:tcPr>
                <w:p w14:paraId="6153708A">
                  <w:pPr>
                    <w:pStyle w:val="51"/>
                    <w:bidi w:val="0"/>
                    <w:jc w:val="center"/>
                    <w:rPr>
                      <w:rFonts w:hint="default" w:eastAsia="宋体"/>
                      <w:color w:val="auto"/>
                      <w:lang w:val="en-US" w:eastAsia="zh-CN"/>
                    </w:rPr>
                  </w:pPr>
                  <w:r>
                    <w:rPr>
                      <w:rFonts w:hint="eastAsia"/>
                      <w:color w:val="auto"/>
                      <w:lang w:val="en-US" w:eastAsia="zh-CN"/>
                    </w:rPr>
                    <w:t>袋装，原料库房</w:t>
                  </w:r>
                </w:p>
              </w:tc>
              <w:tc>
                <w:tcPr>
                  <w:tcW w:w="2177" w:type="dxa"/>
                  <w:tcBorders>
                    <w:tl2br w:val="nil"/>
                    <w:tr2bl w:val="nil"/>
                  </w:tcBorders>
                  <w:vAlign w:val="center"/>
                </w:tcPr>
                <w:p w14:paraId="69A9ED34">
                  <w:pPr>
                    <w:pStyle w:val="51"/>
                    <w:bidi w:val="0"/>
                    <w:ind w:firstLine="0" w:firstLineChars="0"/>
                    <w:jc w:val="center"/>
                    <w:rPr>
                      <w:color w:val="auto"/>
                    </w:rPr>
                  </w:pPr>
                  <w:r>
                    <w:rPr>
                      <w:rFonts w:hint="eastAsia"/>
                      <w:color w:val="auto"/>
                    </w:rPr>
                    <w:t>其他厂家破碎中报废车辆处理后的破碎料（不含危险废物）</w:t>
                  </w:r>
                </w:p>
              </w:tc>
            </w:tr>
            <w:tr w14:paraId="3216D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597" w:type="dxa"/>
                  <w:tcBorders>
                    <w:tl2br w:val="nil"/>
                    <w:tr2bl w:val="nil"/>
                  </w:tcBorders>
                  <w:vAlign w:val="center"/>
                </w:tcPr>
                <w:p w14:paraId="7BFF5757">
                  <w:pPr>
                    <w:pStyle w:val="51"/>
                    <w:bidi w:val="0"/>
                    <w:jc w:val="center"/>
                    <w:rPr>
                      <w:rFonts w:hint="default"/>
                      <w:color w:val="auto"/>
                      <w:lang w:val="en-US" w:eastAsia="zh-CN"/>
                    </w:rPr>
                  </w:pPr>
                  <w:r>
                    <w:rPr>
                      <w:rFonts w:hint="eastAsia"/>
                      <w:color w:val="auto"/>
                      <w:lang w:val="en-US" w:eastAsia="zh-CN"/>
                    </w:rPr>
                    <w:t>2</w:t>
                  </w:r>
                </w:p>
              </w:tc>
              <w:tc>
                <w:tcPr>
                  <w:tcW w:w="850" w:type="dxa"/>
                  <w:vMerge w:val="restart"/>
                  <w:tcBorders>
                    <w:tl2br w:val="nil"/>
                    <w:tr2bl w:val="nil"/>
                  </w:tcBorders>
                  <w:vAlign w:val="center"/>
                </w:tcPr>
                <w:p w14:paraId="03FDB166">
                  <w:pPr>
                    <w:pStyle w:val="51"/>
                    <w:bidi w:val="0"/>
                    <w:jc w:val="center"/>
                    <w:rPr>
                      <w:rFonts w:hint="default" w:eastAsia="宋体"/>
                      <w:color w:val="auto"/>
                      <w:lang w:val="en-US" w:eastAsia="zh-CN"/>
                    </w:rPr>
                  </w:pPr>
                  <w:r>
                    <w:rPr>
                      <w:rFonts w:hint="eastAsia"/>
                      <w:color w:val="auto"/>
                      <w:lang w:val="en-US" w:eastAsia="zh-CN"/>
                    </w:rPr>
                    <w:t>能耗</w:t>
                  </w:r>
                </w:p>
              </w:tc>
              <w:tc>
                <w:tcPr>
                  <w:tcW w:w="933" w:type="dxa"/>
                  <w:tcBorders>
                    <w:tl2br w:val="nil"/>
                    <w:tr2bl w:val="nil"/>
                  </w:tcBorders>
                  <w:vAlign w:val="center"/>
                </w:tcPr>
                <w:p w14:paraId="2A5FDDAF">
                  <w:pPr>
                    <w:pStyle w:val="51"/>
                    <w:bidi w:val="0"/>
                    <w:ind w:firstLine="0" w:firstLineChars="0"/>
                    <w:jc w:val="center"/>
                    <w:rPr>
                      <w:rFonts w:hint="eastAsia"/>
                      <w:color w:val="auto"/>
                      <w:lang w:val="en-US" w:eastAsia="zh-CN"/>
                    </w:rPr>
                  </w:pPr>
                  <w:r>
                    <w:rPr>
                      <w:rFonts w:hint="eastAsia"/>
                      <w:color w:val="auto"/>
                      <w:lang w:val="en-US" w:eastAsia="zh-CN"/>
                    </w:rPr>
                    <w:t>新鲜水</w:t>
                  </w:r>
                </w:p>
              </w:tc>
              <w:tc>
                <w:tcPr>
                  <w:tcW w:w="1642" w:type="dxa"/>
                  <w:tcBorders>
                    <w:tl2br w:val="nil"/>
                    <w:tr2bl w:val="nil"/>
                  </w:tcBorders>
                  <w:vAlign w:val="center"/>
                </w:tcPr>
                <w:p w14:paraId="25148B50">
                  <w:pPr>
                    <w:pStyle w:val="51"/>
                    <w:bidi w:val="0"/>
                    <w:jc w:val="center"/>
                    <w:rPr>
                      <w:rFonts w:hint="default"/>
                      <w:color w:val="auto"/>
                      <w:lang w:val="en-US" w:eastAsia="zh-CN"/>
                    </w:rPr>
                  </w:pPr>
                  <w:r>
                    <w:rPr>
                      <w:rFonts w:hint="eastAsia" w:cs="Times New Roman"/>
                      <w:i w:val="0"/>
                      <w:iCs w:val="0"/>
                      <w:color w:val="auto"/>
                      <w:kern w:val="0"/>
                      <w:sz w:val="21"/>
                      <w:szCs w:val="21"/>
                      <w:u w:val="none"/>
                      <w:lang w:val="en-US" w:eastAsia="zh-CN" w:bidi="ar"/>
                    </w:rPr>
                    <w:t>2790</w:t>
                  </w:r>
                </w:p>
              </w:tc>
              <w:tc>
                <w:tcPr>
                  <w:tcW w:w="1738" w:type="dxa"/>
                  <w:tcBorders>
                    <w:tl2br w:val="nil"/>
                    <w:tr2bl w:val="nil"/>
                  </w:tcBorders>
                  <w:vAlign w:val="center"/>
                </w:tcPr>
                <w:p w14:paraId="6105E846">
                  <w:pPr>
                    <w:pStyle w:val="51"/>
                    <w:bidi w:val="0"/>
                    <w:jc w:val="center"/>
                    <w:rPr>
                      <w:rFonts w:hint="default" w:eastAsia="宋体"/>
                      <w:color w:val="auto"/>
                      <w:lang w:val="en-US" w:eastAsia="zh-CN"/>
                    </w:rPr>
                  </w:pPr>
                  <w:r>
                    <w:rPr>
                      <w:rFonts w:hint="eastAsia"/>
                      <w:color w:val="auto"/>
                      <w:lang w:val="en-US" w:eastAsia="zh-CN"/>
                    </w:rPr>
                    <w:t>/</w:t>
                  </w:r>
                </w:p>
              </w:tc>
              <w:tc>
                <w:tcPr>
                  <w:tcW w:w="2177" w:type="dxa"/>
                  <w:tcBorders>
                    <w:tl2br w:val="nil"/>
                    <w:tr2bl w:val="nil"/>
                  </w:tcBorders>
                  <w:vAlign w:val="center"/>
                </w:tcPr>
                <w:p w14:paraId="0C6B0A27">
                  <w:pPr>
                    <w:pStyle w:val="51"/>
                    <w:bidi w:val="0"/>
                    <w:ind w:firstLine="0" w:firstLineChars="0"/>
                    <w:jc w:val="center"/>
                    <w:rPr>
                      <w:rFonts w:hint="eastAsia"/>
                      <w:color w:val="auto"/>
                      <w:lang w:val="en-US" w:eastAsia="zh-CN"/>
                    </w:rPr>
                  </w:pPr>
                  <w:r>
                    <w:rPr>
                      <w:rFonts w:hint="eastAsia"/>
                      <w:color w:val="auto"/>
                      <w:lang w:val="en-US" w:eastAsia="zh-CN"/>
                    </w:rPr>
                    <w:t>依托现有供水工程</w:t>
                  </w:r>
                </w:p>
              </w:tc>
            </w:tr>
            <w:tr w14:paraId="6A0B3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597" w:type="dxa"/>
                  <w:tcBorders>
                    <w:tl2br w:val="nil"/>
                    <w:tr2bl w:val="nil"/>
                  </w:tcBorders>
                  <w:vAlign w:val="center"/>
                </w:tcPr>
                <w:p w14:paraId="5A18FAB3">
                  <w:pPr>
                    <w:pStyle w:val="51"/>
                    <w:bidi w:val="0"/>
                    <w:jc w:val="center"/>
                    <w:rPr>
                      <w:rFonts w:hint="default"/>
                      <w:color w:val="auto"/>
                      <w:lang w:val="en-US" w:eastAsia="zh-CN"/>
                    </w:rPr>
                  </w:pPr>
                  <w:r>
                    <w:rPr>
                      <w:rFonts w:hint="eastAsia"/>
                      <w:color w:val="auto"/>
                      <w:lang w:val="en-US" w:eastAsia="zh-CN"/>
                    </w:rPr>
                    <w:t>3</w:t>
                  </w:r>
                </w:p>
              </w:tc>
              <w:tc>
                <w:tcPr>
                  <w:tcW w:w="850" w:type="dxa"/>
                  <w:vMerge w:val="continue"/>
                  <w:tcBorders>
                    <w:tl2br w:val="nil"/>
                    <w:tr2bl w:val="nil"/>
                  </w:tcBorders>
                  <w:vAlign w:val="center"/>
                </w:tcPr>
                <w:p w14:paraId="477F7679">
                  <w:pPr>
                    <w:pStyle w:val="51"/>
                    <w:bidi w:val="0"/>
                    <w:jc w:val="center"/>
                    <w:rPr>
                      <w:rFonts w:hint="default" w:eastAsia="宋体"/>
                      <w:color w:val="auto"/>
                      <w:lang w:val="en-US" w:eastAsia="zh-CN"/>
                    </w:rPr>
                  </w:pPr>
                </w:p>
              </w:tc>
              <w:tc>
                <w:tcPr>
                  <w:tcW w:w="933" w:type="dxa"/>
                  <w:tcBorders>
                    <w:tl2br w:val="nil"/>
                    <w:tr2bl w:val="nil"/>
                  </w:tcBorders>
                  <w:vAlign w:val="center"/>
                </w:tcPr>
                <w:p w14:paraId="42DEE062">
                  <w:pPr>
                    <w:pStyle w:val="51"/>
                    <w:bidi w:val="0"/>
                    <w:ind w:firstLine="0" w:firstLineChars="0"/>
                    <w:jc w:val="center"/>
                    <w:rPr>
                      <w:rFonts w:hint="eastAsia"/>
                      <w:color w:val="auto"/>
                      <w:lang w:val="en-US" w:eastAsia="zh-CN"/>
                    </w:rPr>
                  </w:pPr>
                  <w:r>
                    <w:rPr>
                      <w:rFonts w:hint="eastAsia"/>
                      <w:color w:val="auto"/>
                      <w:lang w:val="en-US" w:eastAsia="zh-CN"/>
                    </w:rPr>
                    <w:t>电</w:t>
                  </w:r>
                </w:p>
              </w:tc>
              <w:tc>
                <w:tcPr>
                  <w:tcW w:w="1642" w:type="dxa"/>
                  <w:tcBorders>
                    <w:tl2br w:val="nil"/>
                    <w:tr2bl w:val="nil"/>
                  </w:tcBorders>
                  <w:vAlign w:val="center"/>
                </w:tcPr>
                <w:p w14:paraId="52AFEA42">
                  <w:pPr>
                    <w:pStyle w:val="51"/>
                    <w:bidi w:val="0"/>
                    <w:jc w:val="center"/>
                    <w:rPr>
                      <w:rFonts w:hint="default"/>
                      <w:color w:val="auto"/>
                      <w:lang w:val="en-US" w:eastAsia="zh-CN"/>
                    </w:rPr>
                  </w:pPr>
                  <w:r>
                    <w:rPr>
                      <w:rFonts w:hint="eastAsia"/>
                      <w:color w:val="auto"/>
                      <w:lang w:val="en-US" w:eastAsia="zh-CN"/>
                    </w:rPr>
                    <w:t>70.4万k</w:t>
                  </w:r>
                  <w:r>
                    <w:rPr>
                      <w:rFonts w:hint="eastAsia"/>
                      <w:color w:val="auto"/>
                    </w:rPr>
                    <w:t>W·h/a</w:t>
                  </w:r>
                </w:p>
              </w:tc>
              <w:tc>
                <w:tcPr>
                  <w:tcW w:w="1738" w:type="dxa"/>
                  <w:tcBorders>
                    <w:tl2br w:val="nil"/>
                    <w:tr2bl w:val="nil"/>
                  </w:tcBorders>
                  <w:vAlign w:val="center"/>
                </w:tcPr>
                <w:p w14:paraId="25D0ACA3">
                  <w:pPr>
                    <w:pStyle w:val="51"/>
                    <w:bidi w:val="0"/>
                    <w:jc w:val="center"/>
                    <w:rPr>
                      <w:rFonts w:hint="default" w:eastAsia="宋体"/>
                      <w:color w:val="auto"/>
                      <w:lang w:val="en-US" w:eastAsia="zh-CN"/>
                    </w:rPr>
                  </w:pPr>
                  <w:r>
                    <w:rPr>
                      <w:rFonts w:hint="eastAsia"/>
                      <w:color w:val="auto"/>
                      <w:lang w:val="en-US" w:eastAsia="zh-CN"/>
                    </w:rPr>
                    <w:t>/</w:t>
                  </w:r>
                </w:p>
              </w:tc>
              <w:tc>
                <w:tcPr>
                  <w:tcW w:w="2177" w:type="dxa"/>
                  <w:tcBorders>
                    <w:tl2br w:val="nil"/>
                    <w:tr2bl w:val="nil"/>
                  </w:tcBorders>
                  <w:vAlign w:val="center"/>
                </w:tcPr>
                <w:p w14:paraId="6E0FD077">
                  <w:pPr>
                    <w:pStyle w:val="51"/>
                    <w:bidi w:val="0"/>
                    <w:ind w:firstLine="0" w:firstLineChars="0"/>
                    <w:jc w:val="center"/>
                    <w:rPr>
                      <w:rFonts w:hint="eastAsia"/>
                      <w:color w:val="auto"/>
                      <w:lang w:val="en-US" w:eastAsia="zh-CN"/>
                    </w:rPr>
                  </w:pPr>
                  <w:r>
                    <w:rPr>
                      <w:rFonts w:hint="eastAsia"/>
                      <w:color w:val="auto"/>
                      <w:lang w:val="en-US" w:eastAsia="zh-CN"/>
                    </w:rPr>
                    <w:t>依托现有供电工程</w:t>
                  </w:r>
                </w:p>
              </w:tc>
            </w:tr>
          </w:tbl>
          <w:p w14:paraId="506B7DC7">
            <w:pPr>
              <w:pStyle w:val="4"/>
              <w:bidi w:val="0"/>
              <w:rPr>
                <w:rFonts w:hint="default"/>
                <w:color w:val="auto"/>
                <w:lang w:val="en-US" w:eastAsia="zh-CN"/>
              </w:rPr>
            </w:pPr>
            <w:r>
              <w:rPr>
                <w:rFonts w:hint="eastAsia"/>
                <w:color w:val="auto"/>
                <w:lang w:val="en-US" w:eastAsia="zh-CN"/>
              </w:rPr>
              <w:t>2.5产品方案及产品规模</w:t>
            </w:r>
          </w:p>
          <w:p w14:paraId="5BB97702">
            <w:pPr>
              <w:pStyle w:val="39"/>
              <w:bidi w:val="0"/>
              <w:rPr>
                <w:rFonts w:hint="default"/>
                <w:color w:val="auto"/>
                <w:lang w:val="en-US" w:eastAsia="zh-CN"/>
              </w:rPr>
            </w:pPr>
            <w:r>
              <w:rPr>
                <w:rFonts w:hint="eastAsia" w:ascii="宋体" w:hAnsi="宋体" w:cs="宋体"/>
                <w:color w:val="auto"/>
                <w:sz w:val="24"/>
                <w:szCs w:val="24"/>
                <w:lang w:val="en-US" w:eastAsia="zh-CN"/>
              </w:rPr>
              <w:t>项目主要</w:t>
            </w:r>
            <w:r>
              <w:rPr>
                <w:rFonts w:hint="eastAsia"/>
                <w:color w:val="auto"/>
                <w:lang w:val="en-US" w:eastAsia="zh-CN"/>
              </w:rPr>
              <w:t>回收</w:t>
            </w:r>
            <w:r>
              <w:rPr>
                <w:rFonts w:hint="eastAsia"/>
                <w:color w:val="auto"/>
              </w:rPr>
              <w:t>其他厂家破碎中报废车辆处理后的破碎料（不含危险废物）</w:t>
            </w:r>
            <w:r>
              <w:rPr>
                <w:rFonts w:hint="eastAsia"/>
                <w:color w:val="auto"/>
                <w:lang w:eastAsia="zh-CN"/>
              </w:rPr>
              <w:t>，</w:t>
            </w:r>
            <w:r>
              <w:rPr>
                <w:rFonts w:hint="eastAsia"/>
                <w:color w:val="auto"/>
                <w:lang w:val="en-US" w:eastAsia="zh-CN"/>
              </w:rPr>
              <w:t>通过分选-磁选，漂浮选，杂金属分选等工艺对破碎料进行分拣，产品主要包括铁、不锈钢、铜、铝、橡胶、塑料等，项目主要产品如下：</w:t>
            </w:r>
          </w:p>
          <w:p w14:paraId="630E9A7E">
            <w:pPr>
              <w:pStyle w:val="39"/>
              <w:bidi w:val="0"/>
              <w:rPr>
                <w:rFonts w:hint="eastAsia"/>
                <w:color w:val="auto"/>
                <w:lang w:val="en-US" w:eastAsia="zh-CN"/>
              </w:rPr>
            </w:pPr>
            <w:r>
              <w:rPr>
                <w:rFonts w:hint="eastAsia"/>
                <w:color w:val="auto"/>
                <w:lang w:val="en-US" w:eastAsia="zh-CN"/>
              </w:rPr>
              <w:t>本项目主要产品方案及规模见表2-4。</w:t>
            </w:r>
          </w:p>
          <w:p w14:paraId="7F718B3E">
            <w:pPr>
              <w:pStyle w:val="46"/>
              <w:bidi w:val="0"/>
              <w:rPr>
                <w:rFonts w:hint="eastAsia"/>
                <w:color w:val="auto"/>
                <w:lang w:val="en-US" w:eastAsia="zh-CN"/>
              </w:rPr>
            </w:pPr>
            <w:r>
              <w:rPr>
                <w:rFonts w:hint="eastAsia"/>
                <w:color w:val="auto"/>
                <w:lang w:val="en-US" w:eastAsia="zh-CN"/>
              </w:rPr>
              <w:t>表2-4   主要产品方案一览表</w:t>
            </w:r>
          </w:p>
          <w:tbl>
            <w:tblPr>
              <w:tblStyle w:val="114"/>
              <w:tblW w:w="79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2053"/>
              <w:gridCol w:w="1525"/>
              <w:gridCol w:w="1525"/>
              <w:gridCol w:w="1982"/>
            </w:tblGrid>
            <w:tr w14:paraId="1A79E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52" w:type="dxa"/>
                  <w:tcBorders>
                    <w:top w:val="single" w:color="000000" w:sz="2" w:space="0"/>
                    <w:left w:val="single" w:color="000000" w:sz="10" w:space="0"/>
                  </w:tcBorders>
                  <w:noWrap w:val="0"/>
                  <w:vAlign w:val="top"/>
                </w:tcPr>
                <w:p w14:paraId="128F40C0">
                  <w:pPr>
                    <w:pStyle w:val="51"/>
                    <w:bidi w:val="0"/>
                  </w:pPr>
                  <w:r>
                    <w:t>序号</w:t>
                  </w:r>
                </w:p>
              </w:tc>
              <w:tc>
                <w:tcPr>
                  <w:tcW w:w="2053" w:type="dxa"/>
                  <w:tcBorders>
                    <w:top w:val="single" w:color="000000" w:sz="2" w:space="0"/>
                  </w:tcBorders>
                  <w:noWrap w:val="0"/>
                  <w:vAlign w:val="top"/>
                </w:tcPr>
                <w:p w14:paraId="59DB518F">
                  <w:pPr>
                    <w:pStyle w:val="51"/>
                    <w:bidi w:val="0"/>
                  </w:pPr>
                  <w:r>
                    <w:t>名称</w:t>
                  </w:r>
                </w:p>
              </w:tc>
              <w:tc>
                <w:tcPr>
                  <w:tcW w:w="1525" w:type="dxa"/>
                  <w:tcBorders>
                    <w:top w:val="single" w:color="000000" w:sz="2" w:space="0"/>
                  </w:tcBorders>
                  <w:noWrap w:val="0"/>
                  <w:vAlign w:val="top"/>
                </w:tcPr>
                <w:p w14:paraId="15868BB7">
                  <w:pPr>
                    <w:pStyle w:val="51"/>
                    <w:bidi w:val="0"/>
                    <w:rPr>
                      <w:rFonts w:hint="eastAsia"/>
                      <w:lang w:eastAsia="zh-CN"/>
                    </w:rPr>
                  </w:pPr>
                  <w:r>
                    <w:rPr>
                      <w:rFonts w:hint="eastAsia"/>
                      <w:lang w:val="en-US" w:eastAsia="zh-CN"/>
                    </w:rPr>
                    <w:t>数量</w:t>
                  </w:r>
                </w:p>
              </w:tc>
              <w:tc>
                <w:tcPr>
                  <w:tcW w:w="1525" w:type="dxa"/>
                  <w:tcBorders>
                    <w:top w:val="single" w:color="000000" w:sz="2" w:space="0"/>
                  </w:tcBorders>
                  <w:noWrap w:val="0"/>
                  <w:vAlign w:val="top"/>
                </w:tcPr>
                <w:p w14:paraId="1BA5CD2B">
                  <w:pPr>
                    <w:pStyle w:val="51"/>
                    <w:bidi w:val="0"/>
                  </w:pPr>
                  <w:r>
                    <w:t>单位</w:t>
                  </w:r>
                </w:p>
              </w:tc>
              <w:tc>
                <w:tcPr>
                  <w:tcW w:w="1982" w:type="dxa"/>
                  <w:tcBorders>
                    <w:top w:val="single" w:color="000000" w:sz="2" w:space="0"/>
                    <w:right w:val="single" w:color="000000" w:sz="2" w:space="0"/>
                  </w:tcBorders>
                  <w:noWrap w:val="0"/>
                  <w:vAlign w:val="top"/>
                </w:tcPr>
                <w:p w14:paraId="233C4CE6">
                  <w:pPr>
                    <w:pStyle w:val="51"/>
                    <w:bidi w:val="0"/>
                  </w:pPr>
                  <w:r>
                    <w:t>备注</w:t>
                  </w:r>
                </w:p>
              </w:tc>
            </w:tr>
            <w:tr w14:paraId="51C57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52" w:type="dxa"/>
                  <w:tcBorders>
                    <w:left w:val="single" w:color="000000" w:sz="4" w:space="0"/>
                  </w:tcBorders>
                  <w:noWrap w:val="0"/>
                  <w:vAlign w:val="top"/>
                </w:tcPr>
                <w:p w14:paraId="1D7ECE6C">
                  <w:pPr>
                    <w:pStyle w:val="51"/>
                    <w:bidi w:val="0"/>
                  </w:pPr>
                  <w:r>
                    <w:t>1</w:t>
                  </w:r>
                </w:p>
              </w:tc>
              <w:tc>
                <w:tcPr>
                  <w:tcW w:w="2053" w:type="dxa"/>
                  <w:noWrap w:val="0"/>
                  <w:vAlign w:val="center"/>
                </w:tcPr>
                <w:p w14:paraId="0781F451">
                  <w:pPr>
                    <w:pStyle w:val="51"/>
                    <w:bidi w:val="0"/>
                  </w:pPr>
                  <w:r>
                    <w:rPr>
                      <w:rFonts w:hint="eastAsia"/>
                      <w:lang w:val="en-US" w:eastAsia="zh-CN"/>
                    </w:rPr>
                    <w:t>燃烧棒</w:t>
                  </w:r>
                </w:p>
              </w:tc>
              <w:tc>
                <w:tcPr>
                  <w:tcW w:w="1525" w:type="dxa"/>
                  <w:noWrap w:val="0"/>
                  <w:vAlign w:val="center"/>
                </w:tcPr>
                <w:p w14:paraId="5385E406">
                  <w:pPr>
                    <w:pStyle w:val="51"/>
                    <w:bidi w:val="0"/>
                  </w:pPr>
                  <w:r>
                    <w:rPr>
                      <w:rFonts w:hint="eastAsia"/>
                      <w:lang w:val="en-US" w:eastAsia="zh-CN"/>
                    </w:rPr>
                    <w:t>100</w:t>
                  </w:r>
                </w:p>
              </w:tc>
              <w:tc>
                <w:tcPr>
                  <w:tcW w:w="1525" w:type="dxa"/>
                  <w:noWrap w:val="0"/>
                  <w:vAlign w:val="top"/>
                </w:tcPr>
                <w:p w14:paraId="44353646">
                  <w:pPr>
                    <w:pStyle w:val="51"/>
                    <w:bidi w:val="0"/>
                  </w:pPr>
                  <w:r>
                    <w:t>t/a</w:t>
                  </w:r>
                </w:p>
              </w:tc>
              <w:tc>
                <w:tcPr>
                  <w:tcW w:w="1982" w:type="dxa"/>
                  <w:vMerge w:val="restart"/>
                  <w:tcBorders>
                    <w:right w:val="single" w:color="000000" w:sz="2" w:space="0"/>
                  </w:tcBorders>
                  <w:noWrap w:val="0"/>
                  <w:vAlign w:val="top"/>
                </w:tcPr>
                <w:p w14:paraId="6636FBFA">
                  <w:pPr>
                    <w:pStyle w:val="51"/>
                    <w:bidi w:val="0"/>
                    <w:rPr>
                      <w:rFonts w:hint="default" w:eastAsia="宋体"/>
                      <w:lang w:val="en-US" w:eastAsia="zh-CN"/>
                    </w:rPr>
                  </w:pPr>
                  <w:r>
                    <w:rPr>
                      <w:rFonts w:hint="eastAsia"/>
                      <w:lang w:val="en-US" w:eastAsia="zh-CN"/>
                    </w:rPr>
                    <w:t>产品主要外售至</w:t>
                  </w:r>
                  <w:r>
                    <w:rPr>
                      <w:rFonts w:hint="eastAsia"/>
                    </w:rPr>
                    <w:t>江西中旺铜业有限公司，安徽富旺有限公司，江西新金叶实业有限公司</w:t>
                  </w:r>
                  <w:r>
                    <w:rPr>
                      <w:rFonts w:hint="eastAsia"/>
                      <w:lang w:val="en-US" w:eastAsia="zh-CN"/>
                    </w:rPr>
                    <w:t>等意向公司</w:t>
                  </w:r>
                </w:p>
              </w:tc>
            </w:tr>
            <w:tr w14:paraId="2FA57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52" w:type="dxa"/>
                  <w:tcBorders>
                    <w:left w:val="single" w:color="000000" w:sz="4" w:space="0"/>
                  </w:tcBorders>
                  <w:noWrap w:val="0"/>
                  <w:vAlign w:val="top"/>
                </w:tcPr>
                <w:p w14:paraId="5E80636A">
                  <w:pPr>
                    <w:pStyle w:val="51"/>
                    <w:bidi w:val="0"/>
                  </w:pPr>
                  <w:r>
                    <w:t>2</w:t>
                  </w:r>
                </w:p>
              </w:tc>
              <w:tc>
                <w:tcPr>
                  <w:tcW w:w="2053" w:type="dxa"/>
                  <w:noWrap w:val="0"/>
                  <w:vAlign w:val="center"/>
                </w:tcPr>
                <w:p w14:paraId="2D0BB2C7">
                  <w:pPr>
                    <w:pStyle w:val="51"/>
                    <w:bidi w:val="0"/>
                  </w:pPr>
                  <w:r>
                    <w:rPr>
                      <w:rFonts w:hint="eastAsia"/>
                      <w:lang w:val="en-US" w:eastAsia="zh-CN"/>
                    </w:rPr>
                    <w:t>橡胶</w:t>
                  </w:r>
                </w:p>
              </w:tc>
              <w:tc>
                <w:tcPr>
                  <w:tcW w:w="1525" w:type="dxa"/>
                  <w:noWrap w:val="0"/>
                  <w:vAlign w:val="center"/>
                </w:tcPr>
                <w:p w14:paraId="2AFE7D48">
                  <w:pPr>
                    <w:pStyle w:val="51"/>
                    <w:bidi w:val="0"/>
                  </w:pPr>
                  <w:r>
                    <w:rPr>
                      <w:rFonts w:hint="eastAsia"/>
                      <w:lang w:val="en-US" w:eastAsia="zh-CN"/>
                    </w:rPr>
                    <w:t>2900</w:t>
                  </w:r>
                </w:p>
              </w:tc>
              <w:tc>
                <w:tcPr>
                  <w:tcW w:w="1525" w:type="dxa"/>
                  <w:noWrap w:val="0"/>
                  <w:vAlign w:val="top"/>
                </w:tcPr>
                <w:p w14:paraId="38040278">
                  <w:pPr>
                    <w:pStyle w:val="51"/>
                    <w:bidi w:val="0"/>
                  </w:pPr>
                  <w:r>
                    <w:t>t/a</w:t>
                  </w:r>
                </w:p>
              </w:tc>
              <w:tc>
                <w:tcPr>
                  <w:tcW w:w="1982" w:type="dxa"/>
                  <w:vMerge w:val="continue"/>
                  <w:tcBorders>
                    <w:right w:val="single" w:color="000000" w:sz="2" w:space="0"/>
                  </w:tcBorders>
                  <w:noWrap w:val="0"/>
                  <w:vAlign w:val="top"/>
                </w:tcPr>
                <w:p w14:paraId="1D8E91F7">
                  <w:pPr>
                    <w:pStyle w:val="51"/>
                    <w:bidi w:val="0"/>
                  </w:pPr>
                </w:p>
              </w:tc>
            </w:tr>
            <w:tr w14:paraId="0040C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52" w:type="dxa"/>
                  <w:tcBorders>
                    <w:left w:val="single" w:color="000000" w:sz="4" w:space="0"/>
                  </w:tcBorders>
                  <w:noWrap w:val="0"/>
                  <w:vAlign w:val="top"/>
                </w:tcPr>
                <w:p w14:paraId="15953997">
                  <w:pPr>
                    <w:pStyle w:val="51"/>
                    <w:bidi w:val="0"/>
                  </w:pPr>
                  <w:r>
                    <w:t>3</w:t>
                  </w:r>
                </w:p>
              </w:tc>
              <w:tc>
                <w:tcPr>
                  <w:tcW w:w="2053" w:type="dxa"/>
                  <w:noWrap w:val="0"/>
                  <w:vAlign w:val="center"/>
                </w:tcPr>
                <w:p w14:paraId="008309A6">
                  <w:pPr>
                    <w:pStyle w:val="51"/>
                    <w:bidi w:val="0"/>
                  </w:pPr>
                  <w:r>
                    <w:rPr>
                      <w:rFonts w:hint="eastAsia"/>
                      <w:lang w:val="en-US" w:eastAsia="zh-CN"/>
                    </w:rPr>
                    <w:t>塑料</w:t>
                  </w:r>
                </w:p>
              </w:tc>
              <w:tc>
                <w:tcPr>
                  <w:tcW w:w="1525" w:type="dxa"/>
                  <w:noWrap w:val="0"/>
                  <w:vAlign w:val="center"/>
                </w:tcPr>
                <w:p w14:paraId="2AAE540B">
                  <w:pPr>
                    <w:pStyle w:val="51"/>
                    <w:bidi w:val="0"/>
                  </w:pPr>
                  <w:r>
                    <w:rPr>
                      <w:rFonts w:hint="eastAsia"/>
                      <w:lang w:val="en-US" w:eastAsia="zh-CN"/>
                    </w:rPr>
                    <w:t>3900</w:t>
                  </w:r>
                </w:p>
              </w:tc>
              <w:tc>
                <w:tcPr>
                  <w:tcW w:w="1525" w:type="dxa"/>
                  <w:noWrap w:val="0"/>
                  <w:vAlign w:val="top"/>
                </w:tcPr>
                <w:p w14:paraId="73C90111">
                  <w:pPr>
                    <w:pStyle w:val="51"/>
                    <w:bidi w:val="0"/>
                  </w:pPr>
                  <w:r>
                    <w:t>t/a</w:t>
                  </w:r>
                </w:p>
              </w:tc>
              <w:tc>
                <w:tcPr>
                  <w:tcW w:w="1982" w:type="dxa"/>
                  <w:vMerge w:val="continue"/>
                  <w:tcBorders>
                    <w:right w:val="single" w:color="000000" w:sz="2" w:space="0"/>
                  </w:tcBorders>
                  <w:noWrap w:val="0"/>
                  <w:vAlign w:val="top"/>
                </w:tcPr>
                <w:p w14:paraId="268CC4AB">
                  <w:pPr>
                    <w:pStyle w:val="51"/>
                    <w:bidi w:val="0"/>
                  </w:pPr>
                </w:p>
              </w:tc>
            </w:tr>
            <w:tr w14:paraId="38542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52" w:type="dxa"/>
                  <w:tcBorders>
                    <w:left w:val="single" w:color="000000" w:sz="4" w:space="0"/>
                  </w:tcBorders>
                  <w:noWrap w:val="0"/>
                  <w:vAlign w:val="top"/>
                </w:tcPr>
                <w:p w14:paraId="1FAC0C48">
                  <w:pPr>
                    <w:pStyle w:val="51"/>
                    <w:bidi w:val="0"/>
                  </w:pPr>
                  <w:r>
                    <w:t>4</w:t>
                  </w:r>
                </w:p>
              </w:tc>
              <w:tc>
                <w:tcPr>
                  <w:tcW w:w="2053" w:type="dxa"/>
                  <w:noWrap w:val="0"/>
                  <w:vAlign w:val="center"/>
                </w:tcPr>
                <w:p w14:paraId="2FED8AFC">
                  <w:pPr>
                    <w:pStyle w:val="51"/>
                    <w:bidi w:val="0"/>
                  </w:pPr>
                  <w:r>
                    <w:rPr>
                      <w:rFonts w:hint="eastAsia"/>
                      <w:lang w:val="en-US" w:eastAsia="zh-CN"/>
                    </w:rPr>
                    <w:t>铁</w:t>
                  </w:r>
                </w:p>
              </w:tc>
              <w:tc>
                <w:tcPr>
                  <w:tcW w:w="1525" w:type="dxa"/>
                  <w:noWrap w:val="0"/>
                  <w:vAlign w:val="center"/>
                </w:tcPr>
                <w:p w14:paraId="4EEB4D13">
                  <w:pPr>
                    <w:pStyle w:val="51"/>
                    <w:bidi w:val="0"/>
                  </w:pPr>
                  <w:r>
                    <w:rPr>
                      <w:rFonts w:hint="eastAsia"/>
                      <w:lang w:val="en-US" w:eastAsia="zh-CN"/>
                    </w:rPr>
                    <w:t>10730</w:t>
                  </w:r>
                </w:p>
              </w:tc>
              <w:tc>
                <w:tcPr>
                  <w:tcW w:w="1525" w:type="dxa"/>
                  <w:noWrap w:val="0"/>
                  <w:vAlign w:val="top"/>
                </w:tcPr>
                <w:p w14:paraId="3A954FB5">
                  <w:pPr>
                    <w:pStyle w:val="51"/>
                    <w:bidi w:val="0"/>
                  </w:pPr>
                  <w:r>
                    <w:t>t/a</w:t>
                  </w:r>
                </w:p>
              </w:tc>
              <w:tc>
                <w:tcPr>
                  <w:tcW w:w="1982" w:type="dxa"/>
                  <w:vMerge w:val="continue"/>
                  <w:tcBorders>
                    <w:right w:val="single" w:color="000000" w:sz="2" w:space="0"/>
                  </w:tcBorders>
                  <w:noWrap w:val="0"/>
                  <w:vAlign w:val="top"/>
                </w:tcPr>
                <w:p w14:paraId="1D092CDB">
                  <w:pPr>
                    <w:pStyle w:val="51"/>
                    <w:bidi w:val="0"/>
                  </w:pPr>
                </w:p>
              </w:tc>
            </w:tr>
            <w:tr w14:paraId="39F6F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52" w:type="dxa"/>
                  <w:tcBorders>
                    <w:left w:val="single" w:color="000000" w:sz="4" w:space="0"/>
                  </w:tcBorders>
                  <w:noWrap w:val="0"/>
                  <w:vAlign w:val="top"/>
                </w:tcPr>
                <w:p w14:paraId="6A326021">
                  <w:pPr>
                    <w:pStyle w:val="51"/>
                    <w:bidi w:val="0"/>
                  </w:pPr>
                  <w:r>
                    <w:t>5</w:t>
                  </w:r>
                </w:p>
              </w:tc>
              <w:tc>
                <w:tcPr>
                  <w:tcW w:w="2053" w:type="dxa"/>
                  <w:noWrap w:val="0"/>
                  <w:vAlign w:val="center"/>
                </w:tcPr>
                <w:p w14:paraId="46C2A075">
                  <w:pPr>
                    <w:pStyle w:val="51"/>
                    <w:bidi w:val="0"/>
                  </w:pPr>
                  <w:r>
                    <w:rPr>
                      <w:rFonts w:hint="eastAsia"/>
                      <w:lang w:val="en-US" w:eastAsia="zh-CN"/>
                    </w:rPr>
                    <w:t>不锈钢</w:t>
                  </w:r>
                </w:p>
              </w:tc>
              <w:tc>
                <w:tcPr>
                  <w:tcW w:w="1525" w:type="dxa"/>
                  <w:noWrap w:val="0"/>
                  <w:vAlign w:val="center"/>
                </w:tcPr>
                <w:p w14:paraId="4907AC1B">
                  <w:pPr>
                    <w:pStyle w:val="51"/>
                    <w:bidi w:val="0"/>
                  </w:pPr>
                  <w:r>
                    <w:rPr>
                      <w:rFonts w:hint="eastAsia"/>
                      <w:lang w:val="en-US" w:eastAsia="zh-CN"/>
                    </w:rPr>
                    <w:t>500</w:t>
                  </w:r>
                </w:p>
              </w:tc>
              <w:tc>
                <w:tcPr>
                  <w:tcW w:w="1525" w:type="dxa"/>
                  <w:noWrap w:val="0"/>
                  <w:vAlign w:val="top"/>
                </w:tcPr>
                <w:p w14:paraId="31B8A1B4">
                  <w:pPr>
                    <w:pStyle w:val="51"/>
                    <w:bidi w:val="0"/>
                  </w:pPr>
                  <w:r>
                    <w:t>t/a</w:t>
                  </w:r>
                </w:p>
              </w:tc>
              <w:tc>
                <w:tcPr>
                  <w:tcW w:w="1982" w:type="dxa"/>
                  <w:vMerge w:val="continue"/>
                  <w:tcBorders>
                    <w:right w:val="single" w:color="000000" w:sz="2" w:space="0"/>
                  </w:tcBorders>
                  <w:noWrap w:val="0"/>
                  <w:vAlign w:val="top"/>
                </w:tcPr>
                <w:p w14:paraId="06081846">
                  <w:pPr>
                    <w:pStyle w:val="51"/>
                    <w:bidi w:val="0"/>
                  </w:pPr>
                </w:p>
              </w:tc>
            </w:tr>
            <w:tr w14:paraId="7631F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52" w:type="dxa"/>
                  <w:tcBorders>
                    <w:left w:val="single" w:color="000000" w:sz="4" w:space="0"/>
                  </w:tcBorders>
                  <w:noWrap w:val="0"/>
                  <w:vAlign w:val="top"/>
                </w:tcPr>
                <w:p w14:paraId="07B23B55">
                  <w:pPr>
                    <w:pStyle w:val="51"/>
                    <w:bidi w:val="0"/>
                  </w:pPr>
                  <w:r>
                    <w:t>6</w:t>
                  </w:r>
                </w:p>
              </w:tc>
              <w:tc>
                <w:tcPr>
                  <w:tcW w:w="2053" w:type="dxa"/>
                  <w:noWrap w:val="0"/>
                  <w:vAlign w:val="center"/>
                </w:tcPr>
                <w:p w14:paraId="413E6CBE">
                  <w:pPr>
                    <w:pStyle w:val="51"/>
                    <w:bidi w:val="0"/>
                  </w:pPr>
                  <w:r>
                    <w:rPr>
                      <w:rFonts w:hint="eastAsia"/>
                      <w:lang w:val="en-US" w:eastAsia="zh-CN"/>
                    </w:rPr>
                    <w:t>铜铝</w:t>
                  </w:r>
                </w:p>
              </w:tc>
              <w:tc>
                <w:tcPr>
                  <w:tcW w:w="1525" w:type="dxa"/>
                  <w:noWrap w:val="0"/>
                  <w:vAlign w:val="center"/>
                </w:tcPr>
                <w:p w14:paraId="3A60AE85">
                  <w:pPr>
                    <w:pStyle w:val="51"/>
                    <w:bidi w:val="0"/>
                  </w:pPr>
                  <w:r>
                    <w:rPr>
                      <w:rFonts w:hint="eastAsia"/>
                      <w:lang w:val="en-US" w:eastAsia="zh-CN"/>
                    </w:rPr>
                    <w:t>500</w:t>
                  </w:r>
                </w:p>
              </w:tc>
              <w:tc>
                <w:tcPr>
                  <w:tcW w:w="1525" w:type="dxa"/>
                  <w:noWrap w:val="0"/>
                  <w:vAlign w:val="top"/>
                </w:tcPr>
                <w:p w14:paraId="30783A7B">
                  <w:pPr>
                    <w:pStyle w:val="51"/>
                    <w:bidi w:val="0"/>
                  </w:pPr>
                  <w:r>
                    <w:t>t/a</w:t>
                  </w:r>
                </w:p>
              </w:tc>
              <w:tc>
                <w:tcPr>
                  <w:tcW w:w="1982" w:type="dxa"/>
                  <w:vMerge w:val="continue"/>
                  <w:tcBorders>
                    <w:right w:val="single" w:color="000000" w:sz="2" w:space="0"/>
                  </w:tcBorders>
                  <w:noWrap w:val="0"/>
                  <w:vAlign w:val="top"/>
                </w:tcPr>
                <w:p w14:paraId="37B538FD">
                  <w:pPr>
                    <w:pStyle w:val="51"/>
                    <w:bidi w:val="0"/>
                  </w:pPr>
                </w:p>
              </w:tc>
            </w:tr>
            <w:tr w14:paraId="66A0D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52" w:type="dxa"/>
                  <w:tcBorders>
                    <w:left w:val="single" w:color="000000" w:sz="4" w:space="0"/>
                  </w:tcBorders>
                  <w:noWrap w:val="0"/>
                  <w:vAlign w:val="top"/>
                </w:tcPr>
                <w:p w14:paraId="59A321B8">
                  <w:pPr>
                    <w:pStyle w:val="51"/>
                    <w:bidi w:val="0"/>
                  </w:pPr>
                  <w:r>
                    <w:t>7</w:t>
                  </w:r>
                </w:p>
              </w:tc>
              <w:tc>
                <w:tcPr>
                  <w:tcW w:w="2053" w:type="dxa"/>
                  <w:noWrap w:val="0"/>
                  <w:vAlign w:val="center"/>
                </w:tcPr>
                <w:p w14:paraId="62B6AB18">
                  <w:pPr>
                    <w:pStyle w:val="51"/>
                    <w:bidi w:val="0"/>
                  </w:pPr>
                  <w:r>
                    <w:rPr>
                      <w:rFonts w:hint="eastAsia"/>
                      <w:lang w:val="en-US" w:eastAsia="zh-CN"/>
                    </w:rPr>
                    <w:t>杂金属</w:t>
                  </w:r>
                </w:p>
              </w:tc>
              <w:tc>
                <w:tcPr>
                  <w:tcW w:w="1525" w:type="dxa"/>
                  <w:noWrap w:val="0"/>
                  <w:vAlign w:val="center"/>
                </w:tcPr>
                <w:p w14:paraId="000143A1">
                  <w:pPr>
                    <w:pStyle w:val="51"/>
                    <w:bidi w:val="0"/>
                  </w:pPr>
                  <w:r>
                    <w:rPr>
                      <w:rFonts w:hint="eastAsia"/>
                      <w:lang w:val="en-US" w:eastAsia="zh-CN"/>
                    </w:rPr>
                    <w:t>1069.5</w:t>
                  </w:r>
                </w:p>
              </w:tc>
              <w:tc>
                <w:tcPr>
                  <w:tcW w:w="1525" w:type="dxa"/>
                  <w:noWrap w:val="0"/>
                  <w:vAlign w:val="top"/>
                </w:tcPr>
                <w:p w14:paraId="1DB4069B">
                  <w:pPr>
                    <w:pStyle w:val="51"/>
                    <w:bidi w:val="0"/>
                  </w:pPr>
                  <w:r>
                    <w:t>t/a</w:t>
                  </w:r>
                </w:p>
              </w:tc>
              <w:tc>
                <w:tcPr>
                  <w:tcW w:w="1982" w:type="dxa"/>
                  <w:vMerge w:val="continue"/>
                  <w:tcBorders>
                    <w:right w:val="single" w:color="000000" w:sz="2" w:space="0"/>
                  </w:tcBorders>
                  <w:noWrap w:val="0"/>
                  <w:vAlign w:val="top"/>
                </w:tcPr>
                <w:p w14:paraId="3DF7DF1E">
                  <w:pPr>
                    <w:pStyle w:val="51"/>
                    <w:bidi w:val="0"/>
                  </w:pPr>
                </w:p>
              </w:tc>
            </w:tr>
            <w:tr w14:paraId="661D4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52" w:type="dxa"/>
                  <w:tcBorders>
                    <w:left w:val="single" w:color="000000" w:sz="4" w:space="0"/>
                    <w:bottom w:val="single" w:color="000000" w:sz="2" w:space="0"/>
                  </w:tcBorders>
                  <w:noWrap w:val="0"/>
                  <w:vAlign w:val="top"/>
                </w:tcPr>
                <w:p w14:paraId="6E601A20">
                  <w:pPr>
                    <w:pStyle w:val="51"/>
                    <w:bidi w:val="0"/>
                  </w:pPr>
                  <w:r>
                    <w:t>9</w:t>
                  </w:r>
                </w:p>
              </w:tc>
              <w:tc>
                <w:tcPr>
                  <w:tcW w:w="2053" w:type="dxa"/>
                  <w:tcBorders>
                    <w:bottom w:val="single" w:color="000000" w:sz="2" w:space="0"/>
                  </w:tcBorders>
                  <w:noWrap w:val="0"/>
                  <w:vAlign w:val="top"/>
                </w:tcPr>
                <w:p w14:paraId="58855C95">
                  <w:pPr>
                    <w:pStyle w:val="51"/>
                    <w:bidi w:val="0"/>
                  </w:pPr>
                  <w:r>
                    <w:t>合计</w:t>
                  </w:r>
                </w:p>
              </w:tc>
              <w:tc>
                <w:tcPr>
                  <w:tcW w:w="1525" w:type="dxa"/>
                  <w:tcBorders>
                    <w:bottom w:val="single" w:color="000000" w:sz="2" w:space="0"/>
                  </w:tcBorders>
                  <w:noWrap w:val="0"/>
                  <w:vAlign w:val="top"/>
                </w:tcPr>
                <w:p w14:paraId="6DE65129">
                  <w:pPr>
                    <w:pStyle w:val="51"/>
                    <w:bidi w:val="0"/>
                    <w:rPr>
                      <w:rFonts w:hint="default" w:eastAsia="宋体"/>
                      <w:lang w:val="en-US" w:eastAsia="zh-CN"/>
                    </w:rPr>
                  </w:pPr>
                  <w:r>
                    <w:rPr>
                      <w:rFonts w:hint="eastAsia"/>
                      <w:lang w:val="en-US" w:eastAsia="zh-CN"/>
                    </w:rPr>
                    <w:t>19699.5</w:t>
                  </w:r>
                </w:p>
              </w:tc>
              <w:tc>
                <w:tcPr>
                  <w:tcW w:w="1525" w:type="dxa"/>
                  <w:tcBorders>
                    <w:bottom w:val="single" w:color="000000" w:sz="2" w:space="0"/>
                  </w:tcBorders>
                  <w:noWrap w:val="0"/>
                  <w:vAlign w:val="top"/>
                </w:tcPr>
                <w:p w14:paraId="65A43551">
                  <w:pPr>
                    <w:pStyle w:val="51"/>
                    <w:bidi w:val="0"/>
                    <w:rPr>
                      <w:rFonts w:hint="eastAsia" w:eastAsia="宋体"/>
                      <w:lang w:val="en-US" w:eastAsia="zh-CN"/>
                    </w:rPr>
                  </w:pPr>
                  <w:r>
                    <w:rPr>
                      <w:rFonts w:hint="eastAsia"/>
                      <w:lang w:val="en-US" w:eastAsia="zh-CN"/>
                    </w:rPr>
                    <w:t>t/a</w:t>
                  </w:r>
                </w:p>
              </w:tc>
              <w:tc>
                <w:tcPr>
                  <w:tcW w:w="1982" w:type="dxa"/>
                  <w:tcBorders>
                    <w:bottom w:val="single" w:color="000000" w:sz="2" w:space="0"/>
                    <w:right w:val="single" w:color="000000" w:sz="2" w:space="0"/>
                  </w:tcBorders>
                  <w:noWrap w:val="0"/>
                  <w:vAlign w:val="top"/>
                </w:tcPr>
                <w:p w14:paraId="10688032">
                  <w:pPr>
                    <w:pStyle w:val="51"/>
                    <w:bidi w:val="0"/>
                    <w:rPr>
                      <w:rFonts w:hint="eastAsia" w:eastAsia="宋体"/>
                      <w:lang w:val="en-US" w:eastAsia="zh-CN"/>
                    </w:rPr>
                  </w:pPr>
                  <w:r>
                    <w:rPr>
                      <w:rFonts w:hint="eastAsia"/>
                      <w:lang w:val="en-US" w:eastAsia="zh-CN"/>
                    </w:rPr>
                    <w:t>/</w:t>
                  </w:r>
                </w:p>
              </w:tc>
            </w:tr>
          </w:tbl>
          <w:p w14:paraId="068B41E3">
            <w:pPr>
              <w:rPr>
                <w:rFonts w:hint="eastAsia"/>
                <w:color w:val="auto"/>
                <w:lang w:val="en-US" w:eastAsia="zh-CN"/>
              </w:rPr>
            </w:pPr>
          </w:p>
          <w:p w14:paraId="008A8BCB">
            <w:pPr>
              <w:pStyle w:val="4"/>
              <w:bidi w:val="0"/>
              <w:rPr>
                <w:rFonts w:hint="default"/>
                <w:color w:val="auto"/>
                <w:lang w:val="en-US" w:eastAsia="zh-CN"/>
              </w:rPr>
            </w:pPr>
            <w:r>
              <w:rPr>
                <w:rFonts w:hint="eastAsia"/>
                <w:color w:val="auto"/>
                <w:lang w:val="en-US" w:eastAsia="zh-CN"/>
              </w:rPr>
              <w:t>2.6依托工程、公用工程</w:t>
            </w:r>
          </w:p>
          <w:p w14:paraId="60991DB4">
            <w:pPr>
              <w:pStyle w:val="39"/>
              <w:bidi w:val="0"/>
              <w:rPr>
                <w:rFonts w:hint="default"/>
                <w:color w:val="auto"/>
                <w:lang w:val="en-US" w:eastAsia="zh-CN"/>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lang w:val="en-US" w:eastAsia="zh-CN"/>
              </w:rPr>
              <w:t>公用工程</w:t>
            </w:r>
          </w:p>
          <w:p w14:paraId="476EBF4D">
            <w:pPr>
              <w:pStyle w:val="39"/>
              <w:bidi w:val="0"/>
              <w:rPr>
                <w:color w:val="auto"/>
              </w:rPr>
            </w:pPr>
            <w:r>
              <w:rPr>
                <w:rFonts w:hint="eastAsia"/>
                <w:color w:val="auto"/>
              </w:rPr>
              <w:t>①供水</w:t>
            </w:r>
          </w:p>
          <w:p w14:paraId="0C0D3DBD">
            <w:pPr>
              <w:pStyle w:val="39"/>
              <w:bidi w:val="0"/>
              <w:rPr>
                <w:color w:val="auto"/>
              </w:rPr>
            </w:pPr>
            <w:r>
              <w:rPr>
                <w:color w:val="auto"/>
              </w:rPr>
              <w:t>本项目生活给水系统、消防给水系统及</w:t>
            </w:r>
            <w:r>
              <w:rPr>
                <w:rFonts w:hint="eastAsia"/>
                <w:color w:val="auto"/>
                <w:lang w:val="en-US" w:eastAsia="zh-CN"/>
              </w:rPr>
              <w:t>漂浮槽给</w:t>
            </w:r>
            <w:r>
              <w:rPr>
                <w:color w:val="auto"/>
              </w:rPr>
              <w:t>水系统依托现有工程。</w:t>
            </w:r>
          </w:p>
          <w:p w14:paraId="2B1D437B">
            <w:pPr>
              <w:pStyle w:val="39"/>
              <w:bidi w:val="0"/>
              <w:rPr>
                <w:rFonts w:hint="default"/>
                <w:color w:val="auto"/>
                <w:lang w:val="en-US" w:eastAsia="zh-CN"/>
              </w:rPr>
            </w:pPr>
            <w:r>
              <w:rPr>
                <w:rFonts w:hint="eastAsia"/>
                <w:color w:val="auto"/>
                <w:lang w:val="en-US" w:eastAsia="zh-CN"/>
              </w:rPr>
              <w:t>项目劳动定员为6人，按照《新疆维吾尔自治区工业和生活用水定额》，员工日常生活用水定额取100升/人·日，每年工作约300天，项目生活用水为0.6m³/d，180m³/a；</w:t>
            </w:r>
          </w:p>
          <w:p w14:paraId="63E2DB9E">
            <w:pPr>
              <w:pStyle w:val="39"/>
              <w:bidi w:val="0"/>
              <w:rPr>
                <w:rFonts w:hint="default"/>
                <w:color w:val="auto"/>
                <w:lang w:val="en-US" w:eastAsia="zh-CN"/>
              </w:rPr>
            </w:pPr>
            <w:r>
              <w:rPr>
                <w:rFonts w:hint="eastAsia"/>
                <w:color w:val="auto"/>
                <w:lang w:val="en-US" w:eastAsia="zh-CN"/>
              </w:rPr>
              <w:t>项目生产用水主要为漂浮槽的补水，根据设计，生产补水量约为8.7m</w:t>
            </w:r>
            <w:r>
              <w:rPr>
                <w:rFonts w:hint="eastAsia"/>
                <w:color w:val="auto"/>
                <w:vertAlign w:val="superscript"/>
                <w:lang w:val="en-US" w:eastAsia="zh-CN"/>
              </w:rPr>
              <w:t>3</w:t>
            </w:r>
            <w:r>
              <w:rPr>
                <w:rFonts w:hint="eastAsia"/>
                <w:color w:val="auto"/>
                <w:lang w:val="en-US" w:eastAsia="zh-CN"/>
              </w:rPr>
              <w:t>/d，2610m³/a；</w:t>
            </w:r>
          </w:p>
          <w:p w14:paraId="6F36CBC4">
            <w:pPr>
              <w:pStyle w:val="39"/>
              <w:bidi w:val="0"/>
              <w:rPr>
                <w:rFonts w:hint="default"/>
                <w:color w:val="auto"/>
                <w:lang w:val="en-US" w:eastAsia="zh-CN"/>
              </w:rPr>
            </w:pPr>
            <w:r>
              <w:rPr>
                <w:rFonts w:hint="eastAsia"/>
                <w:color w:val="auto"/>
                <w:lang w:val="en-US" w:eastAsia="zh-CN"/>
              </w:rPr>
              <w:t>项目供水通过现有供水管线，由市政供水管网提供，可满足项目需求。</w:t>
            </w:r>
          </w:p>
          <w:p w14:paraId="58259C81">
            <w:pPr>
              <w:pStyle w:val="39"/>
              <w:bidi w:val="0"/>
              <w:rPr>
                <w:color w:val="auto"/>
              </w:rPr>
            </w:pPr>
            <w:r>
              <w:rPr>
                <w:rFonts w:hint="eastAsia"/>
                <w:color w:val="auto"/>
              </w:rPr>
              <w:t>②排水</w:t>
            </w:r>
          </w:p>
          <w:p w14:paraId="05E7BDCA">
            <w:pPr>
              <w:pStyle w:val="39"/>
              <w:bidi w:val="0"/>
              <w:rPr>
                <w:rFonts w:hint="default" w:eastAsia="宋体"/>
                <w:color w:val="auto"/>
                <w:lang w:val="en-US" w:eastAsia="zh-CN"/>
              </w:rPr>
            </w:pPr>
            <w:r>
              <w:rPr>
                <w:rFonts w:hint="eastAsia"/>
                <w:color w:val="auto"/>
                <w:lang w:val="en-US" w:eastAsia="zh-CN"/>
              </w:rPr>
              <w:t>项目漂浮槽清洗废水经沉淀池沉降后循环使用，不外排；生活污水按用水量的85%计，生活污水产生量为0.51m³/d，153m³/a，生活污水经污水管网最终进入鄯善县污水处理厂处置。</w:t>
            </w:r>
          </w:p>
          <w:p w14:paraId="3DDECAD6">
            <w:pPr>
              <w:pStyle w:val="39"/>
              <w:bidi w:val="0"/>
              <w:ind w:left="0" w:leftChars="0" w:firstLine="0" w:firstLineChars="0"/>
              <w:jc w:val="center"/>
              <w:rPr>
                <w:rFonts w:hint="eastAsia"/>
                <w:color w:val="auto"/>
              </w:rPr>
            </w:pPr>
            <w:r>
              <w:drawing>
                <wp:inline distT="0" distB="0" distL="114300" distR="114300">
                  <wp:extent cx="4832350" cy="1866900"/>
                  <wp:effectExtent l="0" t="0" r="6350" b="0"/>
                  <wp:docPr id="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pic:cNvPicPr>
                            <a:picLocks noChangeAspect="1"/>
                          </pic:cNvPicPr>
                        </pic:nvPicPr>
                        <pic:blipFill>
                          <a:blip r:embed="rId9"/>
                          <a:stretch>
                            <a:fillRect/>
                          </a:stretch>
                        </pic:blipFill>
                        <pic:spPr>
                          <a:xfrm>
                            <a:off x="0" y="0"/>
                            <a:ext cx="4832350" cy="1866900"/>
                          </a:xfrm>
                          <a:prstGeom prst="rect">
                            <a:avLst/>
                          </a:prstGeom>
                          <a:noFill/>
                          <a:ln>
                            <a:noFill/>
                          </a:ln>
                        </pic:spPr>
                      </pic:pic>
                    </a:graphicData>
                  </a:graphic>
                </wp:inline>
              </w:drawing>
            </w:r>
          </w:p>
          <w:p w14:paraId="1FC07ABD">
            <w:pPr>
              <w:pStyle w:val="46"/>
              <w:bidi w:val="0"/>
              <w:rPr>
                <w:rFonts w:hint="default"/>
                <w:color w:val="auto"/>
                <w:lang w:val="en-US" w:eastAsia="zh-CN"/>
              </w:rPr>
            </w:pPr>
            <w:r>
              <w:rPr>
                <w:rFonts w:hint="eastAsia"/>
                <w:color w:val="auto"/>
                <w:lang w:val="en-US" w:eastAsia="zh-CN"/>
              </w:rPr>
              <w:t>图2-1   项目水平衡一览表</w:t>
            </w:r>
          </w:p>
          <w:p w14:paraId="05C12CF0">
            <w:pPr>
              <w:pStyle w:val="39"/>
              <w:bidi w:val="0"/>
              <w:rPr>
                <w:color w:val="auto"/>
              </w:rPr>
            </w:pPr>
            <w:r>
              <w:rPr>
                <w:rFonts w:hint="eastAsia"/>
                <w:color w:val="auto"/>
              </w:rPr>
              <w:t>③供电</w:t>
            </w:r>
          </w:p>
          <w:p w14:paraId="1ABFCCF8">
            <w:pPr>
              <w:pStyle w:val="39"/>
              <w:bidi w:val="0"/>
              <w:rPr>
                <w:rFonts w:hint="default" w:eastAsia="宋体"/>
                <w:color w:val="auto"/>
                <w:lang w:val="en-US" w:eastAsia="zh-CN"/>
              </w:rPr>
            </w:pPr>
            <w:r>
              <w:rPr>
                <w:rFonts w:hint="eastAsia"/>
                <w:color w:val="auto"/>
                <w:lang w:val="en-US" w:eastAsia="zh-CN"/>
              </w:rPr>
              <w:t>项目用电由市政供电管网提供。</w:t>
            </w:r>
          </w:p>
          <w:p w14:paraId="4CF43DA4">
            <w:pPr>
              <w:pStyle w:val="39"/>
              <w:bidi w:val="0"/>
              <w:rPr>
                <w:rFonts w:hint="eastAsia"/>
                <w:color w:val="auto"/>
                <w:lang w:val="en-US" w:eastAsia="zh-CN"/>
              </w:rPr>
            </w:pPr>
            <w:r>
              <w:rPr>
                <w:rFonts w:hint="eastAsia"/>
                <w:color w:val="auto"/>
                <w:lang w:val="en-US" w:eastAsia="zh-CN"/>
              </w:rPr>
              <w:t>④供暖</w:t>
            </w:r>
          </w:p>
          <w:p w14:paraId="27396A8D">
            <w:pPr>
              <w:pStyle w:val="39"/>
              <w:bidi w:val="0"/>
              <w:rPr>
                <w:rFonts w:hint="default"/>
                <w:color w:val="auto"/>
                <w:lang w:val="en-US" w:eastAsia="zh-CN"/>
              </w:rPr>
            </w:pPr>
            <w:r>
              <w:rPr>
                <w:rFonts w:hint="eastAsia"/>
                <w:color w:val="auto"/>
                <w:lang w:val="en-US" w:eastAsia="zh-CN"/>
              </w:rPr>
              <w:t>采暖用热依托现有工程。现有供暖由集中供热提供。</w:t>
            </w:r>
          </w:p>
          <w:p w14:paraId="64BF8477">
            <w:pPr>
              <w:pStyle w:val="39"/>
              <w:bidi w:val="0"/>
              <w:rPr>
                <w:rFonts w:hint="eastAsia"/>
                <w:color w:val="auto"/>
                <w:lang w:val="en-US" w:eastAsia="zh-CN"/>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lang w:val="en-US" w:eastAsia="zh-CN"/>
              </w:rPr>
              <w:t>依托工程</w:t>
            </w:r>
          </w:p>
          <w:p w14:paraId="7CBE94A7">
            <w:pPr>
              <w:pStyle w:val="39"/>
              <w:bidi w:val="0"/>
              <w:rPr>
                <w:rFonts w:hint="default"/>
                <w:color w:val="auto"/>
                <w:lang w:val="en-US" w:eastAsia="zh-CN"/>
              </w:rPr>
            </w:pPr>
            <w:r>
              <w:rPr>
                <w:rFonts w:hint="eastAsia"/>
                <w:color w:val="auto"/>
                <w:lang w:val="en-US" w:eastAsia="zh-CN"/>
              </w:rPr>
              <w:t>本项目办公楼、生产车间、消防设施均依托现有已建设施，现有厂区为个人已建的标准厂房，供电、供水、供暖、排水等设施较为完善，本项目仅对现有设施、构筑物进行维护，安装本项目所需设备即可进行运营生产，本项目依托现有工程可行。</w:t>
            </w:r>
          </w:p>
          <w:p w14:paraId="3E1090AB">
            <w:pPr>
              <w:pStyle w:val="4"/>
              <w:bidi w:val="0"/>
              <w:rPr>
                <w:rFonts w:hint="default"/>
                <w:color w:val="auto"/>
                <w:lang w:val="en-US" w:eastAsia="zh-CN"/>
              </w:rPr>
            </w:pPr>
            <w:r>
              <w:rPr>
                <w:rFonts w:hint="eastAsia"/>
                <w:color w:val="auto"/>
                <w:lang w:val="en-US" w:eastAsia="zh-CN"/>
              </w:rPr>
              <w:t>2.7平面布置</w:t>
            </w:r>
          </w:p>
          <w:p w14:paraId="581F7358">
            <w:pPr>
              <w:pStyle w:val="39"/>
              <w:bidi w:val="0"/>
              <w:rPr>
                <w:color w:val="auto"/>
              </w:rPr>
            </w:pPr>
          </w:p>
          <w:p w14:paraId="2BF5C75E">
            <w:pPr>
              <w:pStyle w:val="39"/>
              <w:bidi w:val="0"/>
              <w:rPr>
                <w:color w:val="auto"/>
              </w:rPr>
            </w:pPr>
          </w:p>
          <w:p w14:paraId="5D659882">
            <w:pPr>
              <w:pStyle w:val="39"/>
              <w:bidi w:val="0"/>
              <w:rPr>
                <w:color w:val="auto"/>
              </w:rPr>
            </w:pPr>
          </w:p>
          <w:p w14:paraId="1720F3DF">
            <w:pPr>
              <w:pStyle w:val="39"/>
              <w:bidi w:val="0"/>
              <w:rPr>
                <w:color w:val="auto"/>
              </w:rPr>
            </w:pPr>
          </w:p>
          <w:p w14:paraId="583DDC45">
            <w:pPr>
              <w:pStyle w:val="39"/>
              <w:bidi w:val="0"/>
              <w:rPr>
                <w:color w:val="auto"/>
              </w:rPr>
            </w:pPr>
          </w:p>
          <w:p w14:paraId="462AB211">
            <w:pPr>
              <w:pStyle w:val="39"/>
              <w:bidi w:val="0"/>
              <w:rPr>
                <w:color w:val="auto"/>
              </w:rPr>
            </w:pPr>
          </w:p>
          <w:p w14:paraId="417CACCD">
            <w:pPr>
              <w:pStyle w:val="39"/>
              <w:bidi w:val="0"/>
              <w:rPr>
                <w:color w:val="auto"/>
              </w:rPr>
            </w:pPr>
          </w:p>
          <w:p w14:paraId="1DECC64E">
            <w:pPr>
              <w:pStyle w:val="39"/>
              <w:bidi w:val="0"/>
              <w:ind w:left="0" w:leftChars="0" w:firstLine="0" w:firstLineChars="0"/>
              <w:rPr>
                <w:color w:val="auto"/>
              </w:rPr>
            </w:pPr>
            <w:r>
              <w:drawing>
                <wp:inline distT="0" distB="0" distL="114300" distR="114300">
                  <wp:extent cx="5019675" cy="2815590"/>
                  <wp:effectExtent l="0" t="0" r="9525" b="3810"/>
                  <wp:docPr id="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pic:cNvPicPr>
                            <a:picLocks noChangeAspect="1"/>
                          </pic:cNvPicPr>
                        </pic:nvPicPr>
                        <pic:blipFill>
                          <a:blip r:embed="rId10"/>
                          <a:stretch>
                            <a:fillRect/>
                          </a:stretch>
                        </pic:blipFill>
                        <pic:spPr>
                          <a:xfrm>
                            <a:off x="0" y="0"/>
                            <a:ext cx="5019675" cy="2815590"/>
                          </a:xfrm>
                          <a:prstGeom prst="rect">
                            <a:avLst/>
                          </a:prstGeom>
                          <a:noFill/>
                          <a:ln>
                            <a:noFill/>
                          </a:ln>
                        </pic:spPr>
                      </pic:pic>
                    </a:graphicData>
                  </a:graphic>
                </wp:inline>
              </w:drawing>
            </w:r>
          </w:p>
          <w:p w14:paraId="4AD990DA">
            <w:pPr>
              <w:pStyle w:val="46"/>
              <w:bidi w:val="0"/>
              <w:rPr>
                <w:rFonts w:hint="default"/>
                <w:lang w:val="en-US" w:eastAsia="zh-CN"/>
              </w:rPr>
            </w:pPr>
            <w:r>
              <w:rPr>
                <w:rFonts w:hint="eastAsia"/>
                <w:lang w:val="en-US" w:eastAsia="zh-CN"/>
              </w:rPr>
              <w:t>图2-1   平面布置示意图</w:t>
            </w:r>
          </w:p>
          <w:p w14:paraId="00094A09">
            <w:pPr>
              <w:pStyle w:val="39"/>
              <w:bidi w:val="0"/>
              <w:rPr>
                <w:color w:val="auto"/>
              </w:rPr>
            </w:pPr>
            <w:r>
              <w:rPr>
                <w:rFonts w:hint="eastAsia"/>
                <w:color w:val="auto"/>
                <w:lang w:val="en-US" w:eastAsia="zh-CN"/>
              </w:rPr>
              <w:t>强盛再生资源利用位于</w:t>
            </w:r>
            <w:r>
              <w:rPr>
                <w:rFonts w:hint="eastAsia" w:ascii="宋体" w:hAnsi="宋体" w:cs="宋体"/>
                <w:color w:val="auto"/>
                <w:szCs w:val="24"/>
                <w:lang w:val="en-US" w:eastAsia="zh-CN"/>
              </w:rPr>
              <w:t>新疆维吾尔自治区鄯善县东侧，312国道以东，</w:t>
            </w:r>
            <w:r>
              <w:rPr>
                <w:rFonts w:hint="eastAsia"/>
                <w:color w:val="auto"/>
              </w:rPr>
              <w:t>总厂区北侧设置1处出入口，用于物料及职工的出入，生产车间位于厂区</w:t>
            </w:r>
            <w:r>
              <w:rPr>
                <w:rFonts w:hint="eastAsia"/>
                <w:color w:val="auto"/>
                <w:lang w:val="en-US" w:eastAsia="zh-CN"/>
              </w:rPr>
              <w:t>西侧侧，漂浮清洗槽位于生产车间南侧，消防水池位于项目区西南侧，库房位于项目区东侧，办公生活区位于厂区东北侧</w:t>
            </w:r>
            <w:r>
              <w:rPr>
                <w:color w:val="auto"/>
              </w:rPr>
              <w:t>。整个项目平面布置功能分区明确，布局紧凑，工艺线路清晰流畅，交通运输方便便捷，平面布置合理。本项目厂区平面布置图见图2-1</w:t>
            </w:r>
            <w:r>
              <w:rPr>
                <w:rFonts w:hint="eastAsia"/>
                <w:color w:val="auto"/>
                <w:lang w:eastAsia="zh-CN"/>
              </w:rPr>
              <w:t>。</w:t>
            </w:r>
          </w:p>
          <w:p w14:paraId="2916FEF7">
            <w:pPr>
              <w:pStyle w:val="39"/>
              <w:bidi w:val="0"/>
              <w:rPr>
                <w:color w:val="auto"/>
              </w:rPr>
            </w:pPr>
            <w:r>
              <w:rPr>
                <w:color w:val="auto"/>
              </w:rPr>
              <w:t>项目所在地常年主导风向为</w:t>
            </w:r>
            <w:r>
              <w:rPr>
                <w:rFonts w:hint="eastAsia"/>
                <w:color w:val="auto"/>
                <w:lang w:val="en-US" w:eastAsia="zh-CN"/>
              </w:rPr>
              <w:t>东北</w:t>
            </w:r>
            <w:r>
              <w:rPr>
                <w:color w:val="auto"/>
              </w:rPr>
              <w:t>风，厂区主要废气污染源位于厂区</w:t>
            </w:r>
            <w:r>
              <w:rPr>
                <w:rFonts w:hint="eastAsia"/>
                <w:color w:val="auto"/>
                <w:lang w:val="en-US" w:eastAsia="zh-CN"/>
              </w:rPr>
              <w:t>西北侧</w:t>
            </w:r>
            <w:r>
              <w:rPr>
                <w:color w:val="auto"/>
              </w:rPr>
              <w:t>，办公生活区位于主要废气污染物排放区域</w:t>
            </w:r>
            <w:r>
              <w:rPr>
                <w:rFonts w:hint="eastAsia"/>
                <w:color w:val="auto"/>
                <w:lang w:val="en-US" w:eastAsia="zh-CN"/>
              </w:rPr>
              <w:t>侧</w:t>
            </w:r>
            <w:r>
              <w:rPr>
                <w:color w:val="auto"/>
              </w:rPr>
              <w:t>风向，项目生产废气对厂区内办公生活影响较小。</w:t>
            </w:r>
          </w:p>
          <w:p w14:paraId="63E6CD81">
            <w:pPr>
              <w:pStyle w:val="39"/>
              <w:bidi w:val="0"/>
              <w:rPr>
                <w:color w:val="auto"/>
              </w:rPr>
            </w:pPr>
            <w:r>
              <w:rPr>
                <w:color w:val="auto"/>
              </w:rPr>
              <w:t>厂区的各个功能区按照生产工艺有效分布，整体结构形成封闭的原料-生产-成品生产链，各生产环节尽量不交叉，整体布局结构紧凑。</w:t>
            </w:r>
          </w:p>
          <w:p w14:paraId="4712C05E">
            <w:pPr>
              <w:pStyle w:val="39"/>
              <w:bidi w:val="0"/>
              <w:rPr>
                <w:color w:val="auto"/>
              </w:rPr>
            </w:pPr>
            <w:r>
              <w:rPr>
                <w:color w:val="auto"/>
              </w:rPr>
              <w:t>综上，从整个生产平面布置来看实现了生产功能区和生活功能区的分离，符合企业生产的要求；各功能区紧密布置，厂区大门临近园区道路，交通便利。</w:t>
            </w:r>
          </w:p>
          <w:p w14:paraId="6DB8E4DC">
            <w:pPr>
              <w:pStyle w:val="39"/>
              <w:bidi w:val="0"/>
              <w:rPr>
                <w:rFonts w:hint="eastAsia"/>
                <w:color w:val="auto"/>
                <w:lang w:val="en-US" w:eastAsia="zh-CN"/>
              </w:rPr>
            </w:pPr>
            <w:r>
              <w:rPr>
                <w:color w:val="auto"/>
              </w:rPr>
              <w:t>因此，本项目总体平面布置合理。</w:t>
            </w:r>
          </w:p>
          <w:p w14:paraId="70814412">
            <w:pPr>
              <w:pStyle w:val="4"/>
              <w:bidi w:val="0"/>
              <w:rPr>
                <w:rFonts w:hint="eastAsia"/>
                <w:color w:val="auto"/>
                <w:lang w:val="en-US" w:eastAsia="zh-CN"/>
              </w:rPr>
            </w:pPr>
            <w:r>
              <w:rPr>
                <w:rFonts w:hint="eastAsia"/>
                <w:color w:val="auto"/>
                <w:lang w:val="en-US" w:eastAsia="zh-CN"/>
              </w:rPr>
              <w:t>2.8劳动定员</w:t>
            </w:r>
          </w:p>
          <w:p w14:paraId="1CAFE1F6">
            <w:pPr>
              <w:pStyle w:val="39"/>
              <w:bidi w:val="0"/>
              <w:rPr>
                <w:rFonts w:hint="default" w:eastAsia="宋体"/>
                <w:color w:val="auto"/>
                <w:lang w:val="en-US" w:eastAsia="zh-CN"/>
              </w:rPr>
            </w:pPr>
            <w:r>
              <w:rPr>
                <w:color w:val="auto"/>
              </w:rPr>
              <w:t>劳动定员及工作制度：</w:t>
            </w:r>
            <w:r>
              <w:rPr>
                <w:rFonts w:hint="eastAsia"/>
                <w:color w:val="auto"/>
                <w:lang w:val="en-US" w:eastAsia="zh-CN"/>
              </w:rPr>
              <w:t>项目劳动定员为6人，实行三班制，每班工作8小时，全年工作365天。</w:t>
            </w:r>
          </w:p>
          <w:p w14:paraId="1A93BD1C">
            <w:pPr>
              <w:pStyle w:val="39"/>
              <w:bidi w:val="0"/>
              <w:rPr>
                <w:rFonts w:hint="default"/>
                <w:color w:val="auto"/>
                <w:lang w:val="en-US" w:eastAsia="zh-CN"/>
              </w:rPr>
            </w:pPr>
          </w:p>
        </w:tc>
      </w:tr>
      <w:tr w14:paraId="558E42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07" w:hRule="atLeast"/>
          <w:jc w:val="center"/>
        </w:trPr>
        <w:tc>
          <w:tcPr>
            <w:tcW w:w="658" w:type="dxa"/>
            <w:vAlign w:val="center"/>
          </w:tcPr>
          <w:p w14:paraId="2574E394">
            <w:pPr>
              <w:pStyle w:val="27"/>
              <w:adjustRightInd w:val="0"/>
              <w:snapToGrid w:val="0"/>
              <w:spacing w:before="0" w:beforeAutospacing="0" w:after="0" w:afterAutospacing="0"/>
              <w:jc w:val="center"/>
              <w:rPr>
                <w:rFonts w:cs="宋体"/>
                <w:color w:val="auto"/>
                <w:sz w:val="21"/>
                <w:szCs w:val="21"/>
              </w:rPr>
            </w:pPr>
            <w:r>
              <w:rPr>
                <w:rFonts w:hint="eastAsia" w:cs="宋体"/>
                <w:color w:val="auto"/>
                <w:sz w:val="21"/>
                <w:szCs w:val="21"/>
              </w:rPr>
              <w:t>工艺流程和产排污环节</w:t>
            </w:r>
          </w:p>
        </w:tc>
        <w:tc>
          <w:tcPr>
            <w:tcW w:w="8129" w:type="dxa"/>
            <w:vAlign w:val="top"/>
          </w:tcPr>
          <w:p w14:paraId="44718B59">
            <w:pPr>
              <w:pStyle w:val="4"/>
              <w:bidi w:val="0"/>
              <w:rPr>
                <w:rFonts w:hint="eastAsia"/>
                <w:color w:val="auto"/>
              </w:rPr>
            </w:pPr>
            <w:r>
              <w:rPr>
                <w:rFonts w:hint="eastAsia"/>
                <w:color w:val="auto"/>
              </w:rPr>
              <w:t>2.</w:t>
            </w:r>
            <w:r>
              <w:rPr>
                <w:rFonts w:hint="eastAsia"/>
                <w:color w:val="auto"/>
                <w:lang w:val="en-US" w:eastAsia="zh-CN"/>
              </w:rPr>
              <w:t>9</w:t>
            </w:r>
            <w:r>
              <w:rPr>
                <w:rFonts w:hint="eastAsia"/>
                <w:color w:val="auto"/>
              </w:rPr>
              <w:t>工艺流程及简述：</w:t>
            </w:r>
          </w:p>
          <w:p w14:paraId="741AEDFC">
            <w:pPr>
              <w:pStyle w:val="4"/>
              <w:bidi w:val="0"/>
              <w:rPr>
                <w:rFonts w:hint="default"/>
                <w:lang w:val="en-US" w:eastAsia="zh-CN"/>
              </w:rPr>
            </w:pPr>
            <w:r>
              <w:rPr>
                <w:rFonts w:hint="eastAsia"/>
                <w:lang w:val="en-US" w:eastAsia="zh-CN"/>
              </w:rPr>
              <w:t>2.9.1施工期</w:t>
            </w:r>
            <w:r>
              <w:rPr>
                <w:rFonts w:hint="eastAsia"/>
              </w:rPr>
              <w:t>工艺流程</w:t>
            </w:r>
          </w:p>
          <w:p w14:paraId="40800DC4">
            <w:pPr>
              <w:pStyle w:val="38"/>
              <w:rPr>
                <w:color w:val="auto"/>
              </w:rPr>
            </w:pPr>
            <w:r>
              <w:rPr>
                <w:rFonts w:hint="eastAsia"/>
                <w:color w:val="auto"/>
              </w:rPr>
              <w:t>本项目厂房主要租赁</w:t>
            </w:r>
            <w:r>
              <w:rPr>
                <w:rFonts w:hint="eastAsia"/>
                <w:color w:val="auto"/>
                <w:lang w:val="en-US" w:eastAsia="zh-CN"/>
              </w:rPr>
              <w:t>已建厂房，厂房、办公区域已建设完成，</w:t>
            </w:r>
            <w:r>
              <w:rPr>
                <w:rFonts w:hint="eastAsia"/>
                <w:color w:val="auto"/>
              </w:rPr>
              <w:t>本项目施工期主要为设备安装，</w:t>
            </w:r>
            <w:r>
              <w:rPr>
                <w:rFonts w:hint="eastAsia"/>
                <w:color w:val="auto"/>
                <w:lang w:val="en-US" w:eastAsia="zh-CN"/>
              </w:rPr>
              <w:t>安装</w:t>
            </w:r>
            <w:r>
              <w:rPr>
                <w:rFonts w:hint="eastAsia"/>
                <w:color w:val="auto"/>
              </w:rPr>
              <w:t>过程中将产生噪声</w:t>
            </w:r>
            <w:r>
              <w:rPr>
                <w:rFonts w:hint="eastAsia"/>
                <w:color w:val="auto"/>
                <w:lang w:eastAsia="zh-CN"/>
              </w:rPr>
              <w:t>；</w:t>
            </w:r>
            <w:r>
              <w:rPr>
                <w:rFonts w:hint="eastAsia"/>
                <w:color w:val="auto"/>
                <w:lang w:val="en-US" w:eastAsia="zh-CN"/>
              </w:rPr>
              <w:t>以及工作人员产生</w:t>
            </w:r>
            <w:r>
              <w:rPr>
                <w:rFonts w:hint="eastAsia"/>
                <w:color w:val="auto"/>
              </w:rPr>
              <w:t>生活垃圾、生活污水等污染物。</w:t>
            </w:r>
          </w:p>
          <w:p w14:paraId="1F3DC6D3">
            <w:pPr>
              <w:pStyle w:val="4"/>
              <w:bidi w:val="0"/>
              <w:rPr>
                <w:color w:val="auto"/>
              </w:rPr>
            </w:pPr>
            <w:r>
              <w:rPr>
                <w:rFonts w:hint="eastAsia"/>
                <w:color w:val="auto"/>
                <w:lang w:val="en-US" w:eastAsia="zh-CN"/>
              </w:rPr>
              <w:t>2.9.2</w:t>
            </w:r>
            <w:r>
              <w:rPr>
                <w:color w:val="auto"/>
              </w:rPr>
              <w:t>营运期工艺流程及产污环节图</w:t>
            </w:r>
          </w:p>
          <w:p w14:paraId="64F5E023">
            <w:pPr>
              <w:pStyle w:val="39"/>
              <w:bidi w:val="0"/>
              <w:rPr>
                <w:color w:val="auto"/>
              </w:rPr>
            </w:pPr>
            <w:r>
              <w:rPr>
                <w:spacing w:val="-3"/>
                <w:sz w:val="24"/>
                <w:szCs w:val="24"/>
              </w:rPr>
              <w:t>本项目工序可分为五阶段，分别为金属分选、漂浮分选</w:t>
            </w:r>
            <w:r>
              <w:rPr>
                <w:rFonts w:hint="eastAsia"/>
                <w:spacing w:val="-3"/>
                <w:sz w:val="24"/>
                <w:szCs w:val="24"/>
                <w:lang w:eastAsia="zh-CN"/>
              </w:rPr>
              <w:t>（</w:t>
            </w:r>
            <w:r>
              <w:rPr>
                <w:rFonts w:hint="eastAsia"/>
                <w:spacing w:val="-3"/>
                <w:sz w:val="24"/>
                <w:szCs w:val="24"/>
                <w:lang w:val="en-US" w:eastAsia="zh-CN"/>
              </w:rPr>
              <w:t>含风选</w:t>
            </w:r>
            <w:r>
              <w:rPr>
                <w:rFonts w:hint="eastAsia"/>
                <w:spacing w:val="-3"/>
                <w:sz w:val="24"/>
                <w:szCs w:val="24"/>
                <w:lang w:eastAsia="zh-CN"/>
              </w:rPr>
              <w:t>）</w:t>
            </w:r>
            <w:r>
              <w:rPr>
                <w:spacing w:val="-3"/>
                <w:sz w:val="24"/>
                <w:szCs w:val="24"/>
              </w:rPr>
              <w:t>、</w:t>
            </w:r>
            <w:r>
              <w:rPr>
                <w:spacing w:val="-1"/>
                <w:sz w:val="24"/>
                <w:szCs w:val="24"/>
              </w:rPr>
              <w:t>杂金属分选及燃烧棒加工。</w:t>
            </w:r>
          </w:p>
          <w:p w14:paraId="007E7728">
            <w:pPr>
              <w:pStyle w:val="39"/>
              <w:bidi w:val="0"/>
              <w:rPr>
                <w:color w:val="auto"/>
              </w:rPr>
            </w:pPr>
            <w:r>
              <w:rPr>
                <w:color w:val="auto"/>
              </w:rPr>
              <w:t>本项目</w:t>
            </w:r>
            <w:r>
              <w:rPr>
                <w:rFonts w:hint="eastAsia"/>
                <w:color w:val="auto"/>
                <w:lang w:val="en-US" w:eastAsia="zh-CN"/>
              </w:rPr>
              <w:t>主体</w:t>
            </w:r>
            <w:r>
              <w:rPr>
                <w:color w:val="auto"/>
              </w:rPr>
              <w:t>生产工艺流程如图2-</w:t>
            </w:r>
            <w:r>
              <w:rPr>
                <w:rFonts w:hint="eastAsia"/>
                <w:color w:val="auto"/>
                <w:lang w:val="en-US" w:eastAsia="zh-CN"/>
              </w:rPr>
              <w:t>2</w:t>
            </w:r>
            <w:r>
              <w:rPr>
                <w:color w:val="auto"/>
              </w:rPr>
              <w:t>所示。</w:t>
            </w:r>
          </w:p>
          <w:p w14:paraId="5D07AE92">
            <w:pPr>
              <w:pStyle w:val="39"/>
              <w:bidi w:val="0"/>
              <w:ind w:left="0" w:leftChars="0" w:firstLine="0" w:firstLineChars="0"/>
              <w:rPr>
                <w:color w:val="auto"/>
              </w:rPr>
            </w:pPr>
            <w:r>
              <w:drawing>
                <wp:inline distT="0" distB="0" distL="114300" distR="114300">
                  <wp:extent cx="5039995" cy="2722880"/>
                  <wp:effectExtent l="0" t="0" r="8255" b="1270"/>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pic:cNvPicPr>
                        </pic:nvPicPr>
                        <pic:blipFill>
                          <a:blip r:embed="rId11"/>
                          <a:stretch>
                            <a:fillRect/>
                          </a:stretch>
                        </pic:blipFill>
                        <pic:spPr>
                          <a:xfrm>
                            <a:off x="0" y="0"/>
                            <a:ext cx="5039995" cy="2722880"/>
                          </a:xfrm>
                          <a:prstGeom prst="rect">
                            <a:avLst/>
                          </a:prstGeom>
                          <a:noFill/>
                          <a:ln>
                            <a:noFill/>
                          </a:ln>
                        </pic:spPr>
                      </pic:pic>
                    </a:graphicData>
                  </a:graphic>
                </wp:inline>
              </w:drawing>
            </w:r>
          </w:p>
          <w:p w14:paraId="74C0B8D4">
            <w:pPr>
              <w:pStyle w:val="46"/>
              <w:bidi w:val="0"/>
              <w:rPr>
                <w:rFonts w:hint="eastAsia"/>
                <w:color w:val="auto"/>
                <w:lang w:eastAsia="zh-CN"/>
              </w:rPr>
            </w:pPr>
            <w:r>
              <w:rPr>
                <w:color w:val="auto"/>
              </w:rPr>
              <w:t>图2-</w:t>
            </w:r>
            <w:r>
              <w:rPr>
                <w:rFonts w:hint="eastAsia"/>
                <w:color w:val="auto"/>
                <w:lang w:val="en-US" w:eastAsia="zh-CN"/>
              </w:rPr>
              <w:t>2</w:t>
            </w:r>
            <w:r>
              <w:rPr>
                <w:color w:val="auto"/>
              </w:rPr>
              <w:t xml:space="preserve">  </w:t>
            </w:r>
            <w:r>
              <w:rPr>
                <w:rFonts w:hint="eastAsia"/>
                <w:color w:val="auto"/>
                <w:lang w:val="en-US" w:eastAsia="zh-CN"/>
              </w:rPr>
              <w:t xml:space="preserve"> </w:t>
            </w:r>
            <w:r>
              <w:rPr>
                <w:color w:val="auto"/>
              </w:rPr>
              <w:t>营运期</w:t>
            </w:r>
            <w:r>
              <w:rPr>
                <w:rFonts w:hint="eastAsia"/>
                <w:color w:val="auto"/>
                <w:lang w:val="en-US" w:eastAsia="zh-CN"/>
              </w:rPr>
              <w:t>主体</w:t>
            </w:r>
            <w:r>
              <w:rPr>
                <w:color w:val="auto"/>
              </w:rPr>
              <w:t>生产工艺流程</w:t>
            </w:r>
          </w:p>
          <w:p w14:paraId="1035D7A0">
            <w:pPr>
              <w:pStyle w:val="39"/>
              <w:bidi w:val="0"/>
              <w:rPr>
                <w:rFonts w:hint="default" w:eastAsia="宋体"/>
                <w:color w:val="auto"/>
                <w:lang w:val="en-US" w:eastAsia="zh-CN"/>
              </w:rPr>
            </w:pPr>
            <w:r>
              <w:rPr>
                <w:rFonts w:hint="eastAsia"/>
                <w:color w:val="auto"/>
                <w:lang w:val="en-US" w:eastAsia="zh-CN"/>
              </w:rPr>
              <w:t>1、金属分选</w:t>
            </w:r>
          </w:p>
          <w:p w14:paraId="75F7F4F2">
            <w:pPr>
              <w:pStyle w:val="39"/>
              <w:bidi w:val="0"/>
              <w:rPr>
                <w:rFonts w:hint="eastAsia"/>
                <w:color w:val="auto"/>
                <w:lang w:val="en-US" w:eastAsia="zh-CN"/>
              </w:rPr>
            </w:pPr>
            <w:r>
              <w:rPr>
                <w:rFonts w:hint="eastAsia"/>
                <w:color w:val="auto"/>
                <w:lang w:val="en-US" w:eastAsia="zh-CN"/>
              </w:rPr>
              <w:t>金属分选的主要工艺流程如下：</w:t>
            </w:r>
          </w:p>
          <w:p w14:paraId="5A6F43C5">
            <w:pPr>
              <w:pStyle w:val="39"/>
              <w:bidi w:val="0"/>
              <w:rPr>
                <w:rFonts w:hint="eastAsia"/>
                <w:color w:val="auto"/>
                <w:lang w:val="en-US" w:eastAsia="zh-CN"/>
              </w:rPr>
            </w:pPr>
          </w:p>
          <w:p w14:paraId="39208DA1">
            <w:pPr>
              <w:pStyle w:val="39"/>
              <w:bidi w:val="0"/>
              <w:rPr>
                <w:rFonts w:hint="eastAsia"/>
                <w:color w:val="auto"/>
                <w:lang w:val="en-US" w:eastAsia="zh-CN"/>
              </w:rPr>
            </w:pPr>
          </w:p>
          <w:p w14:paraId="2A90AC41">
            <w:pPr>
              <w:pStyle w:val="39"/>
              <w:bidi w:val="0"/>
              <w:rPr>
                <w:rFonts w:hint="eastAsia"/>
                <w:color w:val="auto"/>
                <w:lang w:val="en-US" w:eastAsia="zh-CN"/>
              </w:rPr>
            </w:pPr>
          </w:p>
          <w:p w14:paraId="7176C985">
            <w:pPr>
              <w:pStyle w:val="39"/>
              <w:bidi w:val="0"/>
              <w:rPr>
                <w:rFonts w:hint="eastAsia"/>
                <w:color w:val="auto"/>
                <w:lang w:val="en-US" w:eastAsia="zh-CN"/>
              </w:rPr>
            </w:pPr>
          </w:p>
          <w:p w14:paraId="470B6C93">
            <w:pPr>
              <w:pStyle w:val="39"/>
              <w:bidi w:val="0"/>
              <w:rPr>
                <w:rFonts w:hint="eastAsia"/>
                <w:color w:val="auto"/>
                <w:lang w:val="en-US" w:eastAsia="zh-CN"/>
              </w:rPr>
            </w:pPr>
          </w:p>
          <w:p w14:paraId="1C7EE0C9">
            <w:pPr>
              <w:pStyle w:val="39"/>
              <w:bidi w:val="0"/>
              <w:ind w:left="0" w:leftChars="0" w:firstLine="0" w:firstLineChars="0"/>
              <w:jc w:val="center"/>
            </w:pPr>
            <w:r>
              <w:drawing>
                <wp:inline distT="0" distB="0" distL="114300" distR="114300">
                  <wp:extent cx="5039995" cy="3221355"/>
                  <wp:effectExtent l="0" t="0" r="8255" b="17145"/>
                  <wp:docPr id="8" name="图片 7"/>
                  <wp:cNvGraphicFramePr/>
                  <a:graphic xmlns:a="http://schemas.openxmlformats.org/drawingml/2006/main">
                    <a:graphicData uri="http://schemas.openxmlformats.org/drawingml/2006/picture">
                      <pic:pic xmlns:pic="http://schemas.openxmlformats.org/drawingml/2006/picture">
                        <pic:nvPicPr>
                          <pic:cNvPr id="8" name="图片 7"/>
                          <pic:cNvPicPr preferRelativeResize="0"/>
                        </pic:nvPicPr>
                        <pic:blipFill>
                          <a:blip r:embed="rId12"/>
                          <a:stretch>
                            <a:fillRect/>
                          </a:stretch>
                        </pic:blipFill>
                        <pic:spPr>
                          <a:xfrm>
                            <a:off x="0" y="0"/>
                            <a:ext cx="5039995" cy="3221355"/>
                          </a:xfrm>
                          <a:prstGeom prst="rect">
                            <a:avLst/>
                          </a:prstGeom>
                          <a:noFill/>
                          <a:ln>
                            <a:noFill/>
                          </a:ln>
                        </pic:spPr>
                      </pic:pic>
                    </a:graphicData>
                  </a:graphic>
                </wp:inline>
              </w:drawing>
            </w:r>
          </w:p>
          <w:p w14:paraId="19F792E1">
            <w:pPr>
              <w:pStyle w:val="46"/>
              <w:bidi w:val="0"/>
              <w:rPr>
                <w:rFonts w:hint="default"/>
                <w:lang w:val="en-US" w:eastAsia="zh-CN"/>
              </w:rPr>
            </w:pPr>
            <w:r>
              <w:rPr>
                <w:rFonts w:hint="eastAsia"/>
                <w:lang w:val="en-US" w:eastAsia="zh-CN"/>
              </w:rPr>
              <w:t>图2-3   金属分选工艺流程及产排污示意图</w:t>
            </w:r>
          </w:p>
          <w:p w14:paraId="08164A2D">
            <w:pPr>
              <w:pStyle w:val="39"/>
              <w:bidi w:val="0"/>
              <w:rPr>
                <w:rFonts w:hint="default" w:eastAsia="宋体"/>
                <w:lang w:val="en-US" w:eastAsia="zh-CN"/>
              </w:rPr>
            </w:pPr>
            <w:r>
              <w:rPr>
                <w:rFonts w:hint="eastAsia"/>
                <w:lang w:val="en-US" w:eastAsia="zh-CN"/>
              </w:rPr>
              <w:t>工艺流程简述：</w:t>
            </w:r>
          </w:p>
          <w:p w14:paraId="3D53961B">
            <w:pPr>
              <w:pStyle w:val="39"/>
              <w:bidi w:val="0"/>
            </w:pPr>
            <w:r>
              <w:rPr>
                <w:rFonts w:hint="eastAsia"/>
                <w:lang w:eastAsia="zh-CN"/>
              </w:rPr>
              <w:t>（</w:t>
            </w:r>
            <w:r>
              <w:rPr>
                <w:rFonts w:hint="eastAsia"/>
                <w:lang w:val="en-US" w:eastAsia="zh-CN"/>
              </w:rPr>
              <w:t>1</w:t>
            </w:r>
            <w:r>
              <w:rPr>
                <w:rFonts w:hint="eastAsia"/>
                <w:lang w:eastAsia="zh-CN"/>
              </w:rPr>
              <w:t>）</w:t>
            </w:r>
            <w:r>
              <w:t>上料：将外购的报废汽车（不含危险废物）破碎后的破碎料，由装载机装入上料机中。本工序产污为上料废气G1、噪声N。</w:t>
            </w:r>
          </w:p>
          <w:p w14:paraId="6F9DF87A">
            <w:pPr>
              <w:pStyle w:val="39"/>
              <w:bidi w:val="0"/>
            </w:pPr>
            <w:r>
              <w:rPr>
                <w:rFonts w:hint="eastAsia"/>
                <w:lang w:eastAsia="zh-CN"/>
              </w:rPr>
              <w:t>（</w:t>
            </w:r>
            <w:r>
              <w:rPr>
                <w:rFonts w:hint="eastAsia"/>
                <w:lang w:val="en-US" w:eastAsia="zh-CN"/>
              </w:rPr>
              <w:t>2</w:t>
            </w:r>
            <w:r>
              <w:rPr>
                <w:rFonts w:hint="eastAsia"/>
                <w:lang w:eastAsia="zh-CN"/>
              </w:rPr>
              <w:t>）</w:t>
            </w:r>
            <w:r>
              <w:t>空分：上料机将物料送入空分机中，经空分机进行空分，将物料中较轻的毛絮物分离出来，分离出的絮状物直接用于冷压工序。较重的破碎物进入下步工序。本工序产污为空分废气G2、噪声N。</w:t>
            </w:r>
          </w:p>
          <w:p w14:paraId="5CAB12C9">
            <w:pPr>
              <w:pStyle w:val="39"/>
              <w:bidi w:val="0"/>
            </w:pPr>
            <w:r>
              <w:rPr>
                <w:rFonts w:hint="eastAsia"/>
                <w:lang w:eastAsia="zh-CN"/>
              </w:rPr>
              <w:t>（</w:t>
            </w:r>
            <w:r>
              <w:rPr>
                <w:rFonts w:hint="eastAsia"/>
                <w:lang w:val="en-US" w:eastAsia="zh-CN"/>
              </w:rPr>
              <w:t>3</w:t>
            </w:r>
            <w:r>
              <w:rPr>
                <w:rFonts w:hint="eastAsia"/>
                <w:lang w:eastAsia="zh-CN"/>
              </w:rPr>
              <w:t>）</w:t>
            </w:r>
            <w:r>
              <w:t>筛分：空分后的物料进入筛分机中，根据筛壁上孔径不同，将破碎物筛分出大小物料，筛分出的大小物料分别进入下步工序中不同磁选机中。本工序产污主要为筛分废气G3、噪声N。</w:t>
            </w:r>
          </w:p>
          <w:p w14:paraId="33CC4D17">
            <w:pPr>
              <w:pStyle w:val="39"/>
              <w:bidi w:val="0"/>
            </w:pPr>
            <w:r>
              <w:rPr>
                <w:rFonts w:hint="eastAsia"/>
                <w:lang w:eastAsia="zh-CN"/>
              </w:rPr>
              <w:t>（</w:t>
            </w:r>
            <w:r>
              <w:rPr>
                <w:rFonts w:hint="eastAsia"/>
                <w:lang w:val="en-US" w:eastAsia="zh-CN"/>
              </w:rPr>
              <w:t>4</w:t>
            </w:r>
            <w:r>
              <w:rPr>
                <w:rFonts w:hint="eastAsia"/>
                <w:lang w:eastAsia="zh-CN"/>
              </w:rPr>
              <w:t>）</w:t>
            </w:r>
            <w:r>
              <w:t>磁选：筛分后的物料进入磁选机中，通过磁选中用磁力将物料中的铁分选出来（分拣率约99.9%），即为产品铁，放入成品暂存处待售。剩余物料进入下步工序。</w:t>
            </w:r>
          </w:p>
          <w:p w14:paraId="2F911309">
            <w:pPr>
              <w:pStyle w:val="39"/>
              <w:bidi w:val="0"/>
            </w:pPr>
            <w:r>
              <w:rPr>
                <w:rFonts w:hint="eastAsia"/>
                <w:lang w:eastAsia="zh-CN"/>
              </w:rPr>
              <w:t>（</w:t>
            </w:r>
            <w:r>
              <w:rPr>
                <w:rFonts w:hint="eastAsia"/>
                <w:lang w:val="en-US" w:eastAsia="zh-CN"/>
              </w:rPr>
              <w:t>5</w:t>
            </w:r>
            <w:r>
              <w:rPr>
                <w:rFonts w:hint="eastAsia"/>
                <w:lang w:eastAsia="zh-CN"/>
              </w:rPr>
              <w:t>）</w:t>
            </w:r>
            <w:r>
              <w:t>涡电流分选：经磁选后的物料送入涡电流分选机，利用电磁感应，导体在高频交变磁场里可以产生感应电流，此涡电流产生的磁场与原磁场相反，金属铝、铜则会因相反作用沿输送方向跳出来，实现分离的目的（分拣率约99.9%），铝、铜放入成品暂存处待售。本工序产污主要为噪声N。</w:t>
            </w:r>
          </w:p>
          <w:p w14:paraId="58BDB1AF">
            <w:pPr>
              <w:pStyle w:val="39"/>
              <w:bidi w:val="0"/>
            </w:pPr>
            <w:r>
              <w:rPr>
                <w:rFonts w:hint="eastAsia"/>
                <w:lang w:eastAsia="zh-CN"/>
              </w:rPr>
              <w:t>（</w:t>
            </w:r>
            <w:r>
              <w:rPr>
                <w:rFonts w:hint="eastAsia"/>
                <w:lang w:val="en-US" w:eastAsia="zh-CN"/>
              </w:rPr>
              <w:t>6</w:t>
            </w:r>
            <w:r>
              <w:rPr>
                <w:rFonts w:hint="eastAsia"/>
                <w:lang w:eastAsia="zh-CN"/>
              </w:rPr>
              <w:t>）</w:t>
            </w:r>
            <w:r>
              <w:t>不锈钢分选：涡电流分选后尾料进入不锈钢分选机，不锈钢分选机内置金属探头，当不锈钢物料经过时，会被探测出来，利用高压气流弹射出来，分选出不锈钢放入成品暂存处待售（分拣率约99.9%）。本工序产污主要为噪声N。</w:t>
            </w:r>
          </w:p>
          <w:p w14:paraId="7B2CC284">
            <w:pPr>
              <w:pStyle w:val="39"/>
              <w:bidi w:val="0"/>
              <w:rPr>
                <w:rFonts w:hint="default" w:eastAsia="宋体"/>
                <w:color w:val="auto"/>
                <w:lang w:val="en-US" w:eastAsia="zh-CN"/>
              </w:rPr>
            </w:pPr>
            <w:r>
              <w:rPr>
                <w:rFonts w:hint="eastAsia"/>
                <w:color w:val="auto"/>
                <w:lang w:val="en-US" w:eastAsia="zh-CN"/>
              </w:rPr>
              <w:t>2、漂浮分选</w:t>
            </w:r>
          </w:p>
          <w:p w14:paraId="7C259E2E">
            <w:pPr>
              <w:pStyle w:val="39"/>
              <w:bidi w:val="0"/>
              <w:ind w:left="0" w:leftChars="0" w:firstLine="0" w:firstLineChars="0"/>
              <w:rPr>
                <w:color w:val="auto"/>
              </w:rPr>
            </w:pPr>
            <w:r>
              <w:drawing>
                <wp:inline distT="0" distB="0" distL="114300" distR="114300">
                  <wp:extent cx="5016500" cy="2026920"/>
                  <wp:effectExtent l="0" t="0" r="12700" b="11430"/>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pic:cNvPicPr>
                        </pic:nvPicPr>
                        <pic:blipFill>
                          <a:blip r:embed="rId13"/>
                          <a:stretch>
                            <a:fillRect/>
                          </a:stretch>
                        </pic:blipFill>
                        <pic:spPr>
                          <a:xfrm>
                            <a:off x="0" y="0"/>
                            <a:ext cx="5016500" cy="2026920"/>
                          </a:xfrm>
                          <a:prstGeom prst="rect">
                            <a:avLst/>
                          </a:prstGeom>
                          <a:noFill/>
                          <a:ln>
                            <a:noFill/>
                          </a:ln>
                        </pic:spPr>
                      </pic:pic>
                    </a:graphicData>
                  </a:graphic>
                </wp:inline>
              </w:drawing>
            </w:r>
          </w:p>
          <w:p w14:paraId="3FD9DF33">
            <w:pPr>
              <w:pStyle w:val="46"/>
              <w:bidi w:val="0"/>
              <w:rPr>
                <w:rFonts w:hint="default"/>
                <w:lang w:val="en-US" w:eastAsia="zh-CN"/>
              </w:rPr>
            </w:pPr>
            <w:r>
              <w:rPr>
                <w:rFonts w:hint="eastAsia"/>
                <w:lang w:val="en-US" w:eastAsia="zh-CN"/>
              </w:rPr>
              <w:t>图2-4   漂浮工艺流程及产排污示意图</w:t>
            </w:r>
          </w:p>
          <w:p w14:paraId="77509C04">
            <w:pPr>
              <w:pStyle w:val="39"/>
              <w:bidi w:val="0"/>
              <w:rPr>
                <w:rFonts w:hint="default" w:eastAsia="宋体"/>
                <w:lang w:val="en-US" w:eastAsia="zh-CN"/>
              </w:rPr>
            </w:pPr>
            <w:r>
              <w:rPr>
                <w:rFonts w:hint="eastAsia"/>
                <w:lang w:val="en-US" w:eastAsia="zh-CN"/>
              </w:rPr>
              <w:t>工艺流程简述：</w:t>
            </w:r>
          </w:p>
          <w:p w14:paraId="4B1207F9">
            <w:pPr>
              <w:pStyle w:val="39"/>
              <w:bidi w:val="0"/>
              <w:rPr>
                <w:rFonts w:hint="eastAsia"/>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rPr>
              <w:t>上料：将金属分选后料由装载机送入上料机中待加工。本工序产污主要为上料废气G</w:t>
            </w:r>
            <w:r>
              <w:rPr>
                <w:rFonts w:hint="eastAsia"/>
                <w:color w:val="auto"/>
                <w:lang w:val="en-US" w:eastAsia="zh-CN"/>
              </w:rPr>
              <w:t>4</w:t>
            </w:r>
            <w:r>
              <w:rPr>
                <w:rFonts w:hint="eastAsia"/>
                <w:color w:val="auto"/>
              </w:rPr>
              <w:t>、噪声N。</w:t>
            </w:r>
          </w:p>
          <w:p w14:paraId="6BA2663F">
            <w:pPr>
              <w:pStyle w:val="39"/>
              <w:bidi w:val="0"/>
              <w:rPr>
                <w:rFonts w:hint="eastAsia"/>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破碎：将上料机物料送入破碎机中，经物料破碎成2-3公分物料。本工序产污主要为破碎废气G</w:t>
            </w:r>
            <w:r>
              <w:rPr>
                <w:rFonts w:hint="eastAsia"/>
                <w:color w:val="auto"/>
                <w:lang w:val="en-US" w:eastAsia="zh-CN"/>
              </w:rPr>
              <w:t>5</w:t>
            </w:r>
            <w:r>
              <w:rPr>
                <w:rFonts w:hint="eastAsia"/>
                <w:color w:val="auto"/>
              </w:rPr>
              <w:t>、噪声N。</w:t>
            </w:r>
          </w:p>
          <w:p w14:paraId="59C1A191">
            <w:pPr>
              <w:pStyle w:val="39"/>
              <w:bidi w:val="0"/>
              <w:rPr>
                <w:rFonts w:hint="eastAsia"/>
                <w:color w:val="auto"/>
              </w:rPr>
            </w:pPr>
            <w:r>
              <w:rPr>
                <w:rFonts w:hint="eastAsia"/>
                <w:color w:val="auto"/>
                <w:lang w:eastAsia="zh-CN"/>
              </w:rPr>
              <w:t>（</w:t>
            </w:r>
            <w:r>
              <w:rPr>
                <w:rFonts w:hint="eastAsia"/>
                <w:color w:val="auto"/>
                <w:lang w:val="en-US" w:eastAsia="zh-CN"/>
              </w:rPr>
              <w:t>3</w:t>
            </w:r>
            <w:r>
              <w:rPr>
                <w:rFonts w:hint="eastAsia"/>
                <w:color w:val="auto"/>
                <w:lang w:eastAsia="zh-CN"/>
              </w:rPr>
              <w:t>）</w:t>
            </w:r>
            <w:r>
              <w:rPr>
                <w:rFonts w:hint="eastAsia"/>
                <w:color w:val="auto"/>
              </w:rPr>
              <w:t>漂浮槽：破碎后的物料进入漂浮槽中，一条漂浮分选线内配置两个漂浮槽，第一道漂浮槽中放置清水，将物料中的PP材质的塑料通过浮力分选出来；第二道漂浮槽中放置1.08g/cm</w:t>
            </w:r>
            <w:r>
              <w:rPr>
                <w:rFonts w:hint="eastAsia"/>
                <w:color w:val="auto"/>
                <w:vertAlign w:val="superscript"/>
              </w:rPr>
              <w:t>3</w:t>
            </w:r>
            <w:r>
              <w:rPr>
                <w:rFonts w:hint="eastAsia"/>
                <w:color w:val="auto"/>
              </w:rPr>
              <w:t>的盐水，将物料中ABS、PS等材质的塑料通过浮力分选出来，其中会含有一些橡胶等物。漂浮槽沉料后续进行杂金属分选工序，漂浮槽选出料进入下步工序。本工序产污主要为固废S</w:t>
            </w:r>
            <w:r>
              <w:rPr>
                <w:rFonts w:hint="eastAsia"/>
                <w:color w:val="auto"/>
                <w:lang w:val="en-US" w:eastAsia="zh-CN"/>
              </w:rPr>
              <w:t>1</w:t>
            </w:r>
            <w:r>
              <w:rPr>
                <w:rFonts w:hint="eastAsia"/>
                <w:color w:val="auto"/>
              </w:rPr>
              <w:t>浮油。</w:t>
            </w:r>
          </w:p>
          <w:p w14:paraId="5E70E946">
            <w:pPr>
              <w:pStyle w:val="39"/>
              <w:bidi w:val="0"/>
              <w:rPr>
                <w:rFonts w:hint="eastAsia"/>
                <w:color w:val="auto"/>
              </w:rPr>
            </w:pPr>
            <w:r>
              <w:rPr>
                <w:rFonts w:hint="eastAsia"/>
                <w:color w:val="auto"/>
                <w:lang w:eastAsia="zh-CN"/>
              </w:rPr>
              <w:t>（</w:t>
            </w:r>
            <w:r>
              <w:rPr>
                <w:rFonts w:hint="eastAsia"/>
                <w:color w:val="auto"/>
                <w:lang w:val="en-US" w:eastAsia="zh-CN"/>
              </w:rPr>
              <w:t>4</w:t>
            </w:r>
            <w:r>
              <w:rPr>
                <w:rFonts w:hint="eastAsia"/>
                <w:color w:val="auto"/>
                <w:lang w:eastAsia="zh-CN"/>
              </w:rPr>
              <w:t>）</w:t>
            </w:r>
            <w:r>
              <w:rPr>
                <w:rFonts w:hint="eastAsia"/>
                <w:color w:val="auto"/>
              </w:rPr>
              <w:t>甩干：将漂浮槽选出料进入甩干机中进行甩干，去除带出的部分水分。本工序产污主要为噪声N。</w:t>
            </w:r>
          </w:p>
          <w:p w14:paraId="7AD36B9F">
            <w:pPr>
              <w:pStyle w:val="39"/>
              <w:bidi w:val="0"/>
              <w:rPr>
                <w:color w:val="auto"/>
              </w:rPr>
            </w:pPr>
            <w:r>
              <w:rPr>
                <w:rFonts w:hint="eastAsia"/>
                <w:color w:val="auto"/>
                <w:lang w:eastAsia="zh-CN"/>
              </w:rPr>
              <w:t>（</w:t>
            </w:r>
            <w:r>
              <w:rPr>
                <w:rFonts w:hint="eastAsia"/>
                <w:color w:val="auto"/>
                <w:lang w:val="en-US" w:eastAsia="zh-CN"/>
              </w:rPr>
              <w:t>5</w:t>
            </w:r>
            <w:r>
              <w:rPr>
                <w:rFonts w:hint="eastAsia"/>
                <w:color w:val="auto"/>
                <w:lang w:eastAsia="zh-CN"/>
              </w:rPr>
              <w:t>）</w:t>
            </w:r>
            <w:r>
              <w:rPr>
                <w:rFonts w:hint="eastAsia"/>
                <w:color w:val="auto"/>
              </w:rPr>
              <w:t>风选：将甩干后的物料进行风选，经风选机将部分选出的杂料进行收集后直接进入冷压机中，风选后的物料主要为塑料及橡胶，进入后续塑料橡胶分选工序。本工序产污主要为噪声N。</w:t>
            </w:r>
          </w:p>
          <w:p w14:paraId="230472D1">
            <w:pPr>
              <w:pStyle w:val="39"/>
              <w:bidi w:val="0"/>
              <w:rPr>
                <w:rFonts w:hint="eastAsia" w:eastAsia="宋体"/>
                <w:color w:val="auto"/>
                <w:lang w:val="en-US" w:eastAsia="zh-CN"/>
              </w:rPr>
            </w:pPr>
            <w:r>
              <w:rPr>
                <w:rFonts w:hint="eastAsia"/>
                <w:color w:val="auto"/>
                <w:lang w:val="en-US" w:eastAsia="zh-CN"/>
              </w:rPr>
              <w:t>3、塑料橡胶分选</w:t>
            </w:r>
          </w:p>
          <w:p w14:paraId="427EF946">
            <w:pPr>
              <w:pStyle w:val="39"/>
              <w:bidi w:val="0"/>
              <w:ind w:left="0" w:leftChars="0" w:firstLine="0" w:firstLineChars="0"/>
              <w:rPr>
                <w:color w:val="auto"/>
              </w:rPr>
            </w:pPr>
            <w:r>
              <w:drawing>
                <wp:inline distT="0" distB="0" distL="114300" distR="114300">
                  <wp:extent cx="5039995" cy="968375"/>
                  <wp:effectExtent l="0" t="0" r="8255" b="317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pic:cNvPicPr>
                        </pic:nvPicPr>
                        <pic:blipFill>
                          <a:blip r:embed="rId14"/>
                          <a:stretch>
                            <a:fillRect/>
                          </a:stretch>
                        </pic:blipFill>
                        <pic:spPr>
                          <a:xfrm>
                            <a:off x="0" y="0"/>
                            <a:ext cx="5039995" cy="968375"/>
                          </a:xfrm>
                          <a:prstGeom prst="rect">
                            <a:avLst/>
                          </a:prstGeom>
                          <a:noFill/>
                          <a:ln>
                            <a:noFill/>
                          </a:ln>
                        </pic:spPr>
                      </pic:pic>
                    </a:graphicData>
                  </a:graphic>
                </wp:inline>
              </w:drawing>
            </w:r>
          </w:p>
          <w:p w14:paraId="6BE54E5F">
            <w:pPr>
              <w:pStyle w:val="46"/>
              <w:bidi w:val="0"/>
              <w:rPr>
                <w:rFonts w:hint="default"/>
                <w:lang w:val="en-US" w:eastAsia="zh-CN"/>
              </w:rPr>
            </w:pPr>
            <w:r>
              <w:rPr>
                <w:rFonts w:hint="eastAsia"/>
                <w:lang w:val="en-US" w:eastAsia="zh-CN"/>
              </w:rPr>
              <w:t>图2-5   塑料、橡胶工艺流程及产排污示意图</w:t>
            </w:r>
          </w:p>
          <w:p w14:paraId="792E3D02">
            <w:pPr>
              <w:pStyle w:val="39"/>
              <w:bidi w:val="0"/>
              <w:rPr>
                <w:color w:val="auto"/>
              </w:rPr>
            </w:pPr>
            <w:r>
              <w:rPr>
                <w:rFonts w:hint="eastAsia"/>
                <w:lang w:val="en-US" w:eastAsia="zh-CN"/>
              </w:rPr>
              <w:t>工艺流程简述：</w:t>
            </w:r>
          </w:p>
          <w:p w14:paraId="6B0CCE62">
            <w:pPr>
              <w:pStyle w:val="39"/>
              <w:bidi w:val="0"/>
              <w:rPr>
                <w:rFonts w:hint="eastAsia"/>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rPr>
              <w:t>上料：将风选后的塑料橡胶送入上料机中。本工序产污主要为上料废气G</w:t>
            </w:r>
            <w:r>
              <w:rPr>
                <w:rFonts w:hint="eastAsia"/>
                <w:color w:val="auto"/>
                <w:lang w:val="en-US" w:eastAsia="zh-CN"/>
              </w:rPr>
              <w:t>6</w:t>
            </w:r>
            <w:r>
              <w:rPr>
                <w:rFonts w:hint="eastAsia"/>
                <w:color w:val="auto"/>
              </w:rPr>
              <w:t>、噪声N。</w:t>
            </w:r>
          </w:p>
          <w:p w14:paraId="4C5667EE">
            <w:pPr>
              <w:pStyle w:val="39"/>
              <w:bidi w:val="0"/>
              <w:rPr>
                <w:rFonts w:hint="eastAsia"/>
                <w:color w:val="auto"/>
              </w:rPr>
            </w:pPr>
            <w:r>
              <w:rPr>
                <w:rFonts w:hint="eastAsia"/>
                <w:color w:val="auto"/>
                <w:lang w:eastAsia="zh-CN"/>
              </w:rPr>
              <w:t>（</w:t>
            </w:r>
            <w:r>
              <w:rPr>
                <w:rFonts w:hint="eastAsia"/>
                <w:color w:val="auto"/>
                <w:lang w:val="en-US" w:eastAsia="zh-CN"/>
              </w:rPr>
              <w:t>2）</w:t>
            </w:r>
            <w:r>
              <w:rPr>
                <w:rFonts w:hint="eastAsia"/>
                <w:color w:val="auto"/>
              </w:rPr>
              <w:t>硅胶机：硅胶机工作原理是利用一种弹性和摩擦力把塑料中的一些橡胶分离出去，得到成品橡胶，放入成品暂存处待售。</w:t>
            </w:r>
          </w:p>
          <w:p w14:paraId="63705432">
            <w:pPr>
              <w:pStyle w:val="39"/>
              <w:bidi w:val="0"/>
              <w:rPr>
                <w:rFonts w:hint="eastAsia"/>
                <w:color w:val="auto"/>
              </w:rPr>
            </w:pPr>
            <w:r>
              <w:rPr>
                <w:rFonts w:hint="eastAsia"/>
                <w:color w:val="auto"/>
                <w:lang w:eastAsia="zh-CN"/>
              </w:rPr>
              <w:t>（</w:t>
            </w:r>
            <w:r>
              <w:rPr>
                <w:rFonts w:hint="eastAsia"/>
                <w:color w:val="auto"/>
                <w:lang w:val="en-US" w:eastAsia="zh-CN"/>
              </w:rPr>
              <w:t>3</w:t>
            </w:r>
            <w:r>
              <w:rPr>
                <w:rFonts w:hint="eastAsia"/>
                <w:color w:val="auto"/>
                <w:lang w:eastAsia="zh-CN"/>
              </w:rPr>
              <w:t>）</w:t>
            </w:r>
            <w:r>
              <w:rPr>
                <w:rFonts w:hint="eastAsia"/>
                <w:color w:val="auto"/>
              </w:rPr>
              <w:t>静电分选机：硅胶机选完的物料，通过静电分选机把塑料材质分开，静电分选机是利用不同品种的塑料加热摩擦产生静电的差异，可以将类别不同的混合塑料分离出来。</w:t>
            </w:r>
          </w:p>
          <w:p w14:paraId="433711F7">
            <w:pPr>
              <w:pStyle w:val="39"/>
              <w:bidi w:val="0"/>
              <w:rPr>
                <w:color w:val="auto"/>
              </w:rPr>
            </w:pPr>
            <w:r>
              <w:rPr>
                <w:rFonts w:hint="eastAsia"/>
                <w:color w:val="auto"/>
                <w:lang w:eastAsia="zh-CN"/>
              </w:rPr>
              <w:t>（</w:t>
            </w:r>
            <w:r>
              <w:rPr>
                <w:rFonts w:hint="eastAsia"/>
                <w:color w:val="auto"/>
                <w:lang w:val="en-US" w:eastAsia="zh-CN"/>
              </w:rPr>
              <w:t>4</w:t>
            </w:r>
            <w:r>
              <w:rPr>
                <w:rFonts w:hint="eastAsia"/>
                <w:color w:val="auto"/>
                <w:lang w:eastAsia="zh-CN"/>
              </w:rPr>
              <w:t>）</w:t>
            </w:r>
            <w:r>
              <w:rPr>
                <w:rFonts w:hint="eastAsia"/>
                <w:color w:val="auto"/>
              </w:rPr>
              <w:t>色选机：静电分选后的塑料进入色选机中，将不同颜色的塑料分选开来，得到成品塑料，放入成品暂存处待售。</w:t>
            </w:r>
          </w:p>
          <w:p w14:paraId="6668EAA0">
            <w:pPr>
              <w:pStyle w:val="39"/>
              <w:bidi w:val="0"/>
              <w:rPr>
                <w:rFonts w:hint="eastAsia"/>
                <w:color w:val="auto"/>
                <w:lang w:val="en-US" w:eastAsia="zh-CN"/>
              </w:rPr>
            </w:pPr>
            <w:r>
              <w:rPr>
                <w:rFonts w:hint="eastAsia"/>
                <w:color w:val="auto"/>
                <w:lang w:val="en-US" w:eastAsia="zh-CN"/>
              </w:rPr>
              <w:t>4、杂金属分选</w:t>
            </w:r>
          </w:p>
          <w:p w14:paraId="3677BB8C">
            <w:pPr>
              <w:pStyle w:val="39"/>
              <w:bidi w:val="0"/>
              <w:ind w:left="0" w:leftChars="0" w:firstLine="0" w:firstLineChars="0"/>
              <w:rPr>
                <w:rFonts w:hint="default"/>
                <w:color w:val="auto"/>
                <w:lang w:val="en-US" w:eastAsia="zh-CN"/>
              </w:rPr>
            </w:pPr>
            <w:r>
              <w:drawing>
                <wp:inline distT="0" distB="0" distL="114300" distR="114300">
                  <wp:extent cx="5039995" cy="1257300"/>
                  <wp:effectExtent l="0" t="0" r="8255" b="0"/>
                  <wp:docPr id="2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3"/>
                          <pic:cNvPicPr>
                            <a:picLocks noChangeAspect="1"/>
                          </pic:cNvPicPr>
                        </pic:nvPicPr>
                        <pic:blipFill>
                          <a:blip r:embed="rId15"/>
                          <a:stretch>
                            <a:fillRect/>
                          </a:stretch>
                        </pic:blipFill>
                        <pic:spPr>
                          <a:xfrm>
                            <a:off x="0" y="0"/>
                            <a:ext cx="5039995" cy="1257300"/>
                          </a:xfrm>
                          <a:prstGeom prst="rect">
                            <a:avLst/>
                          </a:prstGeom>
                          <a:noFill/>
                          <a:ln>
                            <a:noFill/>
                          </a:ln>
                        </pic:spPr>
                      </pic:pic>
                    </a:graphicData>
                  </a:graphic>
                </wp:inline>
              </w:drawing>
            </w:r>
          </w:p>
          <w:p w14:paraId="0E400464">
            <w:pPr>
              <w:pStyle w:val="46"/>
              <w:bidi w:val="0"/>
              <w:rPr>
                <w:rFonts w:hint="default"/>
                <w:lang w:val="en-US" w:eastAsia="zh-CN"/>
              </w:rPr>
            </w:pPr>
            <w:r>
              <w:rPr>
                <w:rFonts w:hint="eastAsia"/>
                <w:lang w:val="en-US" w:eastAsia="zh-CN"/>
              </w:rPr>
              <w:t>图2-6   杂金属工艺流程及产排污示意图</w:t>
            </w:r>
          </w:p>
          <w:p w14:paraId="17CC83BC">
            <w:pPr>
              <w:pStyle w:val="39"/>
              <w:bidi w:val="0"/>
              <w:rPr>
                <w:color w:val="auto"/>
              </w:rPr>
            </w:pPr>
            <w:r>
              <w:rPr>
                <w:rFonts w:hint="eastAsia"/>
                <w:lang w:val="en-US" w:eastAsia="zh-CN"/>
              </w:rPr>
              <w:t>工艺流程简述：</w:t>
            </w:r>
          </w:p>
          <w:p w14:paraId="4F9B0B95">
            <w:pPr>
              <w:pStyle w:val="39"/>
              <w:bidi w:val="0"/>
            </w:pPr>
            <w:r>
              <w:rPr>
                <w:rFonts w:hint="eastAsia"/>
                <w:lang w:eastAsia="zh-CN"/>
              </w:rPr>
              <w:t>（</w:t>
            </w:r>
            <w:r>
              <w:rPr>
                <w:rFonts w:hint="eastAsia"/>
                <w:lang w:val="en-US" w:eastAsia="zh-CN"/>
              </w:rPr>
              <w:t>1</w:t>
            </w:r>
            <w:r>
              <w:rPr>
                <w:rFonts w:hint="eastAsia"/>
                <w:lang w:eastAsia="zh-CN"/>
              </w:rPr>
              <w:t>）</w:t>
            </w:r>
            <w:r>
              <w:t>上料：将漂浮槽沉料进入上料机中。本工序产污主要为噪声N。</w:t>
            </w:r>
          </w:p>
          <w:p w14:paraId="07E8D3C5">
            <w:pPr>
              <w:pStyle w:val="39"/>
              <w:bidi w:val="0"/>
            </w:pPr>
            <w:r>
              <w:rPr>
                <w:rFonts w:hint="eastAsia"/>
                <w:lang w:eastAsia="zh-CN"/>
              </w:rPr>
              <w:t>（</w:t>
            </w:r>
            <w:r>
              <w:rPr>
                <w:rFonts w:hint="eastAsia"/>
                <w:lang w:val="en-US" w:eastAsia="zh-CN"/>
              </w:rPr>
              <w:t>2</w:t>
            </w:r>
            <w:r>
              <w:rPr>
                <w:rFonts w:hint="eastAsia"/>
                <w:lang w:eastAsia="zh-CN"/>
              </w:rPr>
              <w:t>）</w:t>
            </w:r>
            <w:r>
              <w:t>破碎：进入摇床前物料需再次进行破碎。破碎工序产污主要为噪声N。</w:t>
            </w:r>
          </w:p>
          <w:p w14:paraId="3957CE96">
            <w:pPr>
              <w:pStyle w:val="39"/>
              <w:bidi w:val="0"/>
            </w:pPr>
            <w:r>
              <w:rPr>
                <w:rFonts w:hint="eastAsia"/>
                <w:lang w:eastAsia="zh-CN"/>
              </w:rPr>
              <w:t>（</w:t>
            </w:r>
            <w:r>
              <w:rPr>
                <w:rFonts w:hint="eastAsia"/>
                <w:lang w:val="en-US" w:eastAsia="zh-CN"/>
              </w:rPr>
              <w:t>3</w:t>
            </w:r>
            <w:r>
              <w:rPr>
                <w:rFonts w:hint="eastAsia"/>
                <w:lang w:eastAsia="zh-CN"/>
              </w:rPr>
              <w:t>）</w:t>
            </w:r>
            <w:r>
              <w:t>摇床：破碎后的物料进入摇床中，将物料中的细小铁、铜、铝及不锈钢等分选出，从而得到成品杂金属，放入成品暂存处待售。本工序产污主要为噪声N。</w:t>
            </w:r>
          </w:p>
          <w:p w14:paraId="27FDB233">
            <w:pPr>
              <w:pStyle w:val="39"/>
              <w:bidi w:val="0"/>
            </w:pPr>
            <w:r>
              <w:rPr>
                <w:rFonts w:hint="eastAsia"/>
                <w:lang w:eastAsia="zh-CN"/>
              </w:rPr>
              <w:t>（</w:t>
            </w:r>
            <w:r>
              <w:rPr>
                <w:rFonts w:hint="eastAsia"/>
                <w:lang w:val="en-US" w:eastAsia="zh-CN"/>
              </w:rPr>
              <w:t>4</w:t>
            </w:r>
            <w:r>
              <w:rPr>
                <w:rFonts w:hint="eastAsia"/>
                <w:lang w:eastAsia="zh-CN"/>
              </w:rPr>
              <w:t>）</w:t>
            </w:r>
            <w:r>
              <w:t>气浮：摇床配备一套循环沉淀池，将物料中含有的泥土等物质清洗出来，通过定期向水池内加PAC/PAM高效絮凝剂，将泥土等物质分离出来，压滤成污泥。本工序产生的主要污染物为</w:t>
            </w:r>
            <w:r>
              <w:rPr>
                <w:rFonts w:hint="eastAsia"/>
                <w:lang w:val="en-US" w:eastAsia="zh-CN"/>
              </w:rPr>
              <w:t>S2</w:t>
            </w:r>
            <w:r>
              <w:t>污泥。</w:t>
            </w:r>
          </w:p>
          <w:p w14:paraId="4A528287">
            <w:pPr>
              <w:pStyle w:val="39"/>
              <w:bidi w:val="0"/>
              <w:rPr>
                <w:rFonts w:hint="eastAsia"/>
                <w:lang w:val="en-US" w:eastAsia="zh-CN"/>
              </w:rPr>
            </w:pPr>
            <w:r>
              <w:rPr>
                <w:rFonts w:hint="eastAsia"/>
                <w:lang w:val="en-US" w:eastAsia="zh-CN"/>
              </w:rPr>
              <w:t>5、燃烧棒</w:t>
            </w:r>
          </w:p>
          <w:p w14:paraId="50BD7C8C">
            <w:pPr>
              <w:pStyle w:val="39"/>
              <w:bidi w:val="0"/>
              <w:ind w:left="0" w:leftChars="0" w:firstLine="0" w:firstLineChars="0"/>
              <w:rPr>
                <w:rFonts w:hint="default"/>
                <w:lang w:val="en-US" w:eastAsia="zh-CN"/>
              </w:rPr>
            </w:pPr>
            <w:r>
              <w:drawing>
                <wp:inline distT="0" distB="0" distL="114300" distR="114300">
                  <wp:extent cx="5020945" cy="1303655"/>
                  <wp:effectExtent l="0" t="0" r="8255" b="10795"/>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6"/>
                          <a:stretch>
                            <a:fillRect/>
                          </a:stretch>
                        </pic:blipFill>
                        <pic:spPr>
                          <a:xfrm>
                            <a:off x="0" y="0"/>
                            <a:ext cx="5020945" cy="1303655"/>
                          </a:xfrm>
                          <a:prstGeom prst="rect">
                            <a:avLst/>
                          </a:prstGeom>
                          <a:noFill/>
                          <a:ln>
                            <a:noFill/>
                          </a:ln>
                        </pic:spPr>
                      </pic:pic>
                    </a:graphicData>
                  </a:graphic>
                </wp:inline>
              </w:drawing>
            </w:r>
          </w:p>
          <w:p w14:paraId="54941018">
            <w:pPr>
              <w:pStyle w:val="46"/>
              <w:bidi w:val="0"/>
              <w:rPr>
                <w:rFonts w:hint="default"/>
                <w:lang w:val="en-US" w:eastAsia="zh-CN"/>
              </w:rPr>
            </w:pPr>
            <w:r>
              <w:rPr>
                <w:rFonts w:hint="eastAsia"/>
                <w:lang w:val="en-US" w:eastAsia="zh-CN"/>
              </w:rPr>
              <w:t>图2-7   燃烧棒工艺流程及产排污示意图</w:t>
            </w:r>
          </w:p>
          <w:p w14:paraId="2AEF977B">
            <w:pPr>
              <w:pStyle w:val="39"/>
              <w:bidi w:val="0"/>
              <w:rPr>
                <w:rFonts w:hint="eastAsia"/>
              </w:rPr>
            </w:pPr>
            <w:r>
              <w:rPr>
                <w:rFonts w:hint="eastAsia"/>
                <w:lang w:val="en-US" w:eastAsia="zh-CN"/>
              </w:rPr>
              <w:t>工艺流程简述：</w:t>
            </w:r>
          </w:p>
          <w:p w14:paraId="4365AD73">
            <w:pPr>
              <w:pStyle w:val="39"/>
              <w:bidi w:val="0"/>
              <w:rPr>
                <w:rFonts w:hint="eastAsia"/>
              </w:rPr>
            </w:pPr>
            <w:r>
              <w:rPr>
                <w:rFonts w:hint="eastAsia"/>
              </w:rPr>
              <w:t>1、上料：将空分出的絮状物及风选出的杂物运至上料机中，此工序产污主要为噪声N。</w:t>
            </w:r>
          </w:p>
          <w:p w14:paraId="0EA05034">
            <w:pPr>
              <w:pStyle w:val="39"/>
              <w:bidi w:val="0"/>
              <w:rPr>
                <w:rFonts w:hint="eastAsia"/>
              </w:rPr>
            </w:pPr>
            <w:r>
              <w:rPr>
                <w:rFonts w:hint="eastAsia"/>
              </w:rPr>
              <w:t>2、烘干：上料机将物料送入烘干机中，烘干机采用电加热方式，去除物料中所带水分。烘干气流速度较慢，由烘干机出口处散逸排放。</w:t>
            </w:r>
          </w:p>
          <w:p w14:paraId="0FB2E6B7">
            <w:pPr>
              <w:pStyle w:val="39"/>
              <w:bidi w:val="0"/>
            </w:pPr>
            <w:r>
              <w:rPr>
                <w:rFonts w:hint="eastAsia"/>
              </w:rPr>
              <w:t>3、冷压：将烘干后的物料由冷压机冷压，冷压机工序无需加热，常温下挤压成型，即为燃烧棒，放入成品暂存处待售</w:t>
            </w:r>
          </w:p>
          <w:p w14:paraId="53ACDEA7">
            <w:pPr>
              <w:pStyle w:val="4"/>
              <w:bidi w:val="0"/>
              <w:rPr>
                <w:rFonts w:hint="eastAsia"/>
                <w:lang w:val="en-US" w:eastAsia="zh-CN"/>
              </w:rPr>
            </w:pPr>
            <w:r>
              <w:rPr>
                <w:rFonts w:hint="eastAsia"/>
                <w:lang w:val="en-US" w:eastAsia="zh-CN"/>
              </w:rPr>
              <w:t>2.9.3运营期产污环节</w:t>
            </w:r>
          </w:p>
          <w:p w14:paraId="4754EC42">
            <w:pPr>
              <w:pStyle w:val="39"/>
              <w:bidi w:val="0"/>
            </w:pPr>
            <w:r>
              <w:t>1、废水</w:t>
            </w:r>
          </w:p>
          <w:p w14:paraId="7D49ECE6">
            <w:pPr>
              <w:pStyle w:val="39"/>
              <w:bidi w:val="0"/>
            </w:pPr>
            <w:r>
              <w:t>本项目漂浮槽用水及循环沉淀池用水循环使用，只补充消耗量，漂浮槽补充水及循环沉淀池补充水全部损耗，项目无生产废水排放。项目废水主要为生活废水。</w:t>
            </w:r>
          </w:p>
          <w:p w14:paraId="54701831">
            <w:pPr>
              <w:pStyle w:val="39"/>
              <w:bidi w:val="0"/>
            </w:pPr>
            <w:r>
              <w:t>2、废气</w:t>
            </w:r>
          </w:p>
          <w:p w14:paraId="3F70EE24">
            <w:pPr>
              <w:pStyle w:val="39"/>
              <w:bidi w:val="0"/>
            </w:pPr>
            <w:r>
              <w:t>金属分选线中上料、空分、筛分工序会产生废气，主要污染物为颗粒物</w:t>
            </w:r>
            <w:r>
              <w:rPr>
                <w:rFonts w:hint="eastAsia"/>
                <w:lang w:eastAsia="zh-CN"/>
              </w:rPr>
              <w:t>；</w:t>
            </w:r>
            <w:r>
              <w:t>漂浮分选线中上料、破碎阶段会产生废气，主要污染物为颗粒物；塑料橡胶分选线中上料工序及杂金属分选线中破碎工序会产生废气，主要污染物为颗粒物。</w:t>
            </w:r>
          </w:p>
          <w:p w14:paraId="1155311F">
            <w:pPr>
              <w:pStyle w:val="39"/>
              <w:bidi w:val="0"/>
            </w:pPr>
            <w:r>
              <w:t>3、噪声</w:t>
            </w:r>
          </w:p>
          <w:p w14:paraId="646A2A85">
            <w:pPr>
              <w:pStyle w:val="39"/>
              <w:bidi w:val="0"/>
            </w:pPr>
            <w:r>
              <w:t>本项目营运期噪声主要为各类滚筛、破碎机、空分机、风机等设备运行产生的噪声。</w:t>
            </w:r>
          </w:p>
          <w:p w14:paraId="5BE40C72">
            <w:pPr>
              <w:pStyle w:val="39"/>
              <w:bidi w:val="0"/>
            </w:pPr>
            <w:r>
              <w:t>4、固体废物</w:t>
            </w:r>
          </w:p>
          <w:p w14:paraId="70B76785">
            <w:pPr>
              <w:pStyle w:val="39"/>
              <w:bidi w:val="0"/>
            </w:pPr>
            <w:r>
              <w:t>本项目固体废物主要包括布袋除尘器收集到的粉尘及废布袋，漂浮工序产生的浮油，原料使用产生的废包装袋，项目气浮后压滤产生的污泥，设备运行保养产生的废矿物油、废油桶，员工生活产生的生活垃圾。</w:t>
            </w:r>
          </w:p>
          <w:p w14:paraId="0CF75DB3">
            <w:pPr>
              <w:pStyle w:val="39"/>
              <w:bidi w:val="0"/>
              <w:rPr>
                <w:rFonts w:hint="eastAsia"/>
                <w:lang w:val="en-US" w:eastAsia="zh-CN"/>
              </w:rPr>
            </w:pPr>
            <w:r>
              <w:rPr>
                <w:rFonts w:hint="eastAsia"/>
                <w:lang w:val="en-US" w:eastAsia="zh-CN"/>
              </w:rPr>
              <w:t>项目产污环节分析一览表如下：</w:t>
            </w:r>
          </w:p>
          <w:p w14:paraId="3A6AA460">
            <w:pPr>
              <w:pStyle w:val="46"/>
              <w:bidi w:val="0"/>
              <w:rPr>
                <w:color w:val="auto"/>
              </w:rPr>
            </w:pPr>
            <w:r>
              <w:rPr>
                <w:color w:val="auto"/>
              </w:rPr>
              <w:t>表</w:t>
            </w:r>
            <w:r>
              <w:rPr>
                <w:rFonts w:hint="eastAsia"/>
                <w:color w:val="auto"/>
                <w:lang w:val="en-US" w:eastAsia="zh-CN"/>
              </w:rPr>
              <w:t>2-7</w:t>
            </w:r>
            <w:r>
              <w:rPr>
                <w:color w:val="auto"/>
              </w:rPr>
              <w:t xml:space="preserve">   工程产污点分析一览表</w:t>
            </w:r>
          </w:p>
          <w:tbl>
            <w:tblPr>
              <w:tblStyle w:val="114"/>
              <w:tblW w:w="79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707"/>
              <w:gridCol w:w="596"/>
              <w:gridCol w:w="959"/>
              <w:gridCol w:w="1174"/>
              <w:gridCol w:w="1201"/>
              <w:gridCol w:w="1043"/>
              <w:gridCol w:w="688"/>
              <w:gridCol w:w="883"/>
            </w:tblGrid>
            <w:tr w14:paraId="6A2E6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61" w:type="dxa"/>
                  <w:vMerge w:val="restart"/>
                  <w:tcBorders>
                    <w:tl2br w:val="nil"/>
                    <w:tr2bl w:val="nil"/>
                  </w:tcBorders>
                  <w:vAlign w:val="center"/>
                </w:tcPr>
                <w:p w14:paraId="750109D5">
                  <w:pPr>
                    <w:pStyle w:val="51"/>
                    <w:bidi w:val="0"/>
                    <w:jc w:val="center"/>
                    <w:rPr>
                      <w:rFonts w:hint="default" w:eastAsia="宋体"/>
                      <w:color w:val="auto"/>
                      <w:lang w:val="en-US" w:eastAsia="zh-CN"/>
                    </w:rPr>
                  </w:pPr>
                  <w:r>
                    <w:rPr>
                      <w:rFonts w:hint="eastAsia"/>
                      <w:color w:val="auto"/>
                      <w:lang w:val="en-US" w:eastAsia="zh-CN"/>
                    </w:rPr>
                    <w:t>产污工段</w:t>
                  </w:r>
                </w:p>
              </w:tc>
              <w:tc>
                <w:tcPr>
                  <w:tcW w:w="682" w:type="dxa"/>
                  <w:vMerge w:val="restart"/>
                  <w:tcBorders>
                    <w:tl2br w:val="nil"/>
                    <w:tr2bl w:val="nil"/>
                  </w:tcBorders>
                  <w:vAlign w:val="center"/>
                </w:tcPr>
                <w:p w14:paraId="33769870">
                  <w:pPr>
                    <w:pStyle w:val="51"/>
                    <w:bidi w:val="0"/>
                    <w:jc w:val="center"/>
                    <w:rPr>
                      <w:rFonts w:hint="eastAsia" w:eastAsia="宋体"/>
                      <w:color w:val="auto"/>
                      <w:lang w:val="en-US" w:eastAsia="zh-CN"/>
                    </w:rPr>
                  </w:pPr>
                  <w:r>
                    <w:rPr>
                      <w:color w:val="auto"/>
                    </w:rPr>
                    <w:t>产污</w:t>
                  </w:r>
                  <w:r>
                    <w:rPr>
                      <w:rFonts w:hint="eastAsia"/>
                      <w:color w:val="auto"/>
                      <w:lang w:val="en-US" w:eastAsia="zh-CN"/>
                    </w:rPr>
                    <w:t>工序</w:t>
                  </w:r>
                </w:p>
              </w:tc>
              <w:tc>
                <w:tcPr>
                  <w:tcW w:w="1500" w:type="dxa"/>
                  <w:gridSpan w:val="2"/>
                  <w:tcBorders>
                    <w:tl2br w:val="nil"/>
                    <w:tr2bl w:val="nil"/>
                  </w:tcBorders>
                  <w:vAlign w:val="center"/>
                </w:tcPr>
                <w:p w14:paraId="090F986A">
                  <w:pPr>
                    <w:pStyle w:val="51"/>
                    <w:bidi w:val="0"/>
                    <w:jc w:val="center"/>
                    <w:rPr>
                      <w:color w:val="auto"/>
                    </w:rPr>
                  </w:pPr>
                  <w:r>
                    <w:rPr>
                      <w:color w:val="auto"/>
                    </w:rPr>
                    <w:t>废气</w:t>
                  </w:r>
                </w:p>
              </w:tc>
              <w:tc>
                <w:tcPr>
                  <w:tcW w:w="2290" w:type="dxa"/>
                  <w:gridSpan w:val="2"/>
                  <w:tcBorders>
                    <w:tl2br w:val="nil"/>
                    <w:tr2bl w:val="nil"/>
                  </w:tcBorders>
                  <w:vAlign w:val="center"/>
                </w:tcPr>
                <w:p w14:paraId="30500C51">
                  <w:pPr>
                    <w:pStyle w:val="51"/>
                    <w:bidi w:val="0"/>
                    <w:jc w:val="center"/>
                    <w:rPr>
                      <w:color w:val="auto"/>
                    </w:rPr>
                  </w:pPr>
                  <w:r>
                    <w:rPr>
                      <w:color w:val="auto"/>
                    </w:rPr>
                    <w:t>固体废物</w:t>
                  </w:r>
                </w:p>
              </w:tc>
              <w:tc>
                <w:tcPr>
                  <w:tcW w:w="1006" w:type="dxa"/>
                  <w:tcBorders>
                    <w:tl2br w:val="nil"/>
                    <w:tr2bl w:val="nil"/>
                  </w:tcBorders>
                  <w:vAlign w:val="center"/>
                </w:tcPr>
                <w:p w14:paraId="0A5C60C3">
                  <w:pPr>
                    <w:pStyle w:val="51"/>
                    <w:bidi w:val="0"/>
                    <w:jc w:val="center"/>
                    <w:rPr>
                      <w:color w:val="auto"/>
                    </w:rPr>
                  </w:pPr>
                  <w:r>
                    <w:rPr>
                      <w:color w:val="auto"/>
                    </w:rPr>
                    <w:t>噪声</w:t>
                  </w:r>
                </w:p>
              </w:tc>
              <w:tc>
                <w:tcPr>
                  <w:tcW w:w="1514" w:type="dxa"/>
                  <w:gridSpan w:val="2"/>
                  <w:tcBorders>
                    <w:tl2br w:val="nil"/>
                    <w:tr2bl w:val="nil"/>
                  </w:tcBorders>
                  <w:vAlign w:val="center"/>
                </w:tcPr>
                <w:p w14:paraId="0C446909">
                  <w:pPr>
                    <w:pStyle w:val="51"/>
                    <w:bidi w:val="0"/>
                    <w:jc w:val="center"/>
                    <w:rPr>
                      <w:color w:val="auto"/>
                    </w:rPr>
                  </w:pPr>
                  <w:r>
                    <w:rPr>
                      <w:color w:val="auto"/>
                    </w:rPr>
                    <w:t>废水</w:t>
                  </w:r>
                </w:p>
              </w:tc>
            </w:tr>
            <w:tr w14:paraId="2BF4C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61" w:type="dxa"/>
                  <w:vMerge w:val="continue"/>
                  <w:tcBorders>
                    <w:tl2br w:val="nil"/>
                    <w:tr2bl w:val="nil"/>
                  </w:tcBorders>
                  <w:vAlign w:val="center"/>
                </w:tcPr>
                <w:p w14:paraId="43BAFB95">
                  <w:pPr>
                    <w:pStyle w:val="51"/>
                    <w:bidi w:val="0"/>
                    <w:jc w:val="center"/>
                    <w:rPr>
                      <w:color w:val="auto"/>
                    </w:rPr>
                  </w:pPr>
                </w:p>
              </w:tc>
              <w:tc>
                <w:tcPr>
                  <w:tcW w:w="682" w:type="dxa"/>
                  <w:vMerge w:val="continue"/>
                  <w:tcBorders>
                    <w:tl2br w:val="nil"/>
                    <w:tr2bl w:val="nil"/>
                  </w:tcBorders>
                  <w:vAlign w:val="center"/>
                </w:tcPr>
                <w:p w14:paraId="025ED3E0">
                  <w:pPr>
                    <w:pStyle w:val="51"/>
                    <w:bidi w:val="0"/>
                    <w:jc w:val="center"/>
                    <w:rPr>
                      <w:color w:val="auto"/>
                    </w:rPr>
                  </w:pPr>
                </w:p>
              </w:tc>
              <w:tc>
                <w:tcPr>
                  <w:tcW w:w="575" w:type="dxa"/>
                  <w:tcBorders>
                    <w:tl2br w:val="nil"/>
                    <w:tr2bl w:val="nil"/>
                  </w:tcBorders>
                  <w:vAlign w:val="center"/>
                </w:tcPr>
                <w:p w14:paraId="0EBC8BD3">
                  <w:pPr>
                    <w:pStyle w:val="51"/>
                    <w:bidi w:val="0"/>
                    <w:jc w:val="center"/>
                    <w:rPr>
                      <w:color w:val="auto"/>
                    </w:rPr>
                  </w:pPr>
                  <w:r>
                    <w:rPr>
                      <w:color w:val="auto"/>
                    </w:rPr>
                    <w:t>编号</w:t>
                  </w:r>
                </w:p>
              </w:tc>
              <w:tc>
                <w:tcPr>
                  <w:tcW w:w="925" w:type="dxa"/>
                  <w:tcBorders>
                    <w:tl2br w:val="nil"/>
                    <w:tr2bl w:val="nil"/>
                  </w:tcBorders>
                  <w:vAlign w:val="center"/>
                </w:tcPr>
                <w:p w14:paraId="4E10B909">
                  <w:pPr>
                    <w:pStyle w:val="51"/>
                    <w:bidi w:val="0"/>
                    <w:jc w:val="center"/>
                    <w:rPr>
                      <w:color w:val="auto"/>
                    </w:rPr>
                  </w:pPr>
                  <w:r>
                    <w:rPr>
                      <w:color w:val="auto"/>
                    </w:rPr>
                    <w:t>污染物</w:t>
                  </w:r>
                </w:p>
              </w:tc>
              <w:tc>
                <w:tcPr>
                  <w:tcW w:w="1132" w:type="dxa"/>
                  <w:tcBorders>
                    <w:tl2br w:val="nil"/>
                    <w:tr2bl w:val="nil"/>
                  </w:tcBorders>
                  <w:vAlign w:val="center"/>
                </w:tcPr>
                <w:p w14:paraId="4C335EDC">
                  <w:pPr>
                    <w:pStyle w:val="51"/>
                    <w:bidi w:val="0"/>
                    <w:jc w:val="center"/>
                    <w:rPr>
                      <w:color w:val="auto"/>
                    </w:rPr>
                  </w:pPr>
                  <w:r>
                    <w:rPr>
                      <w:color w:val="auto"/>
                    </w:rPr>
                    <w:t>编号</w:t>
                  </w:r>
                </w:p>
              </w:tc>
              <w:tc>
                <w:tcPr>
                  <w:tcW w:w="1158" w:type="dxa"/>
                  <w:tcBorders>
                    <w:tl2br w:val="nil"/>
                    <w:tr2bl w:val="nil"/>
                  </w:tcBorders>
                  <w:vAlign w:val="center"/>
                </w:tcPr>
                <w:p w14:paraId="7E968BA1">
                  <w:pPr>
                    <w:pStyle w:val="51"/>
                    <w:bidi w:val="0"/>
                    <w:jc w:val="center"/>
                    <w:rPr>
                      <w:color w:val="auto"/>
                    </w:rPr>
                  </w:pPr>
                  <w:r>
                    <w:rPr>
                      <w:color w:val="auto"/>
                    </w:rPr>
                    <w:t>污染物</w:t>
                  </w:r>
                </w:p>
              </w:tc>
              <w:tc>
                <w:tcPr>
                  <w:tcW w:w="1006" w:type="dxa"/>
                  <w:tcBorders>
                    <w:tl2br w:val="nil"/>
                    <w:tr2bl w:val="nil"/>
                  </w:tcBorders>
                  <w:vAlign w:val="center"/>
                </w:tcPr>
                <w:p w14:paraId="63654C84">
                  <w:pPr>
                    <w:pStyle w:val="51"/>
                    <w:bidi w:val="0"/>
                    <w:jc w:val="center"/>
                    <w:rPr>
                      <w:color w:val="auto"/>
                    </w:rPr>
                  </w:pPr>
                  <w:r>
                    <w:rPr>
                      <w:color w:val="auto"/>
                    </w:rPr>
                    <w:t>噪声源</w:t>
                  </w:r>
                </w:p>
              </w:tc>
              <w:tc>
                <w:tcPr>
                  <w:tcW w:w="663" w:type="dxa"/>
                  <w:tcBorders>
                    <w:tl2br w:val="nil"/>
                    <w:tr2bl w:val="nil"/>
                  </w:tcBorders>
                  <w:vAlign w:val="center"/>
                </w:tcPr>
                <w:p w14:paraId="12416342">
                  <w:pPr>
                    <w:pStyle w:val="51"/>
                    <w:bidi w:val="0"/>
                    <w:jc w:val="center"/>
                    <w:rPr>
                      <w:color w:val="auto"/>
                    </w:rPr>
                  </w:pPr>
                  <w:r>
                    <w:rPr>
                      <w:color w:val="auto"/>
                    </w:rPr>
                    <w:t>编号</w:t>
                  </w:r>
                </w:p>
              </w:tc>
              <w:tc>
                <w:tcPr>
                  <w:tcW w:w="851" w:type="dxa"/>
                  <w:tcBorders>
                    <w:tl2br w:val="nil"/>
                    <w:tr2bl w:val="nil"/>
                  </w:tcBorders>
                  <w:vAlign w:val="center"/>
                </w:tcPr>
                <w:p w14:paraId="1D860A0F">
                  <w:pPr>
                    <w:pStyle w:val="51"/>
                    <w:bidi w:val="0"/>
                    <w:jc w:val="center"/>
                    <w:rPr>
                      <w:color w:val="auto"/>
                    </w:rPr>
                  </w:pPr>
                  <w:r>
                    <w:rPr>
                      <w:color w:val="auto"/>
                    </w:rPr>
                    <w:t>污染物</w:t>
                  </w:r>
                </w:p>
              </w:tc>
            </w:tr>
            <w:tr w14:paraId="76F8D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jc w:val="center"/>
              </w:trPr>
              <w:tc>
                <w:tcPr>
                  <w:tcW w:w="661" w:type="dxa"/>
                  <w:vMerge w:val="restart"/>
                  <w:tcBorders>
                    <w:tl2br w:val="nil"/>
                    <w:tr2bl w:val="nil"/>
                  </w:tcBorders>
                  <w:vAlign w:val="center"/>
                </w:tcPr>
                <w:p w14:paraId="1E143B2A">
                  <w:pPr>
                    <w:pStyle w:val="51"/>
                    <w:bidi w:val="0"/>
                    <w:jc w:val="center"/>
                    <w:rPr>
                      <w:rFonts w:hint="default" w:eastAsia="宋体"/>
                      <w:color w:val="auto"/>
                      <w:lang w:val="en-US" w:eastAsia="zh-CN"/>
                    </w:rPr>
                  </w:pPr>
                  <w:r>
                    <w:rPr>
                      <w:rFonts w:hint="eastAsia"/>
                      <w:color w:val="auto"/>
                      <w:lang w:val="en-US" w:eastAsia="zh-CN"/>
                    </w:rPr>
                    <w:t>金属分选</w:t>
                  </w:r>
                </w:p>
              </w:tc>
              <w:tc>
                <w:tcPr>
                  <w:tcW w:w="682" w:type="dxa"/>
                  <w:tcBorders>
                    <w:tl2br w:val="nil"/>
                    <w:tr2bl w:val="nil"/>
                  </w:tcBorders>
                  <w:vAlign w:val="center"/>
                </w:tcPr>
                <w:p w14:paraId="0544AB1A">
                  <w:pPr>
                    <w:pStyle w:val="51"/>
                    <w:bidi w:val="0"/>
                    <w:jc w:val="center"/>
                    <w:rPr>
                      <w:rFonts w:hint="default" w:eastAsia="宋体"/>
                      <w:color w:val="auto"/>
                      <w:lang w:val="en-US" w:eastAsia="zh-CN"/>
                    </w:rPr>
                  </w:pPr>
                  <w:r>
                    <w:rPr>
                      <w:rFonts w:hint="eastAsia"/>
                      <w:color w:val="auto"/>
                      <w:lang w:val="en-US" w:eastAsia="zh-CN"/>
                    </w:rPr>
                    <w:t>上料</w:t>
                  </w:r>
                </w:p>
              </w:tc>
              <w:tc>
                <w:tcPr>
                  <w:tcW w:w="575" w:type="dxa"/>
                  <w:tcBorders>
                    <w:tl2br w:val="nil"/>
                    <w:tr2bl w:val="nil"/>
                  </w:tcBorders>
                  <w:vAlign w:val="center"/>
                </w:tcPr>
                <w:p w14:paraId="0C9C778D">
                  <w:pPr>
                    <w:pStyle w:val="51"/>
                    <w:bidi w:val="0"/>
                    <w:jc w:val="center"/>
                    <w:rPr>
                      <w:rFonts w:hint="default" w:eastAsia="宋体"/>
                      <w:color w:val="auto"/>
                      <w:lang w:val="en-US" w:eastAsia="zh-CN"/>
                    </w:rPr>
                  </w:pPr>
                  <w:r>
                    <w:rPr>
                      <w:rFonts w:hint="eastAsia"/>
                      <w:color w:val="auto"/>
                      <w:lang w:val="en-US" w:eastAsia="zh-CN"/>
                    </w:rPr>
                    <w:t>G1</w:t>
                  </w:r>
                </w:p>
              </w:tc>
              <w:tc>
                <w:tcPr>
                  <w:tcW w:w="925" w:type="dxa"/>
                  <w:tcBorders>
                    <w:tl2br w:val="nil"/>
                    <w:tr2bl w:val="nil"/>
                  </w:tcBorders>
                  <w:vAlign w:val="center"/>
                </w:tcPr>
                <w:p w14:paraId="2D3BB500">
                  <w:pPr>
                    <w:pStyle w:val="51"/>
                    <w:bidi w:val="0"/>
                    <w:jc w:val="center"/>
                    <w:rPr>
                      <w:rFonts w:hint="eastAsia" w:eastAsia="宋体"/>
                      <w:color w:val="auto"/>
                      <w:lang w:val="en-US" w:eastAsia="zh-CN"/>
                    </w:rPr>
                  </w:pPr>
                  <w:r>
                    <w:rPr>
                      <w:rFonts w:hint="eastAsia"/>
                      <w:color w:val="auto"/>
                      <w:lang w:val="en-US" w:eastAsia="zh-CN"/>
                    </w:rPr>
                    <w:t>颗粒物</w:t>
                  </w:r>
                </w:p>
              </w:tc>
              <w:tc>
                <w:tcPr>
                  <w:tcW w:w="1132" w:type="dxa"/>
                  <w:vMerge w:val="restart"/>
                  <w:tcBorders>
                    <w:tl2br w:val="nil"/>
                    <w:tr2bl w:val="nil"/>
                  </w:tcBorders>
                  <w:vAlign w:val="center"/>
                </w:tcPr>
                <w:p w14:paraId="4458C646">
                  <w:pPr>
                    <w:pStyle w:val="51"/>
                    <w:bidi w:val="0"/>
                    <w:jc w:val="center"/>
                    <w:rPr>
                      <w:rFonts w:hint="default" w:eastAsia="宋体"/>
                      <w:color w:val="auto"/>
                      <w:lang w:val="en-US" w:eastAsia="zh-CN"/>
                    </w:rPr>
                  </w:pPr>
                  <w:r>
                    <w:rPr>
                      <w:rFonts w:hint="eastAsia"/>
                      <w:color w:val="auto"/>
                      <w:lang w:val="en-US" w:eastAsia="zh-CN"/>
                    </w:rPr>
                    <w:t>/</w:t>
                  </w:r>
                </w:p>
              </w:tc>
              <w:tc>
                <w:tcPr>
                  <w:tcW w:w="1158" w:type="dxa"/>
                  <w:vMerge w:val="restart"/>
                  <w:tcBorders>
                    <w:tl2br w:val="nil"/>
                    <w:tr2bl w:val="nil"/>
                  </w:tcBorders>
                  <w:vAlign w:val="center"/>
                </w:tcPr>
                <w:p w14:paraId="5E939CC3">
                  <w:pPr>
                    <w:pStyle w:val="51"/>
                    <w:bidi w:val="0"/>
                    <w:jc w:val="center"/>
                    <w:rPr>
                      <w:rFonts w:hint="default" w:eastAsia="宋体"/>
                      <w:color w:val="auto"/>
                      <w:lang w:val="en-US" w:eastAsia="zh-CN"/>
                    </w:rPr>
                  </w:pPr>
                  <w:r>
                    <w:rPr>
                      <w:rFonts w:hint="eastAsia"/>
                      <w:color w:val="auto"/>
                      <w:lang w:val="en-US" w:eastAsia="zh-CN"/>
                    </w:rPr>
                    <w:t>/</w:t>
                  </w:r>
                </w:p>
              </w:tc>
              <w:tc>
                <w:tcPr>
                  <w:tcW w:w="1006" w:type="dxa"/>
                  <w:vMerge w:val="restart"/>
                  <w:tcBorders>
                    <w:tl2br w:val="nil"/>
                    <w:tr2bl w:val="nil"/>
                  </w:tcBorders>
                  <w:vAlign w:val="center"/>
                </w:tcPr>
                <w:p w14:paraId="47AC9559">
                  <w:pPr>
                    <w:pStyle w:val="51"/>
                    <w:bidi w:val="0"/>
                    <w:jc w:val="center"/>
                    <w:rPr>
                      <w:rFonts w:hint="default" w:eastAsia="宋体"/>
                      <w:color w:val="auto"/>
                      <w:lang w:val="en-US" w:eastAsia="zh-CN"/>
                    </w:rPr>
                  </w:pPr>
                  <w:r>
                    <w:rPr>
                      <w:rFonts w:hint="eastAsia"/>
                      <w:color w:val="auto"/>
                      <w:lang w:val="en-US" w:eastAsia="zh-CN"/>
                    </w:rPr>
                    <w:t>机械噪声</w:t>
                  </w:r>
                </w:p>
              </w:tc>
              <w:tc>
                <w:tcPr>
                  <w:tcW w:w="663" w:type="dxa"/>
                  <w:vMerge w:val="restart"/>
                  <w:tcBorders>
                    <w:tl2br w:val="nil"/>
                    <w:tr2bl w:val="nil"/>
                  </w:tcBorders>
                  <w:vAlign w:val="center"/>
                </w:tcPr>
                <w:p w14:paraId="5288EB13">
                  <w:pPr>
                    <w:pStyle w:val="51"/>
                    <w:bidi w:val="0"/>
                    <w:jc w:val="center"/>
                    <w:rPr>
                      <w:rFonts w:hint="eastAsia" w:eastAsia="宋体"/>
                      <w:color w:val="auto"/>
                      <w:lang w:val="en-US" w:eastAsia="zh-CN"/>
                    </w:rPr>
                  </w:pPr>
                  <w:r>
                    <w:rPr>
                      <w:rFonts w:hint="eastAsia"/>
                      <w:color w:val="auto"/>
                      <w:lang w:val="en-US" w:eastAsia="zh-CN"/>
                    </w:rPr>
                    <w:t>/</w:t>
                  </w:r>
                </w:p>
              </w:tc>
              <w:tc>
                <w:tcPr>
                  <w:tcW w:w="851" w:type="dxa"/>
                  <w:vMerge w:val="restart"/>
                  <w:tcBorders>
                    <w:tl2br w:val="nil"/>
                    <w:tr2bl w:val="nil"/>
                  </w:tcBorders>
                  <w:vAlign w:val="center"/>
                </w:tcPr>
                <w:p w14:paraId="6772C573">
                  <w:pPr>
                    <w:pStyle w:val="51"/>
                    <w:bidi w:val="0"/>
                    <w:jc w:val="center"/>
                    <w:rPr>
                      <w:rFonts w:hint="eastAsia" w:eastAsia="宋体"/>
                      <w:color w:val="auto"/>
                      <w:lang w:val="en-US" w:eastAsia="zh-CN"/>
                    </w:rPr>
                  </w:pPr>
                  <w:r>
                    <w:rPr>
                      <w:rFonts w:hint="eastAsia"/>
                      <w:color w:val="auto"/>
                      <w:lang w:val="en-US" w:eastAsia="zh-CN"/>
                    </w:rPr>
                    <w:t>/</w:t>
                  </w:r>
                </w:p>
              </w:tc>
            </w:tr>
            <w:tr w14:paraId="37B28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jc w:val="center"/>
              </w:trPr>
              <w:tc>
                <w:tcPr>
                  <w:tcW w:w="661" w:type="dxa"/>
                  <w:vMerge w:val="continue"/>
                  <w:tcBorders>
                    <w:tl2br w:val="nil"/>
                    <w:tr2bl w:val="nil"/>
                  </w:tcBorders>
                  <w:vAlign w:val="center"/>
                </w:tcPr>
                <w:p w14:paraId="26EC9F5D">
                  <w:pPr>
                    <w:pStyle w:val="51"/>
                    <w:bidi w:val="0"/>
                    <w:jc w:val="center"/>
                  </w:pPr>
                </w:p>
              </w:tc>
              <w:tc>
                <w:tcPr>
                  <w:tcW w:w="682" w:type="dxa"/>
                  <w:tcBorders>
                    <w:tl2br w:val="nil"/>
                    <w:tr2bl w:val="nil"/>
                  </w:tcBorders>
                  <w:vAlign w:val="center"/>
                </w:tcPr>
                <w:p w14:paraId="68AC1694">
                  <w:pPr>
                    <w:pStyle w:val="51"/>
                    <w:bidi w:val="0"/>
                    <w:jc w:val="center"/>
                    <w:rPr>
                      <w:rFonts w:hint="default" w:eastAsia="宋体"/>
                      <w:color w:val="auto"/>
                      <w:lang w:val="en-US" w:eastAsia="zh-CN"/>
                    </w:rPr>
                  </w:pPr>
                  <w:r>
                    <w:rPr>
                      <w:rFonts w:hint="eastAsia"/>
                      <w:color w:val="auto"/>
                      <w:lang w:val="en-US" w:eastAsia="zh-CN"/>
                    </w:rPr>
                    <w:t>空分</w:t>
                  </w:r>
                </w:p>
              </w:tc>
              <w:tc>
                <w:tcPr>
                  <w:tcW w:w="575" w:type="dxa"/>
                  <w:tcBorders>
                    <w:tl2br w:val="nil"/>
                    <w:tr2bl w:val="nil"/>
                  </w:tcBorders>
                  <w:vAlign w:val="center"/>
                </w:tcPr>
                <w:p w14:paraId="7314A618">
                  <w:pPr>
                    <w:pStyle w:val="51"/>
                    <w:bidi w:val="0"/>
                    <w:jc w:val="center"/>
                    <w:rPr>
                      <w:rFonts w:hint="default" w:eastAsia="宋体"/>
                      <w:color w:val="auto"/>
                      <w:lang w:val="en-US" w:eastAsia="zh-CN"/>
                    </w:rPr>
                  </w:pPr>
                  <w:r>
                    <w:rPr>
                      <w:rFonts w:hint="eastAsia"/>
                      <w:color w:val="auto"/>
                      <w:lang w:val="en-US" w:eastAsia="zh-CN"/>
                    </w:rPr>
                    <w:t>G2</w:t>
                  </w:r>
                </w:p>
              </w:tc>
              <w:tc>
                <w:tcPr>
                  <w:tcW w:w="925" w:type="dxa"/>
                  <w:tcBorders>
                    <w:tl2br w:val="nil"/>
                    <w:tr2bl w:val="nil"/>
                  </w:tcBorders>
                  <w:vAlign w:val="center"/>
                </w:tcPr>
                <w:p w14:paraId="6E74260B">
                  <w:pPr>
                    <w:pStyle w:val="51"/>
                    <w:bidi w:val="0"/>
                    <w:jc w:val="center"/>
                    <w:rPr>
                      <w:rFonts w:hint="default" w:eastAsia="宋体"/>
                      <w:color w:val="auto"/>
                      <w:lang w:val="en-US" w:eastAsia="zh-CN"/>
                    </w:rPr>
                  </w:pPr>
                  <w:r>
                    <w:rPr>
                      <w:rFonts w:hint="eastAsia"/>
                      <w:color w:val="auto"/>
                      <w:lang w:val="en-US" w:eastAsia="zh-CN"/>
                    </w:rPr>
                    <w:t>颗粒物</w:t>
                  </w:r>
                </w:p>
              </w:tc>
              <w:tc>
                <w:tcPr>
                  <w:tcW w:w="1132" w:type="dxa"/>
                  <w:vMerge w:val="continue"/>
                  <w:tcBorders>
                    <w:tl2br w:val="nil"/>
                    <w:tr2bl w:val="nil"/>
                  </w:tcBorders>
                  <w:vAlign w:val="center"/>
                </w:tcPr>
                <w:p w14:paraId="42E25EF6">
                  <w:pPr>
                    <w:pStyle w:val="51"/>
                    <w:bidi w:val="0"/>
                    <w:jc w:val="center"/>
                    <w:rPr>
                      <w:rFonts w:hint="default" w:eastAsia="宋体"/>
                      <w:color w:val="auto"/>
                      <w:lang w:val="en-US" w:eastAsia="zh-CN"/>
                    </w:rPr>
                  </w:pPr>
                </w:p>
              </w:tc>
              <w:tc>
                <w:tcPr>
                  <w:tcW w:w="1158" w:type="dxa"/>
                  <w:vMerge w:val="continue"/>
                  <w:tcBorders>
                    <w:tl2br w:val="nil"/>
                    <w:tr2bl w:val="nil"/>
                  </w:tcBorders>
                  <w:vAlign w:val="center"/>
                </w:tcPr>
                <w:p w14:paraId="2C758440">
                  <w:pPr>
                    <w:pStyle w:val="51"/>
                    <w:bidi w:val="0"/>
                    <w:jc w:val="center"/>
                    <w:rPr>
                      <w:rFonts w:hint="default" w:eastAsia="宋体"/>
                      <w:color w:val="auto"/>
                      <w:lang w:val="en-US" w:eastAsia="zh-CN"/>
                    </w:rPr>
                  </w:pPr>
                </w:p>
              </w:tc>
              <w:tc>
                <w:tcPr>
                  <w:tcW w:w="1006" w:type="dxa"/>
                  <w:vMerge w:val="continue"/>
                  <w:tcBorders>
                    <w:tl2br w:val="nil"/>
                    <w:tr2bl w:val="nil"/>
                  </w:tcBorders>
                  <w:vAlign w:val="center"/>
                </w:tcPr>
                <w:p w14:paraId="3E18BE90">
                  <w:pPr>
                    <w:pStyle w:val="51"/>
                    <w:bidi w:val="0"/>
                    <w:jc w:val="center"/>
                    <w:rPr>
                      <w:rFonts w:hint="default" w:eastAsia="宋体"/>
                      <w:color w:val="auto"/>
                      <w:lang w:val="en-US" w:eastAsia="zh-CN"/>
                    </w:rPr>
                  </w:pPr>
                </w:p>
              </w:tc>
              <w:tc>
                <w:tcPr>
                  <w:tcW w:w="663" w:type="dxa"/>
                  <w:vMerge w:val="continue"/>
                  <w:tcBorders>
                    <w:tl2br w:val="nil"/>
                    <w:tr2bl w:val="nil"/>
                  </w:tcBorders>
                  <w:vAlign w:val="center"/>
                </w:tcPr>
                <w:p w14:paraId="12D05804">
                  <w:pPr>
                    <w:pStyle w:val="51"/>
                    <w:bidi w:val="0"/>
                    <w:jc w:val="center"/>
                    <w:rPr>
                      <w:rFonts w:hint="default" w:eastAsia="宋体"/>
                      <w:color w:val="auto"/>
                      <w:lang w:val="en-US" w:eastAsia="zh-CN"/>
                    </w:rPr>
                  </w:pPr>
                </w:p>
              </w:tc>
              <w:tc>
                <w:tcPr>
                  <w:tcW w:w="851" w:type="dxa"/>
                  <w:vMerge w:val="continue"/>
                  <w:tcBorders>
                    <w:tl2br w:val="nil"/>
                    <w:tr2bl w:val="nil"/>
                  </w:tcBorders>
                  <w:vAlign w:val="center"/>
                </w:tcPr>
                <w:p w14:paraId="534C53E8">
                  <w:pPr>
                    <w:pStyle w:val="51"/>
                    <w:bidi w:val="0"/>
                    <w:jc w:val="center"/>
                    <w:rPr>
                      <w:rFonts w:hint="default" w:eastAsia="宋体"/>
                      <w:color w:val="auto"/>
                      <w:lang w:val="en-US" w:eastAsia="zh-CN"/>
                    </w:rPr>
                  </w:pPr>
                </w:p>
              </w:tc>
            </w:tr>
            <w:tr w14:paraId="0BDC6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jc w:val="center"/>
              </w:trPr>
              <w:tc>
                <w:tcPr>
                  <w:tcW w:w="661" w:type="dxa"/>
                  <w:vMerge w:val="continue"/>
                  <w:tcBorders>
                    <w:tl2br w:val="nil"/>
                    <w:tr2bl w:val="nil"/>
                  </w:tcBorders>
                  <w:vAlign w:val="center"/>
                </w:tcPr>
                <w:p w14:paraId="7F56A5EC">
                  <w:pPr>
                    <w:pStyle w:val="51"/>
                    <w:bidi w:val="0"/>
                    <w:jc w:val="center"/>
                    <w:rPr>
                      <w:rFonts w:hint="default" w:eastAsia="宋体"/>
                      <w:color w:val="auto"/>
                      <w:lang w:val="en-US" w:eastAsia="zh-CN"/>
                    </w:rPr>
                  </w:pPr>
                </w:p>
              </w:tc>
              <w:tc>
                <w:tcPr>
                  <w:tcW w:w="682" w:type="dxa"/>
                  <w:tcBorders>
                    <w:tl2br w:val="nil"/>
                    <w:tr2bl w:val="nil"/>
                  </w:tcBorders>
                  <w:vAlign w:val="center"/>
                </w:tcPr>
                <w:p w14:paraId="2C675C02">
                  <w:pPr>
                    <w:pStyle w:val="51"/>
                    <w:bidi w:val="0"/>
                    <w:jc w:val="center"/>
                    <w:rPr>
                      <w:rFonts w:hint="default" w:eastAsia="宋体"/>
                      <w:color w:val="auto"/>
                      <w:lang w:val="en-US" w:eastAsia="zh-CN"/>
                    </w:rPr>
                  </w:pPr>
                  <w:r>
                    <w:rPr>
                      <w:rFonts w:hint="eastAsia"/>
                      <w:color w:val="auto"/>
                      <w:lang w:val="en-US" w:eastAsia="zh-CN"/>
                    </w:rPr>
                    <w:t>筛选</w:t>
                  </w:r>
                </w:p>
              </w:tc>
              <w:tc>
                <w:tcPr>
                  <w:tcW w:w="575" w:type="dxa"/>
                  <w:tcBorders>
                    <w:tl2br w:val="nil"/>
                    <w:tr2bl w:val="nil"/>
                  </w:tcBorders>
                  <w:vAlign w:val="center"/>
                </w:tcPr>
                <w:p w14:paraId="26B93EF3">
                  <w:pPr>
                    <w:pStyle w:val="51"/>
                    <w:bidi w:val="0"/>
                    <w:jc w:val="center"/>
                    <w:rPr>
                      <w:rFonts w:hint="default" w:eastAsia="宋体"/>
                      <w:color w:val="auto"/>
                      <w:lang w:val="en-US" w:eastAsia="zh-CN"/>
                    </w:rPr>
                  </w:pPr>
                  <w:r>
                    <w:rPr>
                      <w:rFonts w:hint="eastAsia"/>
                      <w:color w:val="auto"/>
                      <w:lang w:val="en-US" w:eastAsia="zh-CN"/>
                    </w:rPr>
                    <w:t>G3</w:t>
                  </w:r>
                </w:p>
              </w:tc>
              <w:tc>
                <w:tcPr>
                  <w:tcW w:w="925" w:type="dxa"/>
                  <w:tcBorders>
                    <w:tl2br w:val="nil"/>
                    <w:tr2bl w:val="nil"/>
                  </w:tcBorders>
                  <w:vAlign w:val="center"/>
                </w:tcPr>
                <w:p w14:paraId="63544709">
                  <w:pPr>
                    <w:pStyle w:val="51"/>
                    <w:bidi w:val="0"/>
                    <w:jc w:val="center"/>
                    <w:rPr>
                      <w:rFonts w:hint="default" w:eastAsia="宋体"/>
                      <w:color w:val="auto"/>
                      <w:lang w:val="en-US" w:eastAsia="zh-CN"/>
                    </w:rPr>
                  </w:pPr>
                  <w:r>
                    <w:rPr>
                      <w:rFonts w:hint="eastAsia"/>
                      <w:color w:val="auto"/>
                      <w:lang w:val="en-US" w:eastAsia="zh-CN"/>
                    </w:rPr>
                    <w:t>颗粒物</w:t>
                  </w:r>
                </w:p>
              </w:tc>
              <w:tc>
                <w:tcPr>
                  <w:tcW w:w="1132" w:type="dxa"/>
                  <w:vMerge w:val="continue"/>
                  <w:tcBorders>
                    <w:tl2br w:val="nil"/>
                    <w:tr2bl w:val="nil"/>
                  </w:tcBorders>
                  <w:vAlign w:val="center"/>
                </w:tcPr>
                <w:p w14:paraId="4BB20FB6">
                  <w:pPr>
                    <w:pStyle w:val="51"/>
                    <w:bidi w:val="0"/>
                    <w:jc w:val="center"/>
                    <w:rPr>
                      <w:rFonts w:hint="default" w:eastAsia="宋体"/>
                      <w:color w:val="auto"/>
                      <w:lang w:val="en-US" w:eastAsia="zh-CN"/>
                    </w:rPr>
                  </w:pPr>
                </w:p>
              </w:tc>
              <w:tc>
                <w:tcPr>
                  <w:tcW w:w="1158" w:type="dxa"/>
                  <w:vMerge w:val="continue"/>
                  <w:tcBorders>
                    <w:tl2br w:val="nil"/>
                    <w:tr2bl w:val="nil"/>
                  </w:tcBorders>
                  <w:vAlign w:val="center"/>
                </w:tcPr>
                <w:p w14:paraId="6B23131B">
                  <w:pPr>
                    <w:pStyle w:val="51"/>
                    <w:bidi w:val="0"/>
                    <w:jc w:val="center"/>
                    <w:rPr>
                      <w:rFonts w:hint="default" w:eastAsia="宋体"/>
                      <w:color w:val="auto"/>
                      <w:lang w:val="en-US" w:eastAsia="zh-CN"/>
                    </w:rPr>
                  </w:pPr>
                </w:p>
              </w:tc>
              <w:tc>
                <w:tcPr>
                  <w:tcW w:w="1006" w:type="dxa"/>
                  <w:vMerge w:val="continue"/>
                  <w:tcBorders>
                    <w:tl2br w:val="nil"/>
                    <w:tr2bl w:val="nil"/>
                  </w:tcBorders>
                  <w:vAlign w:val="center"/>
                </w:tcPr>
                <w:p w14:paraId="09DF9428">
                  <w:pPr>
                    <w:pStyle w:val="51"/>
                    <w:bidi w:val="0"/>
                    <w:jc w:val="center"/>
                    <w:rPr>
                      <w:rFonts w:hint="default" w:eastAsia="宋体"/>
                      <w:color w:val="auto"/>
                      <w:lang w:val="en-US" w:eastAsia="zh-CN"/>
                    </w:rPr>
                  </w:pPr>
                </w:p>
              </w:tc>
              <w:tc>
                <w:tcPr>
                  <w:tcW w:w="663" w:type="dxa"/>
                  <w:vMerge w:val="continue"/>
                  <w:tcBorders>
                    <w:tl2br w:val="nil"/>
                    <w:tr2bl w:val="nil"/>
                  </w:tcBorders>
                  <w:vAlign w:val="center"/>
                </w:tcPr>
                <w:p w14:paraId="2B0894FE">
                  <w:pPr>
                    <w:pStyle w:val="51"/>
                    <w:bidi w:val="0"/>
                    <w:jc w:val="center"/>
                    <w:rPr>
                      <w:rFonts w:hint="default" w:eastAsia="宋体"/>
                      <w:color w:val="auto"/>
                      <w:lang w:val="en-US" w:eastAsia="zh-CN"/>
                    </w:rPr>
                  </w:pPr>
                </w:p>
              </w:tc>
              <w:tc>
                <w:tcPr>
                  <w:tcW w:w="851" w:type="dxa"/>
                  <w:vMerge w:val="continue"/>
                  <w:tcBorders>
                    <w:tl2br w:val="nil"/>
                    <w:tr2bl w:val="nil"/>
                  </w:tcBorders>
                  <w:vAlign w:val="center"/>
                </w:tcPr>
                <w:p w14:paraId="1E4CF65C">
                  <w:pPr>
                    <w:pStyle w:val="51"/>
                    <w:bidi w:val="0"/>
                    <w:jc w:val="center"/>
                    <w:rPr>
                      <w:rFonts w:hint="default" w:eastAsia="宋体"/>
                      <w:color w:val="auto"/>
                      <w:lang w:val="en-US" w:eastAsia="zh-CN"/>
                    </w:rPr>
                  </w:pPr>
                </w:p>
              </w:tc>
            </w:tr>
            <w:tr w14:paraId="7B13F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jc w:val="center"/>
              </w:trPr>
              <w:tc>
                <w:tcPr>
                  <w:tcW w:w="661" w:type="dxa"/>
                  <w:vMerge w:val="restart"/>
                  <w:tcBorders>
                    <w:tl2br w:val="nil"/>
                    <w:tr2bl w:val="nil"/>
                  </w:tcBorders>
                  <w:vAlign w:val="center"/>
                </w:tcPr>
                <w:p w14:paraId="446DB460">
                  <w:pPr>
                    <w:pStyle w:val="51"/>
                    <w:bidi w:val="0"/>
                    <w:jc w:val="center"/>
                    <w:rPr>
                      <w:rFonts w:hint="default" w:eastAsia="宋体"/>
                      <w:color w:val="auto"/>
                      <w:lang w:val="en-US" w:eastAsia="zh-CN"/>
                    </w:rPr>
                  </w:pPr>
                  <w:r>
                    <w:rPr>
                      <w:rFonts w:hint="eastAsia"/>
                      <w:color w:val="auto"/>
                      <w:lang w:val="en-US" w:eastAsia="zh-CN"/>
                    </w:rPr>
                    <w:t>漂浮分选</w:t>
                  </w:r>
                </w:p>
              </w:tc>
              <w:tc>
                <w:tcPr>
                  <w:tcW w:w="682" w:type="dxa"/>
                  <w:tcBorders>
                    <w:tl2br w:val="nil"/>
                    <w:tr2bl w:val="nil"/>
                  </w:tcBorders>
                  <w:vAlign w:val="center"/>
                </w:tcPr>
                <w:p w14:paraId="7D75F447">
                  <w:pPr>
                    <w:pStyle w:val="51"/>
                    <w:bidi w:val="0"/>
                    <w:jc w:val="center"/>
                    <w:rPr>
                      <w:rFonts w:hint="eastAsia" w:eastAsia="宋体"/>
                      <w:color w:val="auto"/>
                      <w:lang w:val="en-US" w:eastAsia="zh-CN"/>
                    </w:rPr>
                  </w:pPr>
                  <w:r>
                    <w:rPr>
                      <w:rFonts w:hint="eastAsia"/>
                      <w:color w:val="auto"/>
                      <w:lang w:val="en-US" w:eastAsia="zh-CN"/>
                    </w:rPr>
                    <w:t>上料</w:t>
                  </w:r>
                </w:p>
              </w:tc>
              <w:tc>
                <w:tcPr>
                  <w:tcW w:w="575" w:type="dxa"/>
                  <w:tcBorders>
                    <w:tl2br w:val="nil"/>
                    <w:tr2bl w:val="nil"/>
                  </w:tcBorders>
                  <w:vAlign w:val="center"/>
                </w:tcPr>
                <w:p w14:paraId="2F5BBD89">
                  <w:pPr>
                    <w:pStyle w:val="51"/>
                    <w:bidi w:val="0"/>
                    <w:jc w:val="center"/>
                    <w:rPr>
                      <w:rFonts w:hint="default" w:eastAsia="宋体"/>
                      <w:color w:val="auto"/>
                      <w:lang w:val="en-US" w:eastAsia="zh-CN"/>
                    </w:rPr>
                  </w:pPr>
                  <w:r>
                    <w:rPr>
                      <w:rFonts w:hint="eastAsia"/>
                      <w:color w:val="auto"/>
                      <w:lang w:val="en-US" w:eastAsia="zh-CN"/>
                    </w:rPr>
                    <w:t>G4</w:t>
                  </w:r>
                </w:p>
              </w:tc>
              <w:tc>
                <w:tcPr>
                  <w:tcW w:w="925" w:type="dxa"/>
                  <w:tcBorders>
                    <w:tl2br w:val="nil"/>
                    <w:tr2bl w:val="nil"/>
                  </w:tcBorders>
                  <w:vAlign w:val="center"/>
                </w:tcPr>
                <w:p w14:paraId="015E6457">
                  <w:pPr>
                    <w:pStyle w:val="51"/>
                    <w:bidi w:val="0"/>
                    <w:jc w:val="center"/>
                    <w:rPr>
                      <w:rFonts w:hint="default" w:eastAsia="宋体"/>
                      <w:color w:val="auto"/>
                      <w:lang w:val="en-US" w:eastAsia="zh-CN"/>
                    </w:rPr>
                  </w:pPr>
                  <w:r>
                    <w:rPr>
                      <w:rFonts w:hint="eastAsia"/>
                      <w:color w:val="auto"/>
                      <w:lang w:val="en-US" w:eastAsia="zh-CN"/>
                    </w:rPr>
                    <w:t>颗粒物</w:t>
                  </w:r>
                </w:p>
              </w:tc>
              <w:tc>
                <w:tcPr>
                  <w:tcW w:w="1132" w:type="dxa"/>
                  <w:vMerge w:val="restart"/>
                  <w:tcBorders>
                    <w:tl2br w:val="nil"/>
                    <w:tr2bl w:val="nil"/>
                  </w:tcBorders>
                  <w:vAlign w:val="center"/>
                </w:tcPr>
                <w:p w14:paraId="73B94F93">
                  <w:pPr>
                    <w:pStyle w:val="51"/>
                    <w:bidi w:val="0"/>
                    <w:jc w:val="center"/>
                    <w:rPr>
                      <w:rFonts w:hint="default" w:eastAsia="宋体"/>
                      <w:color w:val="auto"/>
                      <w:lang w:val="en-US" w:eastAsia="zh-CN"/>
                    </w:rPr>
                  </w:pPr>
                  <w:r>
                    <w:rPr>
                      <w:rFonts w:hint="eastAsia"/>
                      <w:color w:val="auto"/>
                      <w:lang w:val="en-US" w:eastAsia="zh-CN"/>
                    </w:rPr>
                    <w:t>S1</w:t>
                  </w:r>
                </w:p>
              </w:tc>
              <w:tc>
                <w:tcPr>
                  <w:tcW w:w="1158" w:type="dxa"/>
                  <w:vMerge w:val="restart"/>
                  <w:tcBorders>
                    <w:tl2br w:val="nil"/>
                    <w:tr2bl w:val="nil"/>
                  </w:tcBorders>
                  <w:vAlign w:val="center"/>
                </w:tcPr>
                <w:p w14:paraId="12A0B0B7">
                  <w:pPr>
                    <w:pStyle w:val="51"/>
                    <w:bidi w:val="0"/>
                    <w:jc w:val="center"/>
                    <w:rPr>
                      <w:rFonts w:hint="default" w:eastAsia="宋体"/>
                      <w:color w:val="auto"/>
                      <w:lang w:val="en-US" w:eastAsia="zh-CN"/>
                    </w:rPr>
                  </w:pPr>
                  <w:r>
                    <w:rPr>
                      <w:rFonts w:hint="eastAsia"/>
                      <w:color w:val="auto"/>
                      <w:lang w:val="en-US" w:eastAsia="zh-CN"/>
                    </w:rPr>
                    <w:t>浮油</w:t>
                  </w:r>
                </w:p>
              </w:tc>
              <w:tc>
                <w:tcPr>
                  <w:tcW w:w="1006" w:type="dxa"/>
                  <w:vMerge w:val="restart"/>
                  <w:tcBorders>
                    <w:tl2br w:val="nil"/>
                    <w:tr2bl w:val="nil"/>
                  </w:tcBorders>
                  <w:vAlign w:val="center"/>
                </w:tcPr>
                <w:p w14:paraId="431C2B3A">
                  <w:pPr>
                    <w:pStyle w:val="51"/>
                    <w:bidi w:val="0"/>
                    <w:jc w:val="center"/>
                    <w:rPr>
                      <w:rFonts w:hint="default" w:eastAsia="宋体"/>
                      <w:color w:val="auto"/>
                      <w:lang w:val="en-US" w:eastAsia="zh-CN"/>
                    </w:rPr>
                  </w:pPr>
                  <w:r>
                    <w:rPr>
                      <w:rFonts w:hint="eastAsia"/>
                      <w:color w:val="auto"/>
                      <w:lang w:val="en-US" w:eastAsia="zh-CN"/>
                    </w:rPr>
                    <w:t>机械噪声</w:t>
                  </w:r>
                </w:p>
              </w:tc>
              <w:tc>
                <w:tcPr>
                  <w:tcW w:w="663" w:type="dxa"/>
                  <w:vMerge w:val="restart"/>
                  <w:tcBorders>
                    <w:tl2br w:val="nil"/>
                    <w:tr2bl w:val="nil"/>
                  </w:tcBorders>
                  <w:vAlign w:val="center"/>
                </w:tcPr>
                <w:p w14:paraId="20C20168">
                  <w:pPr>
                    <w:pStyle w:val="51"/>
                    <w:bidi w:val="0"/>
                    <w:jc w:val="center"/>
                    <w:rPr>
                      <w:rFonts w:hint="eastAsia" w:eastAsia="宋体"/>
                      <w:color w:val="auto"/>
                      <w:lang w:val="en-US" w:eastAsia="zh-CN"/>
                    </w:rPr>
                  </w:pPr>
                  <w:r>
                    <w:rPr>
                      <w:rFonts w:hint="eastAsia"/>
                      <w:color w:val="auto"/>
                      <w:lang w:val="en-US" w:eastAsia="zh-CN"/>
                    </w:rPr>
                    <w:t>/</w:t>
                  </w:r>
                </w:p>
              </w:tc>
              <w:tc>
                <w:tcPr>
                  <w:tcW w:w="851" w:type="dxa"/>
                  <w:vMerge w:val="restart"/>
                  <w:tcBorders>
                    <w:tl2br w:val="nil"/>
                    <w:tr2bl w:val="nil"/>
                  </w:tcBorders>
                  <w:vAlign w:val="center"/>
                </w:tcPr>
                <w:p w14:paraId="5F1A0DC1">
                  <w:pPr>
                    <w:pStyle w:val="51"/>
                    <w:bidi w:val="0"/>
                    <w:jc w:val="center"/>
                    <w:rPr>
                      <w:rFonts w:hint="eastAsia" w:eastAsia="宋体"/>
                      <w:color w:val="auto"/>
                      <w:lang w:val="en-US" w:eastAsia="zh-CN"/>
                    </w:rPr>
                  </w:pPr>
                  <w:r>
                    <w:rPr>
                      <w:rFonts w:hint="eastAsia"/>
                      <w:color w:val="auto"/>
                      <w:lang w:val="en-US" w:eastAsia="zh-CN"/>
                    </w:rPr>
                    <w:t>/</w:t>
                  </w:r>
                </w:p>
              </w:tc>
            </w:tr>
            <w:tr w14:paraId="77FA0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jc w:val="center"/>
              </w:trPr>
              <w:tc>
                <w:tcPr>
                  <w:tcW w:w="661" w:type="dxa"/>
                  <w:vMerge w:val="continue"/>
                  <w:tcBorders>
                    <w:tl2br w:val="nil"/>
                    <w:tr2bl w:val="nil"/>
                  </w:tcBorders>
                  <w:vAlign w:val="center"/>
                </w:tcPr>
                <w:p w14:paraId="14FD110E">
                  <w:pPr>
                    <w:pStyle w:val="51"/>
                    <w:bidi w:val="0"/>
                    <w:jc w:val="center"/>
                  </w:pPr>
                </w:p>
              </w:tc>
              <w:tc>
                <w:tcPr>
                  <w:tcW w:w="682" w:type="dxa"/>
                  <w:tcBorders>
                    <w:tl2br w:val="nil"/>
                    <w:tr2bl w:val="nil"/>
                  </w:tcBorders>
                  <w:vAlign w:val="center"/>
                </w:tcPr>
                <w:p w14:paraId="77521A28">
                  <w:pPr>
                    <w:pStyle w:val="51"/>
                    <w:bidi w:val="0"/>
                    <w:jc w:val="center"/>
                    <w:rPr>
                      <w:rFonts w:hint="default"/>
                      <w:color w:val="auto"/>
                      <w:lang w:val="en-US" w:eastAsia="zh-CN"/>
                    </w:rPr>
                  </w:pPr>
                  <w:r>
                    <w:rPr>
                      <w:rFonts w:hint="eastAsia"/>
                      <w:color w:val="auto"/>
                      <w:lang w:val="en-US" w:eastAsia="zh-CN"/>
                    </w:rPr>
                    <w:t>破碎</w:t>
                  </w:r>
                </w:p>
              </w:tc>
              <w:tc>
                <w:tcPr>
                  <w:tcW w:w="575" w:type="dxa"/>
                  <w:tcBorders>
                    <w:tl2br w:val="nil"/>
                    <w:tr2bl w:val="nil"/>
                  </w:tcBorders>
                  <w:vAlign w:val="center"/>
                </w:tcPr>
                <w:p w14:paraId="06CB4A3C">
                  <w:pPr>
                    <w:pStyle w:val="51"/>
                    <w:bidi w:val="0"/>
                    <w:jc w:val="center"/>
                    <w:rPr>
                      <w:rFonts w:hint="default"/>
                      <w:color w:val="auto"/>
                      <w:lang w:val="en-US" w:eastAsia="zh-CN"/>
                    </w:rPr>
                  </w:pPr>
                  <w:r>
                    <w:rPr>
                      <w:rFonts w:hint="eastAsia"/>
                      <w:color w:val="auto"/>
                      <w:lang w:val="en-US" w:eastAsia="zh-CN"/>
                    </w:rPr>
                    <w:t>G5</w:t>
                  </w:r>
                </w:p>
              </w:tc>
              <w:tc>
                <w:tcPr>
                  <w:tcW w:w="925" w:type="dxa"/>
                  <w:tcBorders>
                    <w:tl2br w:val="nil"/>
                    <w:tr2bl w:val="nil"/>
                  </w:tcBorders>
                  <w:vAlign w:val="center"/>
                </w:tcPr>
                <w:p w14:paraId="178A90BC">
                  <w:pPr>
                    <w:pStyle w:val="51"/>
                    <w:bidi w:val="0"/>
                    <w:jc w:val="center"/>
                    <w:rPr>
                      <w:rFonts w:hint="default"/>
                      <w:color w:val="auto"/>
                      <w:lang w:val="en-US" w:eastAsia="zh-CN"/>
                    </w:rPr>
                  </w:pPr>
                  <w:r>
                    <w:rPr>
                      <w:rFonts w:hint="eastAsia"/>
                      <w:color w:val="auto"/>
                      <w:lang w:val="en-US" w:eastAsia="zh-CN"/>
                    </w:rPr>
                    <w:t>颗粒物</w:t>
                  </w:r>
                </w:p>
              </w:tc>
              <w:tc>
                <w:tcPr>
                  <w:tcW w:w="1132" w:type="dxa"/>
                  <w:vMerge w:val="continue"/>
                  <w:tcBorders>
                    <w:tl2br w:val="nil"/>
                    <w:tr2bl w:val="nil"/>
                  </w:tcBorders>
                  <w:vAlign w:val="center"/>
                </w:tcPr>
                <w:p w14:paraId="1B73522F">
                  <w:pPr>
                    <w:pStyle w:val="51"/>
                    <w:bidi w:val="0"/>
                    <w:jc w:val="center"/>
                    <w:rPr>
                      <w:rFonts w:hint="eastAsia"/>
                      <w:color w:val="auto"/>
                      <w:lang w:val="en-US" w:eastAsia="zh-CN"/>
                    </w:rPr>
                  </w:pPr>
                </w:p>
              </w:tc>
              <w:tc>
                <w:tcPr>
                  <w:tcW w:w="1158" w:type="dxa"/>
                  <w:vMerge w:val="continue"/>
                  <w:tcBorders>
                    <w:tl2br w:val="nil"/>
                    <w:tr2bl w:val="nil"/>
                  </w:tcBorders>
                  <w:vAlign w:val="center"/>
                </w:tcPr>
                <w:p w14:paraId="7F4F911D">
                  <w:pPr>
                    <w:pStyle w:val="51"/>
                    <w:bidi w:val="0"/>
                    <w:jc w:val="center"/>
                    <w:rPr>
                      <w:rFonts w:hint="eastAsia"/>
                      <w:color w:val="auto"/>
                      <w:lang w:val="en-US" w:eastAsia="zh-CN"/>
                    </w:rPr>
                  </w:pPr>
                </w:p>
              </w:tc>
              <w:tc>
                <w:tcPr>
                  <w:tcW w:w="1006" w:type="dxa"/>
                  <w:vMerge w:val="continue"/>
                  <w:tcBorders>
                    <w:tl2br w:val="nil"/>
                    <w:tr2bl w:val="nil"/>
                  </w:tcBorders>
                  <w:vAlign w:val="center"/>
                </w:tcPr>
                <w:p w14:paraId="7B90E2D1">
                  <w:pPr>
                    <w:pStyle w:val="51"/>
                    <w:bidi w:val="0"/>
                    <w:jc w:val="center"/>
                    <w:rPr>
                      <w:rFonts w:hint="eastAsia"/>
                      <w:color w:val="auto"/>
                      <w:lang w:val="en-US" w:eastAsia="zh-CN"/>
                    </w:rPr>
                  </w:pPr>
                </w:p>
              </w:tc>
              <w:tc>
                <w:tcPr>
                  <w:tcW w:w="663" w:type="dxa"/>
                  <w:vMerge w:val="continue"/>
                  <w:tcBorders>
                    <w:tl2br w:val="nil"/>
                    <w:tr2bl w:val="nil"/>
                  </w:tcBorders>
                  <w:vAlign w:val="center"/>
                </w:tcPr>
                <w:p w14:paraId="0EBEF534">
                  <w:pPr>
                    <w:pStyle w:val="51"/>
                    <w:bidi w:val="0"/>
                    <w:jc w:val="center"/>
                    <w:rPr>
                      <w:rFonts w:hint="eastAsia"/>
                      <w:color w:val="auto"/>
                      <w:lang w:val="en-US" w:eastAsia="zh-CN"/>
                    </w:rPr>
                  </w:pPr>
                </w:p>
              </w:tc>
              <w:tc>
                <w:tcPr>
                  <w:tcW w:w="851" w:type="dxa"/>
                  <w:vMerge w:val="continue"/>
                  <w:tcBorders>
                    <w:tl2br w:val="nil"/>
                    <w:tr2bl w:val="nil"/>
                  </w:tcBorders>
                  <w:vAlign w:val="center"/>
                </w:tcPr>
                <w:p w14:paraId="7726341B">
                  <w:pPr>
                    <w:pStyle w:val="51"/>
                    <w:bidi w:val="0"/>
                    <w:jc w:val="center"/>
                    <w:rPr>
                      <w:rFonts w:hint="eastAsia"/>
                      <w:color w:val="auto"/>
                      <w:lang w:val="en-US" w:eastAsia="zh-CN"/>
                    </w:rPr>
                  </w:pPr>
                </w:p>
              </w:tc>
            </w:tr>
            <w:tr w14:paraId="5A62E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61" w:type="dxa"/>
                  <w:tcBorders>
                    <w:tl2br w:val="nil"/>
                    <w:tr2bl w:val="nil"/>
                  </w:tcBorders>
                  <w:vAlign w:val="center"/>
                </w:tcPr>
                <w:p w14:paraId="24D05798">
                  <w:pPr>
                    <w:pStyle w:val="51"/>
                    <w:bidi w:val="0"/>
                    <w:jc w:val="center"/>
                    <w:rPr>
                      <w:rFonts w:hint="default" w:eastAsia="宋体"/>
                      <w:color w:val="auto"/>
                      <w:lang w:val="en-US" w:eastAsia="zh-CN"/>
                    </w:rPr>
                  </w:pPr>
                  <w:r>
                    <w:rPr>
                      <w:rFonts w:hint="eastAsia"/>
                      <w:color w:val="auto"/>
                      <w:lang w:val="en-US" w:eastAsia="zh-CN"/>
                    </w:rPr>
                    <w:t>风选</w:t>
                  </w:r>
                </w:p>
              </w:tc>
              <w:tc>
                <w:tcPr>
                  <w:tcW w:w="682" w:type="dxa"/>
                  <w:tcBorders>
                    <w:tl2br w:val="nil"/>
                    <w:tr2bl w:val="nil"/>
                  </w:tcBorders>
                  <w:vAlign w:val="center"/>
                </w:tcPr>
                <w:p w14:paraId="07B215A9">
                  <w:pPr>
                    <w:pStyle w:val="51"/>
                    <w:bidi w:val="0"/>
                    <w:jc w:val="center"/>
                    <w:rPr>
                      <w:rFonts w:hint="default" w:eastAsia="宋体"/>
                      <w:color w:val="auto"/>
                      <w:lang w:val="en-US" w:eastAsia="zh-CN"/>
                    </w:rPr>
                  </w:pPr>
                  <w:r>
                    <w:rPr>
                      <w:rFonts w:hint="eastAsia"/>
                      <w:color w:val="auto"/>
                      <w:lang w:val="en-US" w:eastAsia="zh-CN"/>
                    </w:rPr>
                    <w:t>上料</w:t>
                  </w:r>
                </w:p>
              </w:tc>
              <w:tc>
                <w:tcPr>
                  <w:tcW w:w="575" w:type="dxa"/>
                  <w:tcBorders>
                    <w:tl2br w:val="nil"/>
                    <w:tr2bl w:val="nil"/>
                  </w:tcBorders>
                  <w:vAlign w:val="center"/>
                </w:tcPr>
                <w:p w14:paraId="12BA526C">
                  <w:pPr>
                    <w:pStyle w:val="51"/>
                    <w:bidi w:val="0"/>
                    <w:jc w:val="center"/>
                    <w:rPr>
                      <w:rFonts w:hint="default" w:eastAsia="宋体"/>
                      <w:color w:val="auto"/>
                      <w:lang w:val="en-US" w:eastAsia="zh-CN"/>
                    </w:rPr>
                  </w:pPr>
                  <w:r>
                    <w:rPr>
                      <w:rFonts w:hint="eastAsia"/>
                      <w:color w:val="auto"/>
                      <w:lang w:val="en-US" w:eastAsia="zh-CN"/>
                    </w:rPr>
                    <w:t>G6</w:t>
                  </w:r>
                </w:p>
              </w:tc>
              <w:tc>
                <w:tcPr>
                  <w:tcW w:w="925" w:type="dxa"/>
                  <w:tcBorders>
                    <w:tl2br w:val="nil"/>
                    <w:tr2bl w:val="nil"/>
                  </w:tcBorders>
                  <w:vAlign w:val="center"/>
                </w:tcPr>
                <w:p w14:paraId="41931D36">
                  <w:pPr>
                    <w:pStyle w:val="51"/>
                    <w:bidi w:val="0"/>
                    <w:jc w:val="center"/>
                    <w:rPr>
                      <w:rFonts w:hint="default" w:eastAsia="宋体"/>
                      <w:color w:val="auto"/>
                      <w:lang w:val="en-US" w:eastAsia="zh-CN"/>
                    </w:rPr>
                  </w:pPr>
                  <w:r>
                    <w:rPr>
                      <w:rFonts w:hint="eastAsia"/>
                      <w:color w:val="auto"/>
                      <w:lang w:val="en-US" w:eastAsia="zh-CN"/>
                    </w:rPr>
                    <w:t>颗粒物</w:t>
                  </w:r>
                </w:p>
              </w:tc>
              <w:tc>
                <w:tcPr>
                  <w:tcW w:w="1132" w:type="dxa"/>
                  <w:tcBorders>
                    <w:tl2br w:val="nil"/>
                    <w:tr2bl w:val="nil"/>
                  </w:tcBorders>
                  <w:vAlign w:val="center"/>
                </w:tcPr>
                <w:p w14:paraId="72216AB4">
                  <w:pPr>
                    <w:pStyle w:val="51"/>
                    <w:bidi w:val="0"/>
                    <w:jc w:val="center"/>
                    <w:rPr>
                      <w:rFonts w:hint="default" w:eastAsia="宋体"/>
                      <w:color w:val="auto"/>
                      <w:lang w:val="en-US" w:eastAsia="zh-CN"/>
                    </w:rPr>
                  </w:pPr>
                  <w:r>
                    <w:rPr>
                      <w:rFonts w:hint="eastAsia"/>
                      <w:color w:val="auto"/>
                      <w:lang w:val="en-US" w:eastAsia="zh-CN"/>
                    </w:rPr>
                    <w:t>/</w:t>
                  </w:r>
                </w:p>
              </w:tc>
              <w:tc>
                <w:tcPr>
                  <w:tcW w:w="1158" w:type="dxa"/>
                  <w:tcBorders>
                    <w:tl2br w:val="nil"/>
                    <w:tr2bl w:val="nil"/>
                  </w:tcBorders>
                  <w:vAlign w:val="center"/>
                </w:tcPr>
                <w:p w14:paraId="3E1CB6F5">
                  <w:pPr>
                    <w:pStyle w:val="51"/>
                    <w:bidi w:val="0"/>
                    <w:jc w:val="center"/>
                    <w:rPr>
                      <w:rFonts w:hint="default" w:eastAsia="宋体"/>
                      <w:color w:val="auto"/>
                      <w:lang w:val="en-US" w:eastAsia="zh-CN"/>
                    </w:rPr>
                  </w:pPr>
                  <w:r>
                    <w:rPr>
                      <w:rFonts w:hint="eastAsia"/>
                      <w:color w:val="auto"/>
                      <w:lang w:val="en-US" w:eastAsia="zh-CN"/>
                    </w:rPr>
                    <w:t>/</w:t>
                  </w:r>
                </w:p>
              </w:tc>
              <w:tc>
                <w:tcPr>
                  <w:tcW w:w="1006" w:type="dxa"/>
                  <w:tcBorders>
                    <w:tl2br w:val="nil"/>
                    <w:tr2bl w:val="nil"/>
                  </w:tcBorders>
                  <w:vAlign w:val="center"/>
                </w:tcPr>
                <w:p w14:paraId="32DEE956">
                  <w:pPr>
                    <w:pStyle w:val="51"/>
                    <w:bidi w:val="0"/>
                    <w:jc w:val="center"/>
                    <w:rPr>
                      <w:rFonts w:hint="default" w:eastAsia="宋体"/>
                      <w:color w:val="auto"/>
                      <w:lang w:val="en-US" w:eastAsia="zh-CN"/>
                    </w:rPr>
                  </w:pPr>
                  <w:r>
                    <w:rPr>
                      <w:rFonts w:hint="eastAsia"/>
                      <w:color w:val="auto"/>
                      <w:lang w:val="en-US" w:eastAsia="zh-CN"/>
                    </w:rPr>
                    <w:t>机械噪声</w:t>
                  </w:r>
                </w:p>
              </w:tc>
              <w:tc>
                <w:tcPr>
                  <w:tcW w:w="663" w:type="dxa"/>
                  <w:tcBorders>
                    <w:tl2br w:val="nil"/>
                    <w:tr2bl w:val="nil"/>
                  </w:tcBorders>
                  <w:vAlign w:val="center"/>
                </w:tcPr>
                <w:p w14:paraId="02C784ED">
                  <w:pPr>
                    <w:pStyle w:val="51"/>
                    <w:bidi w:val="0"/>
                    <w:jc w:val="center"/>
                    <w:rPr>
                      <w:rFonts w:hint="eastAsia" w:eastAsia="宋体"/>
                      <w:color w:val="auto"/>
                      <w:lang w:val="en-US" w:eastAsia="zh-CN"/>
                    </w:rPr>
                  </w:pPr>
                  <w:r>
                    <w:rPr>
                      <w:rFonts w:hint="eastAsia"/>
                      <w:color w:val="auto"/>
                      <w:lang w:val="en-US" w:eastAsia="zh-CN"/>
                    </w:rPr>
                    <w:t>/</w:t>
                  </w:r>
                </w:p>
              </w:tc>
              <w:tc>
                <w:tcPr>
                  <w:tcW w:w="851" w:type="dxa"/>
                  <w:tcBorders>
                    <w:tl2br w:val="nil"/>
                    <w:tr2bl w:val="nil"/>
                  </w:tcBorders>
                  <w:vAlign w:val="center"/>
                </w:tcPr>
                <w:p w14:paraId="7F41A6D8">
                  <w:pPr>
                    <w:pStyle w:val="51"/>
                    <w:bidi w:val="0"/>
                    <w:jc w:val="center"/>
                    <w:rPr>
                      <w:color w:val="auto"/>
                    </w:rPr>
                  </w:pPr>
                </w:p>
              </w:tc>
            </w:tr>
            <w:tr w14:paraId="74692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61" w:type="dxa"/>
                  <w:tcBorders>
                    <w:tl2br w:val="nil"/>
                    <w:tr2bl w:val="nil"/>
                  </w:tcBorders>
                  <w:vAlign w:val="center"/>
                </w:tcPr>
                <w:p w14:paraId="4F3DB281">
                  <w:pPr>
                    <w:pStyle w:val="51"/>
                    <w:bidi w:val="0"/>
                    <w:jc w:val="center"/>
                    <w:rPr>
                      <w:rFonts w:hint="default" w:eastAsia="宋体"/>
                      <w:color w:val="auto"/>
                      <w:lang w:val="en-US" w:eastAsia="zh-CN"/>
                    </w:rPr>
                  </w:pPr>
                  <w:r>
                    <w:rPr>
                      <w:rFonts w:hint="eastAsia"/>
                      <w:color w:val="auto"/>
                      <w:lang w:val="en-US" w:eastAsia="zh-CN"/>
                    </w:rPr>
                    <w:t>杂金属分选</w:t>
                  </w:r>
                </w:p>
              </w:tc>
              <w:tc>
                <w:tcPr>
                  <w:tcW w:w="682" w:type="dxa"/>
                  <w:tcBorders>
                    <w:tl2br w:val="nil"/>
                    <w:tr2bl w:val="nil"/>
                  </w:tcBorders>
                  <w:vAlign w:val="center"/>
                </w:tcPr>
                <w:p w14:paraId="62598363">
                  <w:pPr>
                    <w:pStyle w:val="51"/>
                    <w:bidi w:val="0"/>
                    <w:jc w:val="center"/>
                    <w:rPr>
                      <w:rFonts w:hint="default" w:eastAsia="宋体"/>
                      <w:color w:val="auto"/>
                      <w:lang w:val="en-US" w:eastAsia="zh-CN"/>
                    </w:rPr>
                  </w:pPr>
                  <w:r>
                    <w:rPr>
                      <w:rFonts w:hint="eastAsia"/>
                      <w:color w:val="auto"/>
                      <w:lang w:val="en-US" w:eastAsia="zh-CN"/>
                    </w:rPr>
                    <w:t>气浮</w:t>
                  </w:r>
                </w:p>
              </w:tc>
              <w:tc>
                <w:tcPr>
                  <w:tcW w:w="575" w:type="dxa"/>
                  <w:tcBorders>
                    <w:tl2br w:val="nil"/>
                    <w:tr2bl w:val="nil"/>
                  </w:tcBorders>
                  <w:vAlign w:val="center"/>
                </w:tcPr>
                <w:p w14:paraId="02FA4248">
                  <w:pPr>
                    <w:pStyle w:val="51"/>
                    <w:bidi w:val="0"/>
                    <w:jc w:val="center"/>
                    <w:rPr>
                      <w:rFonts w:hint="default" w:eastAsia="宋体"/>
                      <w:color w:val="auto"/>
                      <w:lang w:val="en-US" w:eastAsia="zh-CN"/>
                    </w:rPr>
                  </w:pPr>
                  <w:r>
                    <w:rPr>
                      <w:rFonts w:hint="eastAsia"/>
                      <w:color w:val="auto"/>
                      <w:lang w:val="en-US" w:eastAsia="zh-CN"/>
                    </w:rPr>
                    <w:t>/</w:t>
                  </w:r>
                </w:p>
              </w:tc>
              <w:tc>
                <w:tcPr>
                  <w:tcW w:w="925" w:type="dxa"/>
                  <w:tcBorders>
                    <w:tl2br w:val="nil"/>
                    <w:tr2bl w:val="nil"/>
                  </w:tcBorders>
                  <w:vAlign w:val="center"/>
                </w:tcPr>
                <w:p w14:paraId="5E702E72">
                  <w:pPr>
                    <w:pStyle w:val="51"/>
                    <w:bidi w:val="0"/>
                    <w:jc w:val="center"/>
                    <w:rPr>
                      <w:rFonts w:hint="default" w:eastAsia="宋体"/>
                      <w:color w:val="auto"/>
                      <w:lang w:val="en-US" w:eastAsia="zh-CN"/>
                    </w:rPr>
                  </w:pPr>
                  <w:r>
                    <w:rPr>
                      <w:rFonts w:hint="eastAsia"/>
                      <w:color w:val="auto"/>
                      <w:lang w:val="en-US" w:eastAsia="zh-CN"/>
                    </w:rPr>
                    <w:t>/</w:t>
                  </w:r>
                </w:p>
              </w:tc>
              <w:tc>
                <w:tcPr>
                  <w:tcW w:w="1132" w:type="dxa"/>
                  <w:tcBorders>
                    <w:tl2br w:val="nil"/>
                    <w:tr2bl w:val="nil"/>
                  </w:tcBorders>
                  <w:vAlign w:val="center"/>
                </w:tcPr>
                <w:p w14:paraId="17086FCD">
                  <w:pPr>
                    <w:pStyle w:val="51"/>
                    <w:bidi w:val="0"/>
                    <w:jc w:val="center"/>
                    <w:rPr>
                      <w:rFonts w:hint="default" w:eastAsia="宋体"/>
                      <w:color w:val="auto"/>
                      <w:lang w:val="en-US" w:eastAsia="zh-CN"/>
                    </w:rPr>
                  </w:pPr>
                  <w:r>
                    <w:rPr>
                      <w:rFonts w:hint="eastAsia"/>
                      <w:color w:val="auto"/>
                      <w:lang w:val="en-US" w:eastAsia="zh-CN"/>
                    </w:rPr>
                    <w:t>S2</w:t>
                  </w:r>
                </w:p>
              </w:tc>
              <w:tc>
                <w:tcPr>
                  <w:tcW w:w="1158" w:type="dxa"/>
                  <w:tcBorders>
                    <w:tl2br w:val="nil"/>
                    <w:tr2bl w:val="nil"/>
                  </w:tcBorders>
                  <w:vAlign w:val="center"/>
                </w:tcPr>
                <w:p w14:paraId="0AF4F2BA">
                  <w:pPr>
                    <w:pStyle w:val="51"/>
                    <w:bidi w:val="0"/>
                    <w:jc w:val="center"/>
                    <w:rPr>
                      <w:rFonts w:hint="default" w:eastAsia="宋体"/>
                      <w:color w:val="auto"/>
                      <w:lang w:val="en-US" w:eastAsia="zh-CN"/>
                    </w:rPr>
                  </w:pPr>
                  <w:r>
                    <w:rPr>
                      <w:rFonts w:hint="eastAsia"/>
                      <w:color w:val="auto"/>
                      <w:lang w:val="en-US" w:eastAsia="zh-CN"/>
                    </w:rPr>
                    <w:t>污泥</w:t>
                  </w:r>
                </w:p>
              </w:tc>
              <w:tc>
                <w:tcPr>
                  <w:tcW w:w="1006" w:type="dxa"/>
                  <w:tcBorders>
                    <w:tl2br w:val="nil"/>
                    <w:tr2bl w:val="nil"/>
                  </w:tcBorders>
                  <w:vAlign w:val="center"/>
                </w:tcPr>
                <w:p w14:paraId="4D846BDB">
                  <w:pPr>
                    <w:pStyle w:val="51"/>
                    <w:bidi w:val="0"/>
                    <w:jc w:val="center"/>
                    <w:rPr>
                      <w:rFonts w:hint="default" w:eastAsia="宋体"/>
                      <w:color w:val="auto"/>
                      <w:lang w:val="en-US" w:eastAsia="zh-CN"/>
                    </w:rPr>
                  </w:pPr>
                  <w:r>
                    <w:rPr>
                      <w:rFonts w:hint="eastAsia"/>
                      <w:color w:val="auto"/>
                      <w:lang w:val="en-US" w:eastAsia="zh-CN"/>
                    </w:rPr>
                    <w:t>机械噪声</w:t>
                  </w:r>
                </w:p>
              </w:tc>
              <w:tc>
                <w:tcPr>
                  <w:tcW w:w="663" w:type="dxa"/>
                  <w:tcBorders>
                    <w:tl2br w:val="nil"/>
                    <w:tr2bl w:val="nil"/>
                  </w:tcBorders>
                  <w:vAlign w:val="center"/>
                </w:tcPr>
                <w:p w14:paraId="62B84204">
                  <w:pPr>
                    <w:pStyle w:val="51"/>
                    <w:bidi w:val="0"/>
                    <w:jc w:val="center"/>
                    <w:rPr>
                      <w:rFonts w:hint="eastAsia" w:eastAsia="宋体"/>
                      <w:color w:val="auto"/>
                      <w:lang w:val="en-US" w:eastAsia="zh-CN"/>
                    </w:rPr>
                  </w:pPr>
                  <w:r>
                    <w:rPr>
                      <w:rFonts w:hint="eastAsia"/>
                      <w:color w:val="auto"/>
                      <w:lang w:val="en-US" w:eastAsia="zh-CN"/>
                    </w:rPr>
                    <w:t>/</w:t>
                  </w:r>
                </w:p>
              </w:tc>
              <w:tc>
                <w:tcPr>
                  <w:tcW w:w="851" w:type="dxa"/>
                  <w:tcBorders>
                    <w:tl2br w:val="nil"/>
                    <w:tr2bl w:val="nil"/>
                  </w:tcBorders>
                  <w:vAlign w:val="center"/>
                </w:tcPr>
                <w:p w14:paraId="18965CF3">
                  <w:pPr>
                    <w:pStyle w:val="51"/>
                    <w:bidi w:val="0"/>
                    <w:jc w:val="center"/>
                    <w:rPr>
                      <w:rFonts w:hint="eastAsia" w:eastAsia="宋体"/>
                      <w:color w:val="auto"/>
                      <w:lang w:val="en-US" w:eastAsia="zh-CN"/>
                    </w:rPr>
                  </w:pPr>
                  <w:r>
                    <w:rPr>
                      <w:rFonts w:hint="eastAsia"/>
                      <w:color w:val="auto"/>
                      <w:lang w:val="en-US" w:eastAsia="zh-CN"/>
                    </w:rPr>
                    <w:t>/</w:t>
                  </w:r>
                </w:p>
              </w:tc>
            </w:tr>
            <w:tr w14:paraId="3B1F8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61" w:type="dxa"/>
                  <w:tcBorders>
                    <w:tl2br w:val="nil"/>
                    <w:tr2bl w:val="nil"/>
                  </w:tcBorders>
                  <w:vAlign w:val="center"/>
                </w:tcPr>
                <w:p w14:paraId="31D730E2">
                  <w:pPr>
                    <w:pStyle w:val="51"/>
                    <w:bidi w:val="0"/>
                    <w:jc w:val="center"/>
                    <w:rPr>
                      <w:rFonts w:hint="default"/>
                      <w:color w:val="auto"/>
                      <w:lang w:val="en-US" w:eastAsia="zh-CN"/>
                    </w:rPr>
                  </w:pPr>
                  <w:r>
                    <w:rPr>
                      <w:rFonts w:hint="eastAsia"/>
                      <w:color w:val="auto"/>
                      <w:lang w:val="en-US" w:eastAsia="zh-CN"/>
                    </w:rPr>
                    <w:t>燃烧棒</w:t>
                  </w:r>
                </w:p>
              </w:tc>
              <w:tc>
                <w:tcPr>
                  <w:tcW w:w="682" w:type="dxa"/>
                  <w:tcBorders>
                    <w:tl2br w:val="nil"/>
                    <w:tr2bl w:val="nil"/>
                  </w:tcBorders>
                  <w:vAlign w:val="center"/>
                </w:tcPr>
                <w:p w14:paraId="5267C05A">
                  <w:pPr>
                    <w:pStyle w:val="51"/>
                    <w:bidi w:val="0"/>
                    <w:jc w:val="center"/>
                    <w:rPr>
                      <w:rFonts w:hint="default"/>
                      <w:color w:val="auto"/>
                      <w:lang w:val="en-US" w:eastAsia="zh-CN"/>
                    </w:rPr>
                  </w:pPr>
                  <w:r>
                    <w:rPr>
                      <w:rFonts w:hint="eastAsia"/>
                      <w:color w:val="auto"/>
                      <w:lang w:val="en-US" w:eastAsia="zh-CN"/>
                    </w:rPr>
                    <w:t>上料</w:t>
                  </w:r>
                </w:p>
              </w:tc>
              <w:tc>
                <w:tcPr>
                  <w:tcW w:w="575" w:type="dxa"/>
                  <w:tcBorders>
                    <w:tl2br w:val="nil"/>
                    <w:tr2bl w:val="nil"/>
                  </w:tcBorders>
                  <w:vAlign w:val="center"/>
                </w:tcPr>
                <w:p w14:paraId="6868F64D">
                  <w:pPr>
                    <w:pStyle w:val="51"/>
                    <w:bidi w:val="0"/>
                    <w:jc w:val="center"/>
                    <w:rPr>
                      <w:rFonts w:hint="default"/>
                      <w:color w:val="auto"/>
                      <w:lang w:val="en-US" w:eastAsia="zh-CN"/>
                    </w:rPr>
                  </w:pPr>
                  <w:r>
                    <w:rPr>
                      <w:rFonts w:hint="eastAsia"/>
                      <w:color w:val="auto"/>
                      <w:lang w:val="en-US" w:eastAsia="zh-CN"/>
                    </w:rPr>
                    <w:t>/</w:t>
                  </w:r>
                </w:p>
              </w:tc>
              <w:tc>
                <w:tcPr>
                  <w:tcW w:w="925" w:type="dxa"/>
                  <w:tcBorders>
                    <w:tl2br w:val="nil"/>
                    <w:tr2bl w:val="nil"/>
                  </w:tcBorders>
                  <w:vAlign w:val="center"/>
                </w:tcPr>
                <w:p w14:paraId="1EC74DC4">
                  <w:pPr>
                    <w:pStyle w:val="51"/>
                    <w:bidi w:val="0"/>
                    <w:jc w:val="center"/>
                    <w:rPr>
                      <w:rFonts w:hint="default"/>
                      <w:color w:val="auto"/>
                      <w:lang w:val="en-US" w:eastAsia="zh-CN"/>
                    </w:rPr>
                  </w:pPr>
                  <w:r>
                    <w:rPr>
                      <w:rFonts w:hint="eastAsia"/>
                      <w:color w:val="auto"/>
                      <w:lang w:val="en-US" w:eastAsia="zh-CN"/>
                    </w:rPr>
                    <w:t>/</w:t>
                  </w:r>
                </w:p>
              </w:tc>
              <w:tc>
                <w:tcPr>
                  <w:tcW w:w="1132" w:type="dxa"/>
                  <w:tcBorders>
                    <w:tl2br w:val="nil"/>
                    <w:tr2bl w:val="nil"/>
                  </w:tcBorders>
                  <w:vAlign w:val="center"/>
                </w:tcPr>
                <w:p w14:paraId="55F5D090">
                  <w:pPr>
                    <w:pStyle w:val="51"/>
                    <w:bidi w:val="0"/>
                    <w:jc w:val="center"/>
                    <w:rPr>
                      <w:rFonts w:hint="default"/>
                      <w:color w:val="auto"/>
                      <w:lang w:val="en-US" w:eastAsia="zh-CN"/>
                    </w:rPr>
                  </w:pPr>
                  <w:r>
                    <w:rPr>
                      <w:rFonts w:hint="eastAsia"/>
                      <w:color w:val="auto"/>
                      <w:lang w:val="en-US" w:eastAsia="zh-CN"/>
                    </w:rPr>
                    <w:t>/</w:t>
                  </w:r>
                </w:p>
              </w:tc>
              <w:tc>
                <w:tcPr>
                  <w:tcW w:w="1158" w:type="dxa"/>
                  <w:tcBorders>
                    <w:tl2br w:val="nil"/>
                    <w:tr2bl w:val="nil"/>
                  </w:tcBorders>
                  <w:vAlign w:val="center"/>
                </w:tcPr>
                <w:p w14:paraId="164A0998">
                  <w:pPr>
                    <w:pStyle w:val="51"/>
                    <w:bidi w:val="0"/>
                    <w:jc w:val="center"/>
                    <w:rPr>
                      <w:rFonts w:hint="default"/>
                      <w:color w:val="auto"/>
                      <w:lang w:val="en-US" w:eastAsia="zh-CN"/>
                    </w:rPr>
                  </w:pPr>
                  <w:r>
                    <w:rPr>
                      <w:rFonts w:hint="eastAsia"/>
                      <w:color w:val="auto"/>
                      <w:lang w:val="en-US" w:eastAsia="zh-CN"/>
                    </w:rPr>
                    <w:t>/</w:t>
                  </w:r>
                </w:p>
              </w:tc>
              <w:tc>
                <w:tcPr>
                  <w:tcW w:w="1006" w:type="dxa"/>
                  <w:tcBorders>
                    <w:tl2br w:val="nil"/>
                    <w:tr2bl w:val="nil"/>
                  </w:tcBorders>
                  <w:vAlign w:val="center"/>
                </w:tcPr>
                <w:p w14:paraId="7B9AB127">
                  <w:pPr>
                    <w:pStyle w:val="51"/>
                    <w:bidi w:val="0"/>
                    <w:jc w:val="center"/>
                    <w:rPr>
                      <w:rFonts w:hint="default"/>
                      <w:color w:val="auto"/>
                      <w:lang w:val="en-US" w:eastAsia="zh-CN"/>
                    </w:rPr>
                  </w:pPr>
                  <w:r>
                    <w:rPr>
                      <w:rFonts w:hint="eastAsia"/>
                      <w:color w:val="auto"/>
                      <w:lang w:val="en-US" w:eastAsia="zh-CN"/>
                    </w:rPr>
                    <w:t>机械噪声</w:t>
                  </w:r>
                </w:p>
              </w:tc>
              <w:tc>
                <w:tcPr>
                  <w:tcW w:w="663" w:type="dxa"/>
                  <w:tcBorders>
                    <w:tl2br w:val="nil"/>
                    <w:tr2bl w:val="nil"/>
                  </w:tcBorders>
                  <w:vAlign w:val="center"/>
                </w:tcPr>
                <w:p w14:paraId="74003EDB">
                  <w:pPr>
                    <w:pStyle w:val="51"/>
                    <w:bidi w:val="0"/>
                    <w:jc w:val="center"/>
                    <w:rPr>
                      <w:rFonts w:hint="default"/>
                      <w:color w:val="auto"/>
                      <w:lang w:val="en-US" w:eastAsia="zh-CN"/>
                    </w:rPr>
                  </w:pPr>
                  <w:r>
                    <w:rPr>
                      <w:rFonts w:hint="eastAsia"/>
                      <w:color w:val="auto"/>
                      <w:lang w:val="en-US" w:eastAsia="zh-CN"/>
                    </w:rPr>
                    <w:t>/</w:t>
                  </w:r>
                </w:p>
              </w:tc>
              <w:tc>
                <w:tcPr>
                  <w:tcW w:w="851" w:type="dxa"/>
                  <w:tcBorders>
                    <w:tl2br w:val="nil"/>
                    <w:tr2bl w:val="nil"/>
                  </w:tcBorders>
                  <w:vAlign w:val="center"/>
                </w:tcPr>
                <w:p w14:paraId="07BF5516">
                  <w:pPr>
                    <w:pStyle w:val="51"/>
                    <w:bidi w:val="0"/>
                    <w:jc w:val="center"/>
                    <w:rPr>
                      <w:rFonts w:hint="default"/>
                      <w:color w:val="auto"/>
                      <w:lang w:val="en-US" w:eastAsia="zh-CN"/>
                    </w:rPr>
                  </w:pPr>
                  <w:r>
                    <w:rPr>
                      <w:rFonts w:hint="eastAsia"/>
                      <w:color w:val="auto"/>
                      <w:lang w:val="en-US" w:eastAsia="zh-CN"/>
                    </w:rPr>
                    <w:t>/</w:t>
                  </w:r>
                </w:p>
              </w:tc>
            </w:tr>
            <w:tr w14:paraId="3B5A8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 w:hRule="atLeast"/>
                <w:jc w:val="center"/>
              </w:trPr>
              <w:tc>
                <w:tcPr>
                  <w:tcW w:w="661" w:type="dxa"/>
                  <w:vMerge w:val="restart"/>
                  <w:tcBorders>
                    <w:tl2br w:val="nil"/>
                    <w:tr2bl w:val="nil"/>
                  </w:tcBorders>
                  <w:vAlign w:val="center"/>
                </w:tcPr>
                <w:p w14:paraId="14E3B972">
                  <w:pPr>
                    <w:pStyle w:val="51"/>
                    <w:bidi w:val="0"/>
                    <w:jc w:val="center"/>
                    <w:rPr>
                      <w:rFonts w:hint="eastAsia" w:eastAsia="宋体"/>
                      <w:color w:val="auto"/>
                      <w:lang w:val="en-US" w:eastAsia="zh-CN"/>
                    </w:rPr>
                  </w:pPr>
                  <w:r>
                    <w:rPr>
                      <w:rFonts w:hint="eastAsia"/>
                      <w:color w:val="auto"/>
                      <w:lang w:val="en-US" w:eastAsia="zh-CN"/>
                    </w:rPr>
                    <w:t>其他</w:t>
                  </w:r>
                </w:p>
              </w:tc>
              <w:tc>
                <w:tcPr>
                  <w:tcW w:w="682" w:type="dxa"/>
                  <w:vMerge w:val="restart"/>
                  <w:tcBorders>
                    <w:tl2br w:val="nil"/>
                    <w:tr2bl w:val="nil"/>
                  </w:tcBorders>
                  <w:vAlign w:val="center"/>
                </w:tcPr>
                <w:p w14:paraId="6C85B532">
                  <w:pPr>
                    <w:pStyle w:val="51"/>
                    <w:bidi w:val="0"/>
                    <w:jc w:val="center"/>
                    <w:rPr>
                      <w:rFonts w:hint="default" w:eastAsia="宋体"/>
                      <w:color w:val="auto"/>
                      <w:lang w:val="en-US" w:eastAsia="zh-CN"/>
                    </w:rPr>
                  </w:pPr>
                  <w:r>
                    <w:rPr>
                      <w:rFonts w:hint="eastAsia"/>
                      <w:color w:val="auto"/>
                      <w:lang w:val="en-US" w:eastAsia="zh-CN"/>
                    </w:rPr>
                    <w:t>/</w:t>
                  </w:r>
                </w:p>
              </w:tc>
              <w:tc>
                <w:tcPr>
                  <w:tcW w:w="575" w:type="dxa"/>
                  <w:vMerge w:val="restart"/>
                  <w:tcBorders>
                    <w:tl2br w:val="nil"/>
                    <w:tr2bl w:val="nil"/>
                  </w:tcBorders>
                  <w:vAlign w:val="center"/>
                </w:tcPr>
                <w:p w14:paraId="7C54850B">
                  <w:pPr>
                    <w:pStyle w:val="51"/>
                    <w:bidi w:val="0"/>
                    <w:jc w:val="center"/>
                    <w:rPr>
                      <w:rFonts w:hint="default" w:eastAsia="宋体"/>
                      <w:color w:val="auto"/>
                      <w:lang w:val="en-US" w:eastAsia="zh-CN"/>
                    </w:rPr>
                  </w:pPr>
                  <w:r>
                    <w:rPr>
                      <w:rFonts w:hint="eastAsia"/>
                      <w:color w:val="auto"/>
                      <w:lang w:val="en-US" w:eastAsia="zh-CN"/>
                    </w:rPr>
                    <w:t>/</w:t>
                  </w:r>
                </w:p>
              </w:tc>
              <w:tc>
                <w:tcPr>
                  <w:tcW w:w="925" w:type="dxa"/>
                  <w:vMerge w:val="restart"/>
                  <w:tcBorders>
                    <w:tl2br w:val="nil"/>
                    <w:tr2bl w:val="nil"/>
                  </w:tcBorders>
                  <w:vAlign w:val="center"/>
                </w:tcPr>
                <w:p w14:paraId="337A9D37">
                  <w:pPr>
                    <w:pStyle w:val="51"/>
                    <w:bidi w:val="0"/>
                    <w:jc w:val="center"/>
                    <w:rPr>
                      <w:rFonts w:hint="eastAsia" w:eastAsia="宋体"/>
                      <w:color w:val="auto"/>
                      <w:lang w:val="en-US" w:eastAsia="zh-CN"/>
                    </w:rPr>
                  </w:pPr>
                  <w:r>
                    <w:rPr>
                      <w:rFonts w:hint="eastAsia"/>
                      <w:color w:val="auto"/>
                      <w:lang w:val="en-US" w:eastAsia="zh-CN"/>
                    </w:rPr>
                    <w:t>/</w:t>
                  </w:r>
                </w:p>
              </w:tc>
              <w:tc>
                <w:tcPr>
                  <w:tcW w:w="1132" w:type="dxa"/>
                  <w:tcBorders>
                    <w:tl2br w:val="nil"/>
                    <w:tr2bl w:val="nil"/>
                  </w:tcBorders>
                  <w:vAlign w:val="center"/>
                </w:tcPr>
                <w:p w14:paraId="788CD9F4">
                  <w:pPr>
                    <w:pStyle w:val="51"/>
                    <w:bidi w:val="0"/>
                    <w:jc w:val="center"/>
                    <w:rPr>
                      <w:rFonts w:hint="default" w:eastAsia="宋体"/>
                      <w:color w:val="auto"/>
                      <w:lang w:val="en-US" w:eastAsia="zh-CN"/>
                    </w:rPr>
                  </w:pPr>
                  <w:r>
                    <w:rPr>
                      <w:rFonts w:hint="eastAsia"/>
                      <w:color w:val="auto"/>
                      <w:lang w:val="en-US" w:eastAsia="zh-CN"/>
                    </w:rPr>
                    <w:t>除尘过程</w:t>
                  </w:r>
                </w:p>
              </w:tc>
              <w:tc>
                <w:tcPr>
                  <w:tcW w:w="1158" w:type="dxa"/>
                  <w:tcBorders>
                    <w:tl2br w:val="nil"/>
                    <w:tr2bl w:val="nil"/>
                  </w:tcBorders>
                  <w:vAlign w:val="center"/>
                </w:tcPr>
                <w:p w14:paraId="70B11B8C">
                  <w:pPr>
                    <w:pStyle w:val="51"/>
                    <w:bidi w:val="0"/>
                    <w:jc w:val="center"/>
                    <w:rPr>
                      <w:rFonts w:hint="default" w:eastAsia="宋体"/>
                      <w:color w:val="auto"/>
                      <w:lang w:val="en-US" w:eastAsia="zh-CN"/>
                    </w:rPr>
                  </w:pPr>
                  <w:r>
                    <w:rPr>
                      <w:rFonts w:hint="eastAsia"/>
                      <w:color w:val="auto"/>
                      <w:lang w:val="en-US" w:eastAsia="zh-CN"/>
                    </w:rPr>
                    <w:t>除尘灰、废布袋</w:t>
                  </w:r>
                </w:p>
              </w:tc>
              <w:tc>
                <w:tcPr>
                  <w:tcW w:w="1006" w:type="dxa"/>
                  <w:vMerge w:val="restart"/>
                  <w:tcBorders>
                    <w:tl2br w:val="nil"/>
                    <w:tr2bl w:val="nil"/>
                  </w:tcBorders>
                  <w:vAlign w:val="center"/>
                </w:tcPr>
                <w:p w14:paraId="1CEDCBFC">
                  <w:pPr>
                    <w:pStyle w:val="51"/>
                    <w:bidi w:val="0"/>
                    <w:jc w:val="center"/>
                    <w:rPr>
                      <w:rFonts w:hint="eastAsia" w:eastAsia="宋体"/>
                      <w:color w:val="auto"/>
                      <w:lang w:val="en-US" w:eastAsia="zh-CN"/>
                    </w:rPr>
                  </w:pPr>
                  <w:r>
                    <w:rPr>
                      <w:rFonts w:hint="eastAsia"/>
                      <w:color w:val="auto"/>
                      <w:lang w:val="en-US" w:eastAsia="zh-CN"/>
                    </w:rPr>
                    <w:t>/</w:t>
                  </w:r>
                </w:p>
              </w:tc>
              <w:tc>
                <w:tcPr>
                  <w:tcW w:w="663" w:type="dxa"/>
                  <w:vMerge w:val="restart"/>
                  <w:tcBorders>
                    <w:tl2br w:val="nil"/>
                    <w:tr2bl w:val="nil"/>
                  </w:tcBorders>
                  <w:vAlign w:val="center"/>
                </w:tcPr>
                <w:p w14:paraId="5227D796">
                  <w:pPr>
                    <w:pStyle w:val="51"/>
                    <w:bidi w:val="0"/>
                    <w:jc w:val="center"/>
                    <w:rPr>
                      <w:rFonts w:hint="default" w:eastAsia="宋体"/>
                      <w:color w:val="auto"/>
                      <w:lang w:val="en-US" w:eastAsia="zh-CN"/>
                    </w:rPr>
                  </w:pPr>
                  <w:r>
                    <w:rPr>
                      <w:rFonts w:hint="eastAsia"/>
                      <w:color w:val="auto"/>
                      <w:lang w:val="en-US" w:eastAsia="zh-CN"/>
                    </w:rPr>
                    <w:t>/</w:t>
                  </w:r>
                </w:p>
              </w:tc>
              <w:tc>
                <w:tcPr>
                  <w:tcW w:w="851" w:type="dxa"/>
                  <w:vMerge w:val="restart"/>
                  <w:tcBorders>
                    <w:tl2br w:val="nil"/>
                    <w:tr2bl w:val="nil"/>
                  </w:tcBorders>
                  <w:vAlign w:val="center"/>
                </w:tcPr>
                <w:p w14:paraId="7BDC66A4">
                  <w:pPr>
                    <w:pStyle w:val="51"/>
                    <w:bidi w:val="0"/>
                    <w:jc w:val="center"/>
                    <w:rPr>
                      <w:rFonts w:hint="default" w:eastAsia="宋体"/>
                      <w:color w:val="auto"/>
                      <w:lang w:val="en-US" w:eastAsia="zh-CN"/>
                    </w:rPr>
                  </w:pPr>
                  <w:r>
                    <w:rPr>
                      <w:rFonts w:hint="eastAsia"/>
                      <w:color w:val="auto"/>
                      <w:lang w:val="en-US" w:eastAsia="zh-CN"/>
                    </w:rPr>
                    <w:t>生活污水</w:t>
                  </w:r>
                </w:p>
              </w:tc>
            </w:tr>
            <w:tr w14:paraId="5B794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 w:hRule="atLeast"/>
                <w:jc w:val="center"/>
              </w:trPr>
              <w:tc>
                <w:tcPr>
                  <w:tcW w:w="661" w:type="dxa"/>
                  <w:vMerge w:val="continue"/>
                  <w:tcBorders>
                    <w:tl2br w:val="nil"/>
                    <w:tr2bl w:val="nil"/>
                  </w:tcBorders>
                  <w:vAlign w:val="center"/>
                </w:tcPr>
                <w:p w14:paraId="7AE4B562">
                  <w:pPr>
                    <w:pStyle w:val="51"/>
                    <w:bidi w:val="0"/>
                    <w:jc w:val="center"/>
                  </w:pPr>
                </w:p>
              </w:tc>
              <w:tc>
                <w:tcPr>
                  <w:tcW w:w="682" w:type="dxa"/>
                  <w:vMerge w:val="continue"/>
                  <w:tcBorders>
                    <w:tl2br w:val="nil"/>
                    <w:tr2bl w:val="nil"/>
                  </w:tcBorders>
                  <w:vAlign w:val="center"/>
                </w:tcPr>
                <w:p w14:paraId="035D9422">
                  <w:pPr>
                    <w:pStyle w:val="51"/>
                    <w:bidi w:val="0"/>
                    <w:jc w:val="center"/>
                  </w:pPr>
                </w:p>
              </w:tc>
              <w:tc>
                <w:tcPr>
                  <w:tcW w:w="575" w:type="dxa"/>
                  <w:vMerge w:val="continue"/>
                  <w:tcBorders>
                    <w:tl2br w:val="nil"/>
                    <w:tr2bl w:val="nil"/>
                  </w:tcBorders>
                  <w:vAlign w:val="center"/>
                </w:tcPr>
                <w:p w14:paraId="53E322AA">
                  <w:pPr>
                    <w:pStyle w:val="51"/>
                    <w:bidi w:val="0"/>
                    <w:jc w:val="center"/>
                  </w:pPr>
                </w:p>
              </w:tc>
              <w:tc>
                <w:tcPr>
                  <w:tcW w:w="925" w:type="dxa"/>
                  <w:vMerge w:val="continue"/>
                  <w:tcBorders>
                    <w:tl2br w:val="nil"/>
                    <w:tr2bl w:val="nil"/>
                  </w:tcBorders>
                  <w:vAlign w:val="center"/>
                </w:tcPr>
                <w:p w14:paraId="42347E6A">
                  <w:pPr>
                    <w:pStyle w:val="51"/>
                    <w:bidi w:val="0"/>
                    <w:jc w:val="center"/>
                  </w:pPr>
                </w:p>
              </w:tc>
              <w:tc>
                <w:tcPr>
                  <w:tcW w:w="1132" w:type="dxa"/>
                  <w:tcBorders>
                    <w:tl2br w:val="nil"/>
                    <w:tr2bl w:val="nil"/>
                  </w:tcBorders>
                  <w:vAlign w:val="center"/>
                </w:tcPr>
                <w:p w14:paraId="1D27D424">
                  <w:pPr>
                    <w:pStyle w:val="51"/>
                    <w:bidi w:val="0"/>
                    <w:jc w:val="center"/>
                    <w:rPr>
                      <w:rFonts w:hint="default" w:eastAsia="宋体"/>
                      <w:color w:val="auto"/>
                      <w:lang w:val="en-US" w:eastAsia="zh-CN"/>
                    </w:rPr>
                  </w:pPr>
                  <w:r>
                    <w:rPr>
                      <w:rFonts w:hint="eastAsia"/>
                      <w:color w:val="auto"/>
                      <w:lang w:val="en-US" w:eastAsia="zh-CN"/>
                    </w:rPr>
                    <w:t>维修保养</w:t>
                  </w:r>
                </w:p>
              </w:tc>
              <w:tc>
                <w:tcPr>
                  <w:tcW w:w="1158" w:type="dxa"/>
                  <w:tcBorders>
                    <w:tl2br w:val="nil"/>
                    <w:tr2bl w:val="nil"/>
                  </w:tcBorders>
                  <w:vAlign w:val="center"/>
                </w:tcPr>
                <w:p w14:paraId="489980CA">
                  <w:pPr>
                    <w:pStyle w:val="51"/>
                    <w:bidi w:val="0"/>
                    <w:jc w:val="center"/>
                    <w:rPr>
                      <w:rFonts w:hint="default" w:eastAsia="宋体"/>
                      <w:color w:val="auto"/>
                      <w:lang w:val="en-US" w:eastAsia="zh-CN"/>
                    </w:rPr>
                  </w:pPr>
                  <w:r>
                    <w:rPr>
                      <w:rFonts w:hint="eastAsia"/>
                      <w:color w:val="auto"/>
                      <w:lang w:val="en-US" w:eastAsia="zh-CN"/>
                    </w:rPr>
                    <w:t>废矿物油</w:t>
                  </w:r>
                </w:p>
              </w:tc>
              <w:tc>
                <w:tcPr>
                  <w:tcW w:w="1006" w:type="dxa"/>
                  <w:vMerge w:val="continue"/>
                  <w:tcBorders>
                    <w:tl2br w:val="nil"/>
                    <w:tr2bl w:val="nil"/>
                  </w:tcBorders>
                  <w:vAlign w:val="center"/>
                </w:tcPr>
                <w:p w14:paraId="173C0B06">
                  <w:pPr>
                    <w:pStyle w:val="51"/>
                    <w:bidi w:val="0"/>
                    <w:jc w:val="center"/>
                    <w:rPr>
                      <w:rFonts w:hint="eastAsia" w:eastAsia="宋体"/>
                      <w:color w:val="auto"/>
                      <w:lang w:val="en-US" w:eastAsia="zh-CN"/>
                    </w:rPr>
                  </w:pPr>
                </w:p>
              </w:tc>
              <w:tc>
                <w:tcPr>
                  <w:tcW w:w="663" w:type="dxa"/>
                  <w:vMerge w:val="continue"/>
                  <w:tcBorders>
                    <w:tl2br w:val="nil"/>
                    <w:tr2bl w:val="nil"/>
                  </w:tcBorders>
                  <w:vAlign w:val="center"/>
                </w:tcPr>
                <w:p w14:paraId="09E8A4FC">
                  <w:pPr>
                    <w:pStyle w:val="51"/>
                    <w:bidi w:val="0"/>
                    <w:jc w:val="center"/>
                    <w:rPr>
                      <w:rFonts w:hint="eastAsia" w:eastAsia="宋体"/>
                      <w:color w:val="auto"/>
                      <w:lang w:val="en-US" w:eastAsia="zh-CN"/>
                    </w:rPr>
                  </w:pPr>
                </w:p>
              </w:tc>
              <w:tc>
                <w:tcPr>
                  <w:tcW w:w="851" w:type="dxa"/>
                  <w:vMerge w:val="continue"/>
                  <w:tcBorders>
                    <w:tl2br w:val="nil"/>
                    <w:tr2bl w:val="nil"/>
                  </w:tcBorders>
                  <w:vAlign w:val="center"/>
                </w:tcPr>
                <w:p w14:paraId="406C37DE">
                  <w:pPr>
                    <w:pStyle w:val="51"/>
                    <w:bidi w:val="0"/>
                    <w:jc w:val="center"/>
                    <w:rPr>
                      <w:rFonts w:hint="eastAsia" w:eastAsia="宋体"/>
                      <w:color w:val="auto"/>
                      <w:lang w:val="en-US" w:eastAsia="zh-CN"/>
                    </w:rPr>
                  </w:pPr>
                </w:p>
              </w:tc>
            </w:tr>
            <w:tr w14:paraId="7062A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 w:hRule="atLeast"/>
                <w:jc w:val="center"/>
              </w:trPr>
              <w:tc>
                <w:tcPr>
                  <w:tcW w:w="661" w:type="dxa"/>
                  <w:vMerge w:val="continue"/>
                  <w:tcBorders>
                    <w:tl2br w:val="nil"/>
                    <w:tr2bl w:val="nil"/>
                  </w:tcBorders>
                  <w:vAlign w:val="center"/>
                </w:tcPr>
                <w:p w14:paraId="2891F28A">
                  <w:pPr>
                    <w:pStyle w:val="51"/>
                    <w:bidi w:val="0"/>
                    <w:jc w:val="center"/>
                    <w:rPr>
                      <w:rFonts w:hint="eastAsia" w:eastAsia="宋体"/>
                      <w:color w:val="auto"/>
                      <w:lang w:val="en-US" w:eastAsia="zh-CN"/>
                    </w:rPr>
                  </w:pPr>
                </w:p>
              </w:tc>
              <w:tc>
                <w:tcPr>
                  <w:tcW w:w="682" w:type="dxa"/>
                  <w:vMerge w:val="continue"/>
                  <w:tcBorders>
                    <w:tl2br w:val="nil"/>
                    <w:tr2bl w:val="nil"/>
                  </w:tcBorders>
                  <w:vAlign w:val="center"/>
                </w:tcPr>
                <w:p w14:paraId="2F25B4B4">
                  <w:pPr>
                    <w:pStyle w:val="51"/>
                    <w:bidi w:val="0"/>
                    <w:jc w:val="center"/>
                    <w:rPr>
                      <w:rFonts w:hint="eastAsia" w:eastAsia="宋体"/>
                      <w:color w:val="auto"/>
                      <w:lang w:val="en-US" w:eastAsia="zh-CN"/>
                    </w:rPr>
                  </w:pPr>
                </w:p>
              </w:tc>
              <w:tc>
                <w:tcPr>
                  <w:tcW w:w="575" w:type="dxa"/>
                  <w:vMerge w:val="continue"/>
                  <w:tcBorders>
                    <w:tl2br w:val="nil"/>
                    <w:tr2bl w:val="nil"/>
                  </w:tcBorders>
                  <w:vAlign w:val="center"/>
                </w:tcPr>
                <w:p w14:paraId="55BC6AB1">
                  <w:pPr>
                    <w:pStyle w:val="51"/>
                    <w:bidi w:val="0"/>
                    <w:jc w:val="center"/>
                    <w:rPr>
                      <w:rFonts w:hint="eastAsia" w:eastAsia="宋体"/>
                      <w:color w:val="auto"/>
                      <w:lang w:val="en-US" w:eastAsia="zh-CN"/>
                    </w:rPr>
                  </w:pPr>
                </w:p>
              </w:tc>
              <w:tc>
                <w:tcPr>
                  <w:tcW w:w="925" w:type="dxa"/>
                  <w:vMerge w:val="continue"/>
                  <w:tcBorders>
                    <w:tl2br w:val="nil"/>
                    <w:tr2bl w:val="nil"/>
                  </w:tcBorders>
                  <w:vAlign w:val="center"/>
                </w:tcPr>
                <w:p w14:paraId="6020C960">
                  <w:pPr>
                    <w:pStyle w:val="51"/>
                    <w:bidi w:val="0"/>
                    <w:jc w:val="center"/>
                    <w:rPr>
                      <w:rFonts w:hint="eastAsia" w:eastAsia="宋体"/>
                      <w:color w:val="auto"/>
                      <w:lang w:val="en-US" w:eastAsia="zh-CN"/>
                    </w:rPr>
                  </w:pPr>
                </w:p>
              </w:tc>
              <w:tc>
                <w:tcPr>
                  <w:tcW w:w="1132" w:type="dxa"/>
                  <w:tcBorders>
                    <w:tl2br w:val="nil"/>
                    <w:tr2bl w:val="nil"/>
                  </w:tcBorders>
                  <w:vAlign w:val="center"/>
                </w:tcPr>
                <w:p w14:paraId="585F03E0">
                  <w:pPr>
                    <w:pStyle w:val="51"/>
                    <w:bidi w:val="0"/>
                    <w:jc w:val="center"/>
                    <w:rPr>
                      <w:rFonts w:hint="default" w:eastAsia="宋体"/>
                      <w:color w:val="auto"/>
                      <w:lang w:val="en-US" w:eastAsia="zh-CN"/>
                    </w:rPr>
                  </w:pPr>
                  <w:r>
                    <w:rPr>
                      <w:rFonts w:hint="eastAsia"/>
                      <w:color w:val="auto"/>
                      <w:lang w:val="en-US" w:eastAsia="zh-CN"/>
                    </w:rPr>
                    <w:t>包装</w:t>
                  </w:r>
                </w:p>
              </w:tc>
              <w:tc>
                <w:tcPr>
                  <w:tcW w:w="1158" w:type="dxa"/>
                  <w:tcBorders>
                    <w:tl2br w:val="nil"/>
                    <w:tr2bl w:val="nil"/>
                  </w:tcBorders>
                  <w:vAlign w:val="center"/>
                </w:tcPr>
                <w:p w14:paraId="558B3A2B">
                  <w:pPr>
                    <w:pStyle w:val="51"/>
                    <w:bidi w:val="0"/>
                    <w:jc w:val="center"/>
                    <w:rPr>
                      <w:rFonts w:hint="default" w:eastAsia="宋体"/>
                      <w:color w:val="auto"/>
                      <w:lang w:val="en-US" w:eastAsia="zh-CN"/>
                    </w:rPr>
                  </w:pPr>
                  <w:r>
                    <w:rPr>
                      <w:rFonts w:hint="eastAsia"/>
                      <w:color w:val="auto"/>
                      <w:lang w:val="en-US" w:eastAsia="zh-CN"/>
                    </w:rPr>
                    <w:t>废包装袋</w:t>
                  </w:r>
                </w:p>
              </w:tc>
              <w:tc>
                <w:tcPr>
                  <w:tcW w:w="1006" w:type="dxa"/>
                  <w:vMerge w:val="continue"/>
                  <w:tcBorders>
                    <w:tl2br w:val="nil"/>
                    <w:tr2bl w:val="nil"/>
                  </w:tcBorders>
                  <w:vAlign w:val="center"/>
                </w:tcPr>
                <w:p w14:paraId="239BFB17">
                  <w:pPr>
                    <w:pStyle w:val="51"/>
                    <w:bidi w:val="0"/>
                    <w:jc w:val="center"/>
                    <w:rPr>
                      <w:rFonts w:hint="eastAsia" w:eastAsia="宋体"/>
                      <w:color w:val="auto"/>
                      <w:lang w:val="en-US" w:eastAsia="zh-CN"/>
                    </w:rPr>
                  </w:pPr>
                </w:p>
              </w:tc>
              <w:tc>
                <w:tcPr>
                  <w:tcW w:w="663" w:type="dxa"/>
                  <w:vMerge w:val="continue"/>
                  <w:tcBorders>
                    <w:tl2br w:val="nil"/>
                    <w:tr2bl w:val="nil"/>
                  </w:tcBorders>
                  <w:vAlign w:val="center"/>
                </w:tcPr>
                <w:p w14:paraId="50AFEECC">
                  <w:pPr>
                    <w:pStyle w:val="51"/>
                    <w:bidi w:val="0"/>
                    <w:jc w:val="center"/>
                    <w:rPr>
                      <w:rFonts w:hint="eastAsia" w:eastAsia="宋体"/>
                      <w:color w:val="auto"/>
                      <w:lang w:val="en-US" w:eastAsia="zh-CN"/>
                    </w:rPr>
                  </w:pPr>
                </w:p>
              </w:tc>
              <w:tc>
                <w:tcPr>
                  <w:tcW w:w="851" w:type="dxa"/>
                  <w:vMerge w:val="continue"/>
                  <w:tcBorders>
                    <w:tl2br w:val="nil"/>
                    <w:tr2bl w:val="nil"/>
                  </w:tcBorders>
                  <w:vAlign w:val="center"/>
                </w:tcPr>
                <w:p w14:paraId="36C79870">
                  <w:pPr>
                    <w:pStyle w:val="51"/>
                    <w:bidi w:val="0"/>
                    <w:jc w:val="center"/>
                    <w:rPr>
                      <w:rFonts w:hint="eastAsia" w:eastAsia="宋体"/>
                      <w:color w:val="auto"/>
                      <w:lang w:val="en-US" w:eastAsia="zh-CN"/>
                    </w:rPr>
                  </w:pPr>
                </w:p>
              </w:tc>
            </w:tr>
            <w:tr w14:paraId="3E1AC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 w:hRule="atLeast"/>
                <w:jc w:val="center"/>
              </w:trPr>
              <w:tc>
                <w:tcPr>
                  <w:tcW w:w="661" w:type="dxa"/>
                  <w:vMerge w:val="continue"/>
                  <w:tcBorders>
                    <w:tl2br w:val="nil"/>
                    <w:tr2bl w:val="nil"/>
                  </w:tcBorders>
                  <w:vAlign w:val="center"/>
                </w:tcPr>
                <w:p w14:paraId="6D23CEEE">
                  <w:pPr>
                    <w:pStyle w:val="51"/>
                    <w:bidi w:val="0"/>
                    <w:jc w:val="center"/>
                    <w:rPr>
                      <w:rFonts w:hint="eastAsia" w:eastAsia="宋体"/>
                      <w:color w:val="auto"/>
                      <w:lang w:val="en-US" w:eastAsia="zh-CN"/>
                    </w:rPr>
                  </w:pPr>
                </w:p>
              </w:tc>
              <w:tc>
                <w:tcPr>
                  <w:tcW w:w="682" w:type="dxa"/>
                  <w:vMerge w:val="continue"/>
                  <w:tcBorders>
                    <w:tl2br w:val="nil"/>
                    <w:tr2bl w:val="nil"/>
                  </w:tcBorders>
                  <w:vAlign w:val="center"/>
                </w:tcPr>
                <w:p w14:paraId="1F775FC1">
                  <w:pPr>
                    <w:pStyle w:val="51"/>
                    <w:bidi w:val="0"/>
                    <w:jc w:val="center"/>
                    <w:rPr>
                      <w:rFonts w:hint="eastAsia" w:eastAsia="宋体"/>
                      <w:color w:val="auto"/>
                      <w:lang w:val="en-US" w:eastAsia="zh-CN"/>
                    </w:rPr>
                  </w:pPr>
                </w:p>
              </w:tc>
              <w:tc>
                <w:tcPr>
                  <w:tcW w:w="575" w:type="dxa"/>
                  <w:vMerge w:val="continue"/>
                  <w:tcBorders>
                    <w:tl2br w:val="nil"/>
                    <w:tr2bl w:val="nil"/>
                  </w:tcBorders>
                  <w:vAlign w:val="center"/>
                </w:tcPr>
                <w:p w14:paraId="3D7C5558">
                  <w:pPr>
                    <w:pStyle w:val="51"/>
                    <w:bidi w:val="0"/>
                    <w:jc w:val="center"/>
                    <w:rPr>
                      <w:rFonts w:hint="eastAsia" w:eastAsia="宋体"/>
                      <w:color w:val="auto"/>
                      <w:lang w:val="en-US" w:eastAsia="zh-CN"/>
                    </w:rPr>
                  </w:pPr>
                </w:p>
              </w:tc>
              <w:tc>
                <w:tcPr>
                  <w:tcW w:w="925" w:type="dxa"/>
                  <w:vMerge w:val="continue"/>
                  <w:tcBorders>
                    <w:tl2br w:val="nil"/>
                    <w:tr2bl w:val="nil"/>
                  </w:tcBorders>
                  <w:vAlign w:val="center"/>
                </w:tcPr>
                <w:p w14:paraId="5B68CAC7">
                  <w:pPr>
                    <w:pStyle w:val="51"/>
                    <w:bidi w:val="0"/>
                    <w:jc w:val="center"/>
                    <w:rPr>
                      <w:rFonts w:hint="eastAsia" w:eastAsia="宋体"/>
                      <w:color w:val="auto"/>
                      <w:lang w:val="en-US" w:eastAsia="zh-CN"/>
                    </w:rPr>
                  </w:pPr>
                </w:p>
              </w:tc>
              <w:tc>
                <w:tcPr>
                  <w:tcW w:w="1132" w:type="dxa"/>
                  <w:tcBorders>
                    <w:tl2br w:val="nil"/>
                    <w:tr2bl w:val="nil"/>
                  </w:tcBorders>
                  <w:vAlign w:val="center"/>
                </w:tcPr>
                <w:p w14:paraId="1A95A6BC">
                  <w:pPr>
                    <w:pStyle w:val="51"/>
                    <w:bidi w:val="0"/>
                    <w:jc w:val="center"/>
                    <w:rPr>
                      <w:rFonts w:hint="default" w:eastAsia="宋体"/>
                      <w:color w:val="auto"/>
                      <w:lang w:val="en-US" w:eastAsia="zh-CN"/>
                    </w:rPr>
                  </w:pPr>
                  <w:r>
                    <w:rPr>
                      <w:rFonts w:hint="eastAsia"/>
                      <w:color w:val="auto"/>
                      <w:lang w:val="en-US" w:eastAsia="zh-CN"/>
                    </w:rPr>
                    <w:t>办公生活</w:t>
                  </w:r>
                </w:p>
              </w:tc>
              <w:tc>
                <w:tcPr>
                  <w:tcW w:w="1158" w:type="dxa"/>
                  <w:tcBorders>
                    <w:tl2br w:val="nil"/>
                    <w:tr2bl w:val="nil"/>
                  </w:tcBorders>
                  <w:vAlign w:val="center"/>
                </w:tcPr>
                <w:p w14:paraId="141C5E1E">
                  <w:pPr>
                    <w:pStyle w:val="51"/>
                    <w:bidi w:val="0"/>
                    <w:jc w:val="center"/>
                    <w:rPr>
                      <w:rFonts w:hint="default" w:eastAsia="宋体"/>
                      <w:color w:val="auto"/>
                      <w:lang w:val="en-US" w:eastAsia="zh-CN"/>
                    </w:rPr>
                  </w:pPr>
                  <w:r>
                    <w:rPr>
                      <w:rFonts w:hint="eastAsia"/>
                      <w:color w:val="auto"/>
                      <w:lang w:val="en-US" w:eastAsia="zh-CN"/>
                    </w:rPr>
                    <w:t>生活垃圾</w:t>
                  </w:r>
                </w:p>
              </w:tc>
              <w:tc>
                <w:tcPr>
                  <w:tcW w:w="1006" w:type="dxa"/>
                  <w:vMerge w:val="continue"/>
                  <w:tcBorders>
                    <w:tl2br w:val="nil"/>
                    <w:tr2bl w:val="nil"/>
                  </w:tcBorders>
                  <w:vAlign w:val="center"/>
                </w:tcPr>
                <w:p w14:paraId="4B2F78E1">
                  <w:pPr>
                    <w:pStyle w:val="51"/>
                    <w:bidi w:val="0"/>
                    <w:jc w:val="center"/>
                    <w:rPr>
                      <w:rFonts w:hint="eastAsia" w:eastAsia="宋体"/>
                      <w:color w:val="auto"/>
                      <w:lang w:val="en-US" w:eastAsia="zh-CN"/>
                    </w:rPr>
                  </w:pPr>
                </w:p>
              </w:tc>
              <w:tc>
                <w:tcPr>
                  <w:tcW w:w="663" w:type="dxa"/>
                  <w:vMerge w:val="continue"/>
                  <w:tcBorders>
                    <w:tl2br w:val="nil"/>
                    <w:tr2bl w:val="nil"/>
                  </w:tcBorders>
                  <w:vAlign w:val="center"/>
                </w:tcPr>
                <w:p w14:paraId="7583FD47">
                  <w:pPr>
                    <w:pStyle w:val="51"/>
                    <w:bidi w:val="0"/>
                    <w:jc w:val="center"/>
                    <w:rPr>
                      <w:rFonts w:hint="eastAsia" w:eastAsia="宋体"/>
                      <w:color w:val="auto"/>
                      <w:lang w:val="en-US" w:eastAsia="zh-CN"/>
                    </w:rPr>
                  </w:pPr>
                </w:p>
              </w:tc>
              <w:tc>
                <w:tcPr>
                  <w:tcW w:w="851" w:type="dxa"/>
                  <w:vMerge w:val="continue"/>
                  <w:tcBorders>
                    <w:tl2br w:val="nil"/>
                    <w:tr2bl w:val="nil"/>
                  </w:tcBorders>
                  <w:vAlign w:val="center"/>
                </w:tcPr>
                <w:p w14:paraId="48876346">
                  <w:pPr>
                    <w:pStyle w:val="51"/>
                    <w:bidi w:val="0"/>
                    <w:jc w:val="center"/>
                    <w:rPr>
                      <w:rFonts w:hint="eastAsia" w:eastAsia="宋体"/>
                      <w:color w:val="auto"/>
                      <w:lang w:val="en-US" w:eastAsia="zh-CN"/>
                    </w:rPr>
                  </w:pPr>
                </w:p>
              </w:tc>
            </w:tr>
          </w:tbl>
          <w:p w14:paraId="1DF5202E">
            <w:pPr>
              <w:pStyle w:val="4"/>
              <w:bidi w:val="0"/>
              <w:rPr>
                <w:rFonts w:hint="eastAsia"/>
                <w:color w:val="auto"/>
                <w:lang w:val="en-US" w:eastAsia="zh-CN"/>
              </w:rPr>
            </w:pPr>
            <w:r>
              <w:rPr>
                <w:rFonts w:hint="eastAsia"/>
                <w:color w:val="auto"/>
                <w:lang w:val="en-US" w:eastAsia="zh-CN"/>
              </w:rPr>
              <w:t>2.9.3物料平衡</w:t>
            </w:r>
          </w:p>
          <w:p w14:paraId="0FEF145C">
            <w:pPr>
              <w:pStyle w:val="39"/>
              <w:bidi w:val="0"/>
              <w:rPr>
                <w:rFonts w:hint="eastAsia"/>
                <w:color w:val="auto"/>
                <w:lang w:val="en-US" w:eastAsia="zh-CN"/>
              </w:rPr>
            </w:pPr>
            <w:r>
              <w:rPr>
                <w:rFonts w:hint="eastAsia"/>
                <w:color w:val="auto"/>
                <w:lang w:val="en-US" w:eastAsia="zh-CN"/>
              </w:rPr>
              <w:t>项目物料平衡一览表如下：</w:t>
            </w:r>
          </w:p>
          <w:p w14:paraId="5C4B25EA">
            <w:pPr>
              <w:pStyle w:val="46"/>
              <w:bidi w:val="0"/>
              <w:rPr>
                <w:rFonts w:hint="eastAsia"/>
                <w:color w:val="auto"/>
                <w:lang w:val="en-US" w:eastAsia="zh-CN"/>
              </w:rPr>
            </w:pPr>
            <w:r>
              <w:rPr>
                <w:rFonts w:hint="eastAsia"/>
                <w:color w:val="auto"/>
                <w:lang w:val="en-US" w:eastAsia="zh-CN"/>
              </w:rPr>
              <w:t>表2-8   项目物料平衡一览表</w:t>
            </w:r>
          </w:p>
          <w:tbl>
            <w:tblPr>
              <w:tblStyle w:val="31"/>
              <w:tblW w:w="79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
              <w:gridCol w:w="1499"/>
              <w:gridCol w:w="10"/>
              <w:gridCol w:w="1622"/>
              <w:gridCol w:w="10"/>
              <w:gridCol w:w="1371"/>
              <w:gridCol w:w="10"/>
              <w:gridCol w:w="1843"/>
              <w:gridCol w:w="10"/>
              <w:gridCol w:w="1528"/>
              <w:gridCol w:w="10"/>
            </w:tblGrid>
            <w:tr w14:paraId="672C9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0" w:hRule="atLeast"/>
                <w:jc w:val="center"/>
              </w:trPr>
              <w:tc>
                <w:tcPr>
                  <w:tcW w:w="1509"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2DC90EDC">
                  <w:pPr>
                    <w:pStyle w:val="51"/>
                    <w:bidi w:val="0"/>
                    <w:rPr>
                      <w:rFonts w:hint="eastAsia"/>
                    </w:rPr>
                  </w:pPr>
                  <w:r>
                    <w:rPr>
                      <w:rFonts w:hint="eastAsia"/>
                      <w:lang w:val="en-US" w:eastAsia="zh-CN"/>
                    </w:rPr>
                    <w:t>工序</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C8056">
                  <w:pPr>
                    <w:pStyle w:val="51"/>
                    <w:bidi w:val="0"/>
                    <w:rPr>
                      <w:rFonts w:hint="eastAsia"/>
                    </w:rPr>
                  </w:pPr>
                  <w:r>
                    <w:rPr>
                      <w:rFonts w:hint="eastAsia"/>
                      <w:lang w:val="en-US" w:eastAsia="zh-CN"/>
                    </w:rPr>
                    <w:t>进料</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AC14C">
                  <w:pPr>
                    <w:pStyle w:val="51"/>
                    <w:bidi w:val="0"/>
                    <w:rPr>
                      <w:rFonts w:hint="default"/>
                    </w:rPr>
                  </w:pPr>
                  <w:r>
                    <w:rPr>
                      <w:rFonts w:hint="default"/>
                      <w:lang w:val="en-US" w:eastAsia="zh-CN"/>
                    </w:rPr>
                    <w:t>t/a</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E8FB51">
                  <w:pPr>
                    <w:pStyle w:val="51"/>
                    <w:bidi w:val="0"/>
                    <w:rPr>
                      <w:rFonts w:hint="eastAsia"/>
                    </w:rPr>
                  </w:pPr>
                  <w:r>
                    <w:rPr>
                      <w:rFonts w:hint="eastAsia"/>
                      <w:lang w:val="en-US" w:eastAsia="zh-CN"/>
                    </w:rPr>
                    <w:t>出料</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3C5D2">
                  <w:pPr>
                    <w:pStyle w:val="51"/>
                    <w:bidi w:val="0"/>
                    <w:rPr>
                      <w:rFonts w:hint="default"/>
                    </w:rPr>
                  </w:pPr>
                  <w:r>
                    <w:rPr>
                      <w:rFonts w:hint="default"/>
                      <w:lang w:val="en-US" w:eastAsia="zh-CN"/>
                    </w:rPr>
                    <w:t>t/a</w:t>
                  </w:r>
                </w:p>
              </w:tc>
            </w:tr>
            <w:tr w14:paraId="51EA3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0" w:hRule="atLeast"/>
                <w:jc w:val="center"/>
              </w:trPr>
              <w:tc>
                <w:tcPr>
                  <w:tcW w:w="1509" w:type="dxa"/>
                  <w:gridSpan w:val="2"/>
                  <w:vMerge w:val="restart"/>
                  <w:tcBorders>
                    <w:top w:val="single" w:color="000000" w:sz="4" w:space="0"/>
                    <w:left w:val="single" w:color="000000" w:sz="4" w:space="0"/>
                    <w:right w:val="single" w:color="000000" w:sz="4" w:space="0"/>
                  </w:tcBorders>
                  <w:shd w:val="clear" w:color="auto" w:fill="auto"/>
                  <w:vAlign w:val="center"/>
                </w:tcPr>
                <w:p w14:paraId="18F04E3D">
                  <w:pPr>
                    <w:pStyle w:val="51"/>
                    <w:bidi w:val="0"/>
                    <w:rPr>
                      <w:rFonts w:hint="eastAsia"/>
                    </w:rPr>
                  </w:pPr>
                  <w:r>
                    <w:rPr>
                      <w:rFonts w:hint="eastAsia"/>
                      <w:lang w:val="en-US" w:eastAsia="zh-CN"/>
                    </w:rPr>
                    <w:t>金属分选</w:t>
                  </w:r>
                </w:p>
              </w:tc>
              <w:tc>
                <w:tcPr>
                  <w:tcW w:w="1632" w:type="dxa"/>
                  <w:gridSpan w:val="2"/>
                  <w:vMerge w:val="restart"/>
                  <w:tcBorders>
                    <w:top w:val="single" w:color="000000" w:sz="4" w:space="0"/>
                    <w:left w:val="single" w:color="000000" w:sz="4" w:space="0"/>
                    <w:right w:val="single" w:color="000000" w:sz="4" w:space="0"/>
                  </w:tcBorders>
                  <w:shd w:val="clear" w:color="auto" w:fill="auto"/>
                  <w:vAlign w:val="center"/>
                </w:tcPr>
                <w:p w14:paraId="447EC967">
                  <w:pPr>
                    <w:pStyle w:val="51"/>
                    <w:bidi w:val="0"/>
                    <w:rPr>
                      <w:rFonts w:hint="eastAsia"/>
                    </w:rPr>
                  </w:pPr>
                  <w:r>
                    <w:rPr>
                      <w:rFonts w:hint="eastAsia"/>
                      <w:lang w:val="en-US" w:eastAsia="zh-CN"/>
                    </w:rPr>
                    <w:t>回收原料</w:t>
                  </w:r>
                </w:p>
              </w:tc>
              <w:tc>
                <w:tcPr>
                  <w:tcW w:w="1381" w:type="dxa"/>
                  <w:gridSpan w:val="2"/>
                  <w:vMerge w:val="restart"/>
                  <w:tcBorders>
                    <w:top w:val="single" w:color="000000" w:sz="4" w:space="0"/>
                    <w:left w:val="single" w:color="000000" w:sz="4" w:space="0"/>
                    <w:right w:val="single" w:color="000000" w:sz="4" w:space="0"/>
                  </w:tcBorders>
                  <w:shd w:val="clear" w:color="auto" w:fill="auto"/>
                  <w:vAlign w:val="center"/>
                </w:tcPr>
                <w:p w14:paraId="77977AF4">
                  <w:pPr>
                    <w:pStyle w:val="51"/>
                    <w:bidi w:val="0"/>
                    <w:rPr>
                      <w:rFonts w:hint="default"/>
                    </w:rPr>
                  </w:pPr>
                  <w:r>
                    <w:rPr>
                      <w:rFonts w:hint="default"/>
                      <w:lang w:val="en-US" w:eastAsia="zh-CN"/>
                    </w:rPr>
                    <w:t>20000</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C0D7D">
                  <w:pPr>
                    <w:pStyle w:val="51"/>
                    <w:bidi w:val="0"/>
                    <w:rPr>
                      <w:rFonts w:hint="eastAsia"/>
                    </w:rPr>
                  </w:pPr>
                  <w:r>
                    <w:rPr>
                      <w:rFonts w:hint="eastAsia"/>
                      <w:lang w:val="en-US" w:eastAsia="zh-CN"/>
                    </w:rPr>
                    <w:t>不锈钢</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DA5E00">
                  <w:pPr>
                    <w:pStyle w:val="51"/>
                    <w:bidi w:val="0"/>
                    <w:rPr>
                      <w:rFonts w:hint="default"/>
                    </w:rPr>
                  </w:pPr>
                  <w:r>
                    <w:rPr>
                      <w:rFonts w:hint="default"/>
                      <w:lang w:val="en-US" w:eastAsia="zh-CN"/>
                    </w:rPr>
                    <w:t>500</w:t>
                  </w:r>
                </w:p>
              </w:tc>
            </w:tr>
            <w:tr w14:paraId="652DF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0" w:hRule="atLeast"/>
                <w:jc w:val="center"/>
              </w:trPr>
              <w:tc>
                <w:tcPr>
                  <w:tcW w:w="1509" w:type="dxa"/>
                  <w:gridSpan w:val="2"/>
                  <w:vMerge w:val="continue"/>
                  <w:tcBorders>
                    <w:left w:val="single" w:color="000000" w:sz="4" w:space="0"/>
                    <w:right w:val="single" w:color="000000" w:sz="4" w:space="0"/>
                  </w:tcBorders>
                  <w:shd w:val="clear" w:color="auto" w:fill="auto"/>
                  <w:vAlign w:val="center"/>
                </w:tcPr>
                <w:p w14:paraId="7B8912A1">
                  <w:pPr>
                    <w:pStyle w:val="51"/>
                    <w:bidi w:val="0"/>
                    <w:rPr>
                      <w:rFonts w:hint="eastAsia"/>
                    </w:rPr>
                  </w:pPr>
                </w:p>
              </w:tc>
              <w:tc>
                <w:tcPr>
                  <w:tcW w:w="1632" w:type="dxa"/>
                  <w:gridSpan w:val="2"/>
                  <w:vMerge w:val="continue"/>
                  <w:tcBorders>
                    <w:left w:val="single" w:color="000000" w:sz="4" w:space="0"/>
                    <w:right w:val="single" w:color="000000" w:sz="4" w:space="0"/>
                  </w:tcBorders>
                  <w:shd w:val="clear" w:color="auto" w:fill="auto"/>
                  <w:vAlign w:val="center"/>
                </w:tcPr>
                <w:p w14:paraId="6AC9903E">
                  <w:pPr>
                    <w:pStyle w:val="51"/>
                    <w:bidi w:val="0"/>
                    <w:rPr>
                      <w:rFonts w:hint="eastAsia"/>
                    </w:rPr>
                  </w:pPr>
                </w:p>
              </w:tc>
              <w:tc>
                <w:tcPr>
                  <w:tcW w:w="1381" w:type="dxa"/>
                  <w:gridSpan w:val="2"/>
                  <w:vMerge w:val="continue"/>
                  <w:tcBorders>
                    <w:left w:val="single" w:color="000000" w:sz="4" w:space="0"/>
                    <w:right w:val="single" w:color="000000" w:sz="4" w:space="0"/>
                  </w:tcBorders>
                  <w:shd w:val="clear" w:color="auto" w:fill="auto"/>
                  <w:vAlign w:val="center"/>
                </w:tcPr>
                <w:p w14:paraId="0A7771DB">
                  <w:pPr>
                    <w:pStyle w:val="51"/>
                    <w:bidi w:val="0"/>
                    <w:rPr>
                      <w:rFonts w:hint="default"/>
                    </w:rPr>
                  </w:pP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6ECA1">
                  <w:pPr>
                    <w:pStyle w:val="51"/>
                    <w:bidi w:val="0"/>
                    <w:rPr>
                      <w:rFonts w:hint="eastAsia"/>
                    </w:rPr>
                  </w:pPr>
                  <w:r>
                    <w:rPr>
                      <w:rFonts w:hint="eastAsia"/>
                      <w:lang w:val="en-US" w:eastAsia="zh-CN"/>
                    </w:rPr>
                    <w:t>铁</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C3FA0">
                  <w:pPr>
                    <w:pStyle w:val="51"/>
                    <w:bidi w:val="0"/>
                    <w:rPr>
                      <w:rFonts w:hint="default"/>
                    </w:rPr>
                  </w:pPr>
                  <w:r>
                    <w:rPr>
                      <w:rFonts w:hint="default"/>
                      <w:lang w:val="en-US" w:eastAsia="zh-CN"/>
                    </w:rPr>
                    <w:t>10730</w:t>
                  </w:r>
                </w:p>
              </w:tc>
            </w:tr>
            <w:tr w14:paraId="23EE7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0" w:hRule="atLeast"/>
                <w:jc w:val="center"/>
              </w:trPr>
              <w:tc>
                <w:tcPr>
                  <w:tcW w:w="1509" w:type="dxa"/>
                  <w:gridSpan w:val="2"/>
                  <w:vMerge w:val="continue"/>
                  <w:tcBorders>
                    <w:left w:val="single" w:color="000000" w:sz="4" w:space="0"/>
                    <w:right w:val="single" w:color="000000" w:sz="4" w:space="0"/>
                  </w:tcBorders>
                  <w:shd w:val="clear" w:color="auto" w:fill="auto"/>
                  <w:vAlign w:val="center"/>
                </w:tcPr>
                <w:p w14:paraId="02549274">
                  <w:pPr>
                    <w:pStyle w:val="51"/>
                    <w:bidi w:val="0"/>
                    <w:rPr>
                      <w:rFonts w:hint="eastAsia"/>
                    </w:rPr>
                  </w:pPr>
                </w:p>
              </w:tc>
              <w:tc>
                <w:tcPr>
                  <w:tcW w:w="1632" w:type="dxa"/>
                  <w:gridSpan w:val="2"/>
                  <w:vMerge w:val="continue"/>
                  <w:tcBorders>
                    <w:left w:val="single" w:color="000000" w:sz="4" w:space="0"/>
                    <w:right w:val="single" w:color="000000" w:sz="4" w:space="0"/>
                  </w:tcBorders>
                  <w:shd w:val="clear" w:color="auto" w:fill="auto"/>
                  <w:vAlign w:val="center"/>
                </w:tcPr>
                <w:p w14:paraId="20D51B26">
                  <w:pPr>
                    <w:pStyle w:val="51"/>
                    <w:bidi w:val="0"/>
                    <w:rPr>
                      <w:rFonts w:hint="eastAsia"/>
                    </w:rPr>
                  </w:pPr>
                </w:p>
              </w:tc>
              <w:tc>
                <w:tcPr>
                  <w:tcW w:w="1381" w:type="dxa"/>
                  <w:gridSpan w:val="2"/>
                  <w:vMerge w:val="continue"/>
                  <w:tcBorders>
                    <w:left w:val="single" w:color="000000" w:sz="4" w:space="0"/>
                    <w:right w:val="single" w:color="000000" w:sz="4" w:space="0"/>
                  </w:tcBorders>
                  <w:shd w:val="clear" w:color="auto" w:fill="auto"/>
                  <w:vAlign w:val="center"/>
                </w:tcPr>
                <w:p w14:paraId="086F6D5B">
                  <w:pPr>
                    <w:pStyle w:val="51"/>
                    <w:bidi w:val="0"/>
                    <w:rPr>
                      <w:rFonts w:hint="default"/>
                    </w:rPr>
                  </w:pP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42D7B">
                  <w:pPr>
                    <w:pStyle w:val="51"/>
                    <w:bidi w:val="0"/>
                    <w:rPr>
                      <w:rFonts w:hint="eastAsia"/>
                    </w:rPr>
                  </w:pPr>
                  <w:r>
                    <w:rPr>
                      <w:rFonts w:hint="eastAsia"/>
                      <w:lang w:val="en-US" w:eastAsia="zh-CN"/>
                    </w:rPr>
                    <w:t>铜、铝</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5627F">
                  <w:pPr>
                    <w:pStyle w:val="51"/>
                    <w:bidi w:val="0"/>
                    <w:rPr>
                      <w:rFonts w:hint="default"/>
                    </w:rPr>
                  </w:pPr>
                  <w:r>
                    <w:rPr>
                      <w:rFonts w:hint="default"/>
                      <w:lang w:val="en-US" w:eastAsia="zh-CN"/>
                    </w:rPr>
                    <w:t>500</w:t>
                  </w:r>
                </w:p>
              </w:tc>
            </w:tr>
            <w:tr w14:paraId="0539E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0" w:hRule="atLeast"/>
                <w:jc w:val="center"/>
              </w:trPr>
              <w:tc>
                <w:tcPr>
                  <w:tcW w:w="1509" w:type="dxa"/>
                  <w:gridSpan w:val="2"/>
                  <w:vMerge w:val="continue"/>
                  <w:tcBorders>
                    <w:left w:val="single" w:color="000000" w:sz="4" w:space="0"/>
                    <w:right w:val="single" w:color="000000" w:sz="4" w:space="0"/>
                  </w:tcBorders>
                  <w:shd w:val="clear" w:color="auto" w:fill="auto"/>
                  <w:vAlign w:val="center"/>
                </w:tcPr>
                <w:p w14:paraId="6C45E621">
                  <w:pPr>
                    <w:pStyle w:val="51"/>
                    <w:bidi w:val="0"/>
                    <w:rPr>
                      <w:rFonts w:hint="eastAsia"/>
                    </w:rPr>
                  </w:pPr>
                </w:p>
              </w:tc>
              <w:tc>
                <w:tcPr>
                  <w:tcW w:w="1632" w:type="dxa"/>
                  <w:gridSpan w:val="2"/>
                  <w:vMerge w:val="continue"/>
                  <w:tcBorders>
                    <w:left w:val="single" w:color="000000" w:sz="4" w:space="0"/>
                    <w:right w:val="single" w:color="000000" w:sz="4" w:space="0"/>
                  </w:tcBorders>
                  <w:shd w:val="clear" w:color="auto" w:fill="auto"/>
                  <w:vAlign w:val="center"/>
                </w:tcPr>
                <w:p w14:paraId="10414EFD">
                  <w:pPr>
                    <w:pStyle w:val="51"/>
                    <w:bidi w:val="0"/>
                    <w:rPr>
                      <w:rFonts w:hint="eastAsia"/>
                    </w:rPr>
                  </w:pPr>
                </w:p>
              </w:tc>
              <w:tc>
                <w:tcPr>
                  <w:tcW w:w="1381" w:type="dxa"/>
                  <w:gridSpan w:val="2"/>
                  <w:vMerge w:val="continue"/>
                  <w:tcBorders>
                    <w:left w:val="single" w:color="000000" w:sz="4" w:space="0"/>
                    <w:right w:val="single" w:color="000000" w:sz="4" w:space="0"/>
                  </w:tcBorders>
                  <w:shd w:val="clear" w:color="auto" w:fill="auto"/>
                  <w:vAlign w:val="center"/>
                </w:tcPr>
                <w:p w14:paraId="18BAE528">
                  <w:pPr>
                    <w:pStyle w:val="51"/>
                    <w:bidi w:val="0"/>
                    <w:rPr>
                      <w:rFonts w:hint="default"/>
                    </w:rPr>
                  </w:pP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1A348">
                  <w:pPr>
                    <w:pStyle w:val="51"/>
                    <w:bidi w:val="0"/>
                    <w:rPr>
                      <w:rFonts w:hint="eastAsia"/>
                    </w:rPr>
                  </w:pPr>
                  <w:r>
                    <w:rPr>
                      <w:rFonts w:hint="eastAsia"/>
                      <w:lang w:val="en-US" w:eastAsia="zh-CN"/>
                    </w:rPr>
                    <w:t>絮状物</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A9A0C">
                  <w:pPr>
                    <w:pStyle w:val="51"/>
                    <w:bidi w:val="0"/>
                    <w:rPr>
                      <w:rFonts w:hint="eastAsia"/>
                    </w:rPr>
                  </w:pPr>
                  <w:r>
                    <w:rPr>
                      <w:rFonts w:hint="eastAsia"/>
                      <w:lang w:val="en-US" w:eastAsia="zh-CN"/>
                    </w:rPr>
                    <w:t>85</w:t>
                  </w:r>
                </w:p>
              </w:tc>
            </w:tr>
            <w:tr w14:paraId="4B689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0" w:hRule="atLeast"/>
                <w:jc w:val="center"/>
              </w:trPr>
              <w:tc>
                <w:tcPr>
                  <w:tcW w:w="1509" w:type="dxa"/>
                  <w:gridSpan w:val="2"/>
                  <w:vMerge w:val="continue"/>
                  <w:tcBorders>
                    <w:left w:val="single" w:color="000000" w:sz="4" w:space="0"/>
                    <w:right w:val="single" w:color="000000" w:sz="4" w:space="0"/>
                  </w:tcBorders>
                  <w:shd w:val="clear" w:color="auto" w:fill="auto"/>
                  <w:vAlign w:val="center"/>
                </w:tcPr>
                <w:p w14:paraId="5A9980C5">
                  <w:pPr>
                    <w:pStyle w:val="51"/>
                    <w:bidi w:val="0"/>
                    <w:rPr>
                      <w:rFonts w:hint="eastAsia"/>
                    </w:rPr>
                  </w:pPr>
                </w:p>
              </w:tc>
              <w:tc>
                <w:tcPr>
                  <w:tcW w:w="1632" w:type="dxa"/>
                  <w:gridSpan w:val="2"/>
                  <w:vMerge w:val="continue"/>
                  <w:tcBorders>
                    <w:left w:val="single" w:color="000000" w:sz="4" w:space="0"/>
                    <w:right w:val="single" w:color="000000" w:sz="4" w:space="0"/>
                  </w:tcBorders>
                  <w:shd w:val="clear" w:color="auto" w:fill="auto"/>
                  <w:vAlign w:val="center"/>
                </w:tcPr>
                <w:p w14:paraId="732FC168">
                  <w:pPr>
                    <w:pStyle w:val="51"/>
                    <w:bidi w:val="0"/>
                    <w:rPr>
                      <w:rFonts w:hint="eastAsia"/>
                    </w:rPr>
                  </w:pPr>
                </w:p>
              </w:tc>
              <w:tc>
                <w:tcPr>
                  <w:tcW w:w="1381" w:type="dxa"/>
                  <w:gridSpan w:val="2"/>
                  <w:vMerge w:val="continue"/>
                  <w:tcBorders>
                    <w:left w:val="single" w:color="000000" w:sz="4" w:space="0"/>
                    <w:right w:val="single" w:color="000000" w:sz="4" w:space="0"/>
                  </w:tcBorders>
                  <w:shd w:val="clear" w:color="auto" w:fill="auto"/>
                  <w:vAlign w:val="center"/>
                </w:tcPr>
                <w:p w14:paraId="22FFB4CE">
                  <w:pPr>
                    <w:pStyle w:val="51"/>
                    <w:bidi w:val="0"/>
                    <w:rPr>
                      <w:rFonts w:hint="default"/>
                    </w:rPr>
                  </w:pP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1150F">
                  <w:pPr>
                    <w:pStyle w:val="51"/>
                    <w:bidi w:val="0"/>
                    <w:rPr>
                      <w:rFonts w:hint="eastAsia"/>
                    </w:rPr>
                  </w:pPr>
                  <w:r>
                    <w:rPr>
                      <w:rFonts w:hint="eastAsia"/>
                      <w:lang w:val="en-US" w:eastAsia="zh-CN"/>
                    </w:rPr>
                    <w:t>金属筛选后料</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A0963">
                  <w:pPr>
                    <w:pStyle w:val="51"/>
                    <w:bidi w:val="0"/>
                    <w:rPr>
                      <w:rFonts w:hint="eastAsia"/>
                    </w:rPr>
                  </w:pPr>
                  <w:r>
                    <w:rPr>
                      <w:rFonts w:hint="eastAsia"/>
                      <w:lang w:val="en-US" w:eastAsia="zh-CN"/>
                    </w:rPr>
                    <w:t>8182.8</w:t>
                  </w:r>
                </w:p>
              </w:tc>
            </w:tr>
            <w:tr w14:paraId="74541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0" w:hRule="atLeast"/>
                <w:jc w:val="center"/>
              </w:trPr>
              <w:tc>
                <w:tcPr>
                  <w:tcW w:w="1509" w:type="dxa"/>
                  <w:gridSpan w:val="2"/>
                  <w:vMerge w:val="continue"/>
                  <w:tcBorders>
                    <w:left w:val="single" w:color="000000" w:sz="4" w:space="0"/>
                    <w:bottom w:val="single" w:color="000000" w:sz="4" w:space="0"/>
                    <w:right w:val="single" w:color="000000" w:sz="4" w:space="0"/>
                  </w:tcBorders>
                  <w:shd w:val="clear" w:color="auto" w:fill="auto"/>
                  <w:vAlign w:val="center"/>
                </w:tcPr>
                <w:p w14:paraId="6EED40A3">
                  <w:pPr>
                    <w:pStyle w:val="51"/>
                    <w:bidi w:val="0"/>
                    <w:rPr>
                      <w:rFonts w:hint="eastAsia"/>
                    </w:rPr>
                  </w:pPr>
                </w:p>
              </w:tc>
              <w:tc>
                <w:tcPr>
                  <w:tcW w:w="1632" w:type="dxa"/>
                  <w:gridSpan w:val="2"/>
                  <w:vMerge w:val="continue"/>
                  <w:tcBorders>
                    <w:left w:val="single" w:color="000000" w:sz="4" w:space="0"/>
                    <w:bottom w:val="single" w:color="000000" w:sz="4" w:space="0"/>
                    <w:right w:val="single" w:color="000000" w:sz="4" w:space="0"/>
                  </w:tcBorders>
                  <w:shd w:val="clear" w:color="auto" w:fill="auto"/>
                  <w:vAlign w:val="center"/>
                </w:tcPr>
                <w:p w14:paraId="57369FD7">
                  <w:pPr>
                    <w:pStyle w:val="51"/>
                    <w:bidi w:val="0"/>
                    <w:rPr>
                      <w:rFonts w:hint="eastAsia"/>
                    </w:rPr>
                  </w:pPr>
                </w:p>
              </w:tc>
              <w:tc>
                <w:tcPr>
                  <w:tcW w:w="1381" w:type="dxa"/>
                  <w:gridSpan w:val="2"/>
                  <w:vMerge w:val="continue"/>
                  <w:tcBorders>
                    <w:left w:val="single" w:color="000000" w:sz="4" w:space="0"/>
                    <w:bottom w:val="single" w:color="000000" w:sz="4" w:space="0"/>
                    <w:right w:val="single" w:color="000000" w:sz="4" w:space="0"/>
                  </w:tcBorders>
                  <w:shd w:val="clear" w:color="auto" w:fill="auto"/>
                  <w:vAlign w:val="center"/>
                </w:tcPr>
                <w:p w14:paraId="6829FAED">
                  <w:pPr>
                    <w:pStyle w:val="51"/>
                    <w:bidi w:val="0"/>
                    <w:rPr>
                      <w:rFonts w:hint="default"/>
                    </w:rPr>
                  </w:pP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337DF">
                  <w:pPr>
                    <w:pStyle w:val="51"/>
                    <w:bidi w:val="0"/>
                    <w:rPr>
                      <w:rFonts w:hint="eastAsia"/>
                    </w:rPr>
                  </w:pPr>
                  <w:r>
                    <w:rPr>
                      <w:rFonts w:hint="eastAsia"/>
                      <w:lang w:val="en-US" w:eastAsia="zh-CN"/>
                    </w:rPr>
                    <w:t>除尘灰</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3EA39">
                  <w:pPr>
                    <w:pStyle w:val="51"/>
                    <w:bidi w:val="0"/>
                    <w:rPr>
                      <w:rFonts w:hint="eastAsia"/>
                    </w:rPr>
                  </w:pPr>
                  <w:r>
                    <w:rPr>
                      <w:rFonts w:hint="eastAsia"/>
                      <w:lang w:val="en-US" w:eastAsia="zh-CN"/>
                    </w:rPr>
                    <w:t>2.2</w:t>
                  </w:r>
                </w:p>
              </w:tc>
            </w:tr>
            <w:tr w14:paraId="2E264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0" w:hRule="atLeast"/>
                <w:jc w:val="center"/>
              </w:trPr>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C8754">
                  <w:pPr>
                    <w:pStyle w:val="51"/>
                    <w:bidi w:val="0"/>
                    <w:rPr>
                      <w:rFonts w:hint="eastAsia"/>
                    </w:rPr>
                  </w:pPr>
                  <w:r>
                    <w:rPr>
                      <w:rFonts w:hint="eastAsia"/>
                      <w:lang w:val="en-US" w:eastAsia="zh-CN"/>
                    </w:rPr>
                    <w:t>小计</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E8854">
                  <w:pPr>
                    <w:pStyle w:val="51"/>
                    <w:bidi w:val="0"/>
                    <w:rPr>
                      <w:rFonts w:hint="eastAsia"/>
                      <w:lang w:val="en-US" w:eastAsia="zh-CN"/>
                    </w:rPr>
                  </w:pPr>
                  <w:r>
                    <w:rPr>
                      <w:rFonts w:hint="eastAsia"/>
                      <w:lang w:val="en-US" w:eastAsia="zh-CN"/>
                    </w:rPr>
                    <w:t>/</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78ECF">
                  <w:pPr>
                    <w:pStyle w:val="51"/>
                    <w:bidi w:val="0"/>
                    <w:rPr>
                      <w:rFonts w:hint="default"/>
                    </w:rPr>
                  </w:pPr>
                  <w:r>
                    <w:rPr>
                      <w:rFonts w:hint="default"/>
                      <w:lang w:val="en-US" w:eastAsia="zh-CN"/>
                    </w:rPr>
                    <w:t>20000</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692209">
                  <w:pPr>
                    <w:pStyle w:val="51"/>
                    <w:bidi w:val="0"/>
                    <w:rPr>
                      <w:rFonts w:hint="eastAsia"/>
                      <w:lang w:val="en-US" w:eastAsia="zh-CN"/>
                    </w:rPr>
                  </w:pPr>
                  <w:r>
                    <w:rPr>
                      <w:rFonts w:hint="eastAsia"/>
                      <w:lang w:val="en-US" w:eastAsia="zh-CN"/>
                    </w:rPr>
                    <w:t>/</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04AA9">
                  <w:pPr>
                    <w:pStyle w:val="51"/>
                    <w:bidi w:val="0"/>
                    <w:rPr>
                      <w:rFonts w:hint="eastAsia"/>
                    </w:rPr>
                  </w:pPr>
                  <w:r>
                    <w:rPr>
                      <w:rFonts w:hint="eastAsia"/>
                      <w:lang w:val="en-US" w:eastAsia="zh-CN"/>
                    </w:rPr>
                    <w:t>20000</w:t>
                  </w:r>
                </w:p>
              </w:tc>
            </w:tr>
            <w:tr w14:paraId="7F647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0" w:hRule="atLeast"/>
                <w:jc w:val="center"/>
              </w:trPr>
              <w:tc>
                <w:tcPr>
                  <w:tcW w:w="1509" w:type="dxa"/>
                  <w:gridSpan w:val="2"/>
                  <w:vMerge w:val="restart"/>
                  <w:tcBorders>
                    <w:top w:val="single" w:color="000000" w:sz="4" w:space="0"/>
                    <w:left w:val="single" w:color="000000" w:sz="4" w:space="0"/>
                    <w:right w:val="single" w:color="000000" w:sz="4" w:space="0"/>
                  </w:tcBorders>
                  <w:shd w:val="clear" w:color="auto" w:fill="auto"/>
                  <w:vAlign w:val="center"/>
                </w:tcPr>
                <w:p w14:paraId="12CB8B11">
                  <w:pPr>
                    <w:pStyle w:val="51"/>
                    <w:bidi w:val="0"/>
                    <w:rPr>
                      <w:rFonts w:hint="eastAsia"/>
                    </w:rPr>
                  </w:pPr>
                  <w:r>
                    <w:rPr>
                      <w:rFonts w:hint="eastAsia"/>
                      <w:lang w:val="en-US" w:eastAsia="zh-CN"/>
                    </w:rPr>
                    <w:t>漂浮分选</w:t>
                  </w:r>
                </w:p>
              </w:tc>
              <w:tc>
                <w:tcPr>
                  <w:tcW w:w="1632" w:type="dxa"/>
                  <w:gridSpan w:val="2"/>
                  <w:vMerge w:val="restart"/>
                  <w:tcBorders>
                    <w:top w:val="single" w:color="000000" w:sz="4" w:space="0"/>
                    <w:left w:val="single" w:color="000000" w:sz="4" w:space="0"/>
                    <w:right w:val="single" w:color="000000" w:sz="4" w:space="0"/>
                  </w:tcBorders>
                  <w:shd w:val="clear" w:color="auto" w:fill="auto"/>
                  <w:vAlign w:val="center"/>
                </w:tcPr>
                <w:p w14:paraId="43BCBF58">
                  <w:pPr>
                    <w:pStyle w:val="51"/>
                    <w:bidi w:val="0"/>
                    <w:rPr>
                      <w:rFonts w:hint="eastAsia"/>
                    </w:rPr>
                  </w:pPr>
                  <w:r>
                    <w:rPr>
                      <w:rFonts w:hint="eastAsia"/>
                      <w:lang w:val="en-US" w:eastAsia="zh-CN"/>
                    </w:rPr>
                    <w:t>金属筛选后料</w:t>
                  </w:r>
                </w:p>
              </w:tc>
              <w:tc>
                <w:tcPr>
                  <w:tcW w:w="1381" w:type="dxa"/>
                  <w:gridSpan w:val="2"/>
                  <w:vMerge w:val="restart"/>
                  <w:tcBorders>
                    <w:top w:val="single" w:color="000000" w:sz="4" w:space="0"/>
                    <w:left w:val="single" w:color="000000" w:sz="4" w:space="0"/>
                    <w:right w:val="single" w:color="000000" w:sz="4" w:space="0"/>
                  </w:tcBorders>
                  <w:shd w:val="clear" w:color="auto" w:fill="auto"/>
                  <w:vAlign w:val="center"/>
                </w:tcPr>
                <w:p w14:paraId="212CFD3F">
                  <w:pPr>
                    <w:pStyle w:val="51"/>
                    <w:bidi w:val="0"/>
                    <w:rPr>
                      <w:rFonts w:hint="eastAsia"/>
                    </w:rPr>
                  </w:pPr>
                  <w:r>
                    <w:rPr>
                      <w:rFonts w:hint="eastAsia"/>
                      <w:lang w:val="en-US" w:eastAsia="zh-CN"/>
                    </w:rPr>
                    <w:t>8182.8</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41F26D">
                  <w:pPr>
                    <w:pStyle w:val="51"/>
                    <w:bidi w:val="0"/>
                    <w:rPr>
                      <w:rFonts w:hint="eastAsia"/>
                    </w:rPr>
                  </w:pPr>
                  <w:r>
                    <w:rPr>
                      <w:rFonts w:hint="eastAsia"/>
                      <w:lang w:val="en-US" w:eastAsia="zh-CN"/>
                    </w:rPr>
                    <w:t>风选料</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057D8">
                  <w:pPr>
                    <w:pStyle w:val="51"/>
                    <w:bidi w:val="0"/>
                    <w:rPr>
                      <w:rFonts w:hint="eastAsia"/>
                    </w:rPr>
                  </w:pPr>
                  <w:r>
                    <w:rPr>
                      <w:rFonts w:hint="eastAsia"/>
                      <w:lang w:val="en-US" w:eastAsia="zh-CN"/>
                    </w:rPr>
                    <w:t>6800</w:t>
                  </w:r>
                </w:p>
              </w:tc>
            </w:tr>
            <w:tr w14:paraId="02882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0" w:hRule="atLeast"/>
                <w:jc w:val="center"/>
              </w:trPr>
              <w:tc>
                <w:tcPr>
                  <w:tcW w:w="1509" w:type="dxa"/>
                  <w:gridSpan w:val="2"/>
                  <w:vMerge w:val="continue"/>
                  <w:tcBorders>
                    <w:left w:val="single" w:color="000000" w:sz="4" w:space="0"/>
                    <w:right w:val="single" w:color="000000" w:sz="4" w:space="0"/>
                  </w:tcBorders>
                  <w:shd w:val="clear" w:color="auto" w:fill="auto"/>
                  <w:vAlign w:val="center"/>
                </w:tcPr>
                <w:p w14:paraId="414152AB">
                  <w:pPr>
                    <w:pStyle w:val="51"/>
                    <w:bidi w:val="0"/>
                    <w:rPr>
                      <w:rFonts w:hint="eastAsia"/>
                    </w:rPr>
                  </w:pPr>
                </w:p>
              </w:tc>
              <w:tc>
                <w:tcPr>
                  <w:tcW w:w="1632" w:type="dxa"/>
                  <w:gridSpan w:val="2"/>
                  <w:vMerge w:val="continue"/>
                  <w:tcBorders>
                    <w:left w:val="single" w:color="000000" w:sz="4" w:space="0"/>
                    <w:right w:val="single" w:color="000000" w:sz="4" w:space="0"/>
                  </w:tcBorders>
                  <w:shd w:val="clear" w:color="auto" w:fill="auto"/>
                  <w:vAlign w:val="center"/>
                </w:tcPr>
                <w:p w14:paraId="55C42504">
                  <w:pPr>
                    <w:pStyle w:val="51"/>
                    <w:bidi w:val="0"/>
                    <w:rPr>
                      <w:rFonts w:hint="eastAsia"/>
                    </w:rPr>
                  </w:pPr>
                </w:p>
              </w:tc>
              <w:tc>
                <w:tcPr>
                  <w:tcW w:w="1381" w:type="dxa"/>
                  <w:gridSpan w:val="2"/>
                  <w:vMerge w:val="continue"/>
                  <w:tcBorders>
                    <w:left w:val="single" w:color="000000" w:sz="4" w:space="0"/>
                    <w:right w:val="single" w:color="000000" w:sz="4" w:space="0"/>
                  </w:tcBorders>
                  <w:shd w:val="clear" w:color="auto" w:fill="auto"/>
                  <w:vAlign w:val="center"/>
                </w:tcPr>
                <w:p w14:paraId="3A443552">
                  <w:pPr>
                    <w:pStyle w:val="51"/>
                    <w:bidi w:val="0"/>
                    <w:rPr>
                      <w:rFonts w:hint="eastAsia"/>
                    </w:rPr>
                  </w:pP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7EF88">
                  <w:pPr>
                    <w:pStyle w:val="51"/>
                    <w:bidi w:val="0"/>
                    <w:rPr>
                      <w:rFonts w:hint="eastAsia"/>
                    </w:rPr>
                  </w:pPr>
                  <w:r>
                    <w:rPr>
                      <w:rFonts w:hint="eastAsia"/>
                      <w:lang w:val="en-US" w:eastAsia="zh-CN"/>
                    </w:rPr>
                    <w:t>杂料</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B2922">
                  <w:pPr>
                    <w:pStyle w:val="51"/>
                    <w:bidi w:val="0"/>
                    <w:rPr>
                      <w:rFonts w:hint="eastAsia"/>
                    </w:rPr>
                  </w:pPr>
                  <w:r>
                    <w:rPr>
                      <w:rFonts w:hint="eastAsia"/>
                      <w:lang w:val="en-US" w:eastAsia="zh-CN"/>
                    </w:rPr>
                    <w:t>15</w:t>
                  </w:r>
                </w:p>
              </w:tc>
            </w:tr>
            <w:tr w14:paraId="30F01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0" w:hRule="atLeast"/>
                <w:jc w:val="center"/>
              </w:trPr>
              <w:tc>
                <w:tcPr>
                  <w:tcW w:w="1509" w:type="dxa"/>
                  <w:gridSpan w:val="2"/>
                  <w:vMerge w:val="continue"/>
                  <w:tcBorders>
                    <w:left w:val="single" w:color="000000" w:sz="4" w:space="0"/>
                    <w:right w:val="single" w:color="000000" w:sz="4" w:space="0"/>
                  </w:tcBorders>
                  <w:shd w:val="clear" w:color="auto" w:fill="auto"/>
                  <w:vAlign w:val="center"/>
                </w:tcPr>
                <w:p w14:paraId="08CA8D00">
                  <w:pPr>
                    <w:pStyle w:val="51"/>
                    <w:bidi w:val="0"/>
                    <w:rPr>
                      <w:rFonts w:hint="eastAsia"/>
                    </w:rPr>
                  </w:pPr>
                </w:p>
              </w:tc>
              <w:tc>
                <w:tcPr>
                  <w:tcW w:w="1632" w:type="dxa"/>
                  <w:gridSpan w:val="2"/>
                  <w:vMerge w:val="continue"/>
                  <w:tcBorders>
                    <w:left w:val="single" w:color="000000" w:sz="4" w:space="0"/>
                    <w:right w:val="single" w:color="000000" w:sz="4" w:space="0"/>
                  </w:tcBorders>
                  <w:shd w:val="clear" w:color="auto" w:fill="auto"/>
                  <w:vAlign w:val="center"/>
                </w:tcPr>
                <w:p w14:paraId="495A76D1">
                  <w:pPr>
                    <w:pStyle w:val="51"/>
                    <w:bidi w:val="0"/>
                    <w:rPr>
                      <w:rFonts w:hint="eastAsia"/>
                    </w:rPr>
                  </w:pPr>
                </w:p>
              </w:tc>
              <w:tc>
                <w:tcPr>
                  <w:tcW w:w="1381" w:type="dxa"/>
                  <w:gridSpan w:val="2"/>
                  <w:vMerge w:val="continue"/>
                  <w:tcBorders>
                    <w:left w:val="single" w:color="000000" w:sz="4" w:space="0"/>
                    <w:right w:val="single" w:color="000000" w:sz="4" w:space="0"/>
                  </w:tcBorders>
                  <w:shd w:val="clear" w:color="auto" w:fill="auto"/>
                  <w:vAlign w:val="center"/>
                </w:tcPr>
                <w:p w14:paraId="32611606">
                  <w:pPr>
                    <w:pStyle w:val="51"/>
                    <w:bidi w:val="0"/>
                    <w:rPr>
                      <w:rFonts w:hint="eastAsia"/>
                    </w:rPr>
                  </w:pP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1D7DD">
                  <w:pPr>
                    <w:pStyle w:val="51"/>
                    <w:bidi w:val="0"/>
                    <w:rPr>
                      <w:rFonts w:hint="eastAsia"/>
                    </w:rPr>
                  </w:pPr>
                  <w:r>
                    <w:rPr>
                      <w:rFonts w:hint="eastAsia"/>
                      <w:lang w:val="en-US" w:eastAsia="zh-CN"/>
                    </w:rPr>
                    <w:t>漂浮槽沉料</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5DE40">
                  <w:pPr>
                    <w:pStyle w:val="51"/>
                    <w:bidi w:val="0"/>
                    <w:rPr>
                      <w:rFonts w:hint="eastAsia"/>
                    </w:rPr>
                  </w:pPr>
                  <w:r>
                    <w:rPr>
                      <w:rFonts w:hint="eastAsia"/>
                      <w:lang w:val="en-US" w:eastAsia="zh-CN"/>
                    </w:rPr>
                    <w:t>1364.772</w:t>
                  </w:r>
                </w:p>
              </w:tc>
            </w:tr>
            <w:tr w14:paraId="5405C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0" w:hRule="atLeast"/>
                <w:jc w:val="center"/>
              </w:trPr>
              <w:tc>
                <w:tcPr>
                  <w:tcW w:w="1509" w:type="dxa"/>
                  <w:gridSpan w:val="2"/>
                  <w:vMerge w:val="continue"/>
                  <w:tcBorders>
                    <w:left w:val="single" w:color="000000" w:sz="4" w:space="0"/>
                    <w:bottom w:val="single" w:color="000000" w:sz="4" w:space="0"/>
                    <w:right w:val="single" w:color="000000" w:sz="4" w:space="0"/>
                  </w:tcBorders>
                  <w:shd w:val="clear" w:color="auto" w:fill="auto"/>
                  <w:vAlign w:val="center"/>
                </w:tcPr>
                <w:p w14:paraId="6E223BC6">
                  <w:pPr>
                    <w:pStyle w:val="51"/>
                    <w:bidi w:val="0"/>
                    <w:rPr>
                      <w:rFonts w:hint="eastAsia"/>
                    </w:rPr>
                  </w:pPr>
                </w:p>
              </w:tc>
              <w:tc>
                <w:tcPr>
                  <w:tcW w:w="1632" w:type="dxa"/>
                  <w:gridSpan w:val="2"/>
                  <w:vMerge w:val="continue"/>
                  <w:tcBorders>
                    <w:left w:val="single" w:color="000000" w:sz="4" w:space="0"/>
                    <w:bottom w:val="single" w:color="000000" w:sz="4" w:space="0"/>
                    <w:right w:val="single" w:color="000000" w:sz="4" w:space="0"/>
                  </w:tcBorders>
                  <w:shd w:val="clear" w:color="auto" w:fill="auto"/>
                  <w:vAlign w:val="center"/>
                </w:tcPr>
                <w:p w14:paraId="2298016F">
                  <w:pPr>
                    <w:pStyle w:val="51"/>
                    <w:bidi w:val="0"/>
                    <w:rPr>
                      <w:rFonts w:hint="eastAsia"/>
                    </w:rPr>
                  </w:pPr>
                </w:p>
              </w:tc>
              <w:tc>
                <w:tcPr>
                  <w:tcW w:w="1381" w:type="dxa"/>
                  <w:gridSpan w:val="2"/>
                  <w:vMerge w:val="continue"/>
                  <w:tcBorders>
                    <w:left w:val="single" w:color="000000" w:sz="4" w:space="0"/>
                    <w:bottom w:val="single" w:color="000000" w:sz="4" w:space="0"/>
                    <w:right w:val="single" w:color="000000" w:sz="4" w:space="0"/>
                  </w:tcBorders>
                  <w:shd w:val="clear" w:color="auto" w:fill="auto"/>
                  <w:vAlign w:val="center"/>
                </w:tcPr>
                <w:p w14:paraId="3F811332">
                  <w:pPr>
                    <w:pStyle w:val="51"/>
                    <w:bidi w:val="0"/>
                    <w:rPr>
                      <w:rFonts w:hint="eastAsia"/>
                    </w:rPr>
                  </w:pP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166F8">
                  <w:pPr>
                    <w:pStyle w:val="51"/>
                    <w:bidi w:val="0"/>
                    <w:rPr>
                      <w:rFonts w:hint="eastAsia"/>
                    </w:rPr>
                  </w:pPr>
                  <w:r>
                    <w:rPr>
                      <w:rFonts w:hint="eastAsia"/>
                      <w:lang w:val="en-US" w:eastAsia="zh-CN"/>
                    </w:rPr>
                    <w:t>除尘灰</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B65C7">
                  <w:pPr>
                    <w:pStyle w:val="51"/>
                    <w:bidi w:val="0"/>
                    <w:rPr>
                      <w:rFonts w:hint="eastAsia"/>
                    </w:rPr>
                  </w:pPr>
                  <w:r>
                    <w:rPr>
                      <w:rFonts w:hint="eastAsia"/>
                      <w:lang w:val="en-US" w:eastAsia="zh-CN"/>
                    </w:rPr>
                    <w:t>3.028</w:t>
                  </w:r>
                </w:p>
              </w:tc>
            </w:tr>
            <w:tr w14:paraId="5B3B9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0" w:hRule="atLeast"/>
                <w:jc w:val="center"/>
              </w:trPr>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58519">
                  <w:pPr>
                    <w:pStyle w:val="51"/>
                    <w:bidi w:val="0"/>
                    <w:rPr>
                      <w:rFonts w:hint="eastAsia"/>
                    </w:rPr>
                  </w:pPr>
                  <w:r>
                    <w:rPr>
                      <w:rFonts w:hint="eastAsia"/>
                      <w:lang w:val="en-US" w:eastAsia="zh-CN"/>
                    </w:rPr>
                    <w:t>小计</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1CA14">
                  <w:pPr>
                    <w:pStyle w:val="51"/>
                    <w:bidi w:val="0"/>
                    <w:rPr>
                      <w:rFonts w:hint="eastAsia"/>
                      <w:lang w:val="en-US" w:eastAsia="zh-CN"/>
                    </w:rPr>
                  </w:pPr>
                  <w:r>
                    <w:rPr>
                      <w:rFonts w:hint="eastAsia"/>
                      <w:lang w:val="en-US" w:eastAsia="zh-CN"/>
                    </w:rPr>
                    <w:t>/</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338D6F">
                  <w:pPr>
                    <w:pStyle w:val="51"/>
                    <w:bidi w:val="0"/>
                    <w:rPr>
                      <w:rFonts w:hint="eastAsia"/>
                    </w:rPr>
                  </w:pPr>
                  <w:r>
                    <w:rPr>
                      <w:rFonts w:hint="eastAsia"/>
                      <w:lang w:val="en-US" w:eastAsia="zh-CN"/>
                    </w:rPr>
                    <w:t>8182.8</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77B91">
                  <w:pPr>
                    <w:pStyle w:val="51"/>
                    <w:bidi w:val="0"/>
                    <w:rPr>
                      <w:rFonts w:hint="eastAsia"/>
                      <w:lang w:val="en-US" w:eastAsia="zh-CN"/>
                    </w:rPr>
                  </w:pPr>
                  <w:r>
                    <w:rPr>
                      <w:rFonts w:hint="eastAsia"/>
                      <w:lang w:val="en-US" w:eastAsia="zh-CN"/>
                    </w:rPr>
                    <w:t>/</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A9D64">
                  <w:pPr>
                    <w:pStyle w:val="51"/>
                    <w:bidi w:val="0"/>
                    <w:rPr>
                      <w:rFonts w:hint="eastAsia"/>
                    </w:rPr>
                  </w:pPr>
                  <w:r>
                    <w:rPr>
                      <w:rFonts w:hint="eastAsia"/>
                      <w:lang w:val="en-US" w:eastAsia="zh-CN"/>
                    </w:rPr>
                    <w:t>8182.8</w:t>
                  </w:r>
                </w:p>
              </w:tc>
            </w:tr>
            <w:tr w14:paraId="31666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0" w:hRule="atLeast"/>
                <w:jc w:val="center"/>
              </w:trPr>
              <w:tc>
                <w:tcPr>
                  <w:tcW w:w="1509" w:type="dxa"/>
                  <w:gridSpan w:val="2"/>
                  <w:vMerge w:val="restart"/>
                  <w:tcBorders>
                    <w:top w:val="single" w:color="000000" w:sz="4" w:space="0"/>
                    <w:left w:val="single" w:color="000000" w:sz="4" w:space="0"/>
                    <w:right w:val="single" w:color="000000" w:sz="4" w:space="0"/>
                  </w:tcBorders>
                  <w:shd w:val="clear" w:color="auto" w:fill="auto"/>
                  <w:vAlign w:val="center"/>
                </w:tcPr>
                <w:p w14:paraId="0D20ADC8">
                  <w:pPr>
                    <w:pStyle w:val="51"/>
                    <w:bidi w:val="0"/>
                    <w:rPr>
                      <w:rFonts w:hint="eastAsia"/>
                    </w:rPr>
                  </w:pPr>
                  <w:r>
                    <w:rPr>
                      <w:rFonts w:hint="eastAsia"/>
                      <w:lang w:val="en-US" w:eastAsia="zh-CN"/>
                    </w:rPr>
                    <w:t>橡胶、塑料风选</w:t>
                  </w:r>
                </w:p>
              </w:tc>
              <w:tc>
                <w:tcPr>
                  <w:tcW w:w="1632" w:type="dxa"/>
                  <w:gridSpan w:val="2"/>
                  <w:vMerge w:val="restart"/>
                  <w:tcBorders>
                    <w:top w:val="single" w:color="000000" w:sz="4" w:space="0"/>
                    <w:left w:val="single" w:color="000000" w:sz="4" w:space="0"/>
                    <w:right w:val="single" w:color="000000" w:sz="4" w:space="0"/>
                  </w:tcBorders>
                  <w:shd w:val="clear" w:color="auto" w:fill="auto"/>
                  <w:vAlign w:val="center"/>
                </w:tcPr>
                <w:p w14:paraId="2ED78E3F">
                  <w:pPr>
                    <w:pStyle w:val="51"/>
                    <w:bidi w:val="0"/>
                    <w:rPr>
                      <w:rFonts w:hint="eastAsia"/>
                    </w:rPr>
                  </w:pPr>
                  <w:r>
                    <w:rPr>
                      <w:rFonts w:hint="eastAsia"/>
                      <w:lang w:val="en-US" w:eastAsia="zh-CN"/>
                    </w:rPr>
                    <w:t>风选料</w:t>
                  </w:r>
                </w:p>
              </w:tc>
              <w:tc>
                <w:tcPr>
                  <w:tcW w:w="1381" w:type="dxa"/>
                  <w:gridSpan w:val="2"/>
                  <w:vMerge w:val="restart"/>
                  <w:tcBorders>
                    <w:top w:val="single" w:color="000000" w:sz="4" w:space="0"/>
                    <w:left w:val="single" w:color="000000" w:sz="4" w:space="0"/>
                    <w:right w:val="single" w:color="000000" w:sz="4" w:space="0"/>
                  </w:tcBorders>
                  <w:shd w:val="clear" w:color="auto" w:fill="auto"/>
                  <w:vAlign w:val="center"/>
                </w:tcPr>
                <w:p w14:paraId="75C9DD65">
                  <w:pPr>
                    <w:pStyle w:val="51"/>
                    <w:bidi w:val="0"/>
                    <w:rPr>
                      <w:rFonts w:hint="default"/>
                    </w:rPr>
                  </w:pPr>
                  <w:r>
                    <w:rPr>
                      <w:rFonts w:hint="default"/>
                      <w:lang w:val="en-US" w:eastAsia="zh-CN"/>
                    </w:rPr>
                    <w:t>6800</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B808B5">
                  <w:pPr>
                    <w:pStyle w:val="51"/>
                    <w:bidi w:val="0"/>
                    <w:rPr>
                      <w:rFonts w:hint="eastAsia"/>
                    </w:rPr>
                  </w:pPr>
                  <w:r>
                    <w:rPr>
                      <w:rFonts w:hint="eastAsia"/>
                      <w:lang w:val="en-US" w:eastAsia="zh-CN"/>
                    </w:rPr>
                    <w:t>橡胶</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BC071">
                  <w:pPr>
                    <w:pStyle w:val="51"/>
                    <w:bidi w:val="0"/>
                    <w:rPr>
                      <w:rFonts w:hint="eastAsia"/>
                    </w:rPr>
                  </w:pPr>
                  <w:r>
                    <w:rPr>
                      <w:rFonts w:hint="eastAsia"/>
                      <w:lang w:val="en-US" w:eastAsia="zh-CN"/>
                    </w:rPr>
                    <w:t>2900</w:t>
                  </w:r>
                </w:p>
              </w:tc>
            </w:tr>
            <w:tr w14:paraId="27FB7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0" w:hRule="atLeast"/>
                <w:jc w:val="center"/>
              </w:trPr>
              <w:tc>
                <w:tcPr>
                  <w:tcW w:w="1509" w:type="dxa"/>
                  <w:gridSpan w:val="2"/>
                  <w:vMerge w:val="continue"/>
                  <w:tcBorders>
                    <w:left w:val="single" w:color="000000" w:sz="4" w:space="0"/>
                    <w:right w:val="single" w:color="000000" w:sz="4" w:space="0"/>
                  </w:tcBorders>
                  <w:shd w:val="clear" w:color="auto" w:fill="auto"/>
                  <w:vAlign w:val="center"/>
                </w:tcPr>
                <w:p w14:paraId="2849C8E6">
                  <w:pPr>
                    <w:pStyle w:val="51"/>
                    <w:bidi w:val="0"/>
                    <w:rPr>
                      <w:rFonts w:hint="eastAsia"/>
                    </w:rPr>
                  </w:pPr>
                </w:p>
              </w:tc>
              <w:tc>
                <w:tcPr>
                  <w:tcW w:w="1632" w:type="dxa"/>
                  <w:gridSpan w:val="2"/>
                  <w:vMerge w:val="continue"/>
                  <w:tcBorders>
                    <w:left w:val="single" w:color="000000" w:sz="4" w:space="0"/>
                    <w:right w:val="single" w:color="000000" w:sz="4" w:space="0"/>
                  </w:tcBorders>
                  <w:shd w:val="clear" w:color="auto" w:fill="auto"/>
                  <w:vAlign w:val="center"/>
                </w:tcPr>
                <w:p w14:paraId="040005F2">
                  <w:pPr>
                    <w:pStyle w:val="51"/>
                    <w:bidi w:val="0"/>
                    <w:rPr>
                      <w:rFonts w:hint="eastAsia"/>
                    </w:rPr>
                  </w:pPr>
                </w:p>
              </w:tc>
              <w:tc>
                <w:tcPr>
                  <w:tcW w:w="1381" w:type="dxa"/>
                  <w:gridSpan w:val="2"/>
                  <w:vMerge w:val="continue"/>
                  <w:tcBorders>
                    <w:left w:val="single" w:color="000000" w:sz="4" w:space="0"/>
                    <w:right w:val="single" w:color="000000" w:sz="4" w:space="0"/>
                  </w:tcBorders>
                  <w:shd w:val="clear" w:color="auto" w:fill="auto"/>
                  <w:vAlign w:val="center"/>
                </w:tcPr>
                <w:p w14:paraId="263BFFE4">
                  <w:pPr>
                    <w:pStyle w:val="51"/>
                    <w:bidi w:val="0"/>
                    <w:rPr>
                      <w:rFonts w:hint="default"/>
                    </w:rPr>
                  </w:pP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1DA00">
                  <w:pPr>
                    <w:pStyle w:val="51"/>
                    <w:bidi w:val="0"/>
                    <w:rPr>
                      <w:rFonts w:hint="eastAsia"/>
                    </w:rPr>
                  </w:pPr>
                  <w:r>
                    <w:rPr>
                      <w:rFonts w:hint="eastAsia"/>
                      <w:lang w:val="en-US" w:eastAsia="zh-CN"/>
                    </w:rPr>
                    <w:t>塑料</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D8ED">
                  <w:pPr>
                    <w:pStyle w:val="51"/>
                    <w:bidi w:val="0"/>
                    <w:rPr>
                      <w:rFonts w:hint="eastAsia"/>
                    </w:rPr>
                  </w:pPr>
                  <w:r>
                    <w:rPr>
                      <w:rFonts w:hint="eastAsia"/>
                      <w:lang w:val="en-US" w:eastAsia="zh-CN"/>
                    </w:rPr>
                    <w:t>3899.932</w:t>
                  </w:r>
                </w:p>
              </w:tc>
            </w:tr>
            <w:tr w14:paraId="6A7A0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0" w:hRule="atLeast"/>
                <w:jc w:val="center"/>
              </w:trPr>
              <w:tc>
                <w:tcPr>
                  <w:tcW w:w="1509" w:type="dxa"/>
                  <w:gridSpan w:val="2"/>
                  <w:vMerge w:val="continue"/>
                  <w:tcBorders>
                    <w:left w:val="single" w:color="000000" w:sz="4" w:space="0"/>
                    <w:bottom w:val="single" w:color="000000" w:sz="4" w:space="0"/>
                    <w:right w:val="single" w:color="000000" w:sz="4" w:space="0"/>
                  </w:tcBorders>
                  <w:shd w:val="clear" w:color="auto" w:fill="auto"/>
                  <w:vAlign w:val="center"/>
                </w:tcPr>
                <w:p w14:paraId="00BAE760">
                  <w:pPr>
                    <w:pStyle w:val="51"/>
                    <w:bidi w:val="0"/>
                    <w:rPr>
                      <w:rFonts w:hint="eastAsia"/>
                    </w:rPr>
                  </w:pPr>
                </w:p>
              </w:tc>
              <w:tc>
                <w:tcPr>
                  <w:tcW w:w="1632" w:type="dxa"/>
                  <w:gridSpan w:val="2"/>
                  <w:vMerge w:val="continue"/>
                  <w:tcBorders>
                    <w:left w:val="single" w:color="000000" w:sz="4" w:space="0"/>
                    <w:bottom w:val="single" w:color="000000" w:sz="4" w:space="0"/>
                    <w:right w:val="single" w:color="000000" w:sz="4" w:space="0"/>
                  </w:tcBorders>
                  <w:shd w:val="clear" w:color="auto" w:fill="auto"/>
                  <w:vAlign w:val="center"/>
                </w:tcPr>
                <w:p w14:paraId="78FEADA4">
                  <w:pPr>
                    <w:pStyle w:val="51"/>
                    <w:bidi w:val="0"/>
                    <w:rPr>
                      <w:rFonts w:hint="eastAsia"/>
                    </w:rPr>
                  </w:pPr>
                </w:p>
              </w:tc>
              <w:tc>
                <w:tcPr>
                  <w:tcW w:w="1381" w:type="dxa"/>
                  <w:gridSpan w:val="2"/>
                  <w:vMerge w:val="continue"/>
                  <w:tcBorders>
                    <w:left w:val="single" w:color="000000" w:sz="4" w:space="0"/>
                    <w:bottom w:val="single" w:color="000000" w:sz="4" w:space="0"/>
                    <w:right w:val="single" w:color="000000" w:sz="4" w:space="0"/>
                  </w:tcBorders>
                  <w:shd w:val="clear" w:color="auto" w:fill="auto"/>
                  <w:vAlign w:val="center"/>
                </w:tcPr>
                <w:p w14:paraId="0BFFF19E">
                  <w:pPr>
                    <w:pStyle w:val="51"/>
                    <w:bidi w:val="0"/>
                    <w:rPr>
                      <w:rFonts w:hint="default"/>
                    </w:rPr>
                  </w:pP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1B5768">
                  <w:pPr>
                    <w:pStyle w:val="51"/>
                    <w:bidi w:val="0"/>
                    <w:rPr>
                      <w:rFonts w:hint="eastAsia"/>
                    </w:rPr>
                  </w:pPr>
                  <w:r>
                    <w:rPr>
                      <w:rFonts w:hint="eastAsia"/>
                      <w:lang w:val="en-US" w:eastAsia="zh-CN"/>
                    </w:rPr>
                    <w:t>颗粒物</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740F">
                  <w:pPr>
                    <w:pStyle w:val="51"/>
                    <w:bidi w:val="0"/>
                    <w:rPr>
                      <w:rFonts w:hint="eastAsia"/>
                    </w:rPr>
                  </w:pPr>
                  <w:r>
                    <w:rPr>
                      <w:rFonts w:hint="eastAsia"/>
                      <w:lang w:val="en-US" w:eastAsia="zh-CN"/>
                    </w:rPr>
                    <w:t>0.068</w:t>
                  </w:r>
                </w:p>
              </w:tc>
            </w:tr>
            <w:tr w14:paraId="2F9BB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0" w:hRule="atLeast"/>
                <w:jc w:val="center"/>
              </w:trPr>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342477">
                  <w:pPr>
                    <w:pStyle w:val="51"/>
                    <w:bidi w:val="0"/>
                    <w:rPr>
                      <w:rFonts w:hint="eastAsia"/>
                    </w:rPr>
                  </w:pPr>
                  <w:r>
                    <w:rPr>
                      <w:rFonts w:hint="eastAsia"/>
                      <w:lang w:val="en-US" w:eastAsia="zh-CN"/>
                    </w:rPr>
                    <w:t>小计</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F5EEB">
                  <w:pPr>
                    <w:pStyle w:val="51"/>
                    <w:bidi w:val="0"/>
                    <w:rPr>
                      <w:rFonts w:hint="eastAsia"/>
                      <w:lang w:val="en-US" w:eastAsia="zh-CN"/>
                    </w:rPr>
                  </w:pPr>
                  <w:r>
                    <w:rPr>
                      <w:rFonts w:hint="eastAsia"/>
                      <w:lang w:val="en-US" w:eastAsia="zh-CN"/>
                    </w:rPr>
                    <w:t>/</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8C5A16">
                  <w:pPr>
                    <w:pStyle w:val="51"/>
                    <w:bidi w:val="0"/>
                    <w:rPr>
                      <w:rFonts w:hint="default"/>
                    </w:rPr>
                  </w:pPr>
                  <w:r>
                    <w:rPr>
                      <w:rFonts w:hint="default"/>
                      <w:lang w:val="en-US" w:eastAsia="zh-CN"/>
                    </w:rPr>
                    <w:t>6800</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5A5900">
                  <w:pPr>
                    <w:pStyle w:val="51"/>
                    <w:bidi w:val="0"/>
                    <w:rPr>
                      <w:rFonts w:hint="eastAsia"/>
                      <w:lang w:val="en-US" w:eastAsia="zh-CN"/>
                    </w:rPr>
                  </w:pPr>
                  <w:r>
                    <w:rPr>
                      <w:rFonts w:hint="eastAsia"/>
                      <w:lang w:val="en-US" w:eastAsia="zh-CN"/>
                    </w:rPr>
                    <w:t>/</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ADE09">
                  <w:pPr>
                    <w:pStyle w:val="51"/>
                    <w:bidi w:val="0"/>
                    <w:rPr>
                      <w:rFonts w:hint="eastAsia"/>
                    </w:rPr>
                  </w:pPr>
                  <w:r>
                    <w:rPr>
                      <w:rFonts w:hint="eastAsia"/>
                      <w:lang w:val="en-US" w:eastAsia="zh-CN"/>
                    </w:rPr>
                    <w:t>6800</w:t>
                  </w:r>
                </w:p>
              </w:tc>
            </w:tr>
            <w:tr w14:paraId="71369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0" w:hRule="atLeast"/>
                <w:jc w:val="center"/>
              </w:trPr>
              <w:tc>
                <w:tcPr>
                  <w:tcW w:w="1509" w:type="dxa"/>
                  <w:gridSpan w:val="2"/>
                  <w:vMerge w:val="restart"/>
                  <w:tcBorders>
                    <w:top w:val="single" w:color="000000" w:sz="4" w:space="0"/>
                    <w:left w:val="single" w:color="000000" w:sz="4" w:space="0"/>
                    <w:right w:val="single" w:color="000000" w:sz="4" w:space="0"/>
                  </w:tcBorders>
                  <w:shd w:val="clear" w:color="auto" w:fill="auto"/>
                  <w:vAlign w:val="center"/>
                </w:tcPr>
                <w:p w14:paraId="7BE9DA06">
                  <w:pPr>
                    <w:pStyle w:val="51"/>
                    <w:bidi w:val="0"/>
                    <w:rPr>
                      <w:rFonts w:hint="eastAsia"/>
                    </w:rPr>
                  </w:pPr>
                  <w:r>
                    <w:rPr>
                      <w:rFonts w:hint="eastAsia"/>
                      <w:lang w:val="en-US" w:eastAsia="zh-CN"/>
                    </w:rPr>
                    <w:t>杂金属分选</w:t>
                  </w:r>
                </w:p>
              </w:tc>
              <w:tc>
                <w:tcPr>
                  <w:tcW w:w="1632" w:type="dxa"/>
                  <w:gridSpan w:val="2"/>
                  <w:vMerge w:val="restart"/>
                  <w:tcBorders>
                    <w:top w:val="single" w:color="000000" w:sz="4" w:space="0"/>
                    <w:left w:val="single" w:color="000000" w:sz="4" w:space="0"/>
                    <w:right w:val="single" w:color="000000" w:sz="4" w:space="0"/>
                  </w:tcBorders>
                  <w:shd w:val="clear" w:color="auto" w:fill="auto"/>
                  <w:vAlign w:val="center"/>
                </w:tcPr>
                <w:p w14:paraId="15B86C0E">
                  <w:pPr>
                    <w:pStyle w:val="51"/>
                    <w:bidi w:val="0"/>
                    <w:rPr>
                      <w:rFonts w:hint="eastAsia"/>
                    </w:rPr>
                  </w:pPr>
                  <w:r>
                    <w:rPr>
                      <w:rFonts w:hint="eastAsia"/>
                      <w:lang w:val="en-US" w:eastAsia="zh-CN"/>
                    </w:rPr>
                    <w:t>漂浮曹沉降料</w:t>
                  </w:r>
                </w:p>
              </w:tc>
              <w:tc>
                <w:tcPr>
                  <w:tcW w:w="1381" w:type="dxa"/>
                  <w:gridSpan w:val="2"/>
                  <w:vMerge w:val="restart"/>
                  <w:tcBorders>
                    <w:top w:val="single" w:color="000000" w:sz="4" w:space="0"/>
                    <w:left w:val="single" w:color="000000" w:sz="4" w:space="0"/>
                    <w:right w:val="single" w:color="000000" w:sz="4" w:space="0"/>
                  </w:tcBorders>
                  <w:shd w:val="clear" w:color="auto" w:fill="auto"/>
                  <w:vAlign w:val="center"/>
                </w:tcPr>
                <w:p w14:paraId="3BD7D811">
                  <w:pPr>
                    <w:pStyle w:val="51"/>
                    <w:bidi w:val="0"/>
                    <w:rPr>
                      <w:rFonts w:hint="default"/>
                    </w:rPr>
                  </w:pPr>
                  <w:r>
                    <w:rPr>
                      <w:rFonts w:hint="default"/>
                      <w:lang w:val="en-US" w:eastAsia="zh-CN"/>
                    </w:rPr>
                    <w:t>1364.772</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57507">
                  <w:pPr>
                    <w:pStyle w:val="51"/>
                    <w:bidi w:val="0"/>
                    <w:rPr>
                      <w:rFonts w:hint="eastAsia"/>
                    </w:rPr>
                  </w:pPr>
                  <w:r>
                    <w:rPr>
                      <w:rFonts w:hint="eastAsia"/>
                      <w:lang w:val="en-US" w:eastAsia="zh-CN"/>
                    </w:rPr>
                    <w:t>杂金属</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3442">
                  <w:pPr>
                    <w:pStyle w:val="51"/>
                    <w:bidi w:val="0"/>
                    <w:rPr>
                      <w:rFonts w:hint="eastAsia"/>
                    </w:rPr>
                  </w:pPr>
                  <w:r>
                    <w:rPr>
                      <w:rFonts w:hint="eastAsia"/>
                      <w:lang w:val="en-US" w:eastAsia="zh-CN"/>
                    </w:rPr>
                    <w:t>1069.5</w:t>
                  </w:r>
                </w:p>
              </w:tc>
            </w:tr>
            <w:tr w14:paraId="619A2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0" w:hRule="atLeast"/>
                <w:jc w:val="center"/>
              </w:trPr>
              <w:tc>
                <w:tcPr>
                  <w:tcW w:w="1509" w:type="dxa"/>
                  <w:gridSpan w:val="2"/>
                  <w:vMerge w:val="continue"/>
                  <w:tcBorders>
                    <w:left w:val="single" w:color="000000" w:sz="4" w:space="0"/>
                    <w:bottom w:val="single" w:color="000000" w:sz="4" w:space="0"/>
                    <w:right w:val="single" w:color="000000" w:sz="4" w:space="0"/>
                  </w:tcBorders>
                  <w:shd w:val="clear" w:color="auto" w:fill="auto"/>
                  <w:vAlign w:val="center"/>
                </w:tcPr>
                <w:p w14:paraId="698D73FE">
                  <w:pPr>
                    <w:pStyle w:val="51"/>
                    <w:bidi w:val="0"/>
                    <w:rPr>
                      <w:rFonts w:hint="eastAsia"/>
                      <w:lang w:val="en-US" w:eastAsia="zh-CN"/>
                    </w:rPr>
                  </w:pPr>
                </w:p>
              </w:tc>
              <w:tc>
                <w:tcPr>
                  <w:tcW w:w="1632" w:type="dxa"/>
                  <w:gridSpan w:val="2"/>
                  <w:vMerge w:val="continue"/>
                  <w:tcBorders>
                    <w:left w:val="single" w:color="000000" w:sz="4" w:space="0"/>
                    <w:bottom w:val="single" w:color="000000" w:sz="4" w:space="0"/>
                    <w:right w:val="single" w:color="000000" w:sz="4" w:space="0"/>
                  </w:tcBorders>
                  <w:shd w:val="clear" w:color="auto" w:fill="auto"/>
                  <w:vAlign w:val="center"/>
                </w:tcPr>
                <w:p w14:paraId="459A4759">
                  <w:pPr>
                    <w:pStyle w:val="51"/>
                    <w:bidi w:val="0"/>
                    <w:rPr>
                      <w:rFonts w:hint="eastAsia"/>
                      <w:lang w:val="en-US" w:eastAsia="zh-CN"/>
                    </w:rPr>
                  </w:pPr>
                </w:p>
              </w:tc>
              <w:tc>
                <w:tcPr>
                  <w:tcW w:w="1381" w:type="dxa"/>
                  <w:gridSpan w:val="2"/>
                  <w:vMerge w:val="continue"/>
                  <w:tcBorders>
                    <w:left w:val="single" w:color="000000" w:sz="4" w:space="0"/>
                    <w:bottom w:val="single" w:color="000000" w:sz="4" w:space="0"/>
                    <w:right w:val="single" w:color="000000" w:sz="4" w:space="0"/>
                  </w:tcBorders>
                  <w:shd w:val="clear" w:color="auto" w:fill="auto"/>
                  <w:vAlign w:val="center"/>
                </w:tcPr>
                <w:p w14:paraId="30E3DB97">
                  <w:pPr>
                    <w:pStyle w:val="51"/>
                    <w:bidi w:val="0"/>
                    <w:rPr>
                      <w:rFonts w:hint="default"/>
                      <w:lang w:val="en-US" w:eastAsia="zh-CN"/>
                    </w:rPr>
                  </w:pP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EB247">
                  <w:pPr>
                    <w:pStyle w:val="51"/>
                    <w:bidi w:val="0"/>
                    <w:ind w:firstLine="0" w:firstLineChars="0"/>
                    <w:rPr>
                      <w:rFonts w:hint="eastAsia"/>
                      <w:lang w:val="en-US" w:eastAsia="zh-CN"/>
                    </w:rPr>
                  </w:pPr>
                  <w:r>
                    <w:rPr>
                      <w:rFonts w:hint="eastAsia"/>
                      <w:lang w:val="en-US" w:eastAsia="zh-CN"/>
                    </w:rPr>
                    <w:t>污泥</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F38A">
                  <w:pPr>
                    <w:pStyle w:val="51"/>
                    <w:bidi w:val="0"/>
                    <w:ind w:firstLine="0" w:firstLineChars="0"/>
                    <w:rPr>
                      <w:rFonts w:hint="eastAsia"/>
                      <w:lang w:val="en-US" w:eastAsia="zh-CN"/>
                    </w:rPr>
                  </w:pPr>
                  <w:r>
                    <w:rPr>
                      <w:rFonts w:hint="eastAsia"/>
                      <w:lang w:val="en-US" w:eastAsia="zh-CN"/>
                    </w:rPr>
                    <w:t>295.272</w:t>
                  </w:r>
                </w:p>
              </w:tc>
            </w:tr>
            <w:tr w14:paraId="5DC10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dxa"/>
                <w:trHeight w:val="0" w:hRule="atLeast"/>
                <w:jc w:val="center"/>
              </w:trPr>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78E0">
                  <w:pPr>
                    <w:pStyle w:val="51"/>
                    <w:bidi w:val="0"/>
                    <w:rPr>
                      <w:rFonts w:hint="eastAsia"/>
                    </w:rPr>
                  </w:pPr>
                  <w:r>
                    <w:rPr>
                      <w:rFonts w:hint="eastAsia"/>
                      <w:lang w:val="en-US" w:eastAsia="zh-CN"/>
                    </w:rPr>
                    <w:t>小计</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C33A">
                  <w:pPr>
                    <w:pStyle w:val="51"/>
                    <w:bidi w:val="0"/>
                    <w:rPr>
                      <w:rFonts w:hint="eastAsia"/>
                      <w:lang w:val="en-US" w:eastAsia="zh-CN"/>
                    </w:rPr>
                  </w:pPr>
                  <w:r>
                    <w:rPr>
                      <w:rFonts w:hint="eastAsia"/>
                      <w:lang w:val="en-US" w:eastAsia="zh-CN"/>
                    </w:rPr>
                    <w:t>/</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550A1">
                  <w:pPr>
                    <w:pStyle w:val="51"/>
                    <w:bidi w:val="0"/>
                    <w:rPr>
                      <w:rFonts w:hint="eastAsia"/>
                    </w:rPr>
                  </w:pPr>
                  <w:r>
                    <w:rPr>
                      <w:rFonts w:hint="eastAsia"/>
                      <w:lang w:val="en-US" w:eastAsia="zh-CN"/>
                    </w:rPr>
                    <w:t>1364.772</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AC1E4">
                  <w:pPr>
                    <w:pStyle w:val="51"/>
                    <w:bidi w:val="0"/>
                    <w:rPr>
                      <w:rFonts w:hint="eastAsia"/>
                      <w:lang w:val="en-US" w:eastAsia="zh-CN"/>
                    </w:rPr>
                  </w:pPr>
                  <w:r>
                    <w:rPr>
                      <w:rFonts w:hint="eastAsia"/>
                      <w:lang w:val="en-US" w:eastAsia="zh-CN"/>
                    </w:rPr>
                    <w:t>/</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C969">
                  <w:pPr>
                    <w:pStyle w:val="51"/>
                    <w:bidi w:val="0"/>
                    <w:rPr>
                      <w:rFonts w:hint="eastAsia"/>
                    </w:rPr>
                  </w:pPr>
                  <w:r>
                    <w:rPr>
                      <w:rFonts w:hint="eastAsia"/>
                      <w:lang w:val="en-US" w:eastAsia="zh-CN"/>
                    </w:rPr>
                    <w:t>1364.772</w:t>
                  </w:r>
                </w:p>
              </w:tc>
            </w:tr>
          </w:tbl>
          <w:p w14:paraId="7BB83012">
            <w:pPr>
              <w:rPr>
                <w:rFonts w:hint="eastAsia"/>
                <w:color w:val="auto"/>
                <w:lang w:val="en-US" w:eastAsia="zh-CN"/>
              </w:rPr>
            </w:pPr>
          </w:p>
          <w:p w14:paraId="0AF901DD">
            <w:pPr>
              <w:pStyle w:val="39"/>
              <w:ind w:left="0" w:leftChars="0" w:firstLine="0" w:firstLineChars="0"/>
              <w:rPr>
                <w:rFonts w:hint="default"/>
                <w:color w:val="auto"/>
                <w:lang w:val="en-US" w:eastAsia="zh-CN"/>
              </w:rPr>
            </w:pPr>
          </w:p>
          <w:p w14:paraId="31BBD800">
            <w:pPr>
              <w:pStyle w:val="39"/>
              <w:ind w:left="0" w:leftChars="0" w:firstLine="0" w:firstLineChars="0"/>
              <w:rPr>
                <w:rFonts w:hint="default"/>
                <w:color w:val="auto"/>
                <w:lang w:val="en-US" w:eastAsia="zh-CN"/>
              </w:rPr>
            </w:pPr>
          </w:p>
          <w:p w14:paraId="5941E6F9">
            <w:pPr>
              <w:pStyle w:val="39"/>
              <w:ind w:left="0" w:leftChars="0" w:firstLine="0" w:firstLineChars="0"/>
              <w:rPr>
                <w:rFonts w:hint="default"/>
                <w:color w:val="auto"/>
                <w:lang w:val="en-US" w:eastAsia="zh-CN"/>
              </w:rPr>
            </w:pPr>
          </w:p>
          <w:p w14:paraId="0EFDD104">
            <w:pPr>
              <w:pStyle w:val="39"/>
              <w:ind w:left="0" w:leftChars="0" w:firstLine="0" w:firstLineChars="0"/>
              <w:rPr>
                <w:rFonts w:hint="default"/>
                <w:color w:val="auto"/>
                <w:lang w:val="en-US" w:eastAsia="zh-CN"/>
              </w:rPr>
            </w:pPr>
          </w:p>
          <w:p w14:paraId="014AD25E">
            <w:pPr>
              <w:pStyle w:val="39"/>
              <w:ind w:left="0" w:leftChars="0" w:firstLine="0" w:firstLineChars="0"/>
              <w:rPr>
                <w:rFonts w:hint="default"/>
                <w:color w:val="auto"/>
                <w:lang w:val="en-US" w:eastAsia="zh-CN"/>
              </w:rPr>
            </w:pPr>
          </w:p>
          <w:p w14:paraId="10AB5A13">
            <w:pPr>
              <w:pStyle w:val="39"/>
              <w:ind w:left="0" w:leftChars="0" w:firstLine="0" w:firstLineChars="0"/>
              <w:rPr>
                <w:rFonts w:hint="default"/>
                <w:color w:val="auto"/>
                <w:lang w:val="en-US" w:eastAsia="zh-CN"/>
              </w:rPr>
            </w:pPr>
          </w:p>
          <w:p w14:paraId="247C5B8C">
            <w:pPr>
              <w:pStyle w:val="39"/>
              <w:ind w:left="0" w:leftChars="0" w:firstLine="0" w:firstLineChars="0"/>
              <w:rPr>
                <w:rFonts w:hint="default"/>
                <w:color w:val="auto"/>
                <w:lang w:val="en-US" w:eastAsia="zh-CN"/>
              </w:rPr>
            </w:pPr>
          </w:p>
          <w:p w14:paraId="5D4EDC36">
            <w:pPr>
              <w:pStyle w:val="39"/>
              <w:ind w:left="0" w:leftChars="0" w:firstLine="0" w:firstLineChars="0"/>
              <w:rPr>
                <w:rFonts w:hint="default"/>
                <w:color w:val="auto"/>
                <w:lang w:val="en-US" w:eastAsia="zh-CN"/>
              </w:rPr>
            </w:pPr>
          </w:p>
          <w:p w14:paraId="2066B3BE">
            <w:pPr>
              <w:pStyle w:val="39"/>
              <w:ind w:left="0" w:leftChars="0" w:firstLine="0" w:firstLineChars="0"/>
              <w:rPr>
                <w:rFonts w:hint="default"/>
                <w:color w:val="auto"/>
                <w:lang w:val="en-US" w:eastAsia="zh-CN"/>
              </w:rPr>
            </w:pPr>
          </w:p>
          <w:p w14:paraId="353C3467">
            <w:pPr>
              <w:pStyle w:val="39"/>
              <w:ind w:left="0" w:leftChars="0" w:firstLine="0" w:firstLineChars="0"/>
              <w:rPr>
                <w:rFonts w:hint="default"/>
                <w:color w:val="auto"/>
                <w:lang w:val="en-US" w:eastAsia="zh-CN"/>
              </w:rPr>
            </w:pPr>
          </w:p>
          <w:p w14:paraId="4535A39F">
            <w:pPr>
              <w:pStyle w:val="39"/>
              <w:ind w:left="0" w:leftChars="0" w:firstLine="0" w:firstLineChars="0"/>
              <w:rPr>
                <w:rFonts w:hint="default"/>
                <w:color w:val="auto"/>
                <w:lang w:val="en-US" w:eastAsia="zh-CN"/>
              </w:rPr>
            </w:pPr>
          </w:p>
          <w:p w14:paraId="2D9C5956">
            <w:pPr>
              <w:pStyle w:val="39"/>
              <w:ind w:left="0" w:leftChars="0" w:firstLine="0" w:firstLineChars="0"/>
              <w:rPr>
                <w:rFonts w:hint="default"/>
                <w:color w:val="auto"/>
                <w:lang w:val="en-US" w:eastAsia="zh-CN"/>
              </w:rPr>
            </w:pPr>
          </w:p>
          <w:p w14:paraId="0BBE05F2">
            <w:pPr>
              <w:pStyle w:val="39"/>
              <w:ind w:left="0" w:leftChars="0" w:firstLine="0" w:firstLineChars="0"/>
              <w:rPr>
                <w:rFonts w:hint="default"/>
                <w:color w:val="auto"/>
                <w:lang w:val="en-US" w:eastAsia="zh-CN"/>
              </w:rPr>
            </w:pPr>
          </w:p>
          <w:p w14:paraId="1D86B730">
            <w:pPr>
              <w:pStyle w:val="39"/>
              <w:ind w:left="0" w:leftChars="0" w:firstLine="0" w:firstLineChars="0"/>
              <w:rPr>
                <w:rFonts w:hint="default"/>
                <w:color w:val="auto"/>
                <w:lang w:val="en-US" w:eastAsia="zh-CN"/>
              </w:rPr>
            </w:pPr>
          </w:p>
          <w:p w14:paraId="39875619">
            <w:pPr>
              <w:pStyle w:val="39"/>
              <w:ind w:left="0" w:leftChars="0" w:firstLine="0" w:firstLineChars="0"/>
              <w:rPr>
                <w:rFonts w:hint="default"/>
                <w:color w:val="auto"/>
                <w:lang w:val="en-US" w:eastAsia="zh-CN"/>
              </w:rPr>
            </w:pPr>
          </w:p>
          <w:p w14:paraId="4F9DB0DB">
            <w:pPr>
              <w:pStyle w:val="39"/>
              <w:ind w:left="0" w:leftChars="0" w:firstLine="0" w:firstLineChars="0"/>
              <w:rPr>
                <w:rFonts w:hint="default"/>
                <w:color w:val="auto"/>
                <w:lang w:val="en-US" w:eastAsia="zh-CN"/>
              </w:rPr>
            </w:pPr>
          </w:p>
          <w:p w14:paraId="1C979B23">
            <w:pPr>
              <w:pStyle w:val="39"/>
              <w:ind w:left="0" w:leftChars="0" w:firstLine="0" w:firstLineChars="0"/>
              <w:rPr>
                <w:rFonts w:hint="default"/>
                <w:color w:val="auto"/>
                <w:lang w:val="en-US" w:eastAsia="zh-CN"/>
              </w:rPr>
            </w:pPr>
          </w:p>
          <w:p w14:paraId="001908ED">
            <w:pPr>
              <w:pStyle w:val="39"/>
              <w:ind w:left="0" w:leftChars="0" w:firstLine="0" w:firstLineChars="0"/>
              <w:rPr>
                <w:rFonts w:hint="default"/>
                <w:color w:val="auto"/>
                <w:lang w:val="en-US" w:eastAsia="zh-CN"/>
              </w:rPr>
            </w:pPr>
          </w:p>
          <w:p w14:paraId="07075F6F">
            <w:pPr>
              <w:pStyle w:val="39"/>
              <w:ind w:left="0" w:leftChars="0" w:firstLine="0" w:firstLineChars="0"/>
              <w:rPr>
                <w:rFonts w:hint="default"/>
                <w:color w:val="auto"/>
                <w:lang w:val="en-US" w:eastAsia="zh-CN"/>
              </w:rPr>
            </w:pPr>
          </w:p>
          <w:p w14:paraId="3BED5A80">
            <w:pPr>
              <w:pStyle w:val="39"/>
              <w:ind w:left="0" w:leftChars="0" w:firstLine="0" w:firstLineChars="0"/>
              <w:rPr>
                <w:rFonts w:hint="default"/>
                <w:color w:val="auto"/>
                <w:lang w:val="en-US" w:eastAsia="zh-CN"/>
              </w:rPr>
            </w:pPr>
          </w:p>
          <w:p w14:paraId="633005E8">
            <w:pPr>
              <w:pStyle w:val="39"/>
              <w:ind w:left="0" w:leftChars="0" w:firstLine="0" w:firstLineChars="0"/>
              <w:rPr>
                <w:rFonts w:hint="default"/>
                <w:color w:val="auto"/>
                <w:lang w:val="en-US" w:eastAsia="zh-CN"/>
              </w:rPr>
            </w:pPr>
          </w:p>
          <w:p w14:paraId="24C09E19">
            <w:pPr>
              <w:pStyle w:val="39"/>
              <w:ind w:left="0" w:leftChars="0" w:firstLine="0" w:firstLineChars="0"/>
              <w:rPr>
                <w:rFonts w:hint="default"/>
                <w:color w:val="auto"/>
                <w:lang w:val="en-US" w:eastAsia="zh-CN"/>
              </w:rPr>
            </w:pPr>
          </w:p>
          <w:p w14:paraId="18866E71">
            <w:pPr>
              <w:pStyle w:val="39"/>
              <w:ind w:left="0" w:leftChars="0" w:firstLine="0" w:firstLineChars="0"/>
              <w:rPr>
                <w:rFonts w:hint="default"/>
                <w:color w:val="auto"/>
                <w:lang w:val="en-US" w:eastAsia="zh-CN"/>
              </w:rPr>
            </w:pPr>
          </w:p>
        </w:tc>
      </w:tr>
      <w:tr w14:paraId="589F98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37" w:hRule="atLeast"/>
          <w:jc w:val="center"/>
        </w:trPr>
        <w:tc>
          <w:tcPr>
            <w:tcW w:w="658" w:type="dxa"/>
            <w:vAlign w:val="center"/>
          </w:tcPr>
          <w:p w14:paraId="2FB14BDD">
            <w:pPr>
              <w:pStyle w:val="27"/>
              <w:adjustRightInd w:val="0"/>
              <w:snapToGrid w:val="0"/>
              <w:spacing w:before="0" w:beforeAutospacing="0" w:after="0" w:afterAutospacing="0"/>
              <w:jc w:val="center"/>
              <w:rPr>
                <w:rFonts w:cs="宋体"/>
                <w:color w:val="auto"/>
                <w:sz w:val="21"/>
                <w:szCs w:val="21"/>
              </w:rPr>
            </w:pPr>
            <w:r>
              <w:rPr>
                <w:rFonts w:hint="eastAsia" w:cs="宋体"/>
                <w:bCs/>
                <w:color w:val="auto"/>
                <w:kern w:val="2"/>
                <w:sz w:val="21"/>
                <w:szCs w:val="21"/>
              </w:rPr>
              <w:t>与项目有关的原有环境污染问题</w:t>
            </w:r>
          </w:p>
        </w:tc>
        <w:tc>
          <w:tcPr>
            <w:tcW w:w="8129" w:type="dxa"/>
            <w:vAlign w:val="top"/>
          </w:tcPr>
          <w:p w14:paraId="09E24456">
            <w:pPr>
              <w:pStyle w:val="38"/>
              <w:rPr>
                <w:color w:val="auto"/>
              </w:rPr>
            </w:pPr>
            <w:r>
              <w:rPr>
                <w:rFonts w:hint="eastAsia"/>
                <w:color w:val="auto"/>
              </w:rPr>
              <w:t>本项目</w:t>
            </w:r>
            <w:r>
              <w:rPr>
                <w:rFonts w:hint="eastAsia"/>
                <w:color w:val="auto"/>
                <w:lang w:val="en-US" w:eastAsia="zh-CN"/>
              </w:rPr>
              <w:t>租赁已建厂房</w:t>
            </w:r>
            <w:r>
              <w:rPr>
                <w:rFonts w:hint="eastAsia"/>
                <w:color w:val="auto"/>
              </w:rPr>
              <w:t>，施工期主要进行设备安装，</w:t>
            </w:r>
            <w:r>
              <w:rPr>
                <w:rFonts w:hint="eastAsia"/>
                <w:color w:val="auto"/>
                <w:lang w:val="en-US" w:eastAsia="zh-CN"/>
              </w:rPr>
              <w:t>现有厂房为空置状态，未进行生产运行</w:t>
            </w:r>
            <w:r>
              <w:rPr>
                <w:rFonts w:hint="eastAsia"/>
                <w:color w:val="auto"/>
              </w:rPr>
              <w:t>，不存在与项目有关的原有环境问题。</w:t>
            </w:r>
          </w:p>
          <w:p w14:paraId="41AD82D3">
            <w:pPr>
              <w:pStyle w:val="41"/>
              <w:bidi w:val="0"/>
              <w:ind w:left="0" w:leftChars="0" w:firstLine="0" w:firstLineChars="0"/>
              <w:rPr>
                <w:rFonts w:hint="eastAsia"/>
                <w:color w:val="auto"/>
                <w:lang w:val="en-US" w:eastAsia="zh-CN"/>
              </w:rPr>
            </w:pPr>
          </w:p>
          <w:p w14:paraId="188D5718">
            <w:pPr>
              <w:pStyle w:val="41"/>
              <w:bidi w:val="0"/>
              <w:ind w:left="0" w:leftChars="0" w:firstLine="0" w:firstLineChars="0"/>
              <w:rPr>
                <w:rFonts w:hint="eastAsia"/>
                <w:color w:val="auto"/>
                <w:lang w:val="en-US" w:eastAsia="zh-CN"/>
              </w:rPr>
            </w:pPr>
          </w:p>
          <w:p w14:paraId="0F35753D">
            <w:pPr>
              <w:pStyle w:val="41"/>
              <w:bidi w:val="0"/>
              <w:ind w:left="0" w:leftChars="0" w:firstLine="0" w:firstLineChars="0"/>
              <w:rPr>
                <w:rFonts w:hint="eastAsia"/>
                <w:color w:val="auto"/>
                <w:lang w:val="en-US" w:eastAsia="zh-CN"/>
              </w:rPr>
            </w:pPr>
          </w:p>
          <w:p w14:paraId="4307A2DD">
            <w:pPr>
              <w:pStyle w:val="41"/>
              <w:bidi w:val="0"/>
              <w:ind w:left="0" w:leftChars="0" w:firstLine="0" w:firstLineChars="0"/>
              <w:rPr>
                <w:rFonts w:hint="eastAsia"/>
                <w:color w:val="auto"/>
                <w:lang w:val="en-US" w:eastAsia="zh-CN"/>
              </w:rPr>
            </w:pPr>
          </w:p>
          <w:p w14:paraId="0FB20290">
            <w:pPr>
              <w:pStyle w:val="41"/>
              <w:bidi w:val="0"/>
              <w:ind w:left="0" w:leftChars="0" w:firstLine="0" w:firstLineChars="0"/>
              <w:rPr>
                <w:rFonts w:hint="eastAsia"/>
                <w:color w:val="auto"/>
                <w:lang w:val="en-US" w:eastAsia="zh-CN"/>
              </w:rPr>
            </w:pPr>
          </w:p>
          <w:p w14:paraId="490EEBB4">
            <w:pPr>
              <w:pStyle w:val="41"/>
              <w:bidi w:val="0"/>
              <w:ind w:left="0" w:leftChars="0" w:firstLine="0" w:firstLineChars="0"/>
              <w:rPr>
                <w:rFonts w:hint="eastAsia"/>
                <w:color w:val="auto"/>
                <w:lang w:val="en-US" w:eastAsia="zh-CN"/>
              </w:rPr>
            </w:pPr>
          </w:p>
          <w:p w14:paraId="25190C9C">
            <w:pPr>
              <w:pStyle w:val="41"/>
              <w:bidi w:val="0"/>
              <w:ind w:left="0" w:leftChars="0" w:firstLine="0" w:firstLineChars="0"/>
              <w:rPr>
                <w:rFonts w:hint="eastAsia"/>
                <w:color w:val="auto"/>
                <w:lang w:val="en-US" w:eastAsia="zh-CN"/>
              </w:rPr>
            </w:pPr>
          </w:p>
          <w:p w14:paraId="5040B7F2">
            <w:pPr>
              <w:pStyle w:val="41"/>
              <w:bidi w:val="0"/>
              <w:ind w:left="0" w:leftChars="0" w:firstLine="0" w:firstLineChars="0"/>
              <w:rPr>
                <w:rFonts w:hint="eastAsia"/>
                <w:color w:val="auto"/>
                <w:lang w:val="en-US" w:eastAsia="zh-CN"/>
              </w:rPr>
            </w:pPr>
          </w:p>
          <w:p w14:paraId="45C7F8A3">
            <w:pPr>
              <w:pStyle w:val="41"/>
              <w:bidi w:val="0"/>
              <w:ind w:left="0" w:leftChars="0" w:firstLine="0" w:firstLineChars="0"/>
              <w:rPr>
                <w:rFonts w:hint="eastAsia"/>
                <w:color w:val="auto"/>
                <w:lang w:val="en-US" w:eastAsia="zh-CN"/>
              </w:rPr>
            </w:pPr>
          </w:p>
          <w:p w14:paraId="07F98581">
            <w:pPr>
              <w:pStyle w:val="38"/>
              <w:rPr>
                <w:rFonts w:hint="eastAsia"/>
                <w:color w:val="auto"/>
                <w:lang w:val="en-US" w:eastAsia="zh-CN"/>
              </w:rPr>
            </w:pPr>
          </w:p>
          <w:p w14:paraId="01503F5A">
            <w:pPr>
              <w:pStyle w:val="39"/>
              <w:rPr>
                <w:rFonts w:hint="eastAsia"/>
                <w:color w:val="auto"/>
                <w:lang w:val="en-US" w:eastAsia="zh-CN"/>
              </w:rPr>
            </w:pPr>
          </w:p>
          <w:p w14:paraId="57A98A8A">
            <w:pPr>
              <w:pStyle w:val="39"/>
              <w:rPr>
                <w:rFonts w:hint="eastAsia"/>
                <w:color w:val="auto"/>
                <w:lang w:val="en-US" w:eastAsia="zh-CN"/>
              </w:rPr>
            </w:pPr>
          </w:p>
          <w:p w14:paraId="55277DBE">
            <w:pPr>
              <w:pStyle w:val="39"/>
              <w:rPr>
                <w:rFonts w:hint="eastAsia"/>
                <w:color w:val="auto"/>
                <w:lang w:val="en-US" w:eastAsia="zh-CN"/>
              </w:rPr>
            </w:pPr>
          </w:p>
          <w:p w14:paraId="6A211EF3">
            <w:pPr>
              <w:pStyle w:val="39"/>
              <w:rPr>
                <w:rFonts w:hint="eastAsia"/>
                <w:color w:val="auto"/>
                <w:lang w:val="en-US" w:eastAsia="zh-CN"/>
              </w:rPr>
            </w:pPr>
          </w:p>
          <w:p w14:paraId="13002BE3">
            <w:pPr>
              <w:pStyle w:val="39"/>
              <w:rPr>
                <w:rFonts w:hint="eastAsia"/>
                <w:color w:val="auto"/>
                <w:lang w:val="en-US" w:eastAsia="zh-CN"/>
              </w:rPr>
            </w:pPr>
          </w:p>
          <w:p w14:paraId="196410E5">
            <w:pPr>
              <w:pStyle w:val="39"/>
              <w:rPr>
                <w:rFonts w:hint="eastAsia"/>
                <w:color w:val="auto"/>
                <w:lang w:val="en-US" w:eastAsia="zh-CN"/>
              </w:rPr>
            </w:pPr>
          </w:p>
          <w:p w14:paraId="58188D48">
            <w:pPr>
              <w:pStyle w:val="39"/>
              <w:rPr>
                <w:rFonts w:hint="eastAsia"/>
                <w:color w:val="auto"/>
                <w:lang w:val="en-US" w:eastAsia="zh-CN"/>
              </w:rPr>
            </w:pPr>
          </w:p>
          <w:p w14:paraId="2920F42D">
            <w:pPr>
              <w:pStyle w:val="39"/>
              <w:rPr>
                <w:rFonts w:hint="eastAsia"/>
                <w:color w:val="auto"/>
                <w:lang w:val="en-US" w:eastAsia="zh-CN"/>
              </w:rPr>
            </w:pPr>
          </w:p>
          <w:p w14:paraId="426BC257">
            <w:pPr>
              <w:pStyle w:val="39"/>
              <w:rPr>
                <w:rFonts w:hint="eastAsia"/>
                <w:color w:val="auto"/>
                <w:lang w:val="en-US" w:eastAsia="zh-CN"/>
              </w:rPr>
            </w:pPr>
          </w:p>
          <w:p w14:paraId="7C40D086">
            <w:pPr>
              <w:pStyle w:val="39"/>
              <w:rPr>
                <w:rFonts w:hint="eastAsia"/>
                <w:color w:val="auto"/>
                <w:lang w:val="en-US" w:eastAsia="zh-CN"/>
              </w:rPr>
            </w:pPr>
          </w:p>
          <w:p w14:paraId="0AA9764A">
            <w:pPr>
              <w:pStyle w:val="39"/>
              <w:rPr>
                <w:rFonts w:hint="eastAsia"/>
                <w:color w:val="auto"/>
                <w:lang w:val="en-US" w:eastAsia="zh-CN"/>
              </w:rPr>
            </w:pPr>
          </w:p>
          <w:p w14:paraId="2CC7127B">
            <w:pPr>
              <w:pStyle w:val="39"/>
              <w:rPr>
                <w:rFonts w:hint="eastAsia"/>
                <w:color w:val="auto"/>
                <w:lang w:val="en-US" w:eastAsia="zh-CN"/>
              </w:rPr>
            </w:pPr>
          </w:p>
          <w:p w14:paraId="302622E0">
            <w:pPr>
              <w:pStyle w:val="39"/>
              <w:rPr>
                <w:rFonts w:hint="eastAsia"/>
                <w:color w:val="auto"/>
                <w:lang w:val="en-US" w:eastAsia="zh-CN"/>
              </w:rPr>
            </w:pPr>
          </w:p>
          <w:p w14:paraId="521A306E">
            <w:pPr>
              <w:pStyle w:val="39"/>
              <w:rPr>
                <w:rFonts w:hint="eastAsia"/>
                <w:color w:val="auto"/>
                <w:lang w:val="en-US" w:eastAsia="zh-CN"/>
              </w:rPr>
            </w:pPr>
          </w:p>
          <w:p w14:paraId="57D82CE9">
            <w:pPr>
              <w:pStyle w:val="41"/>
              <w:bidi w:val="0"/>
              <w:ind w:left="0" w:leftChars="0" w:firstLine="0" w:firstLineChars="0"/>
              <w:rPr>
                <w:rFonts w:hint="eastAsia"/>
                <w:color w:val="auto"/>
                <w:lang w:val="en-US" w:eastAsia="zh-CN"/>
              </w:rPr>
            </w:pPr>
          </w:p>
        </w:tc>
      </w:tr>
    </w:tbl>
    <w:p w14:paraId="4B88DEE2">
      <w:pPr>
        <w:pStyle w:val="27"/>
        <w:jc w:val="center"/>
        <w:outlineLvl w:val="0"/>
        <w:rPr>
          <w:rFonts w:ascii="黑体" w:hAnsi="黑体" w:eastAsia="黑体"/>
          <w:snapToGrid w:val="0"/>
          <w:color w:val="auto"/>
          <w:sz w:val="30"/>
          <w:szCs w:val="30"/>
        </w:rPr>
      </w:pPr>
      <w:bookmarkStart w:id="35" w:name="_Toc31157"/>
      <w:bookmarkStart w:id="36" w:name="_Toc23786"/>
      <w:r>
        <w:rPr>
          <w:rFonts w:hint="eastAsia" w:ascii="黑体" w:hAnsi="黑体" w:eastAsia="黑体"/>
          <w:snapToGrid w:val="0"/>
          <w:color w:val="auto"/>
          <w:sz w:val="30"/>
          <w:szCs w:val="30"/>
        </w:rPr>
        <w:t>三、区域环境质量现状、环境保护目标及评价标准</w:t>
      </w:r>
      <w:bookmarkEnd w:id="35"/>
      <w:bookmarkEnd w:id="36"/>
    </w:p>
    <w:tbl>
      <w:tblPr>
        <w:tblStyle w:val="31"/>
        <w:tblW w:w="87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86"/>
        <w:gridCol w:w="8001"/>
      </w:tblGrid>
      <w:tr w14:paraId="5099FB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800" w:type="dxa"/>
            <w:vAlign w:val="center"/>
          </w:tcPr>
          <w:p w14:paraId="31F4DF2E">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区域</w:t>
            </w:r>
          </w:p>
          <w:p w14:paraId="6E3BBA04">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环境</w:t>
            </w:r>
          </w:p>
          <w:p w14:paraId="6ABDF5FD">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质量</w:t>
            </w:r>
          </w:p>
          <w:p w14:paraId="07B2F293">
            <w:pPr>
              <w:adjustRightInd w:val="0"/>
              <w:snapToGrid w:val="0"/>
              <w:jc w:val="center"/>
              <w:rPr>
                <w:rFonts w:ascii="宋体" w:hAnsi="宋体" w:cs="宋体"/>
                <w:color w:val="auto"/>
                <w:kern w:val="0"/>
                <w:szCs w:val="21"/>
              </w:rPr>
            </w:pPr>
            <w:r>
              <w:rPr>
                <w:rFonts w:hint="eastAsia" w:ascii="宋体" w:hAnsi="宋体" w:cs="宋体"/>
                <w:color w:val="auto"/>
                <w:kern w:val="0"/>
                <w:szCs w:val="21"/>
              </w:rPr>
              <w:t>现状</w:t>
            </w:r>
          </w:p>
        </w:tc>
        <w:tc>
          <w:tcPr>
            <w:tcW w:w="8190" w:type="dxa"/>
            <w:vAlign w:val="center"/>
          </w:tcPr>
          <w:p w14:paraId="0692DB75">
            <w:pPr>
              <w:pStyle w:val="4"/>
              <w:bidi w:val="0"/>
              <w:rPr>
                <w:color w:val="auto"/>
              </w:rPr>
            </w:pPr>
            <w:r>
              <w:rPr>
                <w:rFonts w:hint="eastAsia"/>
                <w:color w:val="auto"/>
              </w:rPr>
              <w:t>3.1、大气环境质量现状调查与评价</w:t>
            </w:r>
          </w:p>
          <w:p w14:paraId="01DFDF8E">
            <w:pPr>
              <w:pStyle w:val="38"/>
              <w:bidi w:val="0"/>
              <w:rPr>
                <w:rFonts w:hint="default"/>
                <w:color w:val="auto"/>
                <w:lang w:val="en-US" w:eastAsia="zh-CN"/>
              </w:rPr>
            </w:pPr>
            <w:r>
              <w:rPr>
                <w:rFonts w:hint="eastAsia"/>
                <w:color w:val="auto"/>
                <w:lang w:val="en-US" w:eastAsia="zh-CN"/>
              </w:rPr>
              <w:t>（1）基本污染物调查与评价</w:t>
            </w:r>
          </w:p>
          <w:p w14:paraId="7201F200">
            <w:pPr>
              <w:pStyle w:val="38"/>
              <w:bidi w:val="0"/>
              <w:rPr>
                <w:rFonts w:hint="default"/>
                <w:color w:val="auto"/>
              </w:rPr>
            </w:pPr>
            <w:r>
              <w:rPr>
                <w:rFonts w:hint="eastAsia"/>
                <w:color w:val="auto"/>
                <w:lang w:val="en-US" w:eastAsia="zh-CN"/>
              </w:rPr>
              <w:t>①</w:t>
            </w:r>
            <w:r>
              <w:rPr>
                <w:rFonts w:hint="default"/>
                <w:color w:val="auto"/>
              </w:rPr>
              <w:t>数据来源</w:t>
            </w:r>
          </w:p>
          <w:p w14:paraId="696A5237">
            <w:pPr>
              <w:pStyle w:val="38"/>
              <w:bidi w:val="0"/>
              <w:rPr>
                <w:rFonts w:hint="default"/>
                <w:color w:val="auto"/>
                <w:lang w:eastAsia="zh-CN"/>
              </w:rPr>
            </w:pPr>
            <w:r>
              <w:rPr>
                <w:rFonts w:hint="default"/>
                <w:color w:val="auto"/>
                <w:lang w:eastAsia="zh-CN"/>
              </w:rPr>
              <w:t>根据《建设项目环境影响报告表编制技术指南（污染影响类）（试行）》，本次评价选择环境空气质量模型技术支持服务系统（http://data.lem.org.cn/eamds/apply/tostepone.html）中生态环境部环境工程评估中心国家环境保护环境影响评价数值模拟重点实验室发布的202</w:t>
            </w:r>
            <w:r>
              <w:rPr>
                <w:rFonts w:hint="eastAsia"/>
                <w:color w:val="auto"/>
                <w:lang w:val="en-US" w:eastAsia="zh-CN"/>
              </w:rPr>
              <w:t>3</w:t>
            </w:r>
            <w:r>
              <w:rPr>
                <w:rFonts w:hint="default"/>
                <w:color w:val="auto"/>
                <w:lang w:eastAsia="zh-CN"/>
              </w:rPr>
              <w:t>年</w:t>
            </w:r>
            <w:r>
              <w:rPr>
                <w:rFonts w:hint="eastAsia"/>
                <w:color w:val="auto"/>
                <w:lang w:val="en-US" w:eastAsia="zh-CN"/>
              </w:rPr>
              <w:t>吐鲁番高昌区</w:t>
            </w:r>
            <w:r>
              <w:rPr>
                <w:rFonts w:hint="default"/>
                <w:color w:val="auto"/>
                <w:lang w:eastAsia="zh-CN"/>
              </w:rPr>
              <w:t>空气质量数据，作为本项目环境空气现状评价基本污染物SO</w:t>
            </w:r>
            <w:r>
              <w:rPr>
                <w:rFonts w:hint="default"/>
                <w:color w:val="auto"/>
                <w:vertAlign w:val="subscript"/>
                <w:lang w:eastAsia="zh-CN"/>
              </w:rPr>
              <w:t>2</w:t>
            </w:r>
            <w:r>
              <w:rPr>
                <w:rFonts w:hint="default"/>
                <w:color w:val="auto"/>
                <w:lang w:eastAsia="zh-CN"/>
              </w:rPr>
              <w:t>、NO</w:t>
            </w:r>
            <w:r>
              <w:rPr>
                <w:rFonts w:hint="default"/>
                <w:color w:val="auto"/>
                <w:vertAlign w:val="subscript"/>
                <w:lang w:eastAsia="zh-CN"/>
              </w:rPr>
              <w:t>2</w:t>
            </w:r>
            <w:r>
              <w:rPr>
                <w:rFonts w:hint="default"/>
                <w:color w:val="auto"/>
                <w:lang w:eastAsia="zh-CN"/>
              </w:rPr>
              <w:t>、PM</w:t>
            </w:r>
            <w:r>
              <w:rPr>
                <w:rFonts w:hint="default"/>
                <w:color w:val="auto"/>
                <w:vertAlign w:val="subscript"/>
                <w:lang w:eastAsia="zh-CN"/>
              </w:rPr>
              <w:t>10</w:t>
            </w:r>
            <w:r>
              <w:rPr>
                <w:rFonts w:hint="default"/>
                <w:color w:val="auto"/>
                <w:lang w:eastAsia="zh-CN"/>
              </w:rPr>
              <w:t>、PM</w:t>
            </w:r>
            <w:r>
              <w:rPr>
                <w:rFonts w:hint="default"/>
                <w:color w:val="auto"/>
                <w:vertAlign w:val="subscript"/>
                <w:lang w:eastAsia="zh-CN"/>
              </w:rPr>
              <w:t>2.5</w:t>
            </w:r>
            <w:r>
              <w:rPr>
                <w:rFonts w:hint="default"/>
                <w:color w:val="auto"/>
                <w:lang w:eastAsia="zh-CN"/>
              </w:rPr>
              <w:t>、CO和O</w:t>
            </w:r>
            <w:r>
              <w:rPr>
                <w:rFonts w:hint="default"/>
                <w:color w:val="auto"/>
                <w:vertAlign w:val="subscript"/>
                <w:lang w:eastAsia="zh-CN"/>
              </w:rPr>
              <w:t>3</w:t>
            </w:r>
            <w:r>
              <w:rPr>
                <w:rFonts w:hint="default"/>
                <w:color w:val="auto"/>
                <w:lang w:eastAsia="zh-CN"/>
              </w:rPr>
              <w:t>的数据来源。</w:t>
            </w:r>
          </w:p>
          <w:p w14:paraId="145B04D7">
            <w:pPr>
              <w:pStyle w:val="41"/>
              <w:bidi w:val="0"/>
              <w:rPr>
                <w:rFonts w:hint="default"/>
                <w:color w:val="auto"/>
                <w:lang w:eastAsia="zh-CN"/>
              </w:rPr>
            </w:pPr>
            <w:r>
              <w:rPr>
                <w:rFonts w:hint="eastAsia"/>
                <w:color w:val="auto"/>
                <w:lang w:val="en-US" w:eastAsia="zh-CN"/>
              </w:rPr>
              <w:t>②</w:t>
            </w:r>
            <w:r>
              <w:rPr>
                <w:rFonts w:hint="default"/>
                <w:color w:val="auto"/>
                <w:lang w:eastAsia="zh-CN"/>
              </w:rPr>
              <w:t>评价标准</w:t>
            </w:r>
          </w:p>
          <w:p w14:paraId="0F80E68A">
            <w:pPr>
              <w:pStyle w:val="41"/>
              <w:bidi w:val="0"/>
              <w:rPr>
                <w:rFonts w:hint="default"/>
                <w:color w:val="auto"/>
                <w:lang w:eastAsia="zh-CN"/>
              </w:rPr>
            </w:pPr>
            <w:r>
              <w:rPr>
                <w:rFonts w:hint="default"/>
                <w:color w:val="auto"/>
                <w:lang w:eastAsia="zh-CN"/>
              </w:rPr>
              <w:t>常规污染物</w:t>
            </w:r>
            <w:r>
              <w:rPr>
                <w:rFonts w:hint="default"/>
                <w:color w:val="auto"/>
              </w:rPr>
              <w:t>SO</w:t>
            </w:r>
            <w:r>
              <w:rPr>
                <w:rFonts w:hint="default"/>
                <w:color w:val="auto"/>
                <w:vertAlign w:val="subscript"/>
              </w:rPr>
              <w:t>2</w:t>
            </w:r>
            <w:r>
              <w:rPr>
                <w:rFonts w:hint="default"/>
                <w:color w:val="auto"/>
              </w:rPr>
              <w:t>、NO</w:t>
            </w:r>
            <w:r>
              <w:rPr>
                <w:rFonts w:hint="default"/>
                <w:color w:val="auto"/>
                <w:vertAlign w:val="subscript"/>
              </w:rPr>
              <w:t>2</w:t>
            </w:r>
            <w:r>
              <w:rPr>
                <w:rFonts w:hint="default"/>
                <w:color w:val="auto"/>
              </w:rPr>
              <w:t>、PM</w:t>
            </w:r>
            <w:r>
              <w:rPr>
                <w:rFonts w:hint="default"/>
                <w:color w:val="auto"/>
                <w:vertAlign w:val="subscript"/>
              </w:rPr>
              <w:t>10</w:t>
            </w:r>
            <w:r>
              <w:rPr>
                <w:rFonts w:hint="default"/>
                <w:color w:val="auto"/>
              </w:rPr>
              <w:t>、PM</w:t>
            </w:r>
            <w:r>
              <w:rPr>
                <w:rFonts w:hint="default"/>
                <w:color w:val="auto"/>
                <w:vertAlign w:val="subscript"/>
              </w:rPr>
              <w:t>2.5</w:t>
            </w:r>
            <w:r>
              <w:rPr>
                <w:rFonts w:hint="default"/>
                <w:color w:val="auto"/>
              </w:rPr>
              <w:t>、CO、O</w:t>
            </w:r>
            <w:r>
              <w:rPr>
                <w:rFonts w:hint="default"/>
                <w:color w:val="auto"/>
                <w:vertAlign w:val="subscript"/>
              </w:rPr>
              <w:t>3</w:t>
            </w:r>
            <w:r>
              <w:rPr>
                <w:rFonts w:hint="default"/>
                <w:color w:val="auto"/>
                <w:lang w:eastAsia="zh-CN"/>
              </w:rPr>
              <w:t>执行《环境空气质量标准》（GB3095-2012）二级标准。</w:t>
            </w:r>
          </w:p>
          <w:p w14:paraId="197E5EA1">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 xml:space="preserve">3-1    </w:t>
            </w:r>
            <w:r>
              <w:rPr>
                <w:rFonts w:hint="default" w:ascii="Times New Roman" w:hAnsi="Times New Roman" w:eastAsia="宋体" w:cs="Times New Roman"/>
                <w:b/>
                <w:bCs/>
                <w:color w:val="auto"/>
                <w:sz w:val="21"/>
                <w:szCs w:val="21"/>
                <w:highlight w:val="none"/>
              </w:rPr>
              <w:t xml:space="preserve"> 环境空气质量标准     单位：ug/m</w:t>
            </w:r>
            <w:r>
              <w:rPr>
                <w:rFonts w:hint="default" w:ascii="Times New Roman" w:hAnsi="Times New Roman" w:eastAsia="宋体" w:cs="Times New Roman"/>
                <w:b/>
                <w:bCs/>
                <w:color w:val="auto"/>
                <w:sz w:val="21"/>
                <w:szCs w:val="21"/>
                <w:highlight w:val="none"/>
                <w:vertAlign w:val="superscript"/>
              </w:rPr>
              <w:t>3</w:t>
            </w:r>
          </w:p>
          <w:tbl>
            <w:tblPr>
              <w:tblStyle w:val="31"/>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2970"/>
              <w:gridCol w:w="2979"/>
            </w:tblGrid>
            <w:tr w14:paraId="1F2C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52" w:type="pct"/>
                  <w:tcBorders>
                    <w:tl2br w:val="nil"/>
                    <w:tr2bl w:val="nil"/>
                  </w:tcBorders>
                  <w:noWrap w:val="0"/>
                  <w:vAlign w:val="center"/>
                </w:tcPr>
                <w:p w14:paraId="05554A2B">
                  <w:pPr>
                    <w:pStyle w:val="51"/>
                    <w:bidi w:val="0"/>
                    <w:rPr>
                      <w:rFonts w:hint="default"/>
                      <w:color w:val="auto"/>
                    </w:rPr>
                  </w:pPr>
                  <w:r>
                    <w:rPr>
                      <w:rFonts w:hint="default"/>
                      <w:color w:val="auto"/>
                    </w:rPr>
                    <w:t>污染物名称</w:t>
                  </w:r>
                </w:p>
              </w:tc>
              <w:tc>
                <w:tcPr>
                  <w:tcW w:w="1870" w:type="pct"/>
                  <w:tcBorders>
                    <w:tl2br w:val="nil"/>
                    <w:tr2bl w:val="nil"/>
                  </w:tcBorders>
                  <w:noWrap w:val="0"/>
                  <w:vAlign w:val="center"/>
                </w:tcPr>
                <w:p w14:paraId="4A3BC902">
                  <w:pPr>
                    <w:pStyle w:val="51"/>
                    <w:bidi w:val="0"/>
                    <w:rPr>
                      <w:rFonts w:hint="default"/>
                      <w:color w:val="auto"/>
                    </w:rPr>
                  </w:pPr>
                  <w:r>
                    <w:rPr>
                      <w:rFonts w:hint="default"/>
                      <w:color w:val="auto"/>
                    </w:rPr>
                    <w:t>取值时间</w:t>
                  </w:r>
                </w:p>
              </w:tc>
              <w:tc>
                <w:tcPr>
                  <w:tcW w:w="1876" w:type="pct"/>
                  <w:tcBorders>
                    <w:tl2br w:val="nil"/>
                    <w:tr2bl w:val="nil"/>
                  </w:tcBorders>
                  <w:noWrap w:val="0"/>
                  <w:vAlign w:val="center"/>
                </w:tcPr>
                <w:p w14:paraId="4B3D83A6">
                  <w:pPr>
                    <w:pStyle w:val="51"/>
                    <w:bidi w:val="0"/>
                    <w:rPr>
                      <w:rFonts w:hint="default"/>
                      <w:color w:val="auto"/>
                    </w:rPr>
                  </w:pPr>
                  <w:r>
                    <w:rPr>
                      <w:rFonts w:hint="default"/>
                      <w:color w:val="auto"/>
                    </w:rPr>
                    <w:t>二级标准浓度限值</w:t>
                  </w:r>
                </w:p>
              </w:tc>
            </w:tr>
            <w:tr w14:paraId="7CB2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52" w:type="pct"/>
                  <w:vMerge w:val="restart"/>
                  <w:tcBorders>
                    <w:tl2br w:val="nil"/>
                    <w:tr2bl w:val="nil"/>
                  </w:tcBorders>
                  <w:noWrap w:val="0"/>
                  <w:vAlign w:val="center"/>
                </w:tcPr>
                <w:p w14:paraId="33492227">
                  <w:pPr>
                    <w:pStyle w:val="51"/>
                    <w:bidi w:val="0"/>
                    <w:rPr>
                      <w:rFonts w:hint="default"/>
                      <w:color w:val="auto"/>
                    </w:rPr>
                  </w:pPr>
                  <w:r>
                    <w:rPr>
                      <w:rFonts w:hint="default"/>
                      <w:color w:val="auto"/>
                    </w:rPr>
                    <w:t>SO</w:t>
                  </w:r>
                  <w:r>
                    <w:rPr>
                      <w:rFonts w:hint="default"/>
                      <w:color w:val="auto"/>
                      <w:vertAlign w:val="subscript"/>
                    </w:rPr>
                    <w:t>2</w:t>
                  </w:r>
                </w:p>
              </w:tc>
              <w:tc>
                <w:tcPr>
                  <w:tcW w:w="1870" w:type="pct"/>
                  <w:tcBorders>
                    <w:tl2br w:val="nil"/>
                    <w:tr2bl w:val="nil"/>
                  </w:tcBorders>
                  <w:noWrap w:val="0"/>
                  <w:vAlign w:val="center"/>
                </w:tcPr>
                <w:p w14:paraId="116E169E">
                  <w:pPr>
                    <w:pStyle w:val="51"/>
                    <w:bidi w:val="0"/>
                    <w:rPr>
                      <w:rFonts w:hint="default"/>
                      <w:color w:val="auto"/>
                      <w:lang w:eastAsia="zh-CN"/>
                    </w:rPr>
                  </w:pPr>
                  <w:r>
                    <w:rPr>
                      <w:rFonts w:hint="default"/>
                      <w:color w:val="auto"/>
                      <w:lang w:eastAsia="zh-CN"/>
                    </w:rPr>
                    <w:t>年均值</w:t>
                  </w:r>
                </w:p>
              </w:tc>
              <w:tc>
                <w:tcPr>
                  <w:tcW w:w="1876" w:type="pct"/>
                  <w:tcBorders>
                    <w:tl2br w:val="nil"/>
                    <w:tr2bl w:val="nil"/>
                  </w:tcBorders>
                  <w:noWrap w:val="0"/>
                  <w:vAlign w:val="center"/>
                </w:tcPr>
                <w:p w14:paraId="186386A6">
                  <w:pPr>
                    <w:pStyle w:val="51"/>
                    <w:bidi w:val="0"/>
                    <w:rPr>
                      <w:rFonts w:hint="default"/>
                      <w:color w:val="auto"/>
                      <w:lang w:val="en-US" w:eastAsia="zh-CN"/>
                    </w:rPr>
                  </w:pPr>
                  <w:r>
                    <w:rPr>
                      <w:rFonts w:hint="default"/>
                      <w:color w:val="auto"/>
                      <w:lang w:val="en-US" w:eastAsia="zh-CN"/>
                    </w:rPr>
                    <w:t>60</w:t>
                  </w:r>
                </w:p>
              </w:tc>
            </w:tr>
            <w:tr w14:paraId="5852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2" w:type="pct"/>
                  <w:vMerge w:val="continue"/>
                  <w:tcBorders>
                    <w:tl2br w:val="nil"/>
                    <w:tr2bl w:val="nil"/>
                  </w:tcBorders>
                  <w:noWrap w:val="0"/>
                  <w:vAlign w:val="center"/>
                </w:tcPr>
                <w:p w14:paraId="1924AC03">
                  <w:pPr>
                    <w:pStyle w:val="51"/>
                    <w:bidi w:val="0"/>
                    <w:rPr>
                      <w:rFonts w:hint="default"/>
                      <w:color w:val="auto"/>
                    </w:rPr>
                  </w:pPr>
                </w:p>
              </w:tc>
              <w:tc>
                <w:tcPr>
                  <w:tcW w:w="1870" w:type="pct"/>
                  <w:tcBorders>
                    <w:tl2br w:val="nil"/>
                    <w:tr2bl w:val="nil"/>
                  </w:tcBorders>
                  <w:noWrap w:val="0"/>
                  <w:vAlign w:val="center"/>
                </w:tcPr>
                <w:p w14:paraId="574BBFF2">
                  <w:pPr>
                    <w:pStyle w:val="51"/>
                    <w:bidi w:val="0"/>
                    <w:rPr>
                      <w:rFonts w:hint="default"/>
                      <w:color w:val="auto"/>
                      <w:lang w:val="en-US" w:eastAsia="zh-CN"/>
                    </w:rPr>
                  </w:pPr>
                  <w:r>
                    <w:rPr>
                      <w:rFonts w:hint="default"/>
                      <w:color w:val="auto"/>
                    </w:rPr>
                    <w:t>日均值</w:t>
                  </w:r>
                </w:p>
              </w:tc>
              <w:tc>
                <w:tcPr>
                  <w:tcW w:w="1876" w:type="pct"/>
                  <w:tcBorders>
                    <w:tl2br w:val="nil"/>
                    <w:tr2bl w:val="nil"/>
                  </w:tcBorders>
                  <w:noWrap w:val="0"/>
                  <w:vAlign w:val="center"/>
                </w:tcPr>
                <w:p w14:paraId="6352321C">
                  <w:pPr>
                    <w:pStyle w:val="51"/>
                    <w:bidi w:val="0"/>
                    <w:rPr>
                      <w:rFonts w:hint="default"/>
                      <w:color w:val="auto"/>
                      <w:lang w:val="en-US" w:eastAsia="zh-CN"/>
                    </w:rPr>
                  </w:pPr>
                  <w:r>
                    <w:rPr>
                      <w:rFonts w:hint="default"/>
                      <w:color w:val="auto"/>
                    </w:rPr>
                    <w:t>150</w:t>
                  </w:r>
                </w:p>
              </w:tc>
            </w:tr>
            <w:tr w14:paraId="5D24A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52" w:type="pct"/>
                  <w:vMerge w:val="restart"/>
                  <w:tcBorders>
                    <w:tl2br w:val="nil"/>
                    <w:tr2bl w:val="nil"/>
                  </w:tcBorders>
                  <w:noWrap w:val="0"/>
                  <w:vAlign w:val="center"/>
                </w:tcPr>
                <w:p w14:paraId="7EB2A315">
                  <w:pPr>
                    <w:pStyle w:val="51"/>
                    <w:bidi w:val="0"/>
                    <w:rPr>
                      <w:rFonts w:hint="default"/>
                      <w:color w:val="auto"/>
                    </w:rPr>
                  </w:pPr>
                  <w:r>
                    <w:rPr>
                      <w:rFonts w:hint="default"/>
                      <w:color w:val="auto"/>
                    </w:rPr>
                    <w:t>NO</w:t>
                  </w:r>
                  <w:r>
                    <w:rPr>
                      <w:rFonts w:hint="default"/>
                      <w:color w:val="auto"/>
                      <w:vertAlign w:val="subscript"/>
                    </w:rPr>
                    <w:t>2</w:t>
                  </w:r>
                </w:p>
              </w:tc>
              <w:tc>
                <w:tcPr>
                  <w:tcW w:w="1870" w:type="pct"/>
                  <w:tcBorders>
                    <w:tl2br w:val="nil"/>
                    <w:tr2bl w:val="nil"/>
                  </w:tcBorders>
                  <w:noWrap w:val="0"/>
                  <w:vAlign w:val="center"/>
                </w:tcPr>
                <w:p w14:paraId="511F0822">
                  <w:pPr>
                    <w:pStyle w:val="51"/>
                    <w:bidi w:val="0"/>
                    <w:rPr>
                      <w:rFonts w:hint="default"/>
                      <w:color w:val="auto"/>
                    </w:rPr>
                  </w:pPr>
                  <w:r>
                    <w:rPr>
                      <w:rFonts w:hint="default"/>
                      <w:color w:val="auto"/>
                      <w:lang w:eastAsia="zh-CN"/>
                    </w:rPr>
                    <w:t>年均值</w:t>
                  </w:r>
                </w:p>
              </w:tc>
              <w:tc>
                <w:tcPr>
                  <w:tcW w:w="1876" w:type="pct"/>
                  <w:tcBorders>
                    <w:tl2br w:val="nil"/>
                    <w:tr2bl w:val="nil"/>
                  </w:tcBorders>
                  <w:noWrap w:val="0"/>
                  <w:vAlign w:val="center"/>
                </w:tcPr>
                <w:p w14:paraId="538F5D1C">
                  <w:pPr>
                    <w:pStyle w:val="51"/>
                    <w:bidi w:val="0"/>
                    <w:rPr>
                      <w:rFonts w:hint="default"/>
                      <w:color w:val="auto"/>
                      <w:lang w:val="en-US" w:eastAsia="zh-CN"/>
                    </w:rPr>
                  </w:pPr>
                  <w:r>
                    <w:rPr>
                      <w:rFonts w:hint="default"/>
                      <w:color w:val="auto"/>
                      <w:lang w:val="en-US" w:eastAsia="zh-CN"/>
                    </w:rPr>
                    <w:t>40</w:t>
                  </w:r>
                </w:p>
              </w:tc>
            </w:tr>
            <w:tr w14:paraId="2A93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52" w:type="pct"/>
                  <w:vMerge w:val="continue"/>
                  <w:tcBorders>
                    <w:tl2br w:val="nil"/>
                    <w:tr2bl w:val="nil"/>
                  </w:tcBorders>
                  <w:noWrap w:val="0"/>
                  <w:vAlign w:val="center"/>
                </w:tcPr>
                <w:p w14:paraId="551E66A5">
                  <w:pPr>
                    <w:pStyle w:val="51"/>
                    <w:bidi w:val="0"/>
                    <w:rPr>
                      <w:rFonts w:hint="default"/>
                      <w:color w:val="auto"/>
                    </w:rPr>
                  </w:pPr>
                </w:p>
              </w:tc>
              <w:tc>
                <w:tcPr>
                  <w:tcW w:w="1870" w:type="pct"/>
                  <w:tcBorders>
                    <w:tl2br w:val="nil"/>
                    <w:tr2bl w:val="nil"/>
                  </w:tcBorders>
                  <w:noWrap w:val="0"/>
                  <w:vAlign w:val="center"/>
                </w:tcPr>
                <w:p w14:paraId="47E486A6">
                  <w:pPr>
                    <w:pStyle w:val="51"/>
                    <w:bidi w:val="0"/>
                    <w:rPr>
                      <w:rFonts w:hint="default"/>
                      <w:color w:val="auto"/>
                      <w:lang w:val="en-US" w:eastAsia="zh-CN"/>
                    </w:rPr>
                  </w:pPr>
                  <w:r>
                    <w:rPr>
                      <w:rFonts w:hint="default"/>
                      <w:color w:val="auto"/>
                    </w:rPr>
                    <w:t>日均值</w:t>
                  </w:r>
                </w:p>
              </w:tc>
              <w:tc>
                <w:tcPr>
                  <w:tcW w:w="1876" w:type="pct"/>
                  <w:tcBorders>
                    <w:tl2br w:val="nil"/>
                    <w:tr2bl w:val="nil"/>
                  </w:tcBorders>
                  <w:noWrap w:val="0"/>
                  <w:vAlign w:val="center"/>
                </w:tcPr>
                <w:p w14:paraId="6E189F67">
                  <w:pPr>
                    <w:pStyle w:val="51"/>
                    <w:bidi w:val="0"/>
                    <w:rPr>
                      <w:rFonts w:hint="default"/>
                      <w:color w:val="auto"/>
                      <w:lang w:val="en-US" w:eastAsia="zh-CN"/>
                    </w:rPr>
                  </w:pPr>
                  <w:r>
                    <w:rPr>
                      <w:rFonts w:hint="default"/>
                      <w:color w:val="auto"/>
                    </w:rPr>
                    <w:t>80</w:t>
                  </w:r>
                </w:p>
              </w:tc>
            </w:tr>
            <w:tr w14:paraId="33873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2" w:type="pct"/>
                  <w:vMerge w:val="restart"/>
                  <w:tcBorders>
                    <w:tl2br w:val="nil"/>
                    <w:tr2bl w:val="nil"/>
                  </w:tcBorders>
                  <w:noWrap w:val="0"/>
                  <w:vAlign w:val="center"/>
                </w:tcPr>
                <w:p w14:paraId="712BFBAB">
                  <w:pPr>
                    <w:pStyle w:val="51"/>
                    <w:bidi w:val="0"/>
                    <w:rPr>
                      <w:rFonts w:hint="default"/>
                      <w:color w:val="auto"/>
                      <w:lang w:val="en-US" w:eastAsia="zh-CN"/>
                    </w:rPr>
                  </w:pPr>
                  <w:r>
                    <w:rPr>
                      <w:rFonts w:hint="default"/>
                      <w:color w:val="auto"/>
                    </w:rPr>
                    <w:t>PM</w:t>
                  </w:r>
                  <w:r>
                    <w:rPr>
                      <w:rFonts w:hint="default"/>
                      <w:color w:val="auto"/>
                      <w:vertAlign w:val="subscript"/>
                      <w:lang w:val="en-US" w:eastAsia="zh-CN"/>
                    </w:rPr>
                    <w:t>10</w:t>
                  </w:r>
                </w:p>
              </w:tc>
              <w:tc>
                <w:tcPr>
                  <w:tcW w:w="1870" w:type="pct"/>
                  <w:tcBorders>
                    <w:tl2br w:val="nil"/>
                    <w:tr2bl w:val="nil"/>
                  </w:tcBorders>
                  <w:noWrap w:val="0"/>
                  <w:vAlign w:val="center"/>
                </w:tcPr>
                <w:p w14:paraId="526560E4">
                  <w:pPr>
                    <w:pStyle w:val="51"/>
                    <w:bidi w:val="0"/>
                    <w:rPr>
                      <w:rFonts w:hint="default"/>
                      <w:color w:val="auto"/>
                    </w:rPr>
                  </w:pPr>
                  <w:r>
                    <w:rPr>
                      <w:rFonts w:hint="default"/>
                      <w:color w:val="auto"/>
                      <w:lang w:eastAsia="zh-CN"/>
                    </w:rPr>
                    <w:t>年均值</w:t>
                  </w:r>
                </w:p>
              </w:tc>
              <w:tc>
                <w:tcPr>
                  <w:tcW w:w="1876" w:type="pct"/>
                  <w:tcBorders>
                    <w:tl2br w:val="nil"/>
                    <w:tr2bl w:val="nil"/>
                  </w:tcBorders>
                  <w:noWrap w:val="0"/>
                  <w:vAlign w:val="center"/>
                </w:tcPr>
                <w:p w14:paraId="366FCD22">
                  <w:pPr>
                    <w:pStyle w:val="51"/>
                    <w:bidi w:val="0"/>
                    <w:rPr>
                      <w:rFonts w:hint="default"/>
                      <w:color w:val="auto"/>
                      <w:lang w:val="en-US" w:eastAsia="zh-CN"/>
                    </w:rPr>
                  </w:pPr>
                  <w:r>
                    <w:rPr>
                      <w:rFonts w:hint="default"/>
                      <w:color w:val="auto"/>
                      <w:lang w:val="en-US" w:eastAsia="zh-CN"/>
                    </w:rPr>
                    <w:t>70</w:t>
                  </w:r>
                </w:p>
              </w:tc>
            </w:tr>
            <w:tr w14:paraId="7CB3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52" w:type="pct"/>
                  <w:vMerge w:val="continue"/>
                  <w:tcBorders>
                    <w:tl2br w:val="nil"/>
                    <w:tr2bl w:val="nil"/>
                  </w:tcBorders>
                  <w:noWrap w:val="0"/>
                  <w:vAlign w:val="center"/>
                </w:tcPr>
                <w:p w14:paraId="1A883127">
                  <w:pPr>
                    <w:pStyle w:val="51"/>
                    <w:bidi w:val="0"/>
                    <w:rPr>
                      <w:rFonts w:hint="default"/>
                      <w:color w:val="auto"/>
                    </w:rPr>
                  </w:pPr>
                </w:p>
              </w:tc>
              <w:tc>
                <w:tcPr>
                  <w:tcW w:w="1870" w:type="pct"/>
                  <w:tcBorders>
                    <w:tl2br w:val="nil"/>
                    <w:tr2bl w:val="nil"/>
                  </w:tcBorders>
                  <w:noWrap w:val="0"/>
                  <w:vAlign w:val="center"/>
                </w:tcPr>
                <w:p w14:paraId="443EC6FD">
                  <w:pPr>
                    <w:pStyle w:val="51"/>
                    <w:bidi w:val="0"/>
                    <w:rPr>
                      <w:rFonts w:hint="default"/>
                      <w:color w:val="auto"/>
                      <w:lang w:val="en-US" w:eastAsia="zh-CN"/>
                    </w:rPr>
                  </w:pPr>
                  <w:r>
                    <w:rPr>
                      <w:rFonts w:hint="default"/>
                      <w:color w:val="auto"/>
                    </w:rPr>
                    <w:t>日均值</w:t>
                  </w:r>
                </w:p>
              </w:tc>
              <w:tc>
                <w:tcPr>
                  <w:tcW w:w="1876" w:type="pct"/>
                  <w:tcBorders>
                    <w:tl2br w:val="nil"/>
                    <w:tr2bl w:val="nil"/>
                  </w:tcBorders>
                  <w:noWrap w:val="0"/>
                  <w:vAlign w:val="center"/>
                </w:tcPr>
                <w:p w14:paraId="0E6E9F20">
                  <w:pPr>
                    <w:pStyle w:val="51"/>
                    <w:bidi w:val="0"/>
                    <w:rPr>
                      <w:rFonts w:hint="default"/>
                      <w:color w:val="auto"/>
                      <w:lang w:val="en-US" w:eastAsia="zh-CN"/>
                    </w:rPr>
                  </w:pPr>
                  <w:r>
                    <w:rPr>
                      <w:rFonts w:hint="default"/>
                      <w:color w:val="auto"/>
                    </w:rPr>
                    <w:t>150</w:t>
                  </w:r>
                </w:p>
              </w:tc>
            </w:tr>
            <w:tr w14:paraId="2DDEA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52" w:type="pct"/>
                  <w:vMerge w:val="restart"/>
                  <w:tcBorders>
                    <w:tl2br w:val="nil"/>
                    <w:tr2bl w:val="nil"/>
                  </w:tcBorders>
                  <w:noWrap w:val="0"/>
                  <w:vAlign w:val="center"/>
                </w:tcPr>
                <w:p w14:paraId="68DC26EE">
                  <w:pPr>
                    <w:pStyle w:val="51"/>
                    <w:bidi w:val="0"/>
                    <w:rPr>
                      <w:rFonts w:hint="default"/>
                      <w:color w:val="auto"/>
                      <w:lang w:val="en-US" w:eastAsia="zh-CN"/>
                    </w:rPr>
                  </w:pPr>
                  <w:r>
                    <w:rPr>
                      <w:rFonts w:hint="default"/>
                      <w:color w:val="auto"/>
                    </w:rPr>
                    <w:t>PM</w:t>
                  </w:r>
                  <w:r>
                    <w:rPr>
                      <w:rFonts w:hint="default"/>
                      <w:color w:val="auto"/>
                      <w:vertAlign w:val="subscript"/>
                      <w:lang w:val="en-US" w:eastAsia="zh-CN"/>
                    </w:rPr>
                    <w:t>2.5</w:t>
                  </w:r>
                </w:p>
              </w:tc>
              <w:tc>
                <w:tcPr>
                  <w:tcW w:w="1870" w:type="pct"/>
                  <w:tcBorders>
                    <w:tl2br w:val="nil"/>
                    <w:tr2bl w:val="nil"/>
                  </w:tcBorders>
                  <w:noWrap w:val="0"/>
                  <w:vAlign w:val="center"/>
                </w:tcPr>
                <w:p w14:paraId="158433DA">
                  <w:pPr>
                    <w:pStyle w:val="51"/>
                    <w:bidi w:val="0"/>
                    <w:rPr>
                      <w:rFonts w:hint="default"/>
                      <w:color w:val="auto"/>
                    </w:rPr>
                  </w:pPr>
                  <w:r>
                    <w:rPr>
                      <w:rFonts w:hint="default"/>
                      <w:color w:val="auto"/>
                      <w:lang w:eastAsia="zh-CN"/>
                    </w:rPr>
                    <w:t>年均值</w:t>
                  </w:r>
                </w:p>
              </w:tc>
              <w:tc>
                <w:tcPr>
                  <w:tcW w:w="1876" w:type="pct"/>
                  <w:tcBorders>
                    <w:tl2br w:val="nil"/>
                    <w:tr2bl w:val="nil"/>
                  </w:tcBorders>
                  <w:noWrap w:val="0"/>
                  <w:vAlign w:val="center"/>
                </w:tcPr>
                <w:p w14:paraId="4885B26C">
                  <w:pPr>
                    <w:pStyle w:val="51"/>
                    <w:bidi w:val="0"/>
                    <w:rPr>
                      <w:rFonts w:hint="default"/>
                      <w:color w:val="auto"/>
                      <w:lang w:val="en-US" w:eastAsia="zh-CN"/>
                    </w:rPr>
                  </w:pPr>
                  <w:r>
                    <w:rPr>
                      <w:rFonts w:hint="default"/>
                      <w:color w:val="auto"/>
                      <w:lang w:val="en-US" w:eastAsia="zh-CN"/>
                    </w:rPr>
                    <w:t>35</w:t>
                  </w:r>
                </w:p>
              </w:tc>
            </w:tr>
            <w:tr w14:paraId="2F53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52" w:type="pct"/>
                  <w:vMerge w:val="continue"/>
                  <w:tcBorders>
                    <w:tl2br w:val="nil"/>
                    <w:tr2bl w:val="nil"/>
                  </w:tcBorders>
                  <w:noWrap w:val="0"/>
                  <w:vAlign w:val="center"/>
                </w:tcPr>
                <w:p w14:paraId="7736CDD0">
                  <w:pPr>
                    <w:pStyle w:val="51"/>
                    <w:bidi w:val="0"/>
                    <w:rPr>
                      <w:rFonts w:hint="default"/>
                      <w:color w:val="auto"/>
                    </w:rPr>
                  </w:pPr>
                </w:p>
              </w:tc>
              <w:tc>
                <w:tcPr>
                  <w:tcW w:w="1870" w:type="pct"/>
                  <w:tcBorders>
                    <w:tl2br w:val="nil"/>
                    <w:tr2bl w:val="nil"/>
                  </w:tcBorders>
                  <w:noWrap w:val="0"/>
                  <w:vAlign w:val="center"/>
                </w:tcPr>
                <w:p w14:paraId="213A36CA">
                  <w:pPr>
                    <w:pStyle w:val="51"/>
                    <w:bidi w:val="0"/>
                    <w:rPr>
                      <w:rFonts w:hint="default"/>
                      <w:color w:val="auto"/>
                      <w:lang w:val="en-US" w:eastAsia="zh-CN"/>
                    </w:rPr>
                  </w:pPr>
                  <w:r>
                    <w:rPr>
                      <w:rFonts w:hint="default"/>
                      <w:color w:val="auto"/>
                    </w:rPr>
                    <w:t>日均值</w:t>
                  </w:r>
                </w:p>
              </w:tc>
              <w:tc>
                <w:tcPr>
                  <w:tcW w:w="1876" w:type="pct"/>
                  <w:tcBorders>
                    <w:tl2br w:val="nil"/>
                    <w:tr2bl w:val="nil"/>
                  </w:tcBorders>
                  <w:noWrap w:val="0"/>
                  <w:vAlign w:val="center"/>
                </w:tcPr>
                <w:p w14:paraId="75FDF7A0">
                  <w:pPr>
                    <w:pStyle w:val="51"/>
                    <w:bidi w:val="0"/>
                    <w:rPr>
                      <w:rFonts w:hint="default"/>
                      <w:color w:val="auto"/>
                      <w:lang w:val="en-US" w:eastAsia="zh-CN"/>
                    </w:rPr>
                  </w:pPr>
                  <w:r>
                    <w:rPr>
                      <w:rFonts w:hint="default"/>
                      <w:color w:val="auto"/>
                      <w:lang w:val="en-US" w:eastAsia="zh-CN"/>
                    </w:rPr>
                    <w:t>75</w:t>
                  </w:r>
                </w:p>
              </w:tc>
            </w:tr>
            <w:tr w14:paraId="7339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52" w:type="pct"/>
                  <w:tcBorders>
                    <w:tl2br w:val="nil"/>
                    <w:tr2bl w:val="nil"/>
                  </w:tcBorders>
                  <w:noWrap w:val="0"/>
                  <w:vAlign w:val="center"/>
                </w:tcPr>
                <w:p w14:paraId="49A3F72E">
                  <w:pPr>
                    <w:pStyle w:val="51"/>
                    <w:bidi w:val="0"/>
                    <w:rPr>
                      <w:rFonts w:hint="default"/>
                      <w:color w:val="auto"/>
                      <w:lang w:val="en-US" w:eastAsia="zh-CN"/>
                    </w:rPr>
                  </w:pPr>
                  <w:r>
                    <w:rPr>
                      <w:rFonts w:hint="default"/>
                      <w:color w:val="auto"/>
                      <w:lang w:val="en-US" w:eastAsia="zh-CN"/>
                    </w:rPr>
                    <w:t>CO</w:t>
                  </w:r>
                </w:p>
              </w:tc>
              <w:tc>
                <w:tcPr>
                  <w:tcW w:w="1870" w:type="pct"/>
                  <w:tcBorders>
                    <w:tl2br w:val="nil"/>
                    <w:tr2bl w:val="nil"/>
                  </w:tcBorders>
                  <w:noWrap w:val="0"/>
                  <w:vAlign w:val="center"/>
                </w:tcPr>
                <w:p w14:paraId="6A4B23ED">
                  <w:pPr>
                    <w:pStyle w:val="51"/>
                    <w:bidi w:val="0"/>
                    <w:rPr>
                      <w:rFonts w:hint="default"/>
                      <w:color w:val="auto"/>
                      <w:lang w:eastAsia="zh-CN"/>
                    </w:rPr>
                  </w:pPr>
                  <w:r>
                    <w:rPr>
                      <w:rFonts w:hint="default"/>
                      <w:color w:val="auto"/>
                      <w:lang w:eastAsia="zh-CN"/>
                    </w:rPr>
                    <w:t>日均值</w:t>
                  </w:r>
                </w:p>
              </w:tc>
              <w:tc>
                <w:tcPr>
                  <w:tcW w:w="1876" w:type="pct"/>
                  <w:tcBorders>
                    <w:tl2br w:val="nil"/>
                    <w:tr2bl w:val="nil"/>
                  </w:tcBorders>
                  <w:noWrap w:val="0"/>
                  <w:vAlign w:val="center"/>
                </w:tcPr>
                <w:p w14:paraId="51F0C263">
                  <w:pPr>
                    <w:pStyle w:val="51"/>
                    <w:bidi w:val="0"/>
                    <w:rPr>
                      <w:rFonts w:hint="default"/>
                      <w:color w:val="auto"/>
                      <w:lang w:val="en-US" w:eastAsia="zh-CN"/>
                    </w:rPr>
                  </w:pPr>
                  <w:r>
                    <w:rPr>
                      <w:rFonts w:hint="default"/>
                      <w:color w:val="auto"/>
                      <w:lang w:val="en-US" w:eastAsia="zh-CN"/>
                    </w:rPr>
                    <w:t>4000</w:t>
                  </w:r>
                </w:p>
              </w:tc>
            </w:tr>
            <w:tr w14:paraId="13A9E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52" w:type="pct"/>
                  <w:tcBorders>
                    <w:tl2br w:val="nil"/>
                    <w:tr2bl w:val="nil"/>
                  </w:tcBorders>
                  <w:noWrap w:val="0"/>
                  <w:vAlign w:val="center"/>
                </w:tcPr>
                <w:p w14:paraId="2F2952DD">
                  <w:pPr>
                    <w:pStyle w:val="51"/>
                    <w:bidi w:val="0"/>
                    <w:rPr>
                      <w:rFonts w:hint="default"/>
                      <w:color w:val="auto"/>
                      <w:lang w:val="en-US" w:eastAsia="zh-CN"/>
                    </w:rPr>
                  </w:pPr>
                  <w:r>
                    <w:rPr>
                      <w:rFonts w:hint="default"/>
                      <w:color w:val="auto"/>
                      <w:lang w:val="en-US" w:eastAsia="zh-CN"/>
                    </w:rPr>
                    <w:t>O</w:t>
                  </w:r>
                  <w:r>
                    <w:rPr>
                      <w:rFonts w:hint="default"/>
                      <w:color w:val="auto"/>
                      <w:vertAlign w:val="subscript"/>
                      <w:lang w:val="en-US" w:eastAsia="zh-CN"/>
                    </w:rPr>
                    <w:t>3</w:t>
                  </w:r>
                </w:p>
              </w:tc>
              <w:tc>
                <w:tcPr>
                  <w:tcW w:w="1870" w:type="pct"/>
                  <w:tcBorders>
                    <w:tl2br w:val="nil"/>
                    <w:tr2bl w:val="nil"/>
                  </w:tcBorders>
                  <w:noWrap w:val="0"/>
                  <w:vAlign w:val="center"/>
                </w:tcPr>
                <w:p w14:paraId="24468D0E">
                  <w:pPr>
                    <w:pStyle w:val="51"/>
                    <w:bidi w:val="0"/>
                    <w:rPr>
                      <w:rFonts w:hint="default"/>
                      <w:color w:val="auto"/>
                      <w:lang w:val="en-US" w:eastAsia="zh-CN"/>
                    </w:rPr>
                  </w:pPr>
                  <w:r>
                    <w:rPr>
                      <w:rFonts w:hint="default"/>
                      <w:color w:val="auto"/>
                      <w:lang w:val="en-US" w:eastAsia="zh-CN"/>
                    </w:rPr>
                    <w:t>日最大8小时均值</w:t>
                  </w:r>
                </w:p>
              </w:tc>
              <w:tc>
                <w:tcPr>
                  <w:tcW w:w="1876" w:type="pct"/>
                  <w:tcBorders>
                    <w:tl2br w:val="nil"/>
                    <w:tr2bl w:val="nil"/>
                  </w:tcBorders>
                  <w:noWrap w:val="0"/>
                  <w:vAlign w:val="center"/>
                </w:tcPr>
                <w:p w14:paraId="49B3527F">
                  <w:pPr>
                    <w:pStyle w:val="51"/>
                    <w:bidi w:val="0"/>
                    <w:rPr>
                      <w:rFonts w:hint="default"/>
                      <w:color w:val="auto"/>
                      <w:lang w:val="en-US" w:eastAsia="zh-CN"/>
                    </w:rPr>
                  </w:pPr>
                  <w:r>
                    <w:rPr>
                      <w:rFonts w:hint="default"/>
                      <w:color w:val="auto"/>
                      <w:lang w:val="en-US" w:eastAsia="zh-CN"/>
                    </w:rPr>
                    <w:t>160</w:t>
                  </w:r>
                </w:p>
              </w:tc>
            </w:tr>
          </w:tbl>
          <w:p w14:paraId="13D47EE4">
            <w:pPr>
              <w:pStyle w:val="38"/>
              <w:bidi w:val="0"/>
              <w:rPr>
                <w:rFonts w:hint="default"/>
                <w:color w:val="auto"/>
                <w:lang w:eastAsia="zh-CN"/>
              </w:rPr>
            </w:pPr>
            <w:r>
              <w:rPr>
                <w:rFonts w:hint="eastAsia"/>
                <w:color w:val="auto"/>
                <w:lang w:val="en-US" w:eastAsia="zh-CN"/>
              </w:rPr>
              <w:t>③</w:t>
            </w:r>
            <w:r>
              <w:rPr>
                <w:rFonts w:hint="default"/>
                <w:color w:val="auto"/>
                <w:lang w:eastAsia="zh-CN"/>
              </w:rPr>
              <w:t>监测与评价结果</w:t>
            </w:r>
          </w:p>
          <w:p w14:paraId="6B382E5E">
            <w:pPr>
              <w:pStyle w:val="38"/>
              <w:bidi w:val="0"/>
              <w:rPr>
                <w:rFonts w:hint="default"/>
                <w:color w:val="auto"/>
                <w:lang w:eastAsia="zh-CN"/>
              </w:rPr>
            </w:pPr>
            <w:r>
              <w:rPr>
                <w:rFonts w:hint="default"/>
                <w:color w:val="auto"/>
                <w:lang w:eastAsia="zh-CN"/>
              </w:rPr>
              <w:t>大气环境质量监测结果见下表。</w:t>
            </w:r>
          </w:p>
          <w:p w14:paraId="60D2DD6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auto"/>
                <w:sz w:val="21"/>
                <w:szCs w:val="18"/>
                <w:vertAlign w:val="superscript"/>
              </w:rPr>
            </w:pPr>
            <w:r>
              <w:rPr>
                <w:rFonts w:hint="default" w:ascii="Times New Roman" w:hAnsi="Times New Roman" w:eastAsia="宋体" w:cs="Times New Roman"/>
                <w:b/>
                <w:bCs/>
                <w:color w:val="auto"/>
                <w:sz w:val="21"/>
                <w:szCs w:val="18"/>
              </w:rPr>
              <w:t>表</w:t>
            </w:r>
            <w:r>
              <w:rPr>
                <w:rFonts w:hint="default" w:ascii="Times New Roman" w:hAnsi="Times New Roman" w:eastAsia="宋体" w:cs="Times New Roman"/>
                <w:b/>
                <w:bCs/>
                <w:color w:val="auto"/>
                <w:sz w:val="21"/>
                <w:szCs w:val="18"/>
                <w:lang w:val="en-US" w:eastAsia="zh-CN"/>
              </w:rPr>
              <w:t>3-</w:t>
            </w:r>
            <w:r>
              <w:rPr>
                <w:rFonts w:hint="eastAsia" w:cs="Times New Roman"/>
                <w:b/>
                <w:bCs/>
                <w:color w:val="auto"/>
                <w:sz w:val="21"/>
                <w:szCs w:val="18"/>
                <w:lang w:val="en-US" w:eastAsia="zh-CN"/>
              </w:rPr>
              <w:t>2</w:t>
            </w:r>
            <w:r>
              <w:rPr>
                <w:rFonts w:hint="default" w:ascii="Times New Roman" w:hAnsi="Times New Roman" w:eastAsia="宋体" w:cs="Times New Roman"/>
                <w:b/>
                <w:bCs/>
                <w:color w:val="auto"/>
                <w:sz w:val="21"/>
                <w:szCs w:val="18"/>
                <w:lang w:val="en-US" w:eastAsia="zh-CN"/>
              </w:rPr>
              <w:t xml:space="preserve"> </w:t>
            </w:r>
            <w:r>
              <w:rPr>
                <w:rFonts w:hint="default" w:ascii="Times New Roman" w:hAnsi="Times New Roman" w:eastAsia="宋体" w:cs="Times New Roman"/>
                <w:b/>
                <w:bCs/>
                <w:color w:val="auto"/>
                <w:sz w:val="21"/>
                <w:szCs w:val="18"/>
              </w:rPr>
              <w:t xml:space="preserve">  六类基本污染物环境质量现状单位：</w:t>
            </w:r>
            <w:r>
              <w:rPr>
                <w:rFonts w:hint="default" w:ascii="Times New Roman" w:hAnsi="Times New Roman" w:eastAsia="宋体" w:cs="Times New Roman"/>
                <w:b/>
                <w:bCs w:val="0"/>
                <w:color w:val="auto"/>
                <w:sz w:val="21"/>
                <w:szCs w:val="18"/>
              </w:rPr>
              <w:t>μ</w:t>
            </w:r>
            <w:r>
              <w:rPr>
                <w:rFonts w:hint="default" w:ascii="Times New Roman" w:hAnsi="Times New Roman" w:eastAsia="宋体" w:cs="Times New Roman"/>
                <w:b/>
                <w:bCs/>
                <w:color w:val="auto"/>
                <w:sz w:val="21"/>
                <w:szCs w:val="18"/>
              </w:rPr>
              <w:t>g/m</w:t>
            </w:r>
            <w:r>
              <w:rPr>
                <w:rFonts w:hint="default" w:ascii="Times New Roman" w:hAnsi="Times New Roman" w:eastAsia="宋体" w:cs="Times New Roman"/>
                <w:b/>
                <w:bCs/>
                <w:color w:val="auto"/>
                <w:sz w:val="21"/>
                <w:szCs w:val="18"/>
                <w:vertAlign w:val="superscript"/>
              </w:rPr>
              <w:t>3</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2127"/>
              <w:gridCol w:w="1268"/>
              <w:gridCol w:w="1214"/>
              <w:gridCol w:w="1272"/>
              <w:gridCol w:w="1014"/>
            </w:tblGrid>
            <w:tr w14:paraId="25FEC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l2br w:val="nil"/>
                    <w:tr2bl w:val="nil"/>
                  </w:tcBorders>
                  <w:noWrap w:val="0"/>
                  <w:vAlign w:val="center"/>
                </w:tcPr>
                <w:p w14:paraId="6421CB61">
                  <w:pPr>
                    <w:pStyle w:val="51"/>
                    <w:bidi w:val="0"/>
                    <w:rPr>
                      <w:rFonts w:hint="default"/>
                      <w:color w:val="auto"/>
                    </w:rPr>
                  </w:pPr>
                  <w:r>
                    <w:rPr>
                      <w:rFonts w:hint="eastAsia"/>
                      <w:color w:val="auto"/>
                      <w:lang w:val="en-US" w:eastAsia="zh-CN"/>
                    </w:rPr>
                    <w:t>监测</w:t>
                  </w:r>
                </w:p>
                <w:p w14:paraId="022B334B">
                  <w:pPr>
                    <w:pStyle w:val="51"/>
                    <w:bidi w:val="0"/>
                    <w:rPr>
                      <w:rFonts w:hint="default"/>
                      <w:color w:val="auto"/>
                    </w:rPr>
                  </w:pPr>
                  <w:r>
                    <w:rPr>
                      <w:rFonts w:hint="eastAsia"/>
                      <w:color w:val="auto"/>
                      <w:lang w:val="en-US" w:eastAsia="zh-CN"/>
                    </w:rPr>
                    <w:t>因子</w:t>
                  </w:r>
                </w:p>
              </w:tc>
              <w:tc>
                <w:tcPr>
                  <w:tcW w:w="2127" w:type="dxa"/>
                  <w:tcBorders>
                    <w:tl2br w:val="nil"/>
                    <w:tr2bl w:val="nil"/>
                  </w:tcBorders>
                  <w:noWrap w:val="0"/>
                  <w:vAlign w:val="center"/>
                </w:tcPr>
                <w:p w14:paraId="31931E85">
                  <w:pPr>
                    <w:pStyle w:val="51"/>
                    <w:bidi w:val="0"/>
                    <w:rPr>
                      <w:rFonts w:hint="default"/>
                      <w:color w:val="auto"/>
                    </w:rPr>
                  </w:pPr>
                  <w:r>
                    <w:rPr>
                      <w:rFonts w:hint="eastAsia"/>
                      <w:color w:val="auto"/>
                      <w:lang w:val="en-US" w:eastAsia="zh-CN"/>
                    </w:rPr>
                    <w:t>评价指标</w:t>
                  </w:r>
                </w:p>
              </w:tc>
              <w:tc>
                <w:tcPr>
                  <w:tcW w:w="1268" w:type="dxa"/>
                  <w:tcBorders>
                    <w:tl2br w:val="nil"/>
                    <w:tr2bl w:val="nil"/>
                  </w:tcBorders>
                  <w:noWrap w:val="0"/>
                  <w:vAlign w:val="center"/>
                </w:tcPr>
                <w:p w14:paraId="6969D151">
                  <w:pPr>
                    <w:pStyle w:val="51"/>
                    <w:bidi w:val="0"/>
                    <w:rPr>
                      <w:rFonts w:hint="default"/>
                      <w:color w:val="auto"/>
                    </w:rPr>
                  </w:pPr>
                  <w:r>
                    <w:rPr>
                      <w:rFonts w:hint="eastAsia"/>
                      <w:color w:val="auto"/>
                      <w:lang w:val="en-US" w:eastAsia="zh-CN"/>
                    </w:rPr>
                    <w:t>现状浓度（</w:t>
                  </w:r>
                  <w:r>
                    <w:rPr>
                      <w:rFonts w:hint="default"/>
                      <w:color w:val="auto"/>
                      <w:lang w:val="en-US" w:eastAsia="zh-CN"/>
                    </w:rPr>
                    <w:t>μg/m</w:t>
                  </w:r>
                  <w:r>
                    <w:rPr>
                      <w:rFonts w:hint="default"/>
                      <w:color w:val="auto"/>
                      <w:vertAlign w:val="superscript"/>
                      <w:lang w:val="en-US" w:eastAsia="zh-CN"/>
                    </w:rPr>
                    <w:t>3</w:t>
                  </w:r>
                  <w:r>
                    <w:rPr>
                      <w:rFonts w:hint="eastAsia"/>
                      <w:color w:val="auto"/>
                      <w:lang w:val="en-US" w:eastAsia="zh-CN"/>
                    </w:rPr>
                    <w:t>）</w:t>
                  </w:r>
                </w:p>
              </w:tc>
              <w:tc>
                <w:tcPr>
                  <w:tcW w:w="1214" w:type="dxa"/>
                  <w:tcBorders>
                    <w:tl2br w:val="nil"/>
                    <w:tr2bl w:val="nil"/>
                  </w:tcBorders>
                  <w:noWrap w:val="0"/>
                  <w:vAlign w:val="center"/>
                </w:tcPr>
                <w:p w14:paraId="75030855">
                  <w:pPr>
                    <w:pStyle w:val="51"/>
                    <w:bidi w:val="0"/>
                    <w:rPr>
                      <w:rFonts w:hint="default"/>
                      <w:color w:val="auto"/>
                    </w:rPr>
                  </w:pPr>
                  <w:r>
                    <w:rPr>
                      <w:rFonts w:hint="eastAsia"/>
                      <w:color w:val="auto"/>
                      <w:lang w:val="en-US" w:eastAsia="zh-CN"/>
                    </w:rPr>
                    <w:t>标准值（</w:t>
                  </w:r>
                  <w:r>
                    <w:rPr>
                      <w:rFonts w:hint="default"/>
                      <w:color w:val="auto"/>
                      <w:lang w:val="en-US" w:eastAsia="zh-CN"/>
                    </w:rPr>
                    <w:t>μg/m</w:t>
                  </w:r>
                  <w:r>
                    <w:rPr>
                      <w:rFonts w:hint="default"/>
                      <w:color w:val="auto"/>
                      <w:vertAlign w:val="superscript"/>
                      <w:lang w:val="en-US" w:eastAsia="zh-CN"/>
                    </w:rPr>
                    <w:t>3</w:t>
                  </w:r>
                  <w:r>
                    <w:rPr>
                      <w:rFonts w:hint="eastAsia"/>
                      <w:color w:val="auto"/>
                      <w:lang w:val="en-US" w:eastAsia="zh-CN"/>
                    </w:rPr>
                    <w:t>）</w:t>
                  </w:r>
                </w:p>
              </w:tc>
              <w:tc>
                <w:tcPr>
                  <w:tcW w:w="1272" w:type="dxa"/>
                  <w:tcBorders>
                    <w:tl2br w:val="nil"/>
                    <w:tr2bl w:val="nil"/>
                  </w:tcBorders>
                  <w:noWrap w:val="0"/>
                  <w:vAlign w:val="center"/>
                </w:tcPr>
                <w:p w14:paraId="6BD8F614">
                  <w:pPr>
                    <w:pStyle w:val="51"/>
                    <w:bidi w:val="0"/>
                    <w:rPr>
                      <w:rFonts w:hint="default"/>
                      <w:color w:val="auto"/>
                    </w:rPr>
                  </w:pPr>
                  <w:r>
                    <w:rPr>
                      <w:rFonts w:hint="eastAsia"/>
                      <w:color w:val="auto"/>
                      <w:lang w:val="en-US" w:eastAsia="zh-CN"/>
                    </w:rPr>
                    <w:t>浓度占标率（</w:t>
                  </w:r>
                  <w:r>
                    <w:rPr>
                      <w:rFonts w:hint="default"/>
                      <w:color w:val="auto"/>
                      <w:lang w:val="en-US" w:eastAsia="zh-CN"/>
                    </w:rPr>
                    <w:t>%</w:t>
                  </w:r>
                  <w:r>
                    <w:rPr>
                      <w:rFonts w:hint="eastAsia"/>
                      <w:color w:val="auto"/>
                      <w:lang w:val="en-US" w:eastAsia="zh-CN"/>
                    </w:rPr>
                    <w:t>）</w:t>
                  </w:r>
                </w:p>
              </w:tc>
              <w:tc>
                <w:tcPr>
                  <w:tcW w:w="1014" w:type="dxa"/>
                  <w:tcBorders>
                    <w:tl2br w:val="nil"/>
                    <w:tr2bl w:val="nil"/>
                  </w:tcBorders>
                  <w:noWrap w:val="0"/>
                  <w:vAlign w:val="center"/>
                </w:tcPr>
                <w:p w14:paraId="35C4ADC9">
                  <w:pPr>
                    <w:pStyle w:val="51"/>
                    <w:bidi w:val="0"/>
                    <w:rPr>
                      <w:rFonts w:hint="default"/>
                      <w:color w:val="auto"/>
                    </w:rPr>
                  </w:pPr>
                  <w:r>
                    <w:rPr>
                      <w:rFonts w:hint="eastAsia"/>
                      <w:color w:val="auto"/>
                      <w:lang w:val="en-US" w:eastAsia="zh-CN"/>
                    </w:rPr>
                    <w:t>达标情况</w:t>
                  </w:r>
                </w:p>
              </w:tc>
            </w:tr>
            <w:tr w14:paraId="35329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l2br w:val="nil"/>
                    <w:tr2bl w:val="nil"/>
                  </w:tcBorders>
                  <w:noWrap w:val="0"/>
                  <w:vAlign w:val="center"/>
                </w:tcPr>
                <w:p w14:paraId="67424902">
                  <w:pPr>
                    <w:pStyle w:val="51"/>
                    <w:bidi w:val="0"/>
                    <w:rPr>
                      <w:rFonts w:hint="default"/>
                      <w:color w:val="auto"/>
                    </w:rPr>
                  </w:pPr>
                  <w:r>
                    <w:rPr>
                      <w:rFonts w:hint="default"/>
                      <w:color w:val="auto"/>
                      <w:lang w:val="en-US" w:eastAsia="zh-CN"/>
                    </w:rPr>
                    <w:t>SO</w:t>
                  </w:r>
                  <w:r>
                    <w:rPr>
                      <w:rFonts w:hint="default"/>
                      <w:color w:val="auto"/>
                      <w:vertAlign w:val="subscript"/>
                      <w:lang w:val="en-US" w:eastAsia="zh-CN"/>
                    </w:rPr>
                    <w:t>2</w:t>
                  </w:r>
                </w:p>
              </w:tc>
              <w:tc>
                <w:tcPr>
                  <w:tcW w:w="2127" w:type="dxa"/>
                  <w:tcBorders>
                    <w:tl2br w:val="nil"/>
                    <w:tr2bl w:val="nil"/>
                  </w:tcBorders>
                  <w:noWrap w:val="0"/>
                  <w:vAlign w:val="center"/>
                </w:tcPr>
                <w:p w14:paraId="1D45B4B4">
                  <w:pPr>
                    <w:pStyle w:val="51"/>
                    <w:bidi w:val="0"/>
                    <w:rPr>
                      <w:rFonts w:hint="default"/>
                      <w:color w:val="auto"/>
                    </w:rPr>
                  </w:pPr>
                  <w:r>
                    <w:rPr>
                      <w:rFonts w:hint="eastAsia"/>
                      <w:color w:val="auto"/>
                      <w:lang w:val="en-US" w:eastAsia="zh-CN"/>
                    </w:rPr>
                    <w:t>年平均值</w:t>
                  </w:r>
                </w:p>
              </w:tc>
              <w:tc>
                <w:tcPr>
                  <w:tcW w:w="1268" w:type="dxa"/>
                  <w:tcBorders>
                    <w:tl2br w:val="nil"/>
                    <w:tr2bl w:val="nil"/>
                  </w:tcBorders>
                  <w:noWrap w:val="0"/>
                  <w:vAlign w:val="center"/>
                </w:tcPr>
                <w:p w14:paraId="56094E70">
                  <w:pPr>
                    <w:pStyle w:val="51"/>
                    <w:bidi w:val="0"/>
                    <w:rPr>
                      <w:rFonts w:hint="default"/>
                      <w:color w:val="auto"/>
                    </w:rPr>
                  </w:pPr>
                  <w:r>
                    <w:rPr>
                      <w:rFonts w:hint="eastAsia"/>
                      <w:color w:val="auto"/>
                      <w:lang w:val="en-US" w:eastAsia="zh-CN"/>
                    </w:rPr>
                    <w:t>6</w:t>
                  </w:r>
                </w:p>
              </w:tc>
              <w:tc>
                <w:tcPr>
                  <w:tcW w:w="1214" w:type="dxa"/>
                  <w:tcBorders>
                    <w:tl2br w:val="nil"/>
                    <w:tr2bl w:val="nil"/>
                  </w:tcBorders>
                  <w:noWrap w:val="0"/>
                  <w:vAlign w:val="center"/>
                </w:tcPr>
                <w:p w14:paraId="22FA8E7B">
                  <w:pPr>
                    <w:pStyle w:val="51"/>
                    <w:bidi w:val="0"/>
                    <w:rPr>
                      <w:rFonts w:hint="default"/>
                      <w:color w:val="auto"/>
                    </w:rPr>
                  </w:pPr>
                  <w:r>
                    <w:rPr>
                      <w:rFonts w:hint="default"/>
                      <w:color w:val="auto"/>
                      <w:lang w:val="en-US" w:eastAsia="zh-CN"/>
                    </w:rPr>
                    <w:t>60</w:t>
                  </w:r>
                </w:p>
              </w:tc>
              <w:tc>
                <w:tcPr>
                  <w:tcW w:w="1272" w:type="dxa"/>
                  <w:tcBorders>
                    <w:tl2br w:val="nil"/>
                    <w:tr2bl w:val="nil"/>
                  </w:tcBorders>
                  <w:noWrap w:val="0"/>
                  <w:vAlign w:val="center"/>
                </w:tcPr>
                <w:p w14:paraId="28240B28">
                  <w:pPr>
                    <w:pStyle w:val="51"/>
                    <w:bidi w:val="0"/>
                    <w:rPr>
                      <w:rFonts w:hint="default"/>
                      <w:color w:val="auto"/>
                      <w:lang w:val="en-US"/>
                    </w:rPr>
                  </w:pPr>
                  <w:r>
                    <w:rPr>
                      <w:rFonts w:hint="eastAsia"/>
                      <w:color w:val="auto"/>
                      <w:lang w:val="en-US" w:eastAsia="zh-CN"/>
                    </w:rPr>
                    <w:t>10</w:t>
                  </w:r>
                </w:p>
              </w:tc>
              <w:tc>
                <w:tcPr>
                  <w:tcW w:w="1014" w:type="dxa"/>
                  <w:tcBorders>
                    <w:tl2br w:val="nil"/>
                    <w:tr2bl w:val="nil"/>
                  </w:tcBorders>
                  <w:noWrap w:val="0"/>
                  <w:vAlign w:val="center"/>
                </w:tcPr>
                <w:p w14:paraId="0A677953">
                  <w:pPr>
                    <w:pStyle w:val="51"/>
                    <w:bidi w:val="0"/>
                    <w:rPr>
                      <w:rFonts w:hint="default"/>
                      <w:color w:val="auto"/>
                    </w:rPr>
                  </w:pPr>
                  <w:r>
                    <w:rPr>
                      <w:rFonts w:hint="eastAsia"/>
                      <w:color w:val="auto"/>
                      <w:lang w:val="en-US" w:eastAsia="zh-CN"/>
                    </w:rPr>
                    <w:t>达标</w:t>
                  </w:r>
                </w:p>
              </w:tc>
            </w:tr>
            <w:tr w14:paraId="08AE7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l2br w:val="nil"/>
                    <w:tr2bl w:val="nil"/>
                  </w:tcBorders>
                  <w:noWrap w:val="0"/>
                  <w:vAlign w:val="center"/>
                </w:tcPr>
                <w:p w14:paraId="3E2BE22C">
                  <w:pPr>
                    <w:pStyle w:val="51"/>
                    <w:bidi w:val="0"/>
                    <w:rPr>
                      <w:rFonts w:hint="default"/>
                      <w:color w:val="auto"/>
                    </w:rPr>
                  </w:pPr>
                  <w:r>
                    <w:rPr>
                      <w:rFonts w:hint="default"/>
                      <w:color w:val="auto"/>
                      <w:lang w:val="en-US" w:eastAsia="zh-CN"/>
                    </w:rPr>
                    <w:t>NO</w:t>
                  </w:r>
                  <w:r>
                    <w:rPr>
                      <w:rFonts w:hint="default"/>
                      <w:color w:val="auto"/>
                      <w:vertAlign w:val="subscript"/>
                      <w:lang w:val="en-US" w:eastAsia="zh-CN"/>
                    </w:rPr>
                    <w:t>2</w:t>
                  </w:r>
                </w:p>
              </w:tc>
              <w:tc>
                <w:tcPr>
                  <w:tcW w:w="2127" w:type="dxa"/>
                  <w:tcBorders>
                    <w:tl2br w:val="nil"/>
                    <w:tr2bl w:val="nil"/>
                  </w:tcBorders>
                  <w:noWrap w:val="0"/>
                  <w:vAlign w:val="center"/>
                </w:tcPr>
                <w:p w14:paraId="23DDA9A9">
                  <w:pPr>
                    <w:pStyle w:val="51"/>
                    <w:bidi w:val="0"/>
                    <w:rPr>
                      <w:rFonts w:hint="default"/>
                      <w:color w:val="auto"/>
                    </w:rPr>
                  </w:pPr>
                  <w:r>
                    <w:rPr>
                      <w:rFonts w:hint="eastAsia"/>
                      <w:color w:val="auto"/>
                      <w:lang w:val="en-US" w:eastAsia="zh-CN"/>
                    </w:rPr>
                    <w:t>年平均值</w:t>
                  </w:r>
                </w:p>
              </w:tc>
              <w:tc>
                <w:tcPr>
                  <w:tcW w:w="1268" w:type="dxa"/>
                  <w:tcBorders>
                    <w:tl2br w:val="nil"/>
                    <w:tr2bl w:val="nil"/>
                  </w:tcBorders>
                  <w:noWrap w:val="0"/>
                  <w:vAlign w:val="center"/>
                </w:tcPr>
                <w:p w14:paraId="099D4E29">
                  <w:pPr>
                    <w:pStyle w:val="51"/>
                    <w:bidi w:val="0"/>
                    <w:rPr>
                      <w:rFonts w:hint="default"/>
                      <w:color w:val="auto"/>
                      <w:lang w:val="en-US"/>
                    </w:rPr>
                  </w:pPr>
                  <w:r>
                    <w:rPr>
                      <w:rFonts w:hint="eastAsia"/>
                      <w:color w:val="auto"/>
                      <w:lang w:val="en-US" w:eastAsia="zh-CN"/>
                    </w:rPr>
                    <w:t>32</w:t>
                  </w:r>
                </w:p>
              </w:tc>
              <w:tc>
                <w:tcPr>
                  <w:tcW w:w="1214" w:type="dxa"/>
                  <w:tcBorders>
                    <w:tl2br w:val="nil"/>
                    <w:tr2bl w:val="nil"/>
                  </w:tcBorders>
                  <w:noWrap w:val="0"/>
                  <w:vAlign w:val="center"/>
                </w:tcPr>
                <w:p w14:paraId="34FD083B">
                  <w:pPr>
                    <w:pStyle w:val="51"/>
                    <w:bidi w:val="0"/>
                    <w:rPr>
                      <w:rFonts w:hint="default"/>
                      <w:color w:val="auto"/>
                    </w:rPr>
                  </w:pPr>
                  <w:r>
                    <w:rPr>
                      <w:rFonts w:hint="default"/>
                      <w:color w:val="auto"/>
                      <w:lang w:val="en-US" w:eastAsia="zh-CN"/>
                    </w:rPr>
                    <w:t>40</w:t>
                  </w:r>
                </w:p>
              </w:tc>
              <w:tc>
                <w:tcPr>
                  <w:tcW w:w="1272" w:type="dxa"/>
                  <w:tcBorders>
                    <w:tl2br w:val="nil"/>
                    <w:tr2bl w:val="nil"/>
                  </w:tcBorders>
                  <w:noWrap w:val="0"/>
                  <w:vAlign w:val="center"/>
                </w:tcPr>
                <w:p w14:paraId="76835EAD">
                  <w:pPr>
                    <w:pStyle w:val="51"/>
                    <w:bidi w:val="0"/>
                    <w:rPr>
                      <w:rFonts w:hint="default" w:eastAsia="宋体"/>
                      <w:color w:val="auto"/>
                      <w:lang w:val="en-US" w:eastAsia="zh-CN"/>
                    </w:rPr>
                  </w:pPr>
                  <w:r>
                    <w:rPr>
                      <w:rFonts w:hint="eastAsia"/>
                      <w:color w:val="auto"/>
                      <w:lang w:val="en-US" w:eastAsia="zh-CN"/>
                    </w:rPr>
                    <w:t>80</w:t>
                  </w:r>
                </w:p>
              </w:tc>
              <w:tc>
                <w:tcPr>
                  <w:tcW w:w="1014" w:type="dxa"/>
                  <w:tcBorders>
                    <w:tl2br w:val="nil"/>
                    <w:tr2bl w:val="nil"/>
                  </w:tcBorders>
                  <w:noWrap w:val="0"/>
                  <w:vAlign w:val="center"/>
                </w:tcPr>
                <w:p w14:paraId="43A49A02">
                  <w:pPr>
                    <w:pStyle w:val="51"/>
                    <w:bidi w:val="0"/>
                    <w:rPr>
                      <w:rFonts w:hint="default"/>
                      <w:color w:val="auto"/>
                    </w:rPr>
                  </w:pPr>
                  <w:r>
                    <w:rPr>
                      <w:rFonts w:hint="eastAsia"/>
                      <w:color w:val="auto"/>
                      <w:lang w:val="en-US" w:eastAsia="zh-CN"/>
                    </w:rPr>
                    <w:t>达标</w:t>
                  </w:r>
                </w:p>
              </w:tc>
            </w:tr>
            <w:tr w14:paraId="44A4C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66" w:type="dxa"/>
                  <w:tcBorders>
                    <w:tl2br w:val="nil"/>
                    <w:tr2bl w:val="nil"/>
                  </w:tcBorders>
                  <w:noWrap w:val="0"/>
                  <w:vAlign w:val="center"/>
                </w:tcPr>
                <w:p w14:paraId="7C0F1568">
                  <w:pPr>
                    <w:pStyle w:val="51"/>
                    <w:bidi w:val="0"/>
                    <w:rPr>
                      <w:rFonts w:hint="default"/>
                      <w:color w:val="auto"/>
                    </w:rPr>
                  </w:pPr>
                  <w:r>
                    <w:rPr>
                      <w:rFonts w:hint="default"/>
                      <w:color w:val="auto"/>
                      <w:lang w:val="en-US" w:eastAsia="zh-CN"/>
                    </w:rPr>
                    <w:t>PM</w:t>
                  </w:r>
                  <w:r>
                    <w:rPr>
                      <w:rFonts w:hint="default"/>
                      <w:color w:val="auto"/>
                      <w:vertAlign w:val="subscript"/>
                      <w:lang w:val="en-US" w:eastAsia="zh-CN"/>
                    </w:rPr>
                    <w:t>10</w:t>
                  </w:r>
                </w:p>
              </w:tc>
              <w:tc>
                <w:tcPr>
                  <w:tcW w:w="2127" w:type="dxa"/>
                  <w:tcBorders>
                    <w:tl2br w:val="nil"/>
                    <w:tr2bl w:val="nil"/>
                  </w:tcBorders>
                  <w:noWrap w:val="0"/>
                  <w:vAlign w:val="center"/>
                </w:tcPr>
                <w:p w14:paraId="4E5121C6">
                  <w:pPr>
                    <w:pStyle w:val="51"/>
                    <w:bidi w:val="0"/>
                    <w:rPr>
                      <w:rFonts w:hint="default"/>
                      <w:color w:val="auto"/>
                    </w:rPr>
                  </w:pPr>
                  <w:r>
                    <w:rPr>
                      <w:rFonts w:hint="eastAsia"/>
                      <w:color w:val="auto"/>
                      <w:lang w:val="en-US" w:eastAsia="zh-CN"/>
                    </w:rPr>
                    <w:t>年平均值</w:t>
                  </w:r>
                </w:p>
              </w:tc>
              <w:tc>
                <w:tcPr>
                  <w:tcW w:w="1268" w:type="dxa"/>
                  <w:tcBorders>
                    <w:tl2br w:val="nil"/>
                    <w:tr2bl w:val="nil"/>
                  </w:tcBorders>
                  <w:noWrap w:val="0"/>
                  <w:vAlign w:val="center"/>
                </w:tcPr>
                <w:p w14:paraId="6690FFF5">
                  <w:pPr>
                    <w:pStyle w:val="51"/>
                    <w:bidi w:val="0"/>
                    <w:rPr>
                      <w:rFonts w:hint="default"/>
                      <w:color w:val="auto"/>
                      <w:lang w:val="en-US" w:eastAsia="zh-CN"/>
                    </w:rPr>
                  </w:pPr>
                  <w:r>
                    <w:rPr>
                      <w:rFonts w:hint="eastAsia"/>
                      <w:color w:val="auto"/>
                      <w:lang w:val="en-US" w:eastAsia="zh-CN"/>
                    </w:rPr>
                    <w:t>102</w:t>
                  </w:r>
                </w:p>
              </w:tc>
              <w:tc>
                <w:tcPr>
                  <w:tcW w:w="1214" w:type="dxa"/>
                  <w:tcBorders>
                    <w:tl2br w:val="nil"/>
                    <w:tr2bl w:val="nil"/>
                  </w:tcBorders>
                  <w:noWrap w:val="0"/>
                  <w:vAlign w:val="center"/>
                </w:tcPr>
                <w:p w14:paraId="775D3596">
                  <w:pPr>
                    <w:pStyle w:val="51"/>
                    <w:bidi w:val="0"/>
                    <w:rPr>
                      <w:rFonts w:hint="default"/>
                      <w:color w:val="auto"/>
                    </w:rPr>
                  </w:pPr>
                  <w:r>
                    <w:rPr>
                      <w:rFonts w:hint="default"/>
                      <w:color w:val="auto"/>
                      <w:lang w:val="en-US" w:eastAsia="zh-CN"/>
                    </w:rPr>
                    <w:t>70</w:t>
                  </w:r>
                </w:p>
              </w:tc>
              <w:tc>
                <w:tcPr>
                  <w:tcW w:w="1272" w:type="dxa"/>
                  <w:tcBorders>
                    <w:tl2br w:val="nil"/>
                    <w:tr2bl w:val="nil"/>
                  </w:tcBorders>
                  <w:noWrap w:val="0"/>
                  <w:vAlign w:val="center"/>
                </w:tcPr>
                <w:p w14:paraId="69211258">
                  <w:pPr>
                    <w:pStyle w:val="51"/>
                    <w:bidi w:val="0"/>
                    <w:rPr>
                      <w:rFonts w:hint="default"/>
                      <w:color w:val="auto"/>
                      <w:lang w:val="en-US"/>
                    </w:rPr>
                  </w:pPr>
                  <w:r>
                    <w:rPr>
                      <w:rFonts w:hint="eastAsia"/>
                      <w:color w:val="auto"/>
                      <w:lang w:val="en-US" w:eastAsia="zh-CN"/>
                    </w:rPr>
                    <w:t>145.7</w:t>
                  </w:r>
                </w:p>
              </w:tc>
              <w:tc>
                <w:tcPr>
                  <w:tcW w:w="1014" w:type="dxa"/>
                  <w:tcBorders>
                    <w:tl2br w:val="nil"/>
                    <w:tr2bl w:val="nil"/>
                  </w:tcBorders>
                  <w:noWrap w:val="0"/>
                  <w:vAlign w:val="center"/>
                </w:tcPr>
                <w:p w14:paraId="5E8938B0">
                  <w:pPr>
                    <w:pStyle w:val="51"/>
                    <w:bidi w:val="0"/>
                    <w:rPr>
                      <w:rFonts w:hint="default"/>
                      <w:color w:val="auto"/>
                    </w:rPr>
                  </w:pPr>
                  <w:r>
                    <w:rPr>
                      <w:rFonts w:hint="eastAsia"/>
                      <w:color w:val="auto"/>
                      <w:lang w:val="en-US" w:eastAsia="zh-CN"/>
                    </w:rPr>
                    <w:t>超标</w:t>
                  </w:r>
                </w:p>
              </w:tc>
            </w:tr>
            <w:tr w14:paraId="326B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l2br w:val="nil"/>
                    <w:tr2bl w:val="nil"/>
                  </w:tcBorders>
                  <w:noWrap w:val="0"/>
                  <w:vAlign w:val="center"/>
                </w:tcPr>
                <w:p w14:paraId="02872BB6">
                  <w:pPr>
                    <w:pStyle w:val="51"/>
                    <w:bidi w:val="0"/>
                    <w:rPr>
                      <w:rFonts w:hint="default"/>
                      <w:color w:val="auto"/>
                    </w:rPr>
                  </w:pPr>
                  <w:r>
                    <w:rPr>
                      <w:rFonts w:hint="default"/>
                      <w:color w:val="auto"/>
                      <w:lang w:val="en-US" w:eastAsia="zh-CN"/>
                    </w:rPr>
                    <w:t>PM</w:t>
                  </w:r>
                  <w:r>
                    <w:rPr>
                      <w:rFonts w:hint="default"/>
                      <w:color w:val="auto"/>
                      <w:vertAlign w:val="subscript"/>
                      <w:lang w:val="en-US" w:eastAsia="zh-CN"/>
                    </w:rPr>
                    <w:t>2.5</w:t>
                  </w:r>
                </w:p>
              </w:tc>
              <w:tc>
                <w:tcPr>
                  <w:tcW w:w="2127" w:type="dxa"/>
                  <w:tcBorders>
                    <w:tl2br w:val="nil"/>
                    <w:tr2bl w:val="nil"/>
                  </w:tcBorders>
                  <w:noWrap w:val="0"/>
                  <w:vAlign w:val="center"/>
                </w:tcPr>
                <w:p w14:paraId="199A780A">
                  <w:pPr>
                    <w:pStyle w:val="51"/>
                    <w:bidi w:val="0"/>
                    <w:rPr>
                      <w:rFonts w:hint="default"/>
                      <w:color w:val="auto"/>
                    </w:rPr>
                  </w:pPr>
                  <w:r>
                    <w:rPr>
                      <w:rFonts w:hint="eastAsia"/>
                      <w:color w:val="auto"/>
                      <w:lang w:val="en-US" w:eastAsia="zh-CN"/>
                    </w:rPr>
                    <w:t>年平均值</w:t>
                  </w:r>
                </w:p>
              </w:tc>
              <w:tc>
                <w:tcPr>
                  <w:tcW w:w="1268" w:type="dxa"/>
                  <w:tcBorders>
                    <w:tl2br w:val="nil"/>
                    <w:tr2bl w:val="nil"/>
                  </w:tcBorders>
                  <w:noWrap w:val="0"/>
                  <w:vAlign w:val="center"/>
                </w:tcPr>
                <w:p w14:paraId="5BF7830E">
                  <w:pPr>
                    <w:pStyle w:val="51"/>
                    <w:bidi w:val="0"/>
                    <w:rPr>
                      <w:rFonts w:hint="default"/>
                      <w:color w:val="auto"/>
                      <w:lang w:val="en-US"/>
                    </w:rPr>
                  </w:pPr>
                  <w:r>
                    <w:rPr>
                      <w:rFonts w:hint="eastAsia"/>
                      <w:color w:val="auto"/>
                      <w:lang w:val="en-US" w:eastAsia="zh-CN"/>
                    </w:rPr>
                    <w:t>37</w:t>
                  </w:r>
                </w:p>
              </w:tc>
              <w:tc>
                <w:tcPr>
                  <w:tcW w:w="1214" w:type="dxa"/>
                  <w:tcBorders>
                    <w:tl2br w:val="nil"/>
                    <w:tr2bl w:val="nil"/>
                  </w:tcBorders>
                  <w:noWrap w:val="0"/>
                  <w:vAlign w:val="center"/>
                </w:tcPr>
                <w:p w14:paraId="2FAA0E61">
                  <w:pPr>
                    <w:pStyle w:val="51"/>
                    <w:bidi w:val="0"/>
                    <w:rPr>
                      <w:rFonts w:hint="default"/>
                      <w:color w:val="auto"/>
                    </w:rPr>
                  </w:pPr>
                  <w:r>
                    <w:rPr>
                      <w:rFonts w:hint="default"/>
                      <w:color w:val="auto"/>
                      <w:lang w:val="en-US" w:eastAsia="zh-CN"/>
                    </w:rPr>
                    <w:t>35</w:t>
                  </w:r>
                </w:p>
              </w:tc>
              <w:tc>
                <w:tcPr>
                  <w:tcW w:w="1272" w:type="dxa"/>
                  <w:tcBorders>
                    <w:tl2br w:val="nil"/>
                    <w:tr2bl w:val="nil"/>
                  </w:tcBorders>
                  <w:noWrap w:val="0"/>
                  <w:vAlign w:val="center"/>
                </w:tcPr>
                <w:p w14:paraId="3F8C0FF0">
                  <w:pPr>
                    <w:pStyle w:val="51"/>
                    <w:bidi w:val="0"/>
                    <w:rPr>
                      <w:rFonts w:hint="default"/>
                      <w:color w:val="auto"/>
                      <w:lang w:val="en-US"/>
                    </w:rPr>
                  </w:pPr>
                  <w:r>
                    <w:rPr>
                      <w:rFonts w:hint="eastAsia"/>
                      <w:color w:val="auto"/>
                      <w:lang w:val="en-US" w:eastAsia="zh-CN"/>
                    </w:rPr>
                    <w:t>105.7</w:t>
                  </w:r>
                </w:p>
              </w:tc>
              <w:tc>
                <w:tcPr>
                  <w:tcW w:w="1014" w:type="dxa"/>
                  <w:tcBorders>
                    <w:tl2br w:val="nil"/>
                    <w:tr2bl w:val="nil"/>
                  </w:tcBorders>
                  <w:noWrap w:val="0"/>
                  <w:vAlign w:val="center"/>
                </w:tcPr>
                <w:p w14:paraId="40FF1396">
                  <w:pPr>
                    <w:pStyle w:val="51"/>
                    <w:bidi w:val="0"/>
                    <w:rPr>
                      <w:rFonts w:hint="default"/>
                      <w:color w:val="auto"/>
                    </w:rPr>
                  </w:pPr>
                  <w:r>
                    <w:rPr>
                      <w:rFonts w:hint="eastAsia"/>
                      <w:color w:val="auto"/>
                      <w:lang w:val="en-US" w:eastAsia="zh-CN"/>
                    </w:rPr>
                    <w:t>超标</w:t>
                  </w:r>
                </w:p>
              </w:tc>
            </w:tr>
            <w:tr w14:paraId="5BB0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l2br w:val="nil"/>
                    <w:tr2bl w:val="nil"/>
                  </w:tcBorders>
                  <w:noWrap w:val="0"/>
                  <w:vAlign w:val="center"/>
                </w:tcPr>
                <w:p w14:paraId="73DE2BCC">
                  <w:pPr>
                    <w:pStyle w:val="51"/>
                    <w:bidi w:val="0"/>
                    <w:rPr>
                      <w:rFonts w:hint="default"/>
                      <w:color w:val="auto"/>
                    </w:rPr>
                  </w:pPr>
                  <w:r>
                    <w:rPr>
                      <w:rFonts w:hint="default"/>
                      <w:color w:val="auto"/>
                      <w:lang w:val="en-US" w:eastAsia="zh-CN"/>
                    </w:rPr>
                    <w:t>CO</w:t>
                  </w:r>
                </w:p>
              </w:tc>
              <w:tc>
                <w:tcPr>
                  <w:tcW w:w="2127" w:type="dxa"/>
                  <w:tcBorders>
                    <w:tl2br w:val="nil"/>
                    <w:tr2bl w:val="nil"/>
                  </w:tcBorders>
                  <w:noWrap w:val="0"/>
                  <w:vAlign w:val="center"/>
                </w:tcPr>
                <w:p w14:paraId="10157582">
                  <w:pPr>
                    <w:pStyle w:val="51"/>
                    <w:bidi w:val="0"/>
                    <w:rPr>
                      <w:rFonts w:hint="default"/>
                      <w:color w:val="auto"/>
                    </w:rPr>
                  </w:pPr>
                  <w:r>
                    <w:rPr>
                      <w:rFonts w:hint="default"/>
                      <w:color w:val="auto"/>
                      <w:lang w:val="en-US" w:eastAsia="zh-CN"/>
                    </w:rPr>
                    <w:t>24</w:t>
                  </w:r>
                  <w:r>
                    <w:rPr>
                      <w:rFonts w:hint="eastAsia"/>
                      <w:color w:val="auto"/>
                      <w:lang w:val="en-US" w:eastAsia="zh-CN"/>
                    </w:rPr>
                    <w:t>小时第</w:t>
                  </w:r>
                  <w:r>
                    <w:rPr>
                      <w:rFonts w:hint="default"/>
                      <w:color w:val="auto"/>
                      <w:lang w:val="en-US" w:eastAsia="zh-CN"/>
                    </w:rPr>
                    <w:t>95</w:t>
                  </w:r>
                  <w:r>
                    <w:rPr>
                      <w:rFonts w:hint="eastAsia"/>
                      <w:color w:val="auto"/>
                      <w:lang w:val="en-US" w:eastAsia="zh-CN"/>
                    </w:rPr>
                    <w:t>百分位数日平均</w:t>
                  </w:r>
                </w:p>
              </w:tc>
              <w:tc>
                <w:tcPr>
                  <w:tcW w:w="1268" w:type="dxa"/>
                  <w:tcBorders>
                    <w:tl2br w:val="nil"/>
                    <w:tr2bl w:val="nil"/>
                  </w:tcBorders>
                  <w:noWrap w:val="0"/>
                  <w:vAlign w:val="center"/>
                </w:tcPr>
                <w:p w14:paraId="61470672">
                  <w:pPr>
                    <w:pStyle w:val="51"/>
                    <w:bidi w:val="0"/>
                    <w:rPr>
                      <w:rFonts w:hint="default"/>
                      <w:color w:val="auto"/>
                    </w:rPr>
                  </w:pPr>
                  <w:r>
                    <w:rPr>
                      <w:rFonts w:hint="eastAsia"/>
                      <w:color w:val="auto"/>
                      <w:lang w:val="en-US" w:eastAsia="zh-CN"/>
                    </w:rPr>
                    <w:t>2.2（</w:t>
                  </w:r>
                  <w:r>
                    <w:rPr>
                      <w:rFonts w:hint="default"/>
                      <w:color w:val="auto"/>
                      <w:lang w:val="en-US" w:eastAsia="zh-CN"/>
                    </w:rPr>
                    <w:t>mg/m</w:t>
                  </w:r>
                  <w:r>
                    <w:rPr>
                      <w:rFonts w:hint="default"/>
                      <w:color w:val="auto"/>
                      <w:vertAlign w:val="superscript"/>
                      <w:lang w:val="en-US" w:eastAsia="zh-CN"/>
                    </w:rPr>
                    <w:t>3</w:t>
                  </w:r>
                  <w:r>
                    <w:rPr>
                      <w:rFonts w:hint="eastAsia"/>
                      <w:color w:val="auto"/>
                      <w:lang w:val="en-US" w:eastAsia="zh-CN"/>
                    </w:rPr>
                    <w:t>）</w:t>
                  </w:r>
                </w:p>
              </w:tc>
              <w:tc>
                <w:tcPr>
                  <w:tcW w:w="1214" w:type="dxa"/>
                  <w:tcBorders>
                    <w:tl2br w:val="nil"/>
                    <w:tr2bl w:val="nil"/>
                  </w:tcBorders>
                  <w:noWrap w:val="0"/>
                  <w:vAlign w:val="center"/>
                </w:tcPr>
                <w:p w14:paraId="097EF5A1">
                  <w:pPr>
                    <w:pStyle w:val="51"/>
                    <w:bidi w:val="0"/>
                    <w:rPr>
                      <w:rFonts w:hint="default"/>
                      <w:color w:val="auto"/>
                    </w:rPr>
                  </w:pPr>
                  <w:r>
                    <w:rPr>
                      <w:rFonts w:hint="default"/>
                      <w:color w:val="auto"/>
                      <w:lang w:val="en-US" w:eastAsia="zh-CN"/>
                    </w:rPr>
                    <w:t>4</w:t>
                  </w:r>
                  <w:r>
                    <w:rPr>
                      <w:rFonts w:hint="eastAsia"/>
                      <w:color w:val="auto"/>
                      <w:lang w:val="en-US" w:eastAsia="zh-CN"/>
                    </w:rPr>
                    <w:t>（</w:t>
                  </w:r>
                  <w:r>
                    <w:rPr>
                      <w:rFonts w:hint="default"/>
                      <w:color w:val="auto"/>
                      <w:lang w:val="en-US" w:eastAsia="zh-CN"/>
                    </w:rPr>
                    <w:t>mg/m</w:t>
                  </w:r>
                  <w:r>
                    <w:rPr>
                      <w:rFonts w:hint="default"/>
                      <w:color w:val="auto"/>
                      <w:vertAlign w:val="superscript"/>
                      <w:lang w:val="en-US" w:eastAsia="zh-CN"/>
                    </w:rPr>
                    <w:t>3</w:t>
                  </w:r>
                  <w:r>
                    <w:rPr>
                      <w:rFonts w:hint="eastAsia"/>
                      <w:color w:val="auto"/>
                      <w:lang w:val="en-US" w:eastAsia="zh-CN"/>
                    </w:rPr>
                    <w:t>）</w:t>
                  </w:r>
                </w:p>
              </w:tc>
              <w:tc>
                <w:tcPr>
                  <w:tcW w:w="1272" w:type="dxa"/>
                  <w:tcBorders>
                    <w:tl2br w:val="nil"/>
                    <w:tr2bl w:val="nil"/>
                  </w:tcBorders>
                  <w:noWrap w:val="0"/>
                  <w:vAlign w:val="center"/>
                </w:tcPr>
                <w:p w14:paraId="24B655AF">
                  <w:pPr>
                    <w:pStyle w:val="51"/>
                    <w:bidi w:val="0"/>
                    <w:rPr>
                      <w:rFonts w:hint="default" w:eastAsia="宋体"/>
                      <w:color w:val="auto"/>
                      <w:lang w:val="en-US" w:eastAsia="zh-CN"/>
                    </w:rPr>
                  </w:pPr>
                  <w:r>
                    <w:rPr>
                      <w:rFonts w:hint="eastAsia"/>
                      <w:color w:val="auto"/>
                      <w:lang w:val="en-US" w:eastAsia="zh-CN"/>
                    </w:rPr>
                    <w:t>55</w:t>
                  </w:r>
                </w:p>
              </w:tc>
              <w:tc>
                <w:tcPr>
                  <w:tcW w:w="1014" w:type="dxa"/>
                  <w:tcBorders>
                    <w:tl2br w:val="nil"/>
                    <w:tr2bl w:val="nil"/>
                  </w:tcBorders>
                  <w:noWrap w:val="0"/>
                  <w:vAlign w:val="center"/>
                </w:tcPr>
                <w:p w14:paraId="29E57256">
                  <w:pPr>
                    <w:pStyle w:val="51"/>
                    <w:bidi w:val="0"/>
                    <w:rPr>
                      <w:rFonts w:hint="default"/>
                      <w:color w:val="auto"/>
                    </w:rPr>
                  </w:pPr>
                  <w:r>
                    <w:rPr>
                      <w:rFonts w:hint="eastAsia"/>
                      <w:color w:val="auto"/>
                      <w:lang w:val="en-US" w:eastAsia="zh-CN"/>
                    </w:rPr>
                    <w:t>达标</w:t>
                  </w:r>
                </w:p>
              </w:tc>
            </w:tr>
            <w:tr w14:paraId="491A0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l2br w:val="nil"/>
                    <w:tr2bl w:val="nil"/>
                  </w:tcBorders>
                  <w:noWrap w:val="0"/>
                  <w:vAlign w:val="center"/>
                </w:tcPr>
                <w:p w14:paraId="77676B7D">
                  <w:pPr>
                    <w:pStyle w:val="51"/>
                    <w:bidi w:val="0"/>
                    <w:rPr>
                      <w:rFonts w:hint="default"/>
                      <w:color w:val="auto"/>
                    </w:rPr>
                  </w:pPr>
                  <w:r>
                    <w:rPr>
                      <w:rFonts w:hint="default"/>
                      <w:color w:val="auto"/>
                      <w:lang w:val="en-US" w:eastAsia="zh-CN"/>
                    </w:rPr>
                    <w:t>O</w:t>
                  </w:r>
                  <w:r>
                    <w:rPr>
                      <w:rFonts w:hint="default"/>
                      <w:color w:val="auto"/>
                      <w:vertAlign w:val="subscript"/>
                      <w:lang w:val="en-US" w:eastAsia="zh-CN"/>
                    </w:rPr>
                    <w:t>3</w:t>
                  </w:r>
                </w:p>
              </w:tc>
              <w:tc>
                <w:tcPr>
                  <w:tcW w:w="2127" w:type="dxa"/>
                  <w:tcBorders>
                    <w:tl2br w:val="nil"/>
                    <w:tr2bl w:val="nil"/>
                  </w:tcBorders>
                  <w:noWrap w:val="0"/>
                  <w:vAlign w:val="center"/>
                </w:tcPr>
                <w:p w14:paraId="43B13887">
                  <w:pPr>
                    <w:pStyle w:val="51"/>
                    <w:bidi w:val="0"/>
                    <w:rPr>
                      <w:rFonts w:hint="default"/>
                      <w:color w:val="auto"/>
                    </w:rPr>
                  </w:pPr>
                  <w:r>
                    <w:rPr>
                      <w:rFonts w:hint="eastAsia"/>
                      <w:color w:val="auto"/>
                      <w:lang w:val="en-US" w:eastAsia="zh-CN"/>
                    </w:rPr>
                    <w:t>最大</w:t>
                  </w:r>
                  <w:r>
                    <w:rPr>
                      <w:rFonts w:hint="default"/>
                      <w:color w:val="auto"/>
                      <w:lang w:val="en-US" w:eastAsia="zh-CN"/>
                    </w:rPr>
                    <w:t>8</w:t>
                  </w:r>
                  <w:r>
                    <w:rPr>
                      <w:rFonts w:hint="eastAsia"/>
                      <w:color w:val="auto"/>
                      <w:lang w:val="en-US" w:eastAsia="zh-CN"/>
                    </w:rPr>
                    <w:t>小时第</w:t>
                  </w:r>
                  <w:r>
                    <w:rPr>
                      <w:rFonts w:hint="default"/>
                      <w:color w:val="auto"/>
                      <w:lang w:val="en-US" w:eastAsia="zh-CN"/>
                    </w:rPr>
                    <w:t>90</w:t>
                  </w:r>
                  <w:r>
                    <w:rPr>
                      <w:rFonts w:hint="eastAsia"/>
                      <w:color w:val="auto"/>
                      <w:lang w:val="en-US" w:eastAsia="zh-CN"/>
                    </w:rPr>
                    <w:t>百分位数日平均</w:t>
                  </w:r>
                </w:p>
              </w:tc>
              <w:tc>
                <w:tcPr>
                  <w:tcW w:w="1268" w:type="dxa"/>
                  <w:tcBorders>
                    <w:tl2br w:val="nil"/>
                    <w:tr2bl w:val="nil"/>
                  </w:tcBorders>
                  <w:noWrap w:val="0"/>
                  <w:vAlign w:val="center"/>
                </w:tcPr>
                <w:p w14:paraId="129615EB">
                  <w:pPr>
                    <w:pStyle w:val="51"/>
                    <w:bidi w:val="0"/>
                    <w:rPr>
                      <w:rFonts w:hint="default"/>
                      <w:color w:val="auto"/>
                      <w:lang w:val="en-US"/>
                    </w:rPr>
                  </w:pPr>
                  <w:r>
                    <w:rPr>
                      <w:rFonts w:hint="eastAsia"/>
                      <w:color w:val="auto"/>
                      <w:lang w:val="en-US" w:eastAsia="zh-CN"/>
                    </w:rPr>
                    <w:t>130</w:t>
                  </w:r>
                </w:p>
              </w:tc>
              <w:tc>
                <w:tcPr>
                  <w:tcW w:w="1214" w:type="dxa"/>
                  <w:tcBorders>
                    <w:tl2br w:val="nil"/>
                    <w:tr2bl w:val="nil"/>
                  </w:tcBorders>
                  <w:noWrap w:val="0"/>
                  <w:vAlign w:val="center"/>
                </w:tcPr>
                <w:p w14:paraId="7A5AB0BE">
                  <w:pPr>
                    <w:pStyle w:val="51"/>
                    <w:bidi w:val="0"/>
                    <w:rPr>
                      <w:rFonts w:hint="default"/>
                      <w:color w:val="auto"/>
                    </w:rPr>
                  </w:pPr>
                  <w:r>
                    <w:rPr>
                      <w:rFonts w:hint="default"/>
                      <w:color w:val="auto"/>
                      <w:lang w:val="en-US" w:eastAsia="zh-CN"/>
                    </w:rPr>
                    <w:t>160</w:t>
                  </w:r>
                </w:p>
              </w:tc>
              <w:tc>
                <w:tcPr>
                  <w:tcW w:w="1272" w:type="dxa"/>
                  <w:tcBorders>
                    <w:tl2br w:val="nil"/>
                    <w:tr2bl w:val="nil"/>
                  </w:tcBorders>
                  <w:noWrap w:val="0"/>
                  <w:vAlign w:val="center"/>
                </w:tcPr>
                <w:p w14:paraId="5F44AA3F">
                  <w:pPr>
                    <w:pStyle w:val="51"/>
                    <w:bidi w:val="0"/>
                    <w:rPr>
                      <w:rFonts w:hint="default" w:eastAsia="宋体"/>
                      <w:color w:val="auto"/>
                      <w:lang w:val="en-US" w:eastAsia="zh-CN"/>
                    </w:rPr>
                  </w:pPr>
                  <w:r>
                    <w:rPr>
                      <w:rFonts w:hint="eastAsia"/>
                      <w:color w:val="auto"/>
                      <w:lang w:val="en-US" w:eastAsia="zh-CN"/>
                    </w:rPr>
                    <w:t>81.2</w:t>
                  </w:r>
                </w:p>
              </w:tc>
              <w:tc>
                <w:tcPr>
                  <w:tcW w:w="1014" w:type="dxa"/>
                  <w:tcBorders>
                    <w:tl2br w:val="nil"/>
                    <w:tr2bl w:val="nil"/>
                  </w:tcBorders>
                  <w:noWrap w:val="0"/>
                  <w:vAlign w:val="center"/>
                </w:tcPr>
                <w:p w14:paraId="73311F1C">
                  <w:pPr>
                    <w:pStyle w:val="51"/>
                    <w:bidi w:val="0"/>
                    <w:rPr>
                      <w:rFonts w:hint="default"/>
                      <w:color w:val="auto"/>
                    </w:rPr>
                  </w:pPr>
                  <w:r>
                    <w:rPr>
                      <w:rFonts w:hint="eastAsia"/>
                      <w:color w:val="auto"/>
                      <w:lang w:val="en-US" w:eastAsia="zh-CN"/>
                    </w:rPr>
                    <w:t>达标</w:t>
                  </w:r>
                </w:p>
              </w:tc>
            </w:tr>
          </w:tbl>
          <w:p w14:paraId="3FD3F892">
            <w:pPr>
              <w:pStyle w:val="23"/>
              <w:rPr>
                <w:rFonts w:hint="default" w:ascii="Times New Roman" w:hAnsi="Times New Roman" w:eastAsia="宋体" w:cs="Times New Roman"/>
                <w:b/>
                <w:bCs/>
                <w:color w:val="auto"/>
                <w:sz w:val="21"/>
                <w:szCs w:val="18"/>
                <w:vertAlign w:val="superscript"/>
              </w:rPr>
            </w:pPr>
          </w:p>
          <w:p w14:paraId="74FA9475">
            <w:pPr>
              <w:pStyle w:val="38"/>
              <w:bidi w:val="0"/>
              <w:rPr>
                <w:rFonts w:hint="default"/>
                <w:color w:val="auto"/>
              </w:rPr>
            </w:pPr>
            <w:r>
              <w:rPr>
                <w:rFonts w:hint="default"/>
                <w:color w:val="auto"/>
              </w:rPr>
              <w:t>从表</w:t>
            </w:r>
            <w:r>
              <w:rPr>
                <w:rFonts w:hint="default"/>
                <w:color w:val="auto"/>
                <w:lang w:val="en-US" w:eastAsia="zh-CN"/>
              </w:rPr>
              <w:t>3-2</w:t>
            </w:r>
            <w:r>
              <w:rPr>
                <w:rFonts w:hint="default"/>
                <w:color w:val="auto"/>
              </w:rPr>
              <w:t>的分析结果可知，</w:t>
            </w:r>
            <w:r>
              <w:rPr>
                <w:rFonts w:hint="default"/>
                <w:color w:val="auto"/>
                <w:lang w:val="en-US" w:eastAsia="zh-CN"/>
              </w:rPr>
              <w:t>项目所在区域空气质量现状评价指标中SO</w:t>
            </w:r>
            <w:r>
              <w:rPr>
                <w:rFonts w:hint="default"/>
                <w:color w:val="auto"/>
                <w:vertAlign w:val="subscript"/>
                <w:lang w:val="en-US" w:eastAsia="zh-CN"/>
              </w:rPr>
              <w:t>2</w:t>
            </w:r>
            <w:r>
              <w:rPr>
                <w:rFonts w:hint="default"/>
                <w:color w:val="auto"/>
              </w:rPr>
              <w:t>、NO</w:t>
            </w:r>
            <w:r>
              <w:rPr>
                <w:rFonts w:hint="default"/>
                <w:color w:val="auto"/>
                <w:vertAlign w:val="subscript"/>
              </w:rPr>
              <w:t>2</w:t>
            </w:r>
            <w:r>
              <w:rPr>
                <w:rFonts w:hint="default"/>
                <w:color w:val="auto"/>
              </w:rPr>
              <w:t>的</w:t>
            </w:r>
            <w:r>
              <w:rPr>
                <w:rFonts w:hint="default"/>
                <w:color w:val="auto"/>
                <w:lang w:eastAsia="zh-CN"/>
              </w:rPr>
              <w:t>年均浓度，</w:t>
            </w:r>
            <w:r>
              <w:rPr>
                <w:rFonts w:hint="default"/>
                <w:color w:val="auto"/>
                <w:lang w:val="en-US" w:eastAsia="zh-CN"/>
              </w:rPr>
              <w:t>CO、</w:t>
            </w:r>
            <w:r>
              <w:rPr>
                <w:rFonts w:hint="default"/>
                <w:color w:val="auto"/>
              </w:rPr>
              <w:t>O</w:t>
            </w:r>
            <w:r>
              <w:rPr>
                <w:rFonts w:hint="default"/>
                <w:color w:val="auto"/>
                <w:vertAlign w:val="subscript"/>
              </w:rPr>
              <w:t>3</w:t>
            </w:r>
            <w:r>
              <w:rPr>
                <w:rFonts w:hint="default"/>
                <w:color w:val="auto"/>
                <w:lang w:eastAsia="zh-CN"/>
              </w:rPr>
              <w:t>的相应百分位数</w:t>
            </w:r>
            <w:r>
              <w:rPr>
                <w:rFonts w:hint="default"/>
                <w:color w:val="auto"/>
                <w:lang w:val="en-US" w:eastAsia="zh-CN"/>
              </w:rPr>
              <w:t>24h平均或8h平均质量浓度</w:t>
            </w:r>
            <w:r>
              <w:rPr>
                <w:rFonts w:hint="default"/>
                <w:color w:val="auto"/>
              </w:rPr>
              <w:t>能满足《</w:t>
            </w:r>
            <w:r>
              <w:rPr>
                <w:rFonts w:hint="default"/>
                <w:color w:val="auto"/>
                <w:lang w:eastAsia="zh-CN"/>
              </w:rPr>
              <w:t>环境空气质量标准</w:t>
            </w:r>
            <w:r>
              <w:rPr>
                <w:rFonts w:hint="default"/>
                <w:color w:val="auto"/>
              </w:rPr>
              <w:t>》（GB3095-2012）中二级标准要求，PM</w:t>
            </w:r>
            <w:r>
              <w:rPr>
                <w:rFonts w:hint="default"/>
                <w:color w:val="auto"/>
                <w:vertAlign w:val="subscript"/>
              </w:rPr>
              <w:t>10</w:t>
            </w:r>
            <w:r>
              <w:rPr>
                <w:rFonts w:hint="default"/>
                <w:color w:val="auto"/>
              </w:rPr>
              <w:t>、PM</w:t>
            </w:r>
            <w:r>
              <w:rPr>
                <w:rFonts w:hint="default"/>
                <w:color w:val="auto"/>
                <w:vertAlign w:val="subscript"/>
              </w:rPr>
              <w:t>2.5</w:t>
            </w:r>
            <w:r>
              <w:rPr>
                <w:rFonts w:hint="default"/>
                <w:color w:val="auto"/>
              </w:rPr>
              <w:t>的</w:t>
            </w:r>
            <w:r>
              <w:rPr>
                <w:rFonts w:hint="default"/>
                <w:color w:val="auto"/>
                <w:lang w:eastAsia="zh-CN"/>
              </w:rPr>
              <w:t>年均浓度</w:t>
            </w:r>
            <w:r>
              <w:rPr>
                <w:rFonts w:hint="default"/>
                <w:color w:val="auto"/>
              </w:rPr>
              <w:t>不能满足《</w:t>
            </w:r>
            <w:r>
              <w:rPr>
                <w:rFonts w:hint="default"/>
                <w:color w:val="auto"/>
                <w:lang w:eastAsia="zh-CN"/>
              </w:rPr>
              <w:t>环境空气质量标准</w:t>
            </w:r>
            <w:r>
              <w:rPr>
                <w:rFonts w:hint="default"/>
                <w:color w:val="auto"/>
              </w:rPr>
              <w:t>》（GB3095-2012）中二级标准要求，本项目所在区域为</w:t>
            </w:r>
            <w:r>
              <w:rPr>
                <w:rFonts w:hint="default"/>
                <w:color w:val="auto"/>
                <w:lang w:eastAsia="zh-CN"/>
              </w:rPr>
              <w:t>不</w:t>
            </w:r>
            <w:r>
              <w:rPr>
                <w:rFonts w:hint="default"/>
                <w:color w:val="auto"/>
              </w:rPr>
              <w:t>达标区。</w:t>
            </w:r>
          </w:p>
          <w:p w14:paraId="3E666EA1">
            <w:pPr>
              <w:pStyle w:val="4"/>
              <w:bidi w:val="0"/>
              <w:rPr>
                <w:rFonts w:hint="eastAsia"/>
                <w:color w:val="auto"/>
              </w:rPr>
            </w:pPr>
            <w:r>
              <w:rPr>
                <w:rFonts w:hint="eastAsia"/>
                <w:color w:val="auto"/>
              </w:rPr>
              <w:t>3.</w:t>
            </w:r>
            <w:r>
              <w:rPr>
                <w:rFonts w:hint="eastAsia"/>
                <w:color w:val="auto"/>
                <w:lang w:val="en-US" w:eastAsia="zh-CN"/>
              </w:rPr>
              <w:t>3</w:t>
            </w:r>
            <w:r>
              <w:rPr>
                <w:rFonts w:hint="eastAsia"/>
                <w:color w:val="auto"/>
              </w:rPr>
              <w:t>声环境质量现状监测与评价</w:t>
            </w:r>
          </w:p>
          <w:p w14:paraId="4B1FAF8D">
            <w:pPr>
              <w:pStyle w:val="39"/>
              <w:bidi w:val="0"/>
              <w:rPr>
                <w:rFonts w:hint="default"/>
                <w:color w:val="auto"/>
                <w:lang w:val="en-US" w:eastAsia="zh-CN"/>
              </w:rPr>
            </w:pPr>
            <w:r>
              <w:rPr>
                <w:rFonts w:hint="eastAsia"/>
                <w:color w:val="auto"/>
                <w:lang w:val="en-US" w:eastAsia="zh-CN"/>
              </w:rPr>
              <w:t>（1）数据来源</w:t>
            </w:r>
          </w:p>
          <w:p w14:paraId="3A9DB96B">
            <w:pPr>
              <w:pStyle w:val="39"/>
              <w:bidi w:val="0"/>
              <w:rPr>
                <w:rFonts w:hint="default"/>
                <w:color w:val="auto"/>
              </w:rPr>
            </w:pPr>
            <w:r>
              <w:rPr>
                <w:color w:val="auto"/>
              </w:rPr>
              <w:t>为了解项目区声环境质量，本次对拟建厂区四周边界进行噪声实测，监测时间为</w:t>
            </w:r>
            <w:r>
              <w:rPr>
                <w:rFonts w:hint="eastAsia"/>
                <w:color w:val="auto"/>
                <w:lang w:val="en-US" w:eastAsia="zh-CN"/>
              </w:rPr>
              <w:t>2023</w:t>
            </w:r>
            <w:r>
              <w:rPr>
                <w:color w:val="auto"/>
              </w:rPr>
              <w:t>年</w:t>
            </w:r>
            <w:r>
              <w:rPr>
                <w:rFonts w:hint="eastAsia"/>
                <w:color w:val="auto"/>
                <w:lang w:val="en-US" w:eastAsia="zh-CN"/>
              </w:rPr>
              <w:t>7</w:t>
            </w:r>
            <w:r>
              <w:rPr>
                <w:color w:val="auto"/>
              </w:rPr>
              <w:t>月</w:t>
            </w:r>
            <w:r>
              <w:rPr>
                <w:rFonts w:hint="eastAsia"/>
                <w:color w:val="auto"/>
                <w:lang w:val="en-US" w:eastAsia="zh-CN"/>
              </w:rPr>
              <w:t>11</w:t>
            </w:r>
            <w:r>
              <w:rPr>
                <w:color w:val="auto"/>
              </w:rPr>
              <w:t>日～</w:t>
            </w:r>
            <w:r>
              <w:rPr>
                <w:rFonts w:hint="eastAsia"/>
                <w:color w:val="auto"/>
                <w:lang w:val="en-US" w:eastAsia="zh-CN"/>
              </w:rPr>
              <w:t>12</w:t>
            </w:r>
            <w:r>
              <w:rPr>
                <w:color w:val="auto"/>
              </w:rPr>
              <w:t>日，昼夜各1</w:t>
            </w:r>
            <w:r>
              <w:rPr>
                <w:color w:val="auto"/>
              </w:rPr>
              <w:fldChar w:fldCharType="begin"/>
            </w:r>
            <w:r>
              <w:rPr>
                <w:color w:val="auto"/>
              </w:rPr>
              <w:instrText xml:space="preserve"> HYPERLINK \l "_bookmark108" </w:instrText>
            </w:r>
            <w:r>
              <w:rPr>
                <w:color w:val="auto"/>
              </w:rPr>
              <w:fldChar w:fldCharType="separate"/>
            </w:r>
            <w:r>
              <w:rPr>
                <w:color w:val="auto"/>
              </w:rPr>
              <w:t>次，见</w:t>
            </w:r>
            <w:r>
              <w:rPr>
                <w:rFonts w:hint="eastAsia"/>
                <w:color w:val="auto"/>
                <w:lang w:val="en-US" w:eastAsia="zh-CN"/>
              </w:rPr>
              <w:t>监测</w:t>
            </w:r>
            <w:r>
              <w:rPr>
                <w:color w:val="auto"/>
              </w:rPr>
              <w:fldChar w:fldCharType="end"/>
            </w:r>
            <w:r>
              <w:rPr>
                <w:rFonts w:hint="eastAsia"/>
                <w:color w:val="auto"/>
                <w:lang w:val="en-US" w:eastAsia="zh-CN"/>
              </w:rPr>
              <w:t>布点示意图3-1</w:t>
            </w:r>
            <w:r>
              <w:rPr>
                <w:rFonts w:hint="default"/>
                <w:color w:val="auto"/>
              </w:rPr>
              <w:t>。</w:t>
            </w:r>
          </w:p>
          <w:p w14:paraId="5C3158A5">
            <w:pPr>
              <w:pStyle w:val="38"/>
              <w:bidi w:val="0"/>
              <w:rPr>
                <w:color w:val="auto"/>
              </w:rPr>
            </w:pPr>
            <w:r>
              <w:rPr>
                <w:color w:val="auto"/>
              </w:rPr>
              <w:t>（2）评价标准</w:t>
            </w:r>
          </w:p>
          <w:p w14:paraId="0967D0F5">
            <w:pPr>
              <w:pStyle w:val="39"/>
              <w:bidi w:val="0"/>
              <w:rPr>
                <w:color w:val="auto"/>
              </w:rPr>
            </w:pPr>
            <w:r>
              <w:rPr>
                <w:color w:val="auto"/>
              </w:rPr>
              <w:t>执行《声环境质量标准》（GB3096-2008）</w:t>
            </w:r>
            <w:r>
              <w:rPr>
                <w:rFonts w:hint="eastAsia"/>
                <w:color w:val="auto"/>
                <w:lang w:val="en-US" w:eastAsia="zh-CN"/>
              </w:rPr>
              <w:t>3</w:t>
            </w:r>
            <w:r>
              <w:rPr>
                <w:color w:val="auto"/>
              </w:rPr>
              <w:t>类。</w:t>
            </w:r>
          </w:p>
          <w:p w14:paraId="34225178">
            <w:pPr>
              <w:pStyle w:val="39"/>
              <w:bidi w:val="0"/>
              <w:rPr>
                <w:color w:val="auto"/>
              </w:rPr>
            </w:pPr>
            <w:r>
              <w:rPr>
                <w:color w:val="auto"/>
              </w:rPr>
              <w:t>（3）评价方法</w:t>
            </w:r>
          </w:p>
          <w:p w14:paraId="297DA2B8">
            <w:pPr>
              <w:pStyle w:val="39"/>
              <w:bidi w:val="0"/>
              <w:rPr>
                <w:color w:val="auto"/>
              </w:rPr>
            </w:pPr>
            <w:r>
              <w:rPr>
                <w:color w:val="auto"/>
              </w:rPr>
              <w:t>监测值与标准值直接比对。</w:t>
            </w:r>
          </w:p>
          <w:p w14:paraId="20AC9560">
            <w:pPr>
              <w:pStyle w:val="39"/>
              <w:bidi w:val="0"/>
              <w:rPr>
                <w:color w:val="auto"/>
              </w:rPr>
            </w:pPr>
            <w:r>
              <w:rPr>
                <w:color w:val="auto"/>
              </w:rPr>
              <w:t>（4）评价结果</w:t>
            </w:r>
          </w:p>
          <w:p w14:paraId="4808792B">
            <w:pPr>
              <w:pStyle w:val="39"/>
              <w:bidi w:val="0"/>
              <w:rPr>
                <w:color w:val="auto"/>
              </w:rPr>
            </w:pPr>
            <w:bookmarkStart w:id="37" w:name="_bookmark109"/>
            <w:bookmarkEnd w:id="37"/>
            <w:r>
              <w:rPr>
                <w:color w:val="auto"/>
              </w:rPr>
              <w:fldChar w:fldCharType="begin"/>
            </w:r>
            <w:r>
              <w:rPr>
                <w:color w:val="auto"/>
              </w:rPr>
              <w:instrText xml:space="preserve"> HYPERLINK \l "_bookmark109" </w:instrText>
            </w:r>
            <w:r>
              <w:rPr>
                <w:color w:val="auto"/>
              </w:rPr>
              <w:fldChar w:fldCharType="separate"/>
            </w:r>
            <w:r>
              <w:rPr>
                <w:color w:val="auto"/>
              </w:rPr>
              <w:t>监测及评价结果见表</w:t>
            </w:r>
            <w:r>
              <w:rPr>
                <w:rFonts w:hint="eastAsia"/>
                <w:color w:val="auto"/>
                <w:lang w:val="en-US" w:eastAsia="zh-CN"/>
              </w:rPr>
              <w:t>3-5</w:t>
            </w:r>
            <w:r>
              <w:rPr>
                <w:color w:val="auto"/>
              </w:rPr>
              <w:t>。</w:t>
            </w:r>
            <w:r>
              <w:rPr>
                <w:color w:val="auto"/>
              </w:rPr>
              <w:fldChar w:fldCharType="end"/>
            </w:r>
          </w:p>
          <w:p w14:paraId="08AD5249">
            <w:pPr>
              <w:pStyle w:val="46"/>
              <w:bidi w:val="0"/>
              <w:rPr>
                <w:color w:val="auto"/>
              </w:rPr>
            </w:pPr>
            <w:r>
              <w:rPr>
                <w:color w:val="auto"/>
              </w:rPr>
              <w:t>表</w:t>
            </w:r>
            <w:r>
              <w:rPr>
                <w:rFonts w:hint="eastAsia"/>
                <w:color w:val="auto"/>
                <w:lang w:val="en-US" w:eastAsia="zh-CN"/>
              </w:rPr>
              <w:t>3-5</w:t>
            </w:r>
            <w:r>
              <w:rPr>
                <w:color w:val="auto"/>
              </w:rPr>
              <w:t xml:space="preserve">   声环境现状监测及评价结果一览表〔dB(A)〕</w:t>
            </w:r>
          </w:p>
          <w:tbl>
            <w:tblPr>
              <w:tblStyle w:val="114"/>
              <w:tblW w:w="79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9"/>
              <w:gridCol w:w="1599"/>
              <w:gridCol w:w="1318"/>
              <w:gridCol w:w="1317"/>
              <w:gridCol w:w="1318"/>
              <w:gridCol w:w="1316"/>
            </w:tblGrid>
            <w:tr w14:paraId="48514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1069" w:type="dxa"/>
                  <w:vMerge w:val="restart"/>
                  <w:tcBorders>
                    <w:tl2br w:val="nil"/>
                    <w:tr2bl w:val="nil"/>
                  </w:tcBorders>
                  <w:vAlign w:val="center"/>
                </w:tcPr>
                <w:p w14:paraId="4AA135CD">
                  <w:pPr>
                    <w:pStyle w:val="51"/>
                    <w:tabs>
                      <w:tab w:val="left" w:pos="1535"/>
                      <w:tab w:val="left" w:pos="3105"/>
                      <w:tab w:val="left" w:pos="4676"/>
                      <w:tab w:val="left" w:pos="6247"/>
                      <w:tab w:val="left" w:pos="7740"/>
                      <w:tab w:val="left" w:pos="9288"/>
                    </w:tabs>
                    <w:bidi w:val="0"/>
                    <w:jc w:val="center"/>
                    <w:rPr>
                      <w:color w:val="auto"/>
                    </w:rPr>
                  </w:pPr>
                  <w:r>
                    <w:rPr>
                      <w:color w:val="auto"/>
                    </w:rPr>
                    <w:t>测点编号</w:t>
                  </w:r>
                </w:p>
              </w:tc>
              <w:tc>
                <w:tcPr>
                  <w:tcW w:w="1599" w:type="dxa"/>
                  <w:vMerge w:val="restart"/>
                  <w:tcBorders>
                    <w:tl2br w:val="nil"/>
                    <w:tr2bl w:val="nil"/>
                  </w:tcBorders>
                  <w:vAlign w:val="center"/>
                </w:tcPr>
                <w:p w14:paraId="3518C7C6">
                  <w:pPr>
                    <w:pStyle w:val="51"/>
                    <w:tabs>
                      <w:tab w:val="left" w:pos="1535"/>
                      <w:tab w:val="left" w:pos="3105"/>
                      <w:tab w:val="left" w:pos="4676"/>
                      <w:tab w:val="left" w:pos="6247"/>
                      <w:tab w:val="left" w:pos="7740"/>
                      <w:tab w:val="left" w:pos="9288"/>
                    </w:tabs>
                    <w:bidi w:val="0"/>
                    <w:jc w:val="center"/>
                    <w:rPr>
                      <w:color w:val="auto"/>
                    </w:rPr>
                  </w:pPr>
                  <w:r>
                    <w:rPr>
                      <w:color w:val="auto"/>
                    </w:rPr>
                    <w:t>相对位置</w:t>
                  </w:r>
                </w:p>
              </w:tc>
              <w:tc>
                <w:tcPr>
                  <w:tcW w:w="2635" w:type="dxa"/>
                  <w:gridSpan w:val="2"/>
                  <w:tcBorders>
                    <w:tl2br w:val="nil"/>
                    <w:tr2bl w:val="nil"/>
                  </w:tcBorders>
                  <w:vAlign w:val="center"/>
                </w:tcPr>
                <w:p w14:paraId="436F1E3C">
                  <w:pPr>
                    <w:pStyle w:val="51"/>
                    <w:tabs>
                      <w:tab w:val="left" w:pos="1535"/>
                      <w:tab w:val="left" w:pos="3105"/>
                      <w:tab w:val="left" w:pos="4676"/>
                      <w:tab w:val="left" w:pos="6247"/>
                      <w:tab w:val="left" w:pos="7740"/>
                      <w:tab w:val="left" w:pos="9288"/>
                    </w:tabs>
                    <w:bidi w:val="0"/>
                    <w:jc w:val="center"/>
                    <w:rPr>
                      <w:color w:val="auto"/>
                    </w:rPr>
                  </w:pPr>
                  <w:r>
                    <w:rPr>
                      <w:color w:val="auto"/>
                    </w:rPr>
                    <w:t>检测值</w:t>
                  </w:r>
                </w:p>
              </w:tc>
              <w:tc>
                <w:tcPr>
                  <w:tcW w:w="2634" w:type="dxa"/>
                  <w:gridSpan w:val="2"/>
                  <w:tcBorders>
                    <w:tl2br w:val="nil"/>
                    <w:tr2bl w:val="nil"/>
                  </w:tcBorders>
                  <w:vAlign w:val="center"/>
                </w:tcPr>
                <w:p w14:paraId="721B0FE4">
                  <w:pPr>
                    <w:pStyle w:val="51"/>
                    <w:tabs>
                      <w:tab w:val="left" w:pos="1535"/>
                      <w:tab w:val="left" w:pos="3105"/>
                      <w:tab w:val="left" w:pos="4676"/>
                      <w:tab w:val="left" w:pos="6247"/>
                      <w:tab w:val="left" w:pos="7740"/>
                      <w:tab w:val="left" w:pos="9288"/>
                    </w:tabs>
                    <w:bidi w:val="0"/>
                    <w:jc w:val="center"/>
                    <w:rPr>
                      <w:color w:val="auto"/>
                    </w:rPr>
                  </w:pPr>
                  <w:r>
                    <w:rPr>
                      <w:color w:val="auto"/>
                    </w:rPr>
                    <w:t>标准值</w:t>
                  </w:r>
                </w:p>
              </w:tc>
            </w:tr>
            <w:tr w14:paraId="47B6E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1069" w:type="dxa"/>
                  <w:vMerge w:val="continue"/>
                  <w:tcBorders>
                    <w:tl2br w:val="nil"/>
                    <w:tr2bl w:val="nil"/>
                  </w:tcBorders>
                  <w:vAlign w:val="center"/>
                </w:tcPr>
                <w:p w14:paraId="55A3156B">
                  <w:pPr>
                    <w:pStyle w:val="51"/>
                    <w:tabs>
                      <w:tab w:val="left" w:pos="1535"/>
                      <w:tab w:val="left" w:pos="3105"/>
                      <w:tab w:val="left" w:pos="4676"/>
                      <w:tab w:val="left" w:pos="6247"/>
                      <w:tab w:val="left" w:pos="7740"/>
                      <w:tab w:val="left" w:pos="9288"/>
                    </w:tabs>
                    <w:bidi w:val="0"/>
                    <w:jc w:val="center"/>
                    <w:rPr>
                      <w:color w:val="auto"/>
                    </w:rPr>
                  </w:pPr>
                </w:p>
              </w:tc>
              <w:tc>
                <w:tcPr>
                  <w:tcW w:w="1599" w:type="dxa"/>
                  <w:vMerge w:val="continue"/>
                  <w:tcBorders>
                    <w:tl2br w:val="nil"/>
                    <w:tr2bl w:val="nil"/>
                  </w:tcBorders>
                  <w:vAlign w:val="center"/>
                </w:tcPr>
                <w:p w14:paraId="46096F38">
                  <w:pPr>
                    <w:pStyle w:val="51"/>
                    <w:tabs>
                      <w:tab w:val="left" w:pos="1535"/>
                      <w:tab w:val="left" w:pos="3105"/>
                      <w:tab w:val="left" w:pos="4676"/>
                      <w:tab w:val="left" w:pos="6247"/>
                      <w:tab w:val="left" w:pos="7740"/>
                      <w:tab w:val="left" w:pos="9288"/>
                    </w:tabs>
                    <w:bidi w:val="0"/>
                    <w:jc w:val="center"/>
                    <w:rPr>
                      <w:color w:val="auto"/>
                    </w:rPr>
                  </w:pPr>
                </w:p>
              </w:tc>
              <w:tc>
                <w:tcPr>
                  <w:tcW w:w="1318" w:type="dxa"/>
                  <w:tcBorders>
                    <w:tl2br w:val="nil"/>
                    <w:tr2bl w:val="nil"/>
                  </w:tcBorders>
                  <w:vAlign w:val="center"/>
                </w:tcPr>
                <w:p w14:paraId="69243D8B">
                  <w:pPr>
                    <w:pStyle w:val="51"/>
                    <w:tabs>
                      <w:tab w:val="left" w:pos="1535"/>
                      <w:tab w:val="left" w:pos="3105"/>
                      <w:tab w:val="left" w:pos="4676"/>
                      <w:tab w:val="left" w:pos="6247"/>
                      <w:tab w:val="left" w:pos="7740"/>
                      <w:tab w:val="left" w:pos="9288"/>
                    </w:tabs>
                    <w:bidi w:val="0"/>
                    <w:jc w:val="center"/>
                    <w:rPr>
                      <w:color w:val="auto"/>
                    </w:rPr>
                  </w:pPr>
                  <w:r>
                    <w:rPr>
                      <w:color w:val="auto"/>
                    </w:rPr>
                    <w:t>昼间</w:t>
                  </w:r>
                </w:p>
              </w:tc>
              <w:tc>
                <w:tcPr>
                  <w:tcW w:w="1317" w:type="dxa"/>
                  <w:tcBorders>
                    <w:tl2br w:val="nil"/>
                    <w:tr2bl w:val="nil"/>
                  </w:tcBorders>
                  <w:vAlign w:val="center"/>
                </w:tcPr>
                <w:p w14:paraId="3268C19A">
                  <w:pPr>
                    <w:pStyle w:val="51"/>
                    <w:tabs>
                      <w:tab w:val="left" w:pos="1535"/>
                      <w:tab w:val="left" w:pos="3105"/>
                      <w:tab w:val="left" w:pos="4676"/>
                      <w:tab w:val="left" w:pos="6247"/>
                      <w:tab w:val="left" w:pos="7740"/>
                      <w:tab w:val="left" w:pos="9288"/>
                    </w:tabs>
                    <w:bidi w:val="0"/>
                    <w:jc w:val="center"/>
                    <w:rPr>
                      <w:color w:val="auto"/>
                    </w:rPr>
                  </w:pPr>
                  <w:r>
                    <w:rPr>
                      <w:color w:val="auto"/>
                    </w:rPr>
                    <w:t>夜间</w:t>
                  </w:r>
                </w:p>
              </w:tc>
              <w:tc>
                <w:tcPr>
                  <w:tcW w:w="1318" w:type="dxa"/>
                  <w:tcBorders>
                    <w:tl2br w:val="nil"/>
                    <w:tr2bl w:val="nil"/>
                  </w:tcBorders>
                  <w:vAlign w:val="center"/>
                </w:tcPr>
                <w:p w14:paraId="7A971481">
                  <w:pPr>
                    <w:pStyle w:val="51"/>
                    <w:tabs>
                      <w:tab w:val="left" w:pos="1535"/>
                      <w:tab w:val="left" w:pos="3105"/>
                      <w:tab w:val="left" w:pos="4676"/>
                      <w:tab w:val="left" w:pos="6247"/>
                      <w:tab w:val="left" w:pos="7740"/>
                      <w:tab w:val="left" w:pos="9288"/>
                    </w:tabs>
                    <w:bidi w:val="0"/>
                    <w:jc w:val="center"/>
                    <w:rPr>
                      <w:color w:val="auto"/>
                    </w:rPr>
                  </w:pPr>
                  <w:r>
                    <w:rPr>
                      <w:color w:val="auto"/>
                    </w:rPr>
                    <w:t>昼间</w:t>
                  </w:r>
                </w:p>
              </w:tc>
              <w:tc>
                <w:tcPr>
                  <w:tcW w:w="1316" w:type="dxa"/>
                  <w:tcBorders>
                    <w:tl2br w:val="nil"/>
                    <w:tr2bl w:val="nil"/>
                  </w:tcBorders>
                  <w:vAlign w:val="center"/>
                </w:tcPr>
                <w:p w14:paraId="1F9F2D52">
                  <w:pPr>
                    <w:pStyle w:val="51"/>
                    <w:tabs>
                      <w:tab w:val="left" w:pos="1535"/>
                      <w:tab w:val="left" w:pos="3105"/>
                      <w:tab w:val="left" w:pos="4676"/>
                      <w:tab w:val="left" w:pos="6247"/>
                      <w:tab w:val="left" w:pos="7740"/>
                      <w:tab w:val="left" w:pos="9288"/>
                    </w:tabs>
                    <w:bidi w:val="0"/>
                    <w:jc w:val="center"/>
                    <w:rPr>
                      <w:color w:val="auto"/>
                    </w:rPr>
                  </w:pPr>
                  <w:r>
                    <w:rPr>
                      <w:color w:val="auto"/>
                    </w:rPr>
                    <w:t>夜间</w:t>
                  </w:r>
                </w:p>
              </w:tc>
            </w:tr>
            <w:tr w14:paraId="25D42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1069" w:type="dxa"/>
                  <w:tcBorders>
                    <w:tl2br w:val="nil"/>
                    <w:tr2bl w:val="nil"/>
                  </w:tcBorders>
                  <w:vAlign w:val="center"/>
                </w:tcPr>
                <w:p w14:paraId="1F164136">
                  <w:pPr>
                    <w:pStyle w:val="51"/>
                    <w:tabs>
                      <w:tab w:val="left" w:pos="1535"/>
                      <w:tab w:val="left" w:pos="3105"/>
                      <w:tab w:val="left" w:pos="4676"/>
                      <w:tab w:val="left" w:pos="6247"/>
                      <w:tab w:val="left" w:pos="7740"/>
                      <w:tab w:val="left" w:pos="9288"/>
                    </w:tabs>
                    <w:bidi w:val="0"/>
                    <w:jc w:val="center"/>
                    <w:rPr>
                      <w:color w:val="auto"/>
                    </w:rPr>
                  </w:pPr>
                  <w:r>
                    <w:rPr>
                      <w:color w:val="auto"/>
                    </w:rPr>
                    <w:t>Z1</w:t>
                  </w:r>
                </w:p>
              </w:tc>
              <w:tc>
                <w:tcPr>
                  <w:tcW w:w="1599" w:type="dxa"/>
                  <w:tcBorders>
                    <w:tl2br w:val="nil"/>
                    <w:tr2bl w:val="nil"/>
                  </w:tcBorders>
                  <w:vAlign w:val="center"/>
                </w:tcPr>
                <w:p w14:paraId="3C9EF7D5">
                  <w:pPr>
                    <w:pStyle w:val="51"/>
                    <w:tabs>
                      <w:tab w:val="left" w:pos="1535"/>
                      <w:tab w:val="left" w:pos="3105"/>
                      <w:tab w:val="left" w:pos="4676"/>
                      <w:tab w:val="left" w:pos="6247"/>
                      <w:tab w:val="left" w:pos="7740"/>
                      <w:tab w:val="left" w:pos="9288"/>
                    </w:tabs>
                    <w:bidi w:val="0"/>
                    <w:jc w:val="center"/>
                    <w:rPr>
                      <w:color w:val="auto"/>
                    </w:rPr>
                  </w:pPr>
                  <w:r>
                    <w:rPr>
                      <w:color w:val="auto"/>
                    </w:rPr>
                    <w:t>厂区北界</w:t>
                  </w:r>
                </w:p>
              </w:tc>
              <w:tc>
                <w:tcPr>
                  <w:tcW w:w="1318" w:type="dxa"/>
                  <w:tcBorders>
                    <w:tl2br w:val="nil"/>
                    <w:tr2bl w:val="nil"/>
                  </w:tcBorders>
                  <w:vAlign w:val="center"/>
                </w:tcPr>
                <w:p w14:paraId="5E5D253F">
                  <w:pPr>
                    <w:pStyle w:val="51"/>
                    <w:tabs>
                      <w:tab w:val="left" w:pos="1535"/>
                      <w:tab w:val="left" w:pos="3105"/>
                      <w:tab w:val="left" w:pos="4676"/>
                      <w:tab w:val="left" w:pos="6247"/>
                      <w:tab w:val="left" w:pos="7740"/>
                      <w:tab w:val="left" w:pos="9288"/>
                    </w:tabs>
                    <w:bidi w:val="0"/>
                    <w:jc w:val="center"/>
                    <w:rPr>
                      <w:rFonts w:hint="default" w:eastAsia="宋体"/>
                      <w:color w:val="auto"/>
                      <w:lang w:val="en-US" w:eastAsia="zh-CN"/>
                    </w:rPr>
                  </w:pPr>
                  <w:r>
                    <w:rPr>
                      <w:rFonts w:hint="eastAsia"/>
                      <w:color w:val="auto"/>
                      <w:lang w:val="en-US" w:eastAsia="zh-CN"/>
                    </w:rPr>
                    <w:t>47</w:t>
                  </w:r>
                </w:p>
              </w:tc>
              <w:tc>
                <w:tcPr>
                  <w:tcW w:w="1317" w:type="dxa"/>
                  <w:tcBorders>
                    <w:tl2br w:val="nil"/>
                    <w:tr2bl w:val="nil"/>
                  </w:tcBorders>
                  <w:vAlign w:val="center"/>
                </w:tcPr>
                <w:p w14:paraId="20D6D002">
                  <w:pPr>
                    <w:pStyle w:val="51"/>
                    <w:tabs>
                      <w:tab w:val="left" w:pos="1535"/>
                      <w:tab w:val="left" w:pos="3105"/>
                      <w:tab w:val="left" w:pos="4676"/>
                      <w:tab w:val="left" w:pos="6247"/>
                      <w:tab w:val="left" w:pos="7740"/>
                      <w:tab w:val="left" w:pos="9288"/>
                    </w:tabs>
                    <w:bidi w:val="0"/>
                    <w:jc w:val="center"/>
                    <w:rPr>
                      <w:rFonts w:hint="default" w:eastAsia="宋体"/>
                      <w:color w:val="auto"/>
                      <w:lang w:val="en-US" w:eastAsia="zh-CN"/>
                    </w:rPr>
                  </w:pPr>
                  <w:r>
                    <w:rPr>
                      <w:rFonts w:hint="eastAsia"/>
                      <w:color w:val="auto"/>
                      <w:lang w:val="en-US" w:eastAsia="zh-CN"/>
                    </w:rPr>
                    <w:t>40</w:t>
                  </w:r>
                </w:p>
              </w:tc>
              <w:tc>
                <w:tcPr>
                  <w:tcW w:w="1318" w:type="dxa"/>
                  <w:vMerge w:val="restart"/>
                  <w:tcBorders>
                    <w:tl2br w:val="nil"/>
                    <w:tr2bl w:val="nil"/>
                  </w:tcBorders>
                  <w:vAlign w:val="center"/>
                </w:tcPr>
                <w:p w14:paraId="6B4F2DF3">
                  <w:pPr>
                    <w:pStyle w:val="51"/>
                    <w:tabs>
                      <w:tab w:val="left" w:pos="1535"/>
                      <w:tab w:val="left" w:pos="3105"/>
                      <w:tab w:val="left" w:pos="4676"/>
                      <w:tab w:val="left" w:pos="6247"/>
                      <w:tab w:val="left" w:pos="7740"/>
                      <w:tab w:val="left" w:pos="9288"/>
                    </w:tabs>
                    <w:bidi w:val="0"/>
                    <w:jc w:val="center"/>
                    <w:rPr>
                      <w:rFonts w:hint="default" w:eastAsia="宋体"/>
                      <w:color w:val="auto"/>
                      <w:lang w:val="en-US" w:eastAsia="zh-CN"/>
                    </w:rPr>
                  </w:pPr>
                  <w:r>
                    <w:rPr>
                      <w:rFonts w:hint="eastAsia"/>
                      <w:color w:val="auto"/>
                      <w:lang w:val="en-US" w:eastAsia="zh-CN"/>
                    </w:rPr>
                    <w:t>65</w:t>
                  </w:r>
                </w:p>
              </w:tc>
              <w:tc>
                <w:tcPr>
                  <w:tcW w:w="1316" w:type="dxa"/>
                  <w:vMerge w:val="restart"/>
                  <w:tcBorders>
                    <w:tl2br w:val="nil"/>
                    <w:tr2bl w:val="nil"/>
                  </w:tcBorders>
                  <w:vAlign w:val="center"/>
                </w:tcPr>
                <w:p w14:paraId="53CBD9F9">
                  <w:pPr>
                    <w:pStyle w:val="51"/>
                    <w:tabs>
                      <w:tab w:val="left" w:pos="1535"/>
                      <w:tab w:val="left" w:pos="3105"/>
                      <w:tab w:val="left" w:pos="4676"/>
                      <w:tab w:val="left" w:pos="6247"/>
                      <w:tab w:val="left" w:pos="7740"/>
                      <w:tab w:val="left" w:pos="9288"/>
                    </w:tabs>
                    <w:bidi w:val="0"/>
                    <w:jc w:val="center"/>
                    <w:rPr>
                      <w:rFonts w:hint="default" w:eastAsia="宋体"/>
                      <w:color w:val="auto"/>
                      <w:lang w:val="en-US" w:eastAsia="zh-CN"/>
                    </w:rPr>
                  </w:pPr>
                  <w:r>
                    <w:rPr>
                      <w:rFonts w:hint="eastAsia"/>
                      <w:color w:val="auto"/>
                      <w:lang w:val="en-US" w:eastAsia="zh-CN"/>
                    </w:rPr>
                    <w:t>50</w:t>
                  </w:r>
                </w:p>
              </w:tc>
            </w:tr>
            <w:tr w14:paraId="105EA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1069" w:type="dxa"/>
                  <w:tcBorders>
                    <w:tl2br w:val="nil"/>
                    <w:tr2bl w:val="nil"/>
                  </w:tcBorders>
                  <w:vAlign w:val="center"/>
                </w:tcPr>
                <w:p w14:paraId="47381340">
                  <w:pPr>
                    <w:pStyle w:val="51"/>
                    <w:tabs>
                      <w:tab w:val="left" w:pos="1535"/>
                      <w:tab w:val="left" w:pos="3105"/>
                      <w:tab w:val="left" w:pos="4676"/>
                      <w:tab w:val="left" w:pos="6247"/>
                      <w:tab w:val="left" w:pos="7740"/>
                      <w:tab w:val="left" w:pos="9288"/>
                    </w:tabs>
                    <w:bidi w:val="0"/>
                    <w:jc w:val="center"/>
                    <w:rPr>
                      <w:color w:val="auto"/>
                    </w:rPr>
                  </w:pPr>
                  <w:r>
                    <w:rPr>
                      <w:color w:val="auto"/>
                    </w:rPr>
                    <w:t>Z2</w:t>
                  </w:r>
                </w:p>
              </w:tc>
              <w:tc>
                <w:tcPr>
                  <w:tcW w:w="1599" w:type="dxa"/>
                  <w:tcBorders>
                    <w:tl2br w:val="nil"/>
                    <w:tr2bl w:val="nil"/>
                  </w:tcBorders>
                  <w:vAlign w:val="center"/>
                </w:tcPr>
                <w:p w14:paraId="4304B038">
                  <w:pPr>
                    <w:pStyle w:val="51"/>
                    <w:tabs>
                      <w:tab w:val="left" w:pos="1535"/>
                      <w:tab w:val="left" w:pos="3105"/>
                      <w:tab w:val="left" w:pos="4676"/>
                      <w:tab w:val="left" w:pos="6247"/>
                      <w:tab w:val="left" w:pos="7740"/>
                      <w:tab w:val="left" w:pos="9288"/>
                    </w:tabs>
                    <w:bidi w:val="0"/>
                    <w:jc w:val="center"/>
                    <w:rPr>
                      <w:color w:val="auto"/>
                    </w:rPr>
                  </w:pPr>
                  <w:r>
                    <w:rPr>
                      <w:color w:val="auto"/>
                    </w:rPr>
                    <w:t>厂区东界</w:t>
                  </w:r>
                </w:p>
              </w:tc>
              <w:tc>
                <w:tcPr>
                  <w:tcW w:w="1318" w:type="dxa"/>
                  <w:tcBorders>
                    <w:tl2br w:val="nil"/>
                    <w:tr2bl w:val="nil"/>
                  </w:tcBorders>
                  <w:vAlign w:val="center"/>
                </w:tcPr>
                <w:p w14:paraId="69425C2B">
                  <w:pPr>
                    <w:pStyle w:val="51"/>
                    <w:tabs>
                      <w:tab w:val="left" w:pos="1535"/>
                      <w:tab w:val="left" w:pos="3105"/>
                      <w:tab w:val="left" w:pos="4676"/>
                      <w:tab w:val="left" w:pos="6247"/>
                      <w:tab w:val="left" w:pos="7740"/>
                      <w:tab w:val="left" w:pos="9288"/>
                    </w:tabs>
                    <w:bidi w:val="0"/>
                    <w:jc w:val="center"/>
                    <w:rPr>
                      <w:rFonts w:hint="default" w:eastAsia="宋体"/>
                      <w:color w:val="auto"/>
                      <w:lang w:val="en-US" w:eastAsia="zh-CN"/>
                    </w:rPr>
                  </w:pPr>
                  <w:r>
                    <w:rPr>
                      <w:rFonts w:hint="eastAsia"/>
                      <w:color w:val="auto"/>
                      <w:lang w:val="en-US" w:eastAsia="zh-CN"/>
                    </w:rPr>
                    <w:t>56</w:t>
                  </w:r>
                </w:p>
              </w:tc>
              <w:tc>
                <w:tcPr>
                  <w:tcW w:w="1317" w:type="dxa"/>
                  <w:tcBorders>
                    <w:tl2br w:val="nil"/>
                    <w:tr2bl w:val="nil"/>
                  </w:tcBorders>
                  <w:vAlign w:val="center"/>
                </w:tcPr>
                <w:p w14:paraId="63FBC9EF">
                  <w:pPr>
                    <w:pStyle w:val="51"/>
                    <w:tabs>
                      <w:tab w:val="left" w:pos="1535"/>
                      <w:tab w:val="left" w:pos="3105"/>
                      <w:tab w:val="left" w:pos="4676"/>
                      <w:tab w:val="left" w:pos="6247"/>
                      <w:tab w:val="left" w:pos="7740"/>
                      <w:tab w:val="left" w:pos="9288"/>
                    </w:tabs>
                    <w:bidi w:val="0"/>
                    <w:jc w:val="center"/>
                    <w:rPr>
                      <w:rFonts w:hint="default" w:eastAsia="宋体"/>
                      <w:color w:val="auto"/>
                      <w:lang w:val="en-US" w:eastAsia="zh-CN"/>
                    </w:rPr>
                  </w:pPr>
                  <w:r>
                    <w:rPr>
                      <w:rFonts w:hint="eastAsia"/>
                      <w:color w:val="auto"/>
                      <w:lang w:val="en-US" w:eastAsia="zh-CN"/>
                    </w:rPr>
                    <w:t>52</w:t>
                  </w:r>
                </w:p>
              </w:tc>
              <w:tc>
                <w:tcPr>
                  <w:tcW w:w="1318" w:type="dxa"/>
                  <w:vMerge w:val="continue"/>
                  <w:tcBorders>
                    <w:tl2br w:val="nil"/>
                    <w:tr2bl w:val="nil"/>
                  </w:tcBorders>
                  <w:vAlign w:val="center"/>
                </w:tcPr>
                <w:p w14:paraId="7338B243">
                  <w:pPr>
                    <w:pStyle w:val="51"/>
                    <w:tabs>
                      <w:tab w:val="left" w:pos="1535"/>
                      <w:tab w:val="left" w:pos="3105"/>
                      <w:tab w:val="left" w:pos="4676"/>
                      <w:tab w:val="left" w:pos="6247"/>
                      <w:tab w:val="left" w:pos="7740"/>
                      <w:tab w:val="left" w:pos="9288"/>
                    </w:tabs>
                    <w:bidi w:val="0"/>
                    <w:jc w:val="center"/>
                    <w:rPr>
                      <w:color w:val="auto"/>
                    </w:rPr>
                  </w:pPr>
                </w:p>
              </w:tc>
              <w:tc>
                <w:tcPr>
                  <w:tcW w:w="1316" w:type="dxa"/>
                  <w:vMerge w:val="continue"/>
                  <w:tcBorders>
                    <w:tl2br w:val="nil"/>
                    <w:tr2bl w:val="nil"/>
                  </w:tcBorders>
                  <w:vAlign w:val="center"/>
                </w:tcPr>
                <w:p w14:paraId="7E58CF82">
                  <w:pPr>
                    <w:pStyle w:val="51"/>
                    <w:tabs>
                      <w:tab w:val="left" w:pos="1535"/>
                      <w:tab w:val="left" w:pos="3105"/>
                      <w:tab w:val="left" w:pos="4676"/>
                      <w:tab w:val="left" w:pos="6247"/>
                      <w:tab w:val="left" w:pos="7740"/>
                      <w:tab w:val="left" w:pos="9288"/>
                    </w:tabs>
                    <w:bidi w:val="0"/>
                    <w:jc w:val="center"/>
                    <w:rPr>
                      <w:color w:val="auto"/>
                    </w:rPr>
                  </w:pPr>
                </w:p>
              </w:tc>
            </w:tr>
            <w:tr w14:paraId="2D6DA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1069" w:type="dxa"/>
                  <w:tcBorders>
                    <w:tl2br w:val="nil"/>
                    <w:tr2bl w:val="nil"/>
                  </w:tcBorders>
                  <w:vAlign w:val="center"/>
                </w:tcPr>
                <w:p w14:paraId="1C006AB7">
                  <w:pPr>
                    <w:pStyle w:val="51"/>
                    <w:tabs>
                      <w:tab w:val="left" w:pos="1535"/>
                      <w:tab w:val="left" w:pos="3105"/>
                      <w:tab w:val="left" w:pos="4676"/>
                      <w:tab w:val="left" w:pos="6247"/>
                      <w:tab w:val="left" w:pos="7740"/>
                      <w:tab w:val="left" w:pos="9288"/>
                    </w:tabs>
                    <w:bidi w:val="0"/>
                    <w:jc w:val="center"/>
                    <w:rPr>
                      <w:color w:val="auto"/>
                    </w:rPr>
                  </w:pPr>
                  <w:r>
                    <w:rPr>
                      <w:color w:val="auto"/>
                    </w:rPr>
                    <w:t>Z3</w:t>
                  </w:r>
                </w:p>
              </w:tc>
              <w:tc>
                <w:tcPr>
                  <w:tcW w:w="1599" w:type="dxa"/>
                  <w:tcBorders>
                    <w:tl2br w:val="nil"/>
                    <w:tr2bl w:val="nil"/>
                  </w:tcBorders>
                  <w:vAlign w:val="center"/>
                </w:tcPr>
                <w:p w14:paraId="5BC81AED">
                  <w:pPr>
                    <w:pStyle w:val="51"/>
                    <w:tabs>
                      <w:tab w:val="left" w:pos="1535"/>
                      <w:tab w:val="left" w:pos="3105"/>
                      <w:tab w:val="left" w:pos="4676"/>
                      <w:tab w:val="left" w:pos="6247"/>
                      <w:tab w:val="left" w:pos="7740"/>
                      <w:tab w:val="left" w:pos="9288"/>
                    </w:tabs>
                    <w:bidi w:val="0"/>
                    <w:jc w:val="center"/>
                    <w:rPr>
                      <w:color w:val="auto"/>
                    </w:rPr>
                  </w:pPr>
                  <w:r>
                    <w:rPr>
                      <w:color w:val="auto"/>
                    </w:rPr>
                    <w:t>厂区南界</w:t>
                  </w:r>
                </w:p>
              </w:tc>
              <w:tc>
                <w:tcPr>
                  <w:tcW w:w="1318" w:type="dxa"/>
                  <w:tcBorders>
                    <w:tl2br w:val="nil"/>
                    <w:tr2bl w:val="nil"/>
                  </w:tcBorders>
                  <w:vAlign w:val="center"/>
                </w:tcPr>
                <w:p w14:paraId="0BCF1B81">
                  <w:pPr>
                    <w:pStyle w:val="51"/>
                    <w:tabs>
                      <w:tab w:val="left" w:pos="1535"/>
                      <w:tab w:val="left" w:pos="3105"/>
                      <w:tab w:val="left" w:pos="4676"/>
                      <w:tab w:val="left" w:pos="6247"/>
                      <w:tab w:val="left" w:pos="7740"/>
                      <w:tab w:val="left" w:pos="9288"/>
                    </w:tabs>
                    <w:bidi w:val="0"/>
                    <w:jc w:val="center"/>
                    <w:rPr>
                      <w:rFonts w:hint="default" w:eastAsia="宋体"/>
                      <w:color w:val="auto"/>
                      <w:lang w:val="en-US" w:eastAsia="zh-CN"/>
                    </w:rPr>
                  </w:pPr>
                  <w:r>
                    <w:rPr>
                      <w:rFonts w:hint="eastAsia"/>
                      <w:color w:val="auto"/>
                      <w:lang w:val="en-US" w:eastAsia="zh-CN"/>
                    </w:rPr>
                    <w:t>52</w:t>
                  </w:r>
                </w:p>
              </w:tc>
              <w:tc>
                <w:tcPr>
                  <w:tcW w:w="1317" w:type="dxa"/>
                  <w:tcBorders>
                    <w:tl2br w:val="nil"/>
                    <w:tr2bl w:val="nil"/>
                  </w:tcBorders>
                  <w:vAlign w:val="center"/>
                </w:tcPr>
                <w:p w14:paraId="6CFBC85C">
                  <w:pPr>
                    <w:pStyle w:val="51"/>
                    <w:tabs>
                      <w:tab w:val="left" w:pos="1535"/>
                      <w:tab w:val="left" w:pos="3105"/>
                      <w:tab w:val="left" w:pos="4676"/>
                      <w:tab w:val="left" w:pos="6247"/>
                      <w:tab w:val="left" w:pos="7740"/>
                      <w:tab w:val="left" w:pos="9288"/>
                    </w:tabs>
                    <w:bidi w:val="0"/>
                    <w:jc w:val="center"/>
                    <w:rPr>
                      <w:rFonts w:hint="default" w:eastAsia="宋体"/>
                      <w:color w:val="auto"/>
                      <w:lang w:val="en-US" w:eastAsia="zh-CN"/>
                    </w:rPr>
                  </w:pPr>
                  <w:r>
                    <w:rPr>
                      <w:rFonts w:hint="eastAsia"/>
                      <w:color w:val="auto"/>
                      <w:lang w:val="en-US" w:eastAsia="zh-CN"/>
                    </w:rPr>
                    <w:t>50</w:t>
                  </w:r>
                </w:p>
              </w:tc>
              <w:tc>
                <w:tcPr>
                  <w:tcW w:w="1318" w:type="dxa"/>
                  <w:vMerge w:val="continue"/>
                  <w:tcBorders>
                    <w:tl2br w:val="nil"/>
                    <w:tr2bl w:val="nil"/>
                  </w:tcBorders>
                  <w:vAlign w:val="center"/>
                </w:tcPr>
                <w:p w14:paraId="741F4704">
                  <w:pPr>
                    <w:pStyle w:val="51"/>
                    <w:tabs>
                      <w:tab w:val="left" w:pos="1535"/>
                      <w:tab w:val="left" w:pos="3105"/>
                      <w:tab w:val="left" w:pos="4676"/>
                      <w:tab w:val="left" w:pos="6247"/>
                      <w:tab w:val="left" w:pos="7740"/>
                      <w:tab w:val="left" w:pos="9288"/>
                    </w:tabs>
                    <w:bidi w:val="0"/>
                    <w:jc w:val="center"/>
                    <w:rPr>
                      <w:color w:val="auto"/>
                    </w:rPr>
                  </w:pPr>
                </w:p>
              </w:tc>
              <w:tc>
                <w:tcPr>
                  <w:tcW w:w="1316" w:type="dxa"/>
                  <w:vMerge w:val="continue"/>
                  <w:tcBorders>
                    <w:tl2br w:val="nil"/>
                    <w:tr2bl w:val="nil"/>
                  </w:tcBorders>
                  <w:vAlign w:val="center"/>
                </w:tcPr>
                <w:p w14:paraId="43456E57">
                  <w:pPr>
                    <w:pStyle w:val="51"/>
                    <w:tabs>
                      <w:tab w:val="left" w:pos="1535"/>
                      <w:tab w:val="left" w:pos="3105"/>
                      <w:tab w:val="left" w:pos="4676"/>
                      <w:tab w:val="left" w:pos="6247"/>
                      <w:tab w:val="left" w:pos="7740"/>
                      <w:tab w:val="left" w:pos="9288"/>
                    </w:tabs>
                    <w:bidi w:val="0"/>
                    <w:jc w:val="center"/>
                    <w:rPr>
                      <w:color w:val="auto"/>
                    </w:rPr>
                  </w:pPr>
                </w:p>
              </w:tc>
            </w:tr>
            <w:tr w14:paraId="13592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1069" w:type="dxa"/>
                  <w:tcBorders>
                    <w:tl2br w:val="nil"/>
                    <w:tr2bl w:val="nil"/>
                  </w:tcBorders>
                  <w:vAlign w:val="center"/>
                </w:tcPr>
                <w:p w14:paraId="5E4B5E16">
                  <w:pPr>
                    <w:pStyle w:val="51"/>
                    <w:tabs>
                      <w:tab w:val="left" w:pos="1535"/>
                      <w:tab w:val="left" w:pos="3105"/>
                      <w:tab w:val="left" w:pos="4676"/>
                      <w:tab w:val="left" w:pos="6247"/>
                      <w:tab w:val="left" w:pos="7740"/>
                      <w:tab w:val="left" w:pos="9288"/>
                    </w:tabs>
                    <w:bidi w:val="0"/>
                    <w:jc w:val="center"/>
                    <w:rPr>
                      <w:color w:val="auto"/>
                    </w:rPr>
                  </w:pPr>
                  <w:r>
                    <w:rPr>
                      <w:color w:val="auto"/>
                    </w:rPr>
                    <w:t>Z4</w:t>
                  </w:r>
                </w:p>
              </w:tc>
              <w:tc>
                <w:tcPr>
                  <w:tcW w:w="1599" w:type="dxa"/>
                  <w:tcBorders>
                    <w:tl2br w:val="nil"/>
                    <w:tr2bl w:val="nil"/>
                  </w:tcBorders>
                  <w:vAlign w:val="center"/>
                </w:tcPr>
                <w:p w14:paraId="3BFFDA4D">
                  <w:pPr>
                    <w:pStyle w:val="51"/>
                    <w:tabs>
                      <w:tab w:val="left" w:pos="1535"/>
                      <w:tab w:val="left" w:pos="3105"/>
                      <w:tab w:val="left" w:pos="4676"/>
                      <w:tab w:val="left" w:pos="6247"/>
                      <w:tab w:val="left" w:pos="7740"/>
                      <w:tab w:val="left" w:pos="9288"/>
                    </w:tabs>
                    <w:bidi w:val="0"/>
                    <w:jc w:val="center"/>
                    <w:rPr>
                      <w:color w:val="auto"/>
                    </w:rPr>
                  </w:pPr>
                  <w:r>
                    <w:rPr>
                      <w:color w:val="auto"/>
                    </w:rPr>
                    <w:t>厂区西界</w:t>
                  </w:r>
                </w:p>
              </w:tc>
              <w:tc>
                <w:tcPr>
                  <w:tcW w:w="1318" w:type="dxa"/>
                  <w:tcBorders>
                    <w:tl2br w:val="nil"/>
                    <w:tr2bl w:val="nil"/>
                  </w:tcBorders>
                  <w:vAlign w:val="center"/>
                </w:tcPr>
                <w:p w14:paraId="7FB10198">
                  <w:pPr>
                    <w:pStyle w:val="51"/>
                    <w:tabs>
                      <w:tab w:val="left" w:pos="1535"/>
                      <w:tab w:val="left" w:pos="3105"/>
                      <w:tab w:val="left" w:pos="4676"/>
                      <w:tab w:val="left" w:pos="6247"/>
                      <w:tab w:val="left" w:pos="7740"/>
                      <w:tab w:val="left" w:pos="9288"/>
                    </w:tabs>
                    <w:bidi w:val="0"/>
                    <w:jc w:val="center"/>
                    <w:rPr>
                      <w:rFonts w:hint="default" w:eastAsia="宋体"/>
                      <w:color w:val="auto"/>
                      <w:lang w:val="en-US" w:eastAsia="zh-CN"/>
                    </w:rPr>
                  </w:pPr>
                  <w:r>
                    <w:rPr>
                      <w:rFonts w:hint="eastAsia"/>
                      <w:color w:val="auto"/>
                      <w:lang w:val="en-US" w:eastAsia="zh-CN"/>
                    </w:rPr>
                    <w:t>46</w:t>
                  </w:r>
                </w:p>
              </w:tc>
              <w:tc>
                <w:tcPr>
                  <w:tcW w:w="1317" w:type="dxa"/>
                  <w:tcBorders>
                    <w:tl2br w:val="nil"/>
                    <w:tr2bl w:val="nil"/>
                  </w:tcBorders>
                  <w:vAlign w:val="center"/>
                </w:tcPr>
                <w:p w14:paraId="6DFBE5E2">
                  <w:pPr>
                    <w:pStyle w:val="51"/>
                    <w:tabs>
                      <w:tab w:val="left" w:pos="1535"/>
                      <w:tab w:val="left" w:pos="3105"/>
                      <w:tab w:val="left" w:pos="4676"/>
                      <w:tab w:val="left" w:pos="6247"/>
                      <w:tab w:val="left" w:pos="7740"/>
                      <w:tab w:val="left" w:pos="9288"/>
                    </w:tabs>
                    <w:bidi w:val="0"/>
                    <w:jc w:val="center"/>
                    <w:rPr>
                      <w:rFonts w:hint="default" w:eastAsia="宋体"/>
                      <w:color w:val="auto"/>
                      <w:lang w:val="en-US" w:eastAsia="zh-CN"/>
                    </w:rPr>
                  </w:pPr>
                  <w:r>
                    <w:rPr>
                      <w:rFonts w:hint="eastAsia"/>
                      <w:color w:val="auto"/>
                      <w:lang w:val="en-US" w:eastAsia="zh-CN"/>
                    </w:rPr>
                    <w:t>44</w:t>
                  </w:r>
                </w:p>
              </w:tc>
              <w:tc>
                <w:tcPr>
                  <w:tcW w:w="1318" w:type="dxa"/>
                  <w:vMerge w:val="continue"/>
                  <w:tcBorders>
                    <w:tl2br w:val="nil"/>
                    <w:tr2bl w:val="nil"/>
                  </w:tcBorders>
                  <w:vAlign w:val="center"/>
                </w:tcPr>
                <w:p w14:paraId="2C26D21C">
                  <w:pPr>
                    <w:pStyle w:val="51"/>
                    <w:tabs>
                      <w:tab w:val="left" w:pos="1535"/>
                      <w:tab w:val="left" w:pos="3105"/>
                      <w:tab w:val="left" w:pos="4676"/>
                      <w:tab w:val="left" w:pos="6247"/>
                      <w:tab w:val="left" w:pos="7740"/>
                      <w:tab w:val="left" w:pos="9288"/>
                    </w:tabs>
                    <w:bidi w:val="0"/>
                    <w:jc w:val="center"/>
                    <w:rPr>
                      <w:color w:val="auto"/>
                    </w:rPr>
                  </w:pPr>
                </w:p>
              </w:tc>
              <w:tc>
                <w:tcPr>
                  <w:tcW w:w="1316" w:type="dxa"/>
                  <w:vMerge w:val="continue"/>
                  <w:tcBorders>
                    <w:tl2br w:val="nil"/>
                    <w:tr2bl w:val="nil"/>
                  </w:tcBorders>
                  <w:vAlign w:val="center"/>
                </w:tcPr>
                <w:p w14:paraId="3DDF8D95">
                  <w:pPr>
                    <w:pStyle w:val="51"/>
                    <w:tabs>
                      <w:tab w:val="left" w:pos="1535"/>
                      <w:tab w:val="left" w:pos="3105"/>
                      <w:tab w:val="left" w:pos="4676"/>
                      <w:tab w:val="left" w:pos="6247"/>
                      <w:tab w:val="left" w:pos="7740"/>
                      <w:tab w:val="left" w:pos="9288"/>
                    </w:tabs>
                    <w:bidi w:val="0"/>
                    <w:jc w:val="center"/>
                    <w:rPr>
                      <w:color w:val="auto"/>
                    </w:rPr>
                  </w:pPr>
                </w:p>
              </w:tc>
            </w:tr>
          </w:tbl>
          <w:p w14:paraId="21367C19">
            <w:pPr>
              <w:pStyle w:val="38"/>
              <w:bidi w:val="0"/>
              <w:rPr>
                <w:color w:val="auto"/>
              </w:rPr>
            </w:pPr>
            <w:r>
              <w:rPr>
                <w:color w:val="auto"/>
              </w:rPr>
              <w:fldChar w:fldCharType="begin"/>
            </w:r>
            <w:r>
              <w:rPr>
                <w:color w:val="auto"/>
              </w:rPr>
              <w:instrText xml:space="preserve"> HYPERLINK \l "_bookmark109" </w:instrText>
            </w:r>
            <w:r>
              <w:rPr>
                <w:color w:val="auto"/>
              </w:rPr>
              <w:fldChar w:fldCharType="separate"/>
            </w:r>
            <w:r>
              <w:rPr>
                <w:color w:val="auto"/>
              </w:rPr>
              <w:t>由表</w:t>
            </w:r>
            <w:r>
              <w:rPr>
                <w:rFonts w:hint="eastAsia"/>
                <w:color w:val="auto"/>
                <w:lang w:val="en-US" w:eastAsia="zh-CN"/>
              </w:rPr>
              <w:t>3-5</w:t>
            </w:r>
            <w:r>
              <w:rPr>
                <w:color w:val="auto"/>
              </w:rPr>
              <w:t>可</w:t>
            </w:r>
            <w:r>
              <w:rPr>
                <w:color w:val="auto"/>
              </w:rPr>
              <w:fldChar w:fldCharType="end"/>
            </w:r>
            <w:r>
              <w:rPr>
                <w:color w:val="auto"/>
              </w:rPr>
              <w:t>知，区域声环境质量较好，能够满足《声环境质量标准》（GB3096-2008）</w:t>
            </w:r>
            <w:r>
              <w:rPr>
                <w:rFonts w:hint="eastAsia"/>
                <w:color w:val="auto"/>
                <w:lang w:val="en-US" w:eastAsia="zh-CN"/>
              </w:rPr>
              <w:t>3</w:t>
            </w:r>
            <w:r>
              <w:rPr>
                <w:color w:val="auto"/>
              </w:rPr>
              <w:t>类限值要求。</w:t>
            </w:r>
          </w:p>
          <w:p w14:paraId="3745DD54">
            <w:pPr>
              <w:pStyle w:val="4"/>
              <w:bidi w:val="0"/>
              <w:rPr>
                <w:rFonts w:hint="eastAsia"/>
                <w:color w:val="auto"/>
                <w:lang w:val="en-US" w:eastAsia="zh-CN"/>
              </w:rPr>
            </w:pPr>
            <w:r>
              <w:rPr>
                <w:rFonts w:hint="eastAsia"/>
                <w:color w:val="auto"/>
              </w:rPr>
              <w:t>3.</w:t>
            </w:r>
            <w:r>
              <w:rPr>
                <w:rFonts w:hint="eastAsia"/>
                <w:color w:val="auto"/>
                <w:lang w:val="en-US" w:eastAsia="zh-CN"/>
              </w:rPr>
              <w:t>4地下水环境</w:t>
            </w:r>
          </w:p>
          <w:p w14:paraId="3D3E2BD4">
            <w:pPr>
              <w:pStyle w:val="39"/>
              <w:bidi w:val="0"/>
              <w:rPr>
                <w:rFonts w:hint="eastAsia"/>
                <w:color w:val="auto"/>
              </w:rPr>
            </w:pPr>
            <w:r>
              <w:rPr>
                <w:rFonts w:hint="eastAsia"/>
                <w:color w:val="auto"/>
                <w:lang w:val="en-US" w:eastAsia="zh-CN"/>
              </w:rPr>
              <w:t>依据《建设项目环境影响报告表编制技术指南（污染影响类）（试行）》：原则上不开展环境质量现状调查。建设项目存在土壤、地下水环境污染途径的，应结合污染源、保护目标分布情况开展现状调查以留作背景值。本</w:t>
            </w:r>
            <w:r>
              <w:rPr>
                <w:rFonts w:hint="eastAsia"/>
                <w:color w:val="auto"/>
              </w:rPr>
              <w:t>项目</w:t>
            </w:r>
            <w:r>
              <w:rPr>
                <w:rFonts w:hint="eastAsia"/>
                <w:color w:val="auto"/>
                <w:lang w:eastAsia="zh-CN"/>
              </w:rPr>
              <w:t>通过采取防渗措施后，可避免</w:t>
            </w:r>
            <w:r>
              <w:rPr>
                <w:rFonts w:hint="eastAsia"/>
                <w:color w:val="auto"/>
                <w:lang w:val="en-US" w:eastAsia="zh-CN"/>
              </w:rPr>
              <w:t>土壤、地下水环境污染途径，</w:t>
            </w:r>
            <w:r>
              <w:rPr>
                <w:rFonts w:hint="eastAsia"/>
                <w:color w:val="auto"/>
              </w:rPr>
              <w:t>对地下水</w:t>
            </w:r>
            <w:r>
              <w:rPr>
                <w:rFonts w:hint="eastAsia"/>
                <w:color w:val="auto"/>
                <w:lang w:eastAsia="zh-CN"/>
              </w:rPr>
              <w:t>及土壤</w:t>
            </w:r>
            <w:r>
              <w:rPr>
                <w:rFonts w:hint="eastAsia"/>
                <w:color w:val="auto"/>
              </w:rPr>
              <w:t>影响不大，故不再开展地下水环境</w:t>
            </w:r>
            <w:r>
              <w:rPr>
                <w:rFonts w:hint="eastAsia"/>
                <w:color w:val="auto"/>
                <w:lang w:eastAsia="zh-CN"/>
              </w:rPr>
              <w:t>质量</w:t>
            </w:r>
            <w:r>
              <w:rPr>
                <w:rFonts w:hint="eastAsia"/>
                <w:color w:val="auto"/>
              </w:rPr>
              <w:t>现状</w:t>
            </w:r>
            <w:r>
              <w:rPr>
                <w:rFonts w:hint="eastAsia"/>
                <w:color w:val="auto"/>
                <w:lang w:eastAsia="zh-CN"/>
              </w:rPr>
              <w:t>调查</w:t>
            </w:r>
            <w:r>
              <w:rPr>
                <w:rFonts w:hint="eastAsia"/>
                <w:color w:val="auto"/>
              </w:rPr>
              <w:t>。</w:t>
            </w:r>
          </w:p>
          <w:p w14:paraId="4FD5C724">
            <w:pPr>
              <w:pStyle w:val="4"/>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3.5地表水环境</w:t>
            </w:r>
          </w:p>
          <w:p w14:paraId="7FA897E2">
            <w:pPr>
              <w:pStyle w:val="38"/>
              <w:bidi w:val="0"/>
              <w:rPr>
                <w:rFonts w:hint="default" w:eastAsia="宋体"/>
                <w:color w:val="auto"/>
                <w:highlight w:val="none"/>
                <w:lang w:val="en-US" w:eastAsia="zh-CN"/>
              </w:rPr>
            </w:pPr>
            <w:r>
              <w:rPr>
                <w:rFonts w:hint="eastAsia"/>
                <w:lang w:val="en-US" w:eastAsia="zh-CN"/>
              </w:rPr>
              <w:t>项目评价范围内无地表水系，项目不产生生产废水，</w:t>
            </w:r>
            <w:r>
              <w:rPr>
                <w:color w:val="auto"/>
                <w:highlight w:val="none"/>
              </w:rPr>
              <w:t>项目废水主要为员工日常生活产生的生活污水，生活污水</w:t>
            </w:r>
            <w:r>
              <w:rPr>
                <w:rFonts w:hint="eastAsia"/>
                <w:color w:val="auto"/>
                <w:highlight w:val="none"/>
                <w:lang w:val="en-US" w:eastAsia="zh-CN"/>
              </w:rPr>
              <w:t>通过污水管网排入鄯善县污水处理厂处置，与地表水无水力联系，故不进行地表水环境现状调查。</w:t>
            </w:r>
          </w:p>
          <w:p w14:paraId="14A63AF3">
            <w:pPr>
              <w:pStyle w:val="4"/>
              <w:bidi w:val="0"/>
              <w:rPr>
                <w:rFonts w:hint="default"/>
                <w:color w:val="auto"/>
                <w:lang w:val="en-US" w:eastAsia="zh-CN"/>
              </w:rPr>
            </w:pPr>
            <w:r>
              <w:rPr>
                <w:rFonts w:hint="eastAsia"/>
                <w:color w:val="auto"/>
                <w:lang w:val="en-US" w:eastAsia="zh-CN"/>
              </w:rPr>
              <w:t>3.5地下会、土壤环境</w:t>
            </w:r>
          </w:p>
          <w:p w14:paraId="4E0EC405">
            <w:pPr>
              <w:pStyle w:val="38"/>
              <w:rPr>
                <w:rFonts w:hint="eastAsia"/>
                <w:color w:val="auto"/>
              </w:rPr>
            </w:pPr>
            <w:r>
              <w:rPr>
                <w:rFonts w:hint="eastAsia"/>
                <w:color w:val="auto"/>
                <w:highlight w:val="none"/>
              </w:rPr>
              <w:t>本项目不存在地下水、土壤环境污染途径，根据《建设项目环境影响报告表编制技术指南（污染影响类）》（试行），本项目不需要开展地下水、土壤环境质量现状调查。</w:t>
            </w:r>
          </w:p>
        </w:tc>
      </w:tr>
      <w:tr w14:paraId="31CDFE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29" w:hRule="atLeast"/>
          <w:jc w:val="center"/>
        </w:trPr>
        <w:tc>
          <w:tcPr>
            <w:tcW w:w="800" w:type="dxa"/>
            <w:vAlign w:val="center"/>
          </w:tcPr>
          <w:p w14:paraId="0814B2A6">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环境</w:t>
            </w:r>
          </w:p>
          <w:p w14:paraId="47C77B47">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保护</w:t>
            </w:r>
          </w:p>
          <w:p w14:paraId="4194585A">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目标</w:t>
            </w:r>
          </w:p>
        </w:tc>
        <w:tc>
          <w:tcPr>
            <w:tcW w:w="8190" w:type="dxa"/>
            <w:vAlign w:val="center"/>
          </w:tcPr>
          <w:p w14:paraId="33C4EF6A">
            <w:pPr>
              <w:pStyle w:val="39"/>
              <w:bidi w:val="0"/>
              <w:rPr>
                <w:rFonts w:hint="eastAsia"/>
                <w:color w:val="auto"/>
              </w:rPr>
            </w:pPr>
            <w:r>
              <w:rPr>
                <w:rFonts w:hint="eastAsia"/>
                <w:color w:val="auto"/>
              </w:rPr>
              <w:t>根据《</w:t>
            </w:r>
            <w:r>
              <w:rPr>
                <w:color w:val="auto"/>
              </w:rPr>
              <w:t>建设项目环境影响报告表编制技术指南</w:t>
            </w:r>
            <w:r>
              <w:rPr>
                <w:rFonts w:hint="eastAsia"/>
                <w:color w:val="auto"/>
              </w:rPr>
              <w:t>（污染影响类）（试行）》（2021），确定大气环境：明确厂界外500米范围内的自然保护区、风景名胜区、居住区、文化区和农村地区中人群较集中的区域等保护目标的名称及与建设项目厂界位置关系。声环境：明确厂界外50米范围内声环境保护目标。地下水环境：明确厂界外500米范围内的地下水集中式饮用水水源和热水、矿泉水、温泉等特殊地下水资源。</w:t>
            </w:r>
          </w:p>
          <w:p w14:paraId="50E4FB2E">
            <w:pPr>
              <w:pStyle w:val="39"/>
              <w:bidi w:val="0"/>
              <w:rPr>
                <w:rFonts w:hint="eastAsia"/>
                <w:color w:val="auto"/>
                <w:lang w:val="en-US" w:eastAsia="zh-CN"/>
              </w:rPr>
            </w:pPr>
            <w:r>
              <w:rPr>
                <w:rFonts w:hint="eastAsia"/>
                <w:color w:val="auto"/>
              </w:rPr>
              <w:t>本项目位于</w:t>
            </w:r>
            <w:r>
              <w:rPr>
                <w:rFonts w:hint="eastAsia" w:ascii="宋体" w:hAnsi="宋体" w:cs="宋体"/>
                <w:color w:val="auto"/>
                <w:sz w:val="24"/>
                <w:szCs w:val="24"/>
                <w:lang w:val="en-US" w:eastAsia="zh-CN"/>
              </w:rPr>
              <w:t>新疆维吾尔自治区鄯善县东侧，312国道以东，租赁已建厂区，</w:t>
            </w:r>
            <w:r>
              <w:rPr>
                <w:rFonts w:hint="eastAsia"/>
                <w:color w:val="auto"/>
                <w:lang w:val="en-US" w:eastAsia="zh-CN"/>
              </w:rPr>
              <w:t>根据本项目所在区域环境状况和项目本身特点，环境保护目标确定如下：</w:t>
            </w:r>
          </w:p>
          <w:p w14:paraId="71F815AD">
            <w:pPr>
              <w:pStyle w:val="39"/>
              <w:bidi w:val="0"/>
              <w:rPr>
                <w:rFonts w:hint="default"/>
                <w:color w:val="auto"/>
                <w:lang w:val="en-US" w:eastAsia="zh-CN"/>
              </w:rPr>
            </w:pPr>
            <w:r>
              <w:rPr>
                <w:color w:val="auto"/>
              </w:rPr>
              <w:t>（1）</w:t>
            </w:r>
            <w:r>
              <w:rPr>
                <w:rFonts w:hint="eastAsia"/>
                <w:color w:val="auto"/>
              </w:rPr>
              <w:t>大气</w:t>
            </w:r>
            <w:r>
              <w:rPr>
                <w:color w:val="auto"/>
              </w:rPr>
              <w:t>环境</w:t>
            </w:r>
            <w:r>
              <w:rPr>
                <w:rFonts w:hint="eastAsia"/>
                <w:color w:val="auto"/>
                <w:lang w:eastAsia="zh-CN"/>
              </w:rPr>
              <w:t>：</w:t>
            </w:r>
            <w:r>
              <w:rPr>
                <w:rFonts w:hint="default"/>
                <w:color w:val="auto"/>
                <w:lang w:eastAsia="zh-CN"/>
              </w:rPr>
              <w:t>本项目厂界外</w:t>
            </w:r>
            <w:r>
              <w:rPr>
                <w:rFonts w:hint="default"/>
                <w:color w:val="auto"/>
                <w:lang w:val="en-US" w:eastAsia="zh-CN"/>
              </w:rPr>
              <w:t>500m范围内无自然保护区、风景名胜区、文化区</w:t>
            </w:r>
            <w:r>
              <w:rPr>
                <w:rFonts w:hint="default"/>
                <w:color w:val="auto"/>
                <w:lang w:val="zh-CN"/>
              </w:rPr>
              <w:t>和农村地区中人群较集中的区域等保护目标</w:t>
            </w:r>
            <w:r>
              <w:rPr>
                <w:rFonts w:hint="default"/>
                <w:color w:val="auto"/>
                <w:lang w:val="en-US" w:eastAsia="zh-CN"/>
              </w:rPr>
              <w:t>。</w:t>
            </w:r>
          </w:p>
          <w:p w14:paraId="39521489">
            <w:pPr>
              <w:pStyle w:val="39"/>
              <w:bidi w:val="0"/>
              <w:rPr>
                <w:color w:val="auto"/>
              </w:rPr>
            </w:pPr>
            <w:r>
              <w:rPr>
                <w:color w:val="auto"/>
              </w:rPr>
              <w:t>（2）</w:t>
            </w:r>
            <w:r>
              <w:rPr>
                <w:rFonts w:hint="eastAsia"/>
                <w:color w:val="auto"/>
              </w:rPr>
              <w:t>地下</w:t>
            </w:r>
            <w:r>
              <w:rPr>
                <w:color w:val="auto"/>
              </w:rPr>
              <w:t>水环境</w:t>
            </w:r>
            <w:r>
              <w:rPr>
                <w:rFonts w:hint="eastAsia"/>
                <w:color w:val="auto"/>
                <w:lang w:eastAsia="zh-CN"/>
              </w:rPr>
              <w:t>：</w:t>
            </w:r>
            <w:r>
              <w:rPr>
                <w:rFonts w:hint="eastAsia"/>
                <w:color w:val="auto"/>
              </w:rPr>
              <w:t>厂界外500m范围内无地下水集中式饮用水水源和热水、矿泉水、温泉等特殊地下水资源。</w:t>
            </w:r>
          </w:p>
          <w:p w14:paraId="1CD14F55">
            <w:pPr>
              <w:pStyle w:val="39"/>
              <w:bidi w:val="0"/>
              <w:rPr>
                <w:rFonts w:hint="default"/>
                <w:color w:val="auto"/>
                <w:lang w:eastAsia="zh-CN"/>
              </w:rPr>
            </w:pPr>
            <w:r>
              <w:rPr>
                <w:color w:val="auto"/>
              </w:rPr>
              <w:t>（3）声环境</w:t>
            </w:r>
            <w:r>
              <w:rPr>
                <w:rFonts w:hint="eastAsia"/>
                <w:color w:val="auto"/>
                <w:lang w:eastAsia="zh-CN"/>
              </w:rPr>
              <w:t>：</w:t>
            </w:r>
            <w:r>
              <w:rPr>
                <w:rFonts w:hint="default"/>
                <w:color w:val="auto"/>
                <w:lang w:val="en-US" w:eastAsia="zh-CN"/>
              </w:rPr>
              <w:t>本项目厂界外50m范围内无声环境保护目标</w:t>
            </w:r>
            <w:r>
              <w:rPr>
                <w:rFonts w:hint="default"/>
                <w:color w:val="auto"/>
                <w:lang w:eastAsia="zh-CN"/>
              </w:rPr>
              <w:t>。</w:t>
            </w:r>
          </w:p>
          <w:p w14:paraId="53A17FBF">
            <w:pPr>
              <w:pStyle w:val="39"/>
              <w:bidi w:val="0"/>
              <w:rPr>
                <w:rFonts w:hint="eastAsia"/>
                <w:color w:val="auto"/>
                <w:lang w:val="en-US" w:eastAsia="zh-CN"/>
              </w:rPr>
            </w:pPr>
            <w:r>
              <w:rPr>
                <w:color w:val="auto"/>
              </w:rPr>
              <w:t>（4）生态环境</w:t>
            </w:r>
            <w:r>
              <w:rPr>
                <w:rFonts w:hint="eastAsia"/>
                <w:color w:val="auto"/>
                <w:lang w:eastAsia="zh-CN"/>
              </w:rPr>
              <w:t>：</w:t>
            </w:r>
            <w:r>
              <w:rPr>
                <w:rFonts w:hint="eastAsia"/>
                <w:color w:val="auto"/>
                <w:lang w:val="en-US" w:eastAsia="zh-CN"/>
              </w:rPr>
              <w:t>项目区周边无特殊保护的生态环境保护目标。</w:t>
            </w:r>
          </w:p>
        </w:tc>
      </w:tr>
      <w:tr w14:paraId="58E290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800" w:type="dxa"/>
            <w:tcMar>
              <w:left w:w="28" w:type="dxa"/>
              <w:right w:w="28" w:type="dxa"/>
            </w:tcMar>
            <w:vAlign w:val="center"/>
          </w:tcPr>
          <w:p w14:paraId="218590A7">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污染</w:t>
            </w:r>
          </w:p>
          <w:p w14:paraId="35B4885F">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物排</w:t>
            </w:r>
          </w:p>
          <w:p w14:paraId="7D7990B4">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放控</w:t>
            </w:r>
          </w:p>
          <w:p w14:paraId="1CDF4DD7">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制标</w:t>
            </w:r>
          </w:p>
          <w:p w14:paraId="408E7C75">
            <w:pPr>
              <w:adjustRightInd w:val="0"/>
              <w:snapToGrid w:val="0"/>
              <w:jc w:val="center"/>
              <w:rPr>
                <w:rFonts w:ascii="宋体" w:hAnsi="宋体" w:cs="宋体"/>
                <w:color w:val="auto"/>
                <w:kern w:val="0"/>
                <w:szCs w:val="21"/>
              </w:rPr>
            </w:pPr>
            <w:r>
              <w:rPr>
                <w:rFonts w:hint="eastAsia" w:ascii="宋体" w:hAnsi="宋体" w:cs="宋体"/>
                <w:color w:val="auto"/>
                <w:kern w:val="0"/>
                <w:szCs w:val="21"/>
              </w:rPr>
              <w:t>准</w:t>
            </w:r>
          </w:p>
        </w:tc>
        <w:tc>
          <w:tcPr>
            <w:tcW w:w="8190" w:type="dxa"/>
            <w:vAlign w:val="center"/>
          </w:tcPr>
          <w:p w14:paraId="2BBDC383">
            <w:pPr>
              <w:pStyle w:val="39"/>
              <w:bidi w:val="0"/>
            </w:pPr>
            <w:r>
              <w:rPr>
                <w:rFonts w:hint="eastAsia"/>
                <w:lang w:val="en-US" w:eastAsia="zh-CN"/>
              </w:rPr>
              <w:t>1</w:t>
            </w:r>
            <w:r>
              <w:t>、有组织排放废气执行《大气污染物综合排放标准》（GB16297-1996）表2中二级排放标准（颗粒物：3.5kg/h</w:t>
            </w:r>
            <w:r>
              <w:rPr>
                <w:rFonts w:hint="eastAsia"/>
                <w:lang w:eastAsia="zh-CN"/>
              </w:rPr>
              <w:t>，</w:t>
            </w:r>
            <w:r>
              <w:t>）。厂界无组织废气排放执行《大气污染物综合排放标准》（GB16297-1996）表2排放限值标准（颗粒物：1.0mg/m</w:t>
            </w:r>
            <w:r>
              <w:rPr>
                <w:vertAlign w:val="superscript"/>
              </w:rPr>
              <w:t>3</w:t>
            </w:r>
            <w:r>
              <w:t>）。</w:t>
            </w:r>
          </w:p>
          <w:p w14:paraId="402C9AD6">
            <w:pPr>
              <w:pStyle w:val="39"/>
              <w:bidi w:val="0"/>
              <w:rPr>
                <w:rFonts w:hint="eastAsia"/>
                <w:color w:val="auto"/>
                <w:lang w:val="en-US" w:eastAsia="zh-CN"/>
              </w:rPr>
            </w:pPr>
            <w:r>
              <w:rPr>
                <w:rFonts w:hint="eastAsia"/>
                <w:lang w:val="en-US" w:eastAsia="zh-CN"/>
              </w:rPr>
              <w:t>2、</w:t>
            </w:r>
            <w:r>
              <w:rPr>
                <w:rFonts w:hint="eastAsia"/>
                <w:color w:val="auto"/>
                <w:lang w:val="en-US" w:eastAsia="zh-CN"/>
              </w:rPr>
              <w:t>本项目无产生废水产生。生活污水执行《污水综合排放标准》（GB8978-1996）表4三级标准。</w:t>
            </w:r>
          </w:p>
          <w:p w14:paraId="3D4044D7">
            <w:pPr>
              <w:pStyle w:val="46"/>
              <w:bidi w:val="0"/>
              <w:rPr>
                <w:rFonts w:hint="default"/>
                <w:color w:val="auto"/>
                <w:lang w:val="en-US" w:eastAsia="zh-CN"/>
              </w:rPr>
            </w:pPr>
            <w:r>
              <w:rPr>
                <w:rFonts w:hint="eastAsia"/>
                <w:color w:val="auto"/>
                <w:lang w:val="en-US" w:eastAsia="zh-CN"/>
              </w:rPr>
              <w:t xml:space="preserve">表3-6   </w:t>
            </w:r>
            <w:r>
              <w:rPr>
                <w:rFonts w:hint="eastAsia"/>
                <w:color w:val="auto"/>
                <w:lang w:eastAsia="zh-CN"/>
              </w:rPr>
              <w:t>《污水综合排放标准》（</w:t>
            </w:r>
            <w:r>
              <w:rPr>
                <w:rFonts w:hint="eastAsia"/>
                <w:color w:val="auto"/>
                <w:lang w:val="en-US" w:eastAsia="zh-CN"/>
              </w:rPr>
              <w:t>GB8978-1996</w:t>
            </w:r>
            <w:r>
              <w:rPr>
                <w:rFonts w:hint="eastAsia"/>
                <w:color w:val="auto"/>
                <w:lang w:eastAsia="zh-CN"/>
              </w:rPr>
              <w:t>）表</w:t>
            </w:r>
            <w:r>
              <w:rPr>
                <w:rFonts w:hint="eastAsia"/>
                <w:color w:val="auto"/>
                <w:lang w:val="en-US" w:eastAsia="zh-CN"/>
              </w:rPr>
              <w:t>4三级标准</w:t>
            </w:r>
          </w:p>
          <w:tbl>
            <w:tblPr>
              <w:tblStyle w:val="31"/>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065"/>
              <w:gridCol w:w="939"/>
              <w:gridCol w:w="1025"/>
              <w:gridCol w:w="1046"/>
              <w:gridCol w:w="1159"/>
              <w:gridCol w:w="1388"/>
            </w:tblGrid>
            <w:tr w14:paraId="58A8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0" w:type="dxa"/>
                  <w:tcBorders>
                    <w:tl2br w:val="nil"/>
                    <w:tr2bl w:val="nil"/>
                  </w:tcBorders>
                  <w:noWrap w:val="0"/>
                  <w:vAlign w:val="center"/>
                </w:tcPr>
                <w:p w14:paraId="366AF3A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eastAsia="宋体"/>
                      <w:b/>
                      <w:caps/>
                      <w:snapToGrid w:val="0"/>
                      <w:color w:val="auto"/>
                      <w:sz w:val="21"/>
                      <w:szCs w:val="21"/>
                      <w:lang w:eastAsia="zh-CN"/>
                    </w:rPr>
                  </w:pPr>
                  <w:r>
                    <w:rPr>
                      <w:rFonts w:hint="eastAsia"/>
                      <w:b/>
                      <w:caps/>
                      <w:snapToGrid w:val="0"/>
                      <w:color w:val="auto"/>
                      <w:sz w:val="21"/>
                      <w:szCs w:val="21"/>
                      <w:lang w:eastAsia="zh-CN"/>
                    </w:rPr>
                    <w:t>指标名称</w:t>
                  </w:r>
                </w:p>
              </w:tc>
              <w:tc>
                <w:tcPr>
                  <w:tcW w:w="1115" w:type="dxa"/>
                  <w:tcBorders>
                    <w:tl2br w:val="nil"/>
                    <w:tr2bl w:val="nil"/>
                  </w:tcBorders>
                  <w:noWrap w:val="0"/>
                  <w:vAlign w:val="center"/>
                </w:tcPr>
                <w:p w14:paraId="49F8B26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b/>
                      <w:caps/>
                      <w:snapToGrid w:val="0"/>
                      <w:color w:val="auto"/>
                      <w:sz w:val="21"/>
                      <w:szCs w:val="21"/>
                      <w:lang w:val="en-US" w:eastAsia="zh-CN"/>
                    </w:rPr>
                  </w:pPr>
                  <w:r>
                    <w:rPr>
                      <w:b/>
                      <w:color w:val="auto"/>
                      <w:spacing w:val="-10"/>
                      <w:sz w:val="21"/>
                      <w:szCs w:val="21"/>
                    </w:rPr>
                    <w:t>p</w:t>
                  </w:r>
                  <w:r>
                    <w:rPr>
                      <w:rFonts w:hint="eastAsia"/>
                      <w:b/>
                      <w:color w:val="auto"/>
                      <w:spacing w:val="-10"/>
                      <w:sz w:val="21"/>
                      <w:szCs w:val="21"/>
                    </w:rPr>
                    <w:t>H</w:t>
                  </w:r>
                </w:p>
              </w:tc>
              <w:tc>
                <w:tcPr>
                  <w:tcW w:w="982" w:type="dxa"/>
                  <w:tcBorders>
                    <w:tl2br w:val="nil"/>
                    <w:tr2bl w:val="nil"/>
                  </w:tcBorders>
                  <w:noWrap w:val="0"/>
                  <w:vAlign w:val="center"/>
                </w:tcPr>
                <w:p w14:paraId="4F9E6E5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b/>
                      <w:caps/>
                      <w:snapToGrid w:val="0"/>
                      <w:color w:val="auto"/>
                      <w:sz w:val="21"/>
                      <w:szCs w:val="21"/>
                      <w:lang w:val="en-US" w:eastAsia="zh-CN"/>
                    </w:rPr>
                  </w:pPr>
                  <w:r>
                    <w:rPr>
                      <w:rFonts w:hint="eastAsia"/>
                      <w:b/>
                      <w:caps/>
                      <w:snapToGrid w:val="0"/>
                      <w:color w:val="auto"/>
                      <w:sz w:val="21"/>
                      <w:szCs w:val="21"/>
                      <w:lang w:val="en-US" w:eastAsia="zh-CN"/>
                    </w:rPr>
                    <w:t>COD</w:t>
                  </w:r>
                </w:p>
              </w:tc>
              <w:tc>
                <w:tcPr>
                  <w:tcW w:w="1073" w:type="dxa"/>
                  <w:tcBorders>
                    <w:tl2br w:val="nil"/>
                    <w:tr2bl w:val="nil"/>
                  </w:tcBorders>
                  <w:noWrap w:val="0"/>
                  <w:vAlign w:val="center"/>
                </w:tcPr>
                <w:p w14:paraId="5018DF9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b/>
                      <w:caps/>
                      <w:snapToGrid w:val="0"/>
                      <w:color w:val="auto"/>
                      <w:sz w:val="21"/>
                      <w:szCs w:val="21"/>
                      <w:lang w:val="en-US" w:eastAsia="zh-CN"/>
                    </w:rPr>
                  </w:pPr>
                  <w:r>
                    <w:rPr>
                      <w:rFonts w:hint="eastAsia"/>
                      <w:b/>
                      <w:snapToGrid w:val="0"/>
                      <w:color w:val="auto"/>
                      <w:sz w:val="21"/>
                      <w:szCs w:val="21"/>
                      <w:lang w:val="en-US" w:eastAsia="zh-CN"/>
                    </w:rPr>
                    <w:t>B</w:t>
                  </w:r>
                  <w:r>
                    <w:rPr>
                      <w:rFonts w:hint="eastAsia"/>
                      <w:b/>
                      <w:caps/>
                      <w:snapToGrid w:val="0"/>
                      <w:color w:val="auto"/>
                      <w:sz w:val="21"/>
                      <w:szCs w:val="21"/>
                      <w:lang w:val="en-US" w:eastAsia="zh-CN"/>
                    </w:rPr>
                    <w:t>od</w:t>
                  </w:r>
                  <w:r>
                    <w:rPr>
                      <w:rFonts w:hint="eastAsia"/>
                      <w:b/>
                      <w:caps/>
                      <w:snapToGrid w:val="0"/>
                      <w:color w:val="auto"/>
                      <w:sz w:val="21"/>
                      <w:szCs w:val="21"/>
                      <w:vertAlign w:val="subscript"/>
                      <w:lang w:val="en-US" w:eastAsia="zh-CN"/>
                    </w:rPr>
                    <w:t>5</w:t>
                  </w:r>
                </w:p>
              </w:tc>
              <w:tc>
                <w:tcPr>
                  <w:tcW w:w="1095" w:type="dxa"/>
                  <w:tcBorders>
                    <w:tl2br w:val="nil"/>
                    <w:tr2bl w:val="nil"/>
                  </w:tcBorders>
                  <w:noWrap w:val="0"/>
                  <w:vAlign w:val="center"/>
                </w:tcPr>
                <w:p w14:paraId="4670471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b/>
                      <w:snapToGrid w:val="0"/>
                      <w:color w:val="auto"/>
                      <w:sz w:val="21"/>
                      <w:szCs w:val="21"/>
                      <w:lang w:val="en-US" w:eastAsia="zh-CN"/>
                    </w:rPr>
                  </w:pPr>
                  <w:r>
                    <w:rPr>
                      <w:rFonts w:hint="eastAsia"/>
                      <w:b/>
                      <w:snapToGrid w:val="0"/>
                      <w:color w:val="auto"/>
                      <w:sz w:val="21"/>
                      <w:szCs w:val="21"/>
                      <w:lang w:val="en-US" w:eastAsia="zh-CN"/>
                    </w:rPr>
                    <w:t>氨氮</w:t>
                  </w:r>
                </w:p>
              </w:tc>
              <w:tc>
                <w:tcPr>
                  <w:tcW w:w="1215" w:type="dxa"/>
                  <w:tcBorders>
                    <w:tl2br w:val="nil"/>
                    <w:tr2bl w:val="nil"/>
                  </w:tcBorders>
                  <w:noWrap w:val="0"/>
                  <w:vAlign w:val="center"/>
                </w:tcPr>
                <w:p w14:paraId="581B3AB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b/>
                      <w:snapToGrid w:val="0"/>
                      <w:color w:val="auto"/>
                      <w:sz w:val="21"/>
                      <w:szCs w:val="21"/>
                      <w:lang w:val="en-US" w:eastAsia="zh-CN"/>
                    </w:rPr>
                  </w:pPr>
                  <w:r>
                    <w:rPr>
                      <w:rFonts w:hint="eastAsia"/>
                      <w:b/>
                      <w:snapToGrid w:val="0"/>
                      <w:color w:val="auto"/>
                      <w:sz w:val="21"/>
                      <w:szCs w:val="21"/>
                      <w:lang w:val="en-US" w:eastAsia="zh-CN"/>
                    </w:rPr>
                    <w:t>SS</w:t>
                  </w:r>
                </w:p>
              </w:tc>
              <w:tc>
                <w:tcPr>
                  <w:tcW w:w="1456" w:type="dxa"/>
                  <w:tcBorders>
                    <w:tl2br w:val="nil"/>
                    <w:tr2bl w:val="nil"/>
                  </w:tcBorders>
                  <w:noWrap w:val="0"/>
                  <w:vAlign w:val="center"/>
                </w:tcPr>
                <w:p w14:paraId="2C9D4DD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b/>
                      <w:snapToGrid w:val="0"/>
                      <w:color w:val="auto"/>
                      <w:sz w:val="21"/>
                      <w:szCs w:val="21"/>
                      <w:lang w:val="en-US" w:eastAsia="zh-CN"/>
                    </w:rPr>
                  </w:pPr>
                  <w:r>
                    <w:rPr>
                      <w:rFonts w:hint="eastAsia"/>
                      <w:b/>
                      <w:snapToGrid w:val="0"/>
                      <w:color w:val="auto"/>
                      <w:sz w:val="21"/>
                      <w:szCs w:val="21"/>
                      <w:lang w:val="en-US" w:eastAsia="zh-CN"/>
                    </w:rPr>
                    <w:t>动植物油</w:t>
                  </w:r>
                </w:p>
              </w:tc>
            </w:tr>
            <w:tr w14:paraId="0ABD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0" w:type="dxa"/>
                  <w:tcBorders>
                    <w:tl2br w:val="nil"/>
                    <w:tr2bl w:val="nil"/>
                  </w:tcBorders>
                  <w:noWrap w:val="0"/>
                  <w:vAlign w:val="center"/>
                </w:tcPr>
                <w:p w14:paraId="1F0A9BB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eastAsia="宋体"/>
                      <w:caps/>
                      <w:snapToGrid w:val="0"/>
                      <w:color w:val="auto"/>
                      <w:sz w:val="21"/>
                      <w:szCs w:val="21"/>
                      <w:lang w:eastAsia="zh-CN"/>
                    </w:rPr>
                  </w:pPr>
                  <w:r>
                    <w:rPr>
                      <w:rFonts w:hint="eastAsia"/>
                      <w:caps/>
                      <w:snapToGrid w:val="0"/>
                      <w:color w:val="auto"/>
                      <w:sz w:val="21"/>
                      <w:szCs w:val="21"/>
                      <w:lang w:eastAsia="zh-CN"/>
                    </w:rPr>
                    <w:t>标准限值</w:t>
                  </w:r>
                </w:p>
              </w:tc>
              <w:tc>
                <w:tcPr>
                  <w:tcW w:w="1115" w:type="dxa"/>
                  <w:tcBorders>
                    <w:tl2br w:val="nil"/>
                    <w:tr2bl w:val="nil"/>
                  </w:tcBorders>
                  <w:noWrap w:val="0"/>
                  <w:vAlign w:val="center"/>
                </w:tcPr>
                <w:p w14:paraId="11E1D82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aps/>
                      <w:snapToGrid w:val="0"/>
                      <w:color w:val="auto"/>
                      <w:sz w:val="21"/>
                      <w:szCs w:val="21"/>
                      <w:lang w:val="en-US" w:eastAsia="zh-CN"/>
                    </w:rPr>
                  </w:pPr>
                  <w:r>
                    <w:rPr>
                      <w:rFonts w:hint="eastAsia"/>
                      <w:caps/>
                      <w:snapToGrid w:val="0"/>
                      <w:color w:val="auto"/>
                      <w:sz w:val="21"/>
                      <w:szCs w:val="21"/>
                      <w:lang w:val="en-US" w:eastAsia="zh-CN"/>
                    </w:rPr>
                    <w:t>6~8</w:t>
                  </w:r>
                </w:p>
              </w:tc>
              <w:tc>
                <w:tcPr>
                  <w:tcW w:w="982" w:type="dxa"/>
                  <w:tcBorders>
                    <w:tl2br w:val="nil"/>
                    <w:tr2bl w:val="nil"/>
                  </w:tcBorders>
                  <w:noWrap w:val="0"/>
                  <w:vAlign w:val="center"/>
                </w:tcPr>
                <w:p w14:paraId="5CE2968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aps/>
                      <w:snapToGrid w:val="0"/>
                      <w:color w:val="auto"/>
                      <w:sz w:val="21"/>
                      <w:szCs w:val="21"/>
                      <w:lang w:val="en-US" w:eastAsia="zh-CN"/>
                    </w:rPr>
                  </w:pPr>
                  <w:r>
                    <w:rPr>
                      <w:rFonts w:hint="eastAsia"/>
                      <w:caps/>
                      <w:snapToGrid w:val="0"/>
                      <w:color w:val="auto"/>
                      <w:sz w:val="21"/>
                      <w:szCs w:val="21"/>
                      <w:lang w:val="en-US" w:eastAsia="zh-CN"/>
                    </w:rPr>
                    <w:t>500</w:t>
                  </w:r>
                </w:p>
              </w:tc>
              <w:tc>
                <w:tcPr>
                  <w:tcW w:w="1073" w:type="dxa"/>
                  <w:tcBorders>
                    <w:tl2br w:val="nil"/>
                    <w:tr2bl w:val="nil"/>
                  </w:tcBorders>
                  <w:noWrap w:val="0"/>
                  <w:vAlign w:val="center"/>
                </w:tcPr>
                <w:p w14:paraId="3255BF6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aps/>
                      <w:snapToGrid w:val="0"/>
                      <w:color w:val="auto"/>
                      <w:sz w:val="21"/>
                      <w:szCs w:val="21"/>
                      <w:lang w:val="en-US" w:eastAsia="zh-CN"/>
                    </w:rPr>
                  </w:pPr>
                  <w:r>
                    <w:rPr>
                      <w:rFonts w:hint="eastAsia"/>
                      <w:caps/>
                      <w:snapToGrid w:val="0"/>
                      <w:color w:val="auto"/>
                      <w:sz w:val="21"/>
                      <w:szCs w:val="21"/>
                      <w:lang w:val="en-US" w:eastAsia="zh-CN"/>
                    </w:rPr>
                    <w:t>300</w:t>
                  </w:r>
                </w:p>
              </w:tc>
              <w:tc>
                <w:tcPr>
                  <w:tcW w:w="1095" w:type="dxa"/>
                  <w:tcBorders>
                    <w:tl2br w:val="nil"/>
                    <w:tr2bl w:val="nil"/>
                  </w:tcBorders>
                  <w:noWrap w:val="0"/>
                  <w:vAlign w:val="center"/>
                </w:tcPr>
                <w:p w14:paraId="3CAF570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eastAsia="宋体"/>
                      <w:caps/>
                      <w:snapToGrid w:val="0"/>
                      <w:color w:val="auto"/>
                      <w:sz w:val="21"/>
                      <w:szCs w:val="21"/>
                      <w:lang w:val="en-US" w:eastAsia="zh-CN"/>
                    </w:rPr>
                  </w:pPr>
                  <w:r>
                    <w:rPr>
                      <w:rFonts w:hint="eastAsia"/>
                      <w:caps/>
                      <w:snapToGrid w:val="0"/>
                      <w:color w:val="auto"/>
                      <w:sz w:val="21"/>
                      <w:szCs w:val="21"/>
                      <w:lang w:val="en-US" w:eastAsia="zh-CN"/>
                    </w:rPr>
                    <w:t>/</w:t>
                  </w:r>
                </w:p>
              </w:tc>
              <w:tc>
                <w:tcPr>
                  <w:tcW w:w="1215" w:type="dxa"/>
                  <w:tcBorders>
                    <w:tl2br w:val="nil"/>
                    <w:tr2bl w:val="nil"/>
                  </w:tcBorders>
                  <w:noWrap w:val="0"/>
                  <w:vAlign w:val="center"/>
                </w:tcPr>
                <w:p w14:paraId="1BE0558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aps/>
                      <w:snapToGrid w:val="0"/>
                      <w:color w:val="auto"/>
                      <w:sz w:val="21"/>
                      <w:szCs w:val="21"/>
                      <w:lang w:val="en-US" w:eastAsia="zh-CN"/>
                    </w:rPr>
                  </w:pPr>
                  <w:r>
                    <w:rPr>
                      <w:rFonts w:hint="eastAsia"/>
                      <w:caps/>
                      <w:snapToGrid w:val="0"/>
                      <w:color w:val="auto"/>
                      <w:sz w:val="21"/>
                      <w:szCs w:val="21"/>
                      <w:lang w:val="en-US" w:eastAsia="zh-CN"/>
                    </w:rPr>
                    <w:t>400</w:t>
                  </w:r>
                </w:p>
              </w:tc>
              <w:tc>
                <w:tcPr>
                  <w:tcW w:w="1456" w:type="dxa"/>
                  <w:tcBorders>
                    <w:tl2br w:val="nil"/>
                    <w:tr2bl w:val="nil"/>
                  </w:tcBorders>
                  <w:noWrap w:val="0"/>
                  <w:vAlign w:val="center"/>
                </w:tcPr>
                <w:p w14:paraId="0539460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aps/>
                      <w:snapToGrid w:val="0"/>
                      <w:color w:val="auto"/>
                      <w:sz w:val="21"/>
                      <w:szCs w:val="21"/>
                      <w:lang w:val="en-US" w:eastAsia="zh-CN"/>
                    </w:rPr>
                  </w:pPr>
                  <w:r>
                    <w:rPr>
                      <w:rFonts w:hint="eastAsia"/>
                      <w:caps/>
                      <w:snapToGrid w:val="0"/>
                      <w:color w:val="auto"/>
                      <w:sz w:val="21"/>
                      <w:szCs w:val="21"/>
                      <w:lang w:val="en-US" w:eastAsia="zh-CN"/>
                    </w:rPr>
                    <w:t>100</w:t>
                  </w:r>
                </w:p>
              </w:tc>
            </w:tr>
          </w:tbl>
          <w:p w14:paraId="58E796EF">
            <w:pPr>
              <w:pStyle w:val="39"/>
              <w:bidi w:val="0"/>
            </w:pPr>
            <w:r>
              <w:rPr>
                <w:rFonts w:hint="eastAsia"/>
                <w:lang w:val="en-US" w:eastAsia="zh-CN"/>
              </w:rPr>
              <w:t>3</w:t>
            </w:r>
            <w:r>
              <w:t>、运营期噪声执行《工业企业厂界环境噪声排放标准》(GB12348-2008)表1中的3类声环境功能区标准，昼间≤65dB（A），夜间≤55dB（A）。</w:t>
            </w:r>
          </w:p>
          <w:p w14:paraId="2368DC24">
            <w:pPr>
              <w:pStyle w:val="46"/>
              <w:bidi w:val="0"/>
              <w:rPr>
                <w:rFonts w:hint="default"/>
                <w:color w:val="auto"/>
                <w:lang w:val="en-US" w:eastAsia="zh-CN"/>
              </w:rPr>
            </w:pPr>
            <w:r>
              <w:rPr>
                <w:rFonts w:hint="eastAsia"/>
                <w:color w:val="auto"/>
                <w:lang w:val="en-US" w:eastAsia="zh-CN"/>
              </w:rPr>
              <w:t>表3-7   噪声执行标准   单位：dB（A）</w:t>
            </w:r>
          </w:p>
          <w:tbl>
            <w:tblPr>
              <w:tblStyle w:val="31"/>
              <w:tblW w:w="793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44"/>
              <w:gridCol w:w="2803"/>
              <w:gridCol w:w="3190"/>
            </w:tblGrid>
            <w:tr w14:paraId="642212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9" w:hRule="atLeast"/>
                <w:jc w:val="center"/>
              </w:trPr>
              <w:tc>
                <w:tcPr>
                  <w:tcW w:w="7893" w:type="dxa"/>
                  <w:gridSpan w:val="3"/>
                  <w:tcBorders>
                    <w:tl2br w:val="nil"/>
                    <w:tr2bl w:val="nil"/>
                  </w:tcBorders>
                  <w:noWrap w:val="0"/>
                  <w:vAlign w:val="top"/>
                </w:tcPr>
                <w:p w14:paraId="7EE03C14">
                  <w:pPr>
                    <w:pStyle w:val="51"/>
                    <w:bidi w:val="0"/>
                    <w:rPr>
                      <w:rFonts w:hint="eastAsia" w:eastAsia="宋体"/>
                      <w:color w:val="auto"/>
                      <w:lang w:val="en-US" w:eastAsia="zh-CN"/>
                    </w:rPr>
                  </w:pPr>
                  <w:r>
                    <w:rPr>
                      <w:rFonts w:hint="eastAsia"/>
                      <w:color w:val="auto"/>
                      <w:lang w:val="en-US" w:eastAsia="zh-CN"/>
                    </w:rPr>
                    <w:t>运营期</w:t>
                  </w:r>
                </w:p>
              </w:tc>
            </w:tr>
            <w:tr w14:paraId="54B2E6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9" w:hRule="atLeast"/>
                <w:jc w:val="center"/>
              </w:trPr>
              <w:tc>
                <w:tcPr>
                  <w:tcW w:w="1934" w:type="dxa"/>
                  <w:tcBorders>
                    <w:tl2br w:val="nil"/>
                    <w:tr2bl w:val="nil"/>
                  </w:tcBorders>
                  <w:noWrap w:val="0"/>
                  <w:vAlign w:val="top"/>
                </w:tcPr>
                <w:p w14:paraId="0D929F93">
                  <w:pPr>
                    <w:pStyle w:val="51"/>
                    <w:bidi w:val="0"/>
                    <w:rPr>
                      <w:color w:val="auto"/>
                    </w:rPr>
                  </w:pPr>
                  <w:r>
                    <w:rPr>
                      <w:color w:val="auto"/>
                    </w:rPr>
                    <w:t>类别</w:t>
                  </w:r>
                </w:p>
              </w:tc>
              <w:tc>
                <w:tcPr>
                  <w:tcW w:w="2787" w:type="dxa"/>
                  <w:tcBorders>
                    <w:tl2br w:val="nil"/>
                    <w:tr2bl w:val="nil"/>
                  </w:tcBorders>
                  <w:noWrap w:val="0"/>
                  <w:vAlign w:val="top"/>
                </w:tcPr>
                <w:p w14:paraId="273044F2">
                  <w:pPr>
                    <w:pStyle w:val="51"/>
                    <w:bidi w:val="0"/>
                    <w:rPr>
                      <w:color w:val="auto"/>
                    </w:rPr>
                  </w:pPr>
                  <w:r>
                    <w:rPr>
                      <w:rFonts w:hint="eastAsia"/>
                      <w:color w:val="auto"/>
                    </w:rPr>
                    <w:t>昼间</w:t>
                  </w:r>
                </w:p>
              </w:tc>
              <w:tc>
                <w:tcPr>
                  <w:tcW w:w="3172" w:type="dxa"/>
                  <w:tcBorders>
                    <w:tl2br w:val="nil"/>
                    <w:tr2bl w:val="nil"/>
                  </w:tcBorders>
                  <w:noWrap w:val="0"/>
                  <w:vAlign w:val="top"/>
                </w:tcPr>
                <w:p w14:paraId="03C004DF">
                  <w:pPr>
                    <w:pStyle w:val="51"/>
                    <w:bidi w:val="0"/>
                    <w:rPr>
                      <w:color w:val="auto"/>
                    </w:rPr>
                  </w:pPr>
                  <w:r>
                    <w:rPr>
                      <w:color w:val="auto"/>
                    </w:rPr>
                    <w:t>夜间</w:t>
                  </w:r>
                </w:p>
              </w:tc>
            </w:tr>
            <w:tr w14:paraId="51ABA7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8" w:hRule="atLeast"/>
                <w:jc w:val="center"/>
              </w:trPr>
              <w:tc>
                <w:tcPr>
                  <w:tcW w:w="1934" w:type="dxa"/>
                  <w:tcBorders>
                    <w:tl2br w:val="nil"/>
                    <w:tr2bl w:val="nil"/>
                  </w:tcBorders>
                  <w:noWrap w:val="0"/>
                  <w:vAlign w:val="top"/>
                </w:tcPr>
                <w:p w14:paraId="0D61680D">
                  <w:pPr>
                    <w:pStyle w:val="51"/>
                    <w:bidi w:val="0"/>
                    <w:rPr>
                      <w:color w:val="auto"/>
                    </w:rPr>
                  </w:pPr>
                  <w:r>
                    <w:rPr>
                      <w:rFonts w:hint="eastAsia"/>
                      <w:color w:val="auto"/>
                      <w:lang w:val="en-US" w:eastAsia="zh-CN"/>
                    </w:rPr>
                    <w:t>2</w:t>
                  </w:r>
                  <w:r>
                    <w:rPr>
                      <w:color w:val="auto"/>
                    </w:rPr>
                    <w:t>类</w:t>
                  </w:r>
                </w:p>
              </w:tc>
              <w:tc>
                <w:tcPr>
                  <w:tcW w:w="2787" w:type="dxa"/>
                  <w:tcBorders>
                    <w:tl2br w:val="nil"/>
                    <w:tr2bl w:val="nil"/>
                  </w:tcBorders>
                  <w:noWrap w:val="0"/>
                  <w:vAlign w:val="top"/>
                </w:tcPr>
                <w:p w14:paraId="7FE9BB66">
                  <w:pPr>
                    <w:pStyle w:val="51"/>
                    <w:bidi w:val="0"/>
                    <w:rPr>
                      <w:rFonts w:hint="eastAsia"/>
                      <w:color w:val="auto"/>
                      <w:lang w:eastAsia="zh-CN"/>
                    </w:rPr>
                  </w:pPr>
                  <w:r>
                    <w:rPr>
                      <w:rFonts w:hint="eastAsia"/>
                      <w:color w:val="auto"/>
                    </w:rPr>
                    <w:t>6</w:t>
                  </w:r>
                  <w:r>
                    <w:rPr>
                      <w:rFonts w:hint="eastAsia"/>
                      <w:color w:val="auto"/>
                      <w:lang w:val="en-US" w:eastAsia="zh-CN"/>
                    </w:rPr>
                    <w:t>5</w:t>
                  </w:r>
                </w:p>
              </w:tc>
              <w:tc>
                <w:tcPr>
                  <w:tcW w:w="3172" w:type="dxa"/>
                  <w:tcBorders>
                    <w:tl2br w:val="nil"/>
                    <w:tr2bl w:val="nil"/>
                  </w:tcBorders>
                  <w:noWrap w:val="0"/>
                  <w:vAlign w:val="top"/>
                </w:tcPr>
                <w:p w14:paraId="5A28DF97">
                  <w:pPr>
                    <w:pStyle w:val="51"/>
                    <w:bidi w:val="0"/>
                    <w:rPr>
                      <w:rFonts w:hint="default" w:eastAsia="宋体"/>
                      <w:color w:val="auto"/>
                      <w:lang w:val="en-US" w:eastAsia="zh-CN"/>
                    </w:rPr>
                  </w:pPr>
                  <w:r>
                    <w:rPr>
                      <w:rFonts w:hint="eastAsia"/>
                      <w:color w:val="auto"/>
                      <w:lang w:val="en-US" w:eastAsia="zh-CN"/>
                    </w:rPr>
                    <w:t>55</w:t>
                  </w:r>
                </w:p>
              </w:tc>
            </w:tr>
          </w:tbl>
          <w:p w14:paraId="2A44E9FD">
            <w:pPr>
              <w:pStyle w:val="39"/>
              <w:bidi w:val="0"/>
              <w:rPr>
                <w:color w:val="auto"/>
              </w:rPr>
            </w:pPr>
            <w:r>
              <w:rPr>
                <w:rFonts w:hint="eastAsia"/>
                <w:lang w:val="en-US" w:eastAsia="zh-CN"/>
              </w:rPr>
              <w:t>4</w:t>
            </w:r>
            <w:r>
              <w:t>、固体废物执行《一般工业固体废贮存和填埋污染控制标准》(GB18599-2020)的要求。危险废物执行《危险废物贮存控制标准》（GB18597-20</w:t>
            </w:r>
            <w:r>
              <w:rPr>
                <w:rFonts w:hint="eastAsia"/>
                <w:lang w:val="en-US" w:eastAsia="zh-CN"/>
              </w:rPr>
              <w:t>23</w:t>
            </w:r>
            <w:r>
              <w:t>）。</w:t>
            </w:r>
          </w:p>
        </w:tc>
      </w:tr>
      <w:tr w14:paraId="30E470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00" w:type="dxa"/>
            <w:vAlign w:val="center"/>
          </w:tcPr>
          <w:p w14:paraId="4EE8C085">
            <w:pPr>
              <w:adjustRightInd w:val="0"/>
              <w:snapToGrid w:val="0"/>
              <w:jc w:val="center"/>
              <w:rPr>
                <w:rFonts w:ascii="宋体" w:hAnsi="宋体" w:cs="宋体"/>
                <w:color w:val="auto"/>
                <w:kern w:val="0"/>
                <w:szCs w:val="21"/>
              </w:rPr>
            </w:pPr>
            <w:r>
              <w:rPr>
                <w:rFonts w:hint="eastAsia" w:ascii="宋体" w:hAnsi="宋体" w:cs="宋体"/>
                <w:color w:val="auto"/>
                <w:kern w:val="0"/>
                <w:szCs w:val="21"/>
              </w:rPr>
              <w:t>总量控制指标</w:t>
            </w:r>
          </w:p>
        </w:tc>
        <w:tc>
          <w:tcPr>
            <w:tcW w:w="8190" w:type="dxa"/>
            <w:vAlign w:val="center"/>
          </w:tcPr>
          <w:p w14:paraId="608BB7AB">
            <w:pPr>
              <w:pStyle w:val="38"/>
              <w:rPr>
                <w:color w:val="auto"/>
                <w:highlight w:val="none"/>
              </w:rPr>
            </w:pPr>
            <w:r>
              <w:rPr>
                <w:rFonts w:hint="eastAsia"/>
                <w:color w:val="auto"/>
              </w:rPr>
              <w:t>根据《“十四五”污染减排综合工作方案编制技术指南》，大气污染物减排因子为NOx、VOCs，水污染物减排因子为COD和氨氮</w:t>
            </w:r>
            <w:r>
              <w:rPr>
                <w:rFonts w:hint="eastAsia"/>
                <w:color w:val="auto"/>
                <w:highlight w:val="none"/>
              </w:rPr>
              <w:t>。在实行污染物达标排放的前提下，结合本项目排污特点，该项目涉及总量控制的污染物因子为、COD、NH</w:t>
            </w:r>
            <w:r>
              <w:rPr>
                <w:rFonts w:hint="eastAsia"/>
                <w:color w:val="auto"/>
                <w:highlight w:val="none"/>
                <w:vertAlign w:val="subscript"/>
              </w:rPr>
              <w:t>3</w:t>
            </w:r>
            <w:r>
              <w:rPr>
                <w:rFonts w:hint="eastAsia"/>
                <w:color w:val="auto"/>
                <w:highlight w:val="none"/>
              </w:rPr>
              <w:t>-N。</w:t>
            </w:r>
          </w:p>
          <w:p w14:paraId="6EE3B749">
            <w:pPr>
              <w:pStyle w:val="38"/>
              <w:rPr>
                <w:color w:val="auto"/>
                <w:highlight w:val="none"/>
              </w:rPr>
            </w:pPr>
            <w:r>
              <w:rPr>
                <w:rFonts w:hint="eastAsia"/>
                <w:color w:val="auto"/>
                <w:highlight w:val="none"/>
              </w:rPr>
              <w:t>本项目</w:t>
            </w:r>
            <w:r>
              <w:rPr>
                <w:rFonts w:hint="eastAsia"/>
                <w:color w:val="auto"/>
                <w:highlight w:val="none"/>
                <w:lang w:val="en-US" w:eastAsia="zh-CN"/>
              </w:rPr>
              <w:t>生产废水经污水管网</w:t>
            </w:r>
            <w:r>
              <w:rPr>
                <w:rFonts w:hint="eastAsia"/>
                <w:color w:val="auto"/>
                <w:highlight w:val="none"/>
              </w:rPr>
              <w:t>排入</w:t>
            </w:r>
            <w:r>
              <w:rPr>
                <w:rFonts w:hint="eastAsia"/>
                <w:color w:val="auto"/>
                <w:highlight w:val="none"/>
                <w:lang w:val="en-US" w:eastAsia="zh-CN"/>
              </w:rPr>
              <w:t>鄯善县</w:t>
            </w:r>
            <w:r>
              <w:rPr>
                <w:rFonts w:hint="eastAsia"/>
                <w:color w:val="auto"/>
                <w:highlight w:val="none"/>
              </w:rPr>
              <w:t>污水处理厂处理，本项目废水中的总量控制因子COD</w:t>
            </w:r>
            <w:r>
              <w:rPr>
                <w:rFonts w:hint="eastAsia"/>
                <w:color w:val="auto"/>
                <w:highlight w:val="none"/>
                <w:vertAlign w:val="subscript"/>
              </w:rPr>
              <w:t>Cr</w:t>
            </w:r>
            <w:r>
              <w:rPr>
                <w:rFonts w:hint="eastAsia"/>
                <w:color w:val="auto"/>
                <w:highlight w:val="none"/>
              </w:rPr>
              <w:t>、NH</w:t>
            </w:r>
            <w:r>
              <w:rPr>
                <w:rFonts w:hint="eastAsia"/>
                <w:color w:val="auto"/>
                <w:highlight w:val="none"/>
                <w:vertAlign w:val="subscript"/>
              </w:rPr>
              <w:t>3</w:t>
            </w:r>
            <w:r>
              <w:rPr>
                <w:rFonts w:hint="eastAsia"/>
                <w:color w:val="auto"/>
                <w:highlight w:val="none"/>
              </w:rPr>
              <w:t>-N的总量指标计入</w:t>
            </w:r>
            <w:r>
              <w:rPr>
                <w:rFonts w:hint="eastAsia"/>
                <w:color w:val="auto"/>
                <w:highlight w:val="none"/>
                <w:lang w:val="en-US" w:eastAsia="zh-CN"/>
              </w:rPr>
              <w:t>鄯善县</w:t>
            </w:r>
            <w:r>
              <w:rPr>
                <w:rFonts w:hint="eastAsia"/>
                <w:color w:val="auto"/>
                <w:highlight w:val="none"/>
              </w:rPr>
              <w:t>污水处理厂总量，项目不单独申请水污染物总量指标。</w:t>
            </w:r>
          </w:p>
          <w:p w14:paraId="4A1BEBEA">
            <w:pPr>
              <w:pStyle w:val="38"/>
              <w:rPr>
                <w:rFonts w:hint="default" w:eastAsia="宋体"/>
                <w:color w:val="auto"/>
                <w:highlight w:val="none"/>
                <w:lang w:val="en-US" w:eastAsia="zh-CN"/>
              </w:rPr>
            </w:pPr>
            <w:r>
              <w:rPr>
                <w:rFonts w:hint="eastAsia"/>
                <w:color w:val="auto"/>
                <w:highlight w:val="none"/>
              </w:rPr>
              <w:t>根据“十四五”规划总量控制指标，结合本项目污染物源强核算情况，</w:t>
            </w:r>
            <w:r>
              <w:rPr>
                <w:rFonts w:hint="eastAsia"/>
                <w:color w:val="auto"/>
                <w:highlight w:val="none"/>
                <w:lang w:val="en-US" w:eastAsia="zh-CN"/>
              </w:rPr>
              <w:t>本项目不建议申请总量控制指标。</w:t>
            </w:r>
          </w:p>
          <w:p w14:paraId="4F566099">
            <w:pPr>
              <w:pStyle w:val="38"/>
              <w:rPr>
                <w:rFonts w:hint="eastAsia"/>
                <w:color w:val="auto"/>
                <w:highlight w:val="none"/>
              </w:rPr>
            </w:pPr>
          </w:p>
          <w:p w14:paraId="548A611A">
            <w:pPr>
              <w:pStyle w:val="38"/>
              <w:rPr>
                <w:rFonts w:hint="eastAsia"/>
                <w:color w:val="auto"/>
                <w:lang w:eastAsia="zh-CN"/>
              </w:rPr>
            </w:pPr>
          </w:p>
          <w:p w14:paraId="31D912BC">
            <w:pPr>
              <w:pStyle w:val="39"/>
              <w:rPr>
                <w:rFonts w:hint="eastAsia"/>
                <w:lang w:eastAsia="zh-CN"/>
              </w:rPr>
            </w:pPr>
          </w:p>
        </w:tc>
      </w:tr>
    </w:tbl>
    <w:p w14:paraId="27CB8679">
      <w:pPr>
        <w:pStyle w:val="27"/>
        <w:jc w:val="center"/>
        <w:outlineLvl w:val="0"/>
        <w:rPr>
          <w:rFonts w:ascii="黑体" w:hAnsi="黑体" w:eastAsia="黑体"/>
          <w:snapToGrid w:val="0"/>
          <w:color w:val="auto"/>
          <w:sz w:val="30"/>
          <w:szCs w:val="30"/>
        </w:rPr>
      </w:pPr>
      <w:r>
        <w:rPr>
          <w:rFonts w:ascii="黑体" w:hAnsi="黑体" w:eastAsia="黑体"/>
          <w:snapToGrid w:val="0"/>
          <w:color w:val="auto"/>
          <w:sz w:val="36"/>
          <w:szCs w:val="36"/>
        </w:rPr>
        <w:br w:type="page"/>
      </w:r>
      <w:bookmarkStart w:id="38" w:name="_Toc7116"/>
      <w:bookmarkStart w:id="39" w:name="_Toc26150"/>
      <w:r>
        <w:rPr>
          <w:rFonts w:hint="eastAsia" w:ascii="黑体" w:hAnsi="黑体" w:eastAsia="黑体"/>
          <w:snapToGrid w:val="0"/>
          <w:color w:val="auto"/>
          <w:sz w:val="36"/>
          <w:szCs w:val="36"/>
        </w:rPr>
        <w:t>四、主要环境影响和保护措施</w:t>
      </w:r>
      <w:bookmarkEnd w:id="38"/>
      <w:bookmarkEnd w:id="39"/>
    </w:p>
    <w:tbl>
      <w:tblPr>
        <w:tblStyle w:val="31"/>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0862A1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51" w:hRule="atLeast"/>
          <w:jc w:val="center"/>
        </w:trPr>
        <w:tc>
          <w:tcPr>
            <w:tcW w:w="746" w:type="dxa"/>
            <w:tcMar>
              <w:left w:w="28" w:type="dxa"/>
              <w:right w:w="28" w:type="dxa"/>
            </w:tcMar>
            <w:vAlign w:val="center"/>
          </w:tcPr>
          <w:p w14:paraId="7667F093">
            <w:pPr>
              <w:pStyle w:val="27"/>
              <w:adjustRightInd w:val="0"/>
              <w:snapToGrid w:val="0"/>
              <w:spacing w:before="0" w:beforeAutospacing="0" w:after="0" w:afterAutospacing="0"/>
              <w:jc w:val="center"/>
              <w:rPr>
                <w:rFonts w:hint="eastAsia" w:cs="宋体"/>
                <w:bCs/>
                <w:color w:val="auto"/>
                <w:kern w:val="2"/>
                <w:sz w:val="21"/>
                <w:szCs w:val="21"/>
              </w:rPr>
            </w:pPr>
            <w:r>
              <w:rPr>
                <w:rFonts w:hint="eastAsia" w:cs="宋体"/>
                <w:color w:val="auto"/>
                <w:kern w:val="2"/>
                <w:sz w:val="21"/>
                <w:szCs w:val="21"/>
              </w:rPr>
              <w:t>施工期环境保护措施</w:t>
            </w:r>
          </w:p>
        </w:tc>
        <w:tc>
          <w:tcPr>
            <w:tcW w:w="8162" w:type="dxa"/>
            <w:vAlign w:val="center"/>
          </w:tcPr>
          <w:p w14:paraId="422A4CF8">
            <w:pPr>
              <w:pStyle w:val="4"/>
              <w:bidi w:val="0"/>
              <w:rPr>
                <w:rFonts w:hint="eastAsia"/>
                <w:color w:val="auto"/>
              </w:rPr>
            </w:pPr>
            <w:bookmarkStart w:id="40" w:name="_Toc16644"/>
            <w:bookmarkStart w:id="41" w:name="_Toc23047"/>
            <w:bookmarkStart w:id="42" w:name="_Toc19506"/>
            <w:r>
              <w:rPr>
                <w:rFonts w:hint="eastAsia"/>
                <w:color w:val="auto"/>
              </w:rPr>
              <w:t>4.1、施工期环境影响分析</w:t>
            </w:r>
            <w:bookmarkEnd w:id="40"/>
            <w:bookmarkEnd w:id="41"/>
            <w:bookmarkEnd w:id="42"/>
          </w:p>
          <w:p w14:paraId="5C3FEFA5">
            <w:pPr>
              <w:pStyle w:val="41"/>
              <w:bidi w:val="0"/>
              <w:rPr>
                <w:rFonts w:hint="default"/>
                <w:lang w:val="en-US" w:eastAsia="zh-CN"/>
              </w:rPr>
            </w:pPr>
            <w:r>
              <w:rPr>
                <w:rFonts w:hint="eastAsia"/>
                <w:color w:val="auto"/>
                <w:highlight w:val="none"/>
                <w:lang w:val="en-US" w:eastAsia="zh-CN"/>
              </w:rPr>
              <w:t>本项目位于已建好的</w:t>
            </w:r>
            <w:r>
              <w:rPr>
                <w:rFonts w:hint="default" w:ascii="Times New Roman" w:hAnsi="Times New Roman" w:cs="Times New Roman"/>
                <w:color w:val="auto"/>
                <w:sz w:val="24"/>
                <w:szCs w:val="24"/>
                <w:highlight w:val="none"/>
                <w:lang w:val="en-US" w:eastAsia="zh-CN"/>
              </w:rPr>
              <w:t>厂房</w:t>
            </w:r>
            <w:r>
              <w:rPr>
                <w:rFonts w:hint="eastAsia" w:cs="Times New Roman"/>
                <w:color w:val="auto"/>
                <w:sz w:val="24"/>
                <w:szCs w:val="24"/>
                <w:highlight w:val="none"/>
                <w:lang w:val="en-US" w:eastAsia="zh-CN"/>
              </w:rPr>
              <w:t>内</w:t>
            </w:r>
            <w:r>
              <w:rPr>
                <w:rFonts w:hint="eastAsia"/>
                <w:lang w:val="en-US" w:eastAsia="zh-CN"/>
              </w:rPr>
              <w:t>，</w:t>
            </w:r>
            <w:r>
              <w:rPr>
                <w:rFonts w:hint="default"/>
                <w:lang w:val="en-US" w:eastAsia="zh-CN"/>
              </w:rPr>
              <w:t>不涉及施工期厂房基建，仅进行设备安装、调试等，施工期产污环节主要为设备安装产生的间歇式噪声，距离施工机械5m处的声级值在76dB（A）左右。本项目声环境影响范围内无环境敏感点，施工噪声主要影响厂区内声环境。根据《中华人民共和国环境噪声污染防治法》相关规定，结合本工程实际情况，项目施工期间应合理安排施工时间，尽量安排在白天施工，严禁夜间进行高噪声施工。采取措施后，本项目装修噪声满足《建筑施工场界环境噪声排放标准》（GB12523-2011）。施工期噪声对区域噪声环境质量的影响是暂时的，随着施工期的结束，噪声污染影响也随之消除。</w:t>
            </w:r>
          </w:p>
          <w:p w14:paraId="0DDB4BF9">
            <w:pPr>
              <w:pStyle w:val="41"/>
              <w:bidi w:val="0"/>
              <w:rPr>
                <w:rFonts w:hint="default"/>
                <w:lang w:val="en-US" w:eastAsia="zh-CN"/>
              </w:rPr>
            </w:pPr>
            <w:r>
              <w:rPr>
                <w:rFonts w:hint="default"/>
                <w:lang w:val="en-US" w:eastAsia="zh-CN"/>
              </w:rPr>
              <w:t>项目施工期期间生活污水依托厂内的公共卫生间，生活垃圾通过场内设置的垃圾箱进行收集，定期由环卫部门清运。</w:t>
            </w:r>
          </w:p>
          <w:p w14:paraId="0DAA3DB3">
            <w:pPr>
              <w:pStyle w:val="39"/>
              <w:bidi w:val="0"/>
              <w:rPr>
                <w:rFonts w:hint="default" w:eastAsia="宋体"/>
                <w:color w:val="auto"/>
                <w:lang w:val="en-US" w:eastAsia="zh-CN"/>
              </w:rPr>
            </w:pPr>
          </w:p>
        </w:tc>
      </w:tr>
      <w:tr w14:paraId="4F8C41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51" w:hRule="atLeast"/>
          <w:jc w:val="center"/>
        </w:trPr>
        <w:tc>
          <w:tcPr>
            <w:tcW w:w="746" w:type="dxa"/>
            <w:tcMar>
              <w:left w:w="28" w:type="dxa"/>
              <w:right w:w="28" w:type="dxa"/>
            </w:tcMar>
            <w:vAlign w:val="center"/>
          </w:tcPr>
          <w:p w14:paraId="104F42A6">
            <w:pPr>
              <w:adjustRightInd w:val="0"/>
              <w:snapToGrid w:val="0"/>
              <w:jc w:val="center"/>
              <w:rPr>
                <w:rFonts w:hint="eastAsia" w:cs="宋体"/>
                <w:color w:val="auto"/>
                <w:kern w:val="2"/>
                <w:sz w:val="21"/>
                <w:szCs w:val="21"/>
              </w:rPr>
            </w:pPr>
            <w:r>
              <w:rPr>
                <w:rFonts w:hint="eastAsia" w:ascii="宋体" w:hAnsi="宋体" w:cs="宋体"/>
                <w:bCs/>
                <w:color w:val="auto"/>
                <w:szCs w:val="21"/>
              </w:rPr>
              <w:t>运营期环境影响和保护措施</w:t>
            </w:r>
          </w:p>
        </w:tc>
        <w:tc>
          <w:tcPr>
            <w:tcW w:w="8162" w:type="dxa"/>
            <w:vAlign w:val="center"/>
          </w:tcPr>
          <w:p w14:paraId="5866D2A6">
            <w:pPr>
              <w:pStyle w:val="4"/>
              <w:bidi w:val="0"/>
              <w:rPr>
                <w:color w:val="auto"/>
              </w:rPr>
            </w:pPr>
            <w:bookmarkStart w:id="43" w:name="_Toc18920"/>
            <w:bookmarkStart w:id="44" w:name="_Toc22672"/>
            <w:bookmarkStart w:id="45" w:name="_Toc7959"/>
            <w:r>
              <w:rPr>
                <w:rFonts w:hint="eastAsia"/>
                <w:color w:val="auto"/>
              </w:rPr>
              <w:t>4.2运营期环境影响分析</w:t>
            </w:r>
            <w:bookmarkEnd w:id="43"/>
            <w:bookmarkEnd w:id="44"/>
            <w:bookmarkEnd w:id="45"/>
          </w:p>
          <w:p w14:paraId="78944A2A">
            <w:pPr>
              <w:pStyle w:val="4"/>
              <w:bidi w:val="0"/>
              <w:rPr>
                <w:rFonts w:hint="default"/>
                <w:color w:val="auto"/>
                <w:lang w:val="en-US" w:eastAsia="zh-CN"/>
              </w:rPr>
            </w:pPr>
            <w:r>
              <w:rPr>
                <w:rFonts w:hint="eastAsia"/>
                <w:color w:val="auto"/>
                <w:lang w:val="en-US" w:eastAsia="zh-CN"/>
              </w:rPr>
              <w:t>4.2.1</w:t>
            </w:r>
            <w:r>
              <w:rPr>
                <w:rFonts w:hint="default"/>
                <w:color w:val="auto"/>
                <w:lang w:val="en-US" w:eastAsia="zh-CN"/>
              </w:rPr>
              <w:t>废气</w:t>
            </w:r>
          </w:p>
          <w:p w14:paraId="27C8A826">
            <w:pPr>
              <w:pStyle w:val="38"/>
              <w:bidi w:val="0"/>
              <w:rPr>
                <w:rFonts w:hint="default"/>
                <w:color w:val="auto"/>
                <w:lang w:val="en-US" w:eastAsia="zh-CN"/>
              </w:rPr>
            </w:pPr>
            <w:r>
              <w:rPr>
                <w:rFonts w:hint="eastAsia"/>
                <w:color w:val="auto"/>
                <w:lang w:val="en-US" w:eastAsia="zh-CN"/>
              </w:rPr>
              <w:t>本项目产生的废气包括金属分选线中上料、空分、筛分工序产生的废气，漂浮分选线中上料、破碎阶段产生的废气，塑料橡胶风选中上料工序以及燃烧棒上料工序产生的废气，项目处漂浮槽分选工段，其他工艺工段均处于厂房内，产生的颗粒物通过集气罩收集，采用布袋除尘器进行除尘，经15m高排气筒排放。</w:t>
            </w:r>
          </w:p>
          <w:p w14:paraId="6D656EC6">
            <w:pPr>
              <w:pStyle w:val="38"/>
              <w:bidi w:val="0"/>
              <w:rPr>
                <w:rFonts w:hint="eastAsia"/>
                <w:color w:val="auto"/>
                <w:lang w:val="en-US" w:eastAsia="zh-CN"/>
              </w:rPr>
            </w:pPr>
            <w:r>
              <w:rPr>
                <w:rFonts w:hint="eastAsia"/>
                <w:color w:val="auto"/>
                <w:lang w:val="en-US" w:eastAsia="zh-CN"/>
              </w:rPr>
              <w:t>（1）废气排放源强</w:t>
            </w:r>
          </w:p>
          <w:p w14:paraId="6C501714">
            <w:pPr>
              <w:pStyle w:val="38"/>
              <w:bidi w:val="0"/>
              <w:rPr>
                <w:rFonts w:hint="eastAsia"/>
                <w:color w:val="auto"/>
                <w:lang w:val="en-US" w:eastAsia="zh-CN"/>
              </w:rPr>
            </w:pPr>
            <w:r>
              <w:rPr>
                <w:rFonts w:hint="eastAsia"/>
                <w:color w:val="auto"/>
                <w:lang w:val="en-US" w:eastAsia="zh-CN"/>
              </w:rPr>
              <w:t>项目金属分选线：上料、空分、筛分工序产生废气，主要污染物为颗粒物。根据《排污许可证申请与核发技术规范废弃资源加工工业》（HJ 1034-2019）可知，该标准中仅给出废轮胎加工工业污染物产污系数，与本项目不符，因此本次环评废气源强选用《散逸性工业粉尘控制技术》中粒料加工厂逸散尘源的排放因子列表，上料工序产污系数为0.01kg/t原料，空分及筛分总产污系数为0.05kg/t原料。本项目金属分选线原料用量约2万吨，计算得金属分选线上料工序颗粒物产生量为2t/a，空分及筛分工序颗粒物产生量为t/a。金属分选产生的颗粒物总量为2.2t/a。</w:t>
            </w:r>
          </w:p>
          <w:p w14:paraId="3F4D1759">
            <w:pPr>
              <w:pStyle w:val="39"/>
              <w:rPr>
                <w:rFonts w:hint="default"/>
                <w:lang w:val="en-US" w:eastAsia="zh-CN"/>
              </w:rPr>
            </w:pPr>
            <w:r>
              <w:rPr>
                <w:rFonts w:hint="default"/>
                <w:lang w:val="en-US" w:eastAsia="zh-CN"/>
              </w:rPr>
              <w:t>漂浮分选线：上料、破碎工序产生废气，主要污染物为颗粒物。</w:t>
            </w:r>
            <w:r>
              <w:rPr>
                <w:rFonts w:hint="eastAsia"/>
                <w:lang w:val="en-US" w:eastAsia="zh-CN"/>
              </w:rPr>
              <w:t>参考</w:t>
            </w:r>
            <w:r>
              <w:rPr>
                <w:rFonts w:hint="eastAsia"/>
                <w:color w:val="auto"/>
                <w:lang w:val="en-US" w:eastAsia="zh-CN"/>
              </w:rPr>
              <w:t>《散逸性工业粉尘控制技术》</w:t>
            </w:r>
            <w:r>
              <w:rPr>
                <w:rFonts w:hint="default"/>
                <w:lang w:val="en-US" w:eastAsia="zh-CN"/>
              </w:rPr>
              <w:t>上料工序产污系数为0.01kg/t原料；破碎工序产污系数引用《排放源统计调查产排污核算方法和系数手册》</w:t>
            </w:r>
            <w:r>
              <w:rPr>
                <w:rFonts w:hint="eastAsia"/>
                <w:lang w:val="en-US" w:eastAsia="zh-CN"/>
              </w:rPr>
              <w:t>（公告2021年第24号）“</w:t>
            </w:r>
            <w:r>
              <w:rPr>
                <w:rFonts w:hint="default"/>
                <w:lang w:val="en-US" w:eastAsia="zh-CN"/>
              </w:rPr>
              <w:t>42废弃资源综合利用行业系数手册</w:t>
            </w:r>
            <w:r>
              <w:rPr>
                <w:rFonts w:hint="eastAsia"/>
                <w:lang w:val="en-US" w:eastAsia="zh-CN"/>
              </w:rPr>
              <w:t>”</w:t>
            </w:r>
            <w:r>
              <w:rPr>
                <w:rFonts w:hint="default"/>
                <w:lang w:val="en-US" w:eastAsia="zh-CN"/>
              </w:rPr>
              <w:t>中</w:t>
            </w:r>
            <w:r>
              <w:rPr>
                <w:rFonts w:hint="eastAsia"/>
                <w:lang w:val="en-US" w:eastAsia="zh-CN"/>
              </w:rPr>
              <w:t>“</w:t>
            </w:r>
            <w:r>
              <w:rPr>
                <w:rFonts w:hint="default"/>
                <w:lang w:val="en-US" w:eastAsia="zh-CN"/>
              </w:rPr>
              <w:t>废钢铁破碎</w:t>
            </w:r>
            <w:r>
              <w:rPr>
                <w:rFonts w:hint="eastAsia"/>
                <w:lang w:val="en-US" w:eastAsia="zh-CN"/>
              </w:rPr>
              <w:t>”</w:t>
            </w:r>
            <w:r>
              <w:rPr>
                <w:rFonts w:hint="default"/>
                <w:lang w:val="en-US" w:eastAsia="zh-CN"/>
              </w:rPr>
              <w:t>颗粒物产生量为360克/吨-原料。漂浮分选线原料用量约</w:t>
            </w:r>
            <w:r>
              <w:rPr>
                <w:rFonts w:hint="eastAsia"/>
                <w:lang w:val="en-US" w:eastAsia="zh-CN"/>
              </w:rPr>
              <w:t>8182.8</w:t>
            </w:r>
            <w:r>
              <w:rPr>
                <w:rFonts w:hint="default"/>
                <w:lang w:val="en-US" w:eastAsia="zh-CN"/>
              </w:rPr>
              <w:t>t/a，则上料工序颗粒物产生量为</w:t>
            </w:r>
            <w:r>
              <w:rPr>
                <w:rFonts w:hint="eastAsia"/>
                <w:lang w:val="en-US" w:eastAsia="zh-CN"/>
              </w:rPr>
              <w:t>0.082</w:t>
            </w:r>
            <w:r>
              <w:rPr>
                <w:rFonts w:hint="default"/>
                <w:lang w:val="en-US" w:eastAsia="zh-CN"/>
              </w:rPr>
              <w:t>t/a，破碎工序颗粒物产生量为</w:t>
            </w:r>
            <w:r>
              <w:rPr>
                <w:rFonts w:hint="eastAsia"/>
                <w:lang w:val="en-US" w:eastAsia="zh-CN"/>
              </w:rPr>
              <w:t>2.946</w:t>
            </w:r>
            <w:r>
              <w:rPr>
                <w:rFonts w:hint="default"/>
                <w:lang w:val="en-US" w:eastAsia="zh-CN"/>
              </w:rPr>
              <w:t>t/a。计算得漂浮分选线颗粒物产生量为</w:t>
            </w:r>
            <w:r>
              <w:rPr>
                <w:rFonts w:hint="eastAsia"/>
                <w:lang w:val="en-US" w:eastAsia="zh-CN"/>
              </w:rPr>
              <w:t>3.028</w:t>
            </w:r>
            <w:r>
              <w:rPr>
                <w:rFonts w:hint="default"/>
                <w:lang w:val="en-US" w:eastAsia="zh-CN"/>
              </w:rPr>
              <w:t>t/a。</w:t>
            </w:r>
          </w:p>
          <w:p w14:paraId="23D53AD2">
            <w:pPr>
              <w:pStyle w:val="39"/>
              <w:bidi w:val="0"/>
            </w:pPr>
            <w:r>
              <w:t>塑料橡胶分选线：上料工序产生废气，主要污染物为颗粒物。</w:t>
            </w:r>
            <w:r>
              <w:rPr>
                <w:rFonts w:hint="eastAsia"/>
                <w:lang w:val="en-US" w:eastAsia="zh-CN"/>
              </w:rPr>
              <w:t>参考</w:t>
            </w:r>
            <w:r>
              <w:rPr>
                <w:rFonts w:hint="eastAsia"/>
                <w:color w:val="auto"/>
                <w:lang w:val="en-US" w:eastAsia="zh-CN"/>
              </w:rPr>
              <w:t>《散逸性工业粉尘控制技术》</w:t>
            </w:r>
            <w:r>
              <w:t>，上料工序产污系数为0.01kg/t原料，塑料橡胶分选线原料用量约</w:t>
            </w:r>
            <w:r>
              <w:rPr>
                <w:rFonts w:hint="eastAsia"/>
                <w:lang w:val="en-US" w:eastAsia="zh-CN"/>
              </w:rPr>
              <w:t>6800</w:t>
            </w:r>
            <w:r>
              <w:t>t/a，则塑料橡胶分选线颗粒物颗粒物产生量为0.</w:t>
            </w:r>
            <w:r>
              <w:rPr>
                <w:rFonts w:hint="eastAsia"/>
                <w:lang w:val="en-US" w:eastAsia="zh-CN"/>
              </w:rPr>
              <w:t>068</w:t>
            </w:r>
            <w:r>
              <w:t>t/a。</w:t>
            </w:r>
          </w:p>
          <w:p w14:paraId="2ED9A5EE">
            <w:pPr>
              <w:pStyle w:val="39"/>
              <w:bidi w:val="0"/>
              <w:rPr>
                <w:rFonts w:hint="eastAsia"/>
                <w:lang w:val="en-US" w:eastAsia="zh-CN"/>
              </w:rPr>
            </w:pPr>
            <w:r>
              <w:rPr>
                <w:rFonts w:hint="eastAsia"/>
                <w:lang w:val="en-US" w:eastAsia="zh-CN"/>
              </w:rPr>
              <w:t>项目颗粒物排放系数及排放量一览表如下：</w:t>
            </w:r>
          </w:p>
          <w:p w14:paraId="2718DCA7">
            <w:pPr>
              <w:pStyle w:val="46"/>
              <w:bidi w:val="0"/>
              <w:rPr>
                <w:rFonts w:hint="default"/>
                <w:lang w:val="en-US" w:eastAsia="zh-CN"/>
              </w:rPr>
            </w:pPr>
            <w:r>
              <w:rPr>
                <w:rFonts w:hint="eastAsia"/>
                <w:lang w:val="en-US" w:eastAsia="zh-CN"/>
              </w:rPr>
              <w:t>表4-1   各工序污染物排放系数及排放量</w:t>
            </w:r>
          </w:p>
          <w:tbl>
            <w:tblPr>
              <w:tblStyle w:val="31"/>
              <w:tblW w:w="79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00"/>
              <w:gridCol w:w="1727"/>
              <w:gridCol w:w="1964"/>
              <w:gridCol w:w="2046"/>
            </w:tblGrid>
            <w:tr w14:paraId="57390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00" w:type="dxa"/>
                  <w:tcBorders>
                    <w:top w:val="single" w:color="auto" w:sz="4" w:space="0"/>
                    <w:left w:val="single" w:color="auto" w:sz="0" w:space="0"/>
                    <w:bottom w:val="single" w:color="auto" w:sz="4" w:space="0"/>
                    <w:right w:val="single" w:color="auto" w:sz="4" w:space="0"/>
                  </w:tcBorders>
                  <w:shd w:val="clear" w:color="auto" w:fill="auto"/>
                  <w:noWrap/>
                  <w:vAlign w:val="center"/>
                </w:tcPr>
                <w:p w14:paraId="2C7EAAD2">
                  <w:pPr>
                    <w:pStyle w:val="51"/>
                    <w:bidi w:val="0"/>
                    <w:rPr>
                      <w:rFonts w:hint="default"/>
                      <w:lang w:val="en-US" w:eastAsia="zh-CN"/>
                    </w:rPr>
                  </w:pPr>
                  <w:r>
                    <w:rPr>
                      <w:rFonts w:hint="eastAsia"/>
                      <w:lang w:val="en-US" w:eastAsia="zh-CN"/>
                    </w:rPr>
                    <w:t>工艺</w:t>
                  </w:r>
                </w:p>
              </w:tc>
              <w:tc>
                <w:tcPr>
                  <w:tcW w:w="17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95D7C6">
                  <w:pPr>
                    <w:pStyle w:val="51"/>
                    <w:bidi w:val="0"/>
                    <w:rPr>
                      <w:rFonts w:hint="default"/>
                      <w:lang w:val="en-US" w:eastAsia="zh-CN"/>
                    </w:rPr>
                  </w:pPr>
                  <w:r>
                    <w:rPr>
                      <w:rFonts w:hint="eastAsia"/>
                      <w:lang w:val="en-US" w:eastAsia="zh-CN"/>
                    </w:rPr>
                    <w:t>工序</w:t>
                  </w:r>
                </w:p>
              </w:tc>
              <w:tc>
                <w:tcPr>
                  <w:tcW w:w="19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EF4653">
                  <w:pPr>
                    <w:pStyle w:val="51"/>
                    <w:bidi w:val="0"/>
                    <w:rPr>
                      <w:rFonts w:hint="default"/>
                      <w:lang w:val="en-US" w:eastAsia="zh-CN"/>
                    </w:rPr>
                  </w:pPr>
                  <w:r>
                    <w:rPr>
                      <w:rFonts w:hint="eastAsia"/>
                      <w:lang w:val="en-US" w:eastAsia="zh-CN"/>
                    </w:rPr>
                    <w:t>排放系数</w:t>
                  </w:r>
                </w:p>
              </w:tc>
              <w:tc>
                <w:tcPr>
                  <w:tcW w:w="20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02D5DC">
                  <w:pPr>
                    <w:pStyle w:val="51"/>
                    <w:bidi w:val="0"/>
                    <w:rPr>
                      <w:rFonts w:hint="default"/>
                      <w:lang w:val="en-US" w:eastAsia="zh-CN"/>
                    </w:rPr>
                  </w:pPr>
                  <w:r>
                    <w:rPr>
                      <w:rFonts w:hint="eastAsia"/>
                      <w:lang w:val="en-US" w:eastAsia="zh-CN"/>
                    </w:rPr>
                    <w:t>排放量t/a</w:t>
                  </w:r>
                </w:p>
              </w:tc>
            </w:tr>
            <w:tr w14:paraId="4E234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00" w:type="dxa"/>
                  <w:vMerge w:val="restart"/>
                  <w:tcBorders>
                    <w:top w:val="single" w:color="auto" w:sz="4" w:space="0"/>
                    <w:left w:val="single" w:color="auto" w:sz="0" w:space="0"/>
                    <w:right w:val="single" w:color="auto" w:sz="4" w:space="0"/>
                  </w:tcBorders>
                  <w:shd w:val="clear" w:color="auto" w:fill="auto"/>
                  <w:noWrap/>
                  <w:vAlign w:val="center"/>
                </w:tcPr>
                <w:p w14:paraId="259A52AF">
                  <w:pPr>
                    <w:pStyle w:val="51"/>
                    <w:bidi w:val="0"/>
                    <w:rPr>
                      <w:rFonts w:hint="eastAsia"/>
                    </w:rPr>
                  </w:pPr>
                  <w:r>
                    <w:rPr>
                      <w:rFonts w:hint="eastAsia"/>
                      <w:lang w:val="en-US" w:eastAsia="zh-CN"/>
                    </w:rPr>
                    <w:t>金属分选（2万t）</w:t>
                  </w:r>
                </w:p>
              </w:tc>
              <w:tc>
                <w:tcPr>
                  <w:tcW w:w="17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D86523">
                  <w:pPr>
                    <w:pStyle w:val="51"/>
                    <w:bidi w:val="0"/>
                    <w:rPr>
                      <w:rFonts w:hint="eastAsia"/>
                    </w:rPr>
                  </w:pPr>
                  <w:r>
                    <w:rPr>
                      <w:rFonts w:hint="eastAsia"/>
                      <w:lang w:val="en-US" w:eastAsia="zh-CN"/>
                    </w:rPr>
                    <w:t>上料</w:t>
                  </w:r>
                </w:p>
              </w:tc>
              <w:tc>
                <w:tcPr>
                  <w:tcW w:w="19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7B56DD">
                  <w:pPr>
                    <w:pStyle w:val="51"/>
                    <w:bidi w:val="0"/>
                    <w:rPr>
                      <w:rFonts w:hint="eastAsia"/>
                    </w:rPr>
                  </w:pPr>
                  <w:r>
                    <w:rPr>
                      <w:rFonts w:hint="eastAsia"/>
                      <w:lang w:val="en-US" w:eastAsia="zh-CN"/>
                    </w:rPr>
                    <w:t>0.01kg/t</w:t>
                  </w:r>
                </w:p>
              </w:tc>
              <w:tc>
                <w:tcPr>
                  <w:tcW w:w="20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23CD9">
                  <w:pPr>
                    <w:pStyle w:val="51"/>
                    <w:bidi w:val="0"/>
                    <w:rPr>
                      <w:rFonts w:hint="eastAsia"/>
                    </w:rPr>
                  </w:pPr>
                  <w:r>
                    <w:rPr>
                      <w:rFonts w:hint="eastAsia"/>
                      <w:lang w:val="en-US" w:eastAsia="zh-CN"/>
                    </w:rPr>
                    <w:t>0.2</w:t>
                  </w:r>
                </w:p>
              </w:tc>
            </w:tr>
            <w:tr w14:paraId="4E982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00" w:type="dxa"/>
                  <w:vMerge w:val="continue"/>
                  <w:tcBorders>
                    <w:left w:val="single" w:color="auto" w:sz="0" w:space="0"/>
                    <w:right w:val="single" w:color="auto" w:sz="4" w:space="0"/>
                  </w:tcBorders>
                  <w:shd w:val="clear" w:color="auto" w:fill="auto"/>
                  <w:noWrap/>
                  <w:vAlign w:val="center"/>
                </w:tcPr>
                <w:p w14:paraId="4B1EE3FE">
                  <w:pPr>
                    <w:pStyle w:val="51"/>
                    <w:bidi w:val="0"/>
                    <w:rPr>
                      <w:rFonts w:hint="eastAsia"/>
                    </w:rPr>
                  </w:pPr>
                </w:p>
              </w:tc>
              <w:tc>
                <w:tcPr>
                  <w:tcW w:w="17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0ED5FD">
                  <w:pPr>
                    <w:pStyle w:val="51"/>
                    <w:bidi w:val="0"/>
                    <w:rPr>
                      <w:rFonts w:hint="eastAsia"/>
                    </w:rPr>
                  </w:pPr>
                  <w:r>
                    <w:rPr>
                      <w:rFonts w:hint="eastAsia"/>
                      <w:lang w:val="en-US" w:eastAsia="zh-CN"/>
                    </w:rPr>
                    <w:t>空分</w:t>
                  </w:r>
                </w:p>
              </w:tc>
              <w:tc>
                <w:tcPr>
                  <w:tcW w:w="19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49FB93">
                  <w:pPr>
                    <w:pStyle w:val="51"/>
                    <w:bidi w:val="0"/>
                    <w:rPr>
                      <w:rFonts w:hint="eastAsia"/>
                    </w:rPr>
                  </w:pPr>
                  <w:r>
                    <w:rPr>
                      <w:rFonts w:hint="eastAsia"/>
                      <w:lang w:val="en-US" w:eastAsia="zh-CN"/>
                    </w:rPr>
                    <w:t>0.05kg/t</w:t>
                  </w:r>
                </w:p>
              </w:tc>
              <w:tc>
                <w:tcPr>
                  <w:tcW w:w="20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3D2884">
                  <w:pPr>
                    <w:pStyle w:val="51"/>
                    <w:bidi w:val="0"/>
                    <w:rPr>
                      <w:rFonts w:hint="eastAsia"/>
                    </w:rPr>
                  </w:pPr>
                  <w:r>
                    <w:rPr>
                      <w:rFonts w:hint="eastAsia"/>
                      <w:lang w:val="en-US" w:eastAsia="zh-CN"/>
                    </w:rPr>
                    <w:t>1</w:t>
                  </w:r>
                </w:p>
              </w:tc>
            </w:tr>
            <w:tr w14:paraId="3BEF8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00" w:type="dxa"/>
                  <w:vMerge w:val="continue"/>
                  <w:tcBorders>
                    <w:left w:val="single" w:color="auto" w:sz="0" w:space="0"/>
                    <w:bottom w:val="single" w:color="auto" w:sz="4" w:space="0"/>
                    <w:right w:val="single" w:color="auto" w:sz="4" w:space="0"/>
                  </w:tcBorders>
                  <w:shd w:val="clear" w:color="auto" w:fill="auto"/>
                  <w:noWrap/>
                  <w:vAlign w:val="center"/>
                </w:tcPr>
                <w:p w14:paraId="37762F4B">
                  <w:pPr>
                    <w:pStyle w:val="51"/>
                    <w:bidi w:val="0"/>
                    <w:rPr>
                      <w:rFonts w:hint="eastAsia"/>
                    </w:rPr>
                  </w:pPr>
                </w:p>
              </w:tc>
              <w:tc>
                <w:tcPr>
                  <w:tcW w:w="17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C1950">
                  <w:pPr>
                    <w:pStyle w:val="51"/>
                    <w:bidi w:val="0"/>
                    <w:rPr>
                      <w:rFonts w:hint="eastAsia"/>
                    </w:rPr>
                  </w:pPr>
                  <w:r>
                    <w:rPr>
                      <w:rFonts w:hint="eastAsia"/>
                      <w:lang w:val="en-US" w:eastAsia="zh-CN"/>
                    </w:rPr>
                    <w:t>筛分</w:t>
                  </w:r>
                </w:p>
              </w:tc>
              <w:tc>
                <w:tcPr>
                  <w:tcW w:w="19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9C3B15">
                  <w:pPr>
                    <w:pStyle w:val="51"/>
                    <w:bidi w:val="0"/>
                    <w:rPr>
                      <w:rFonts w:hint="eastAsia"/>
                    </w:rPr>
                  </w:pPr>
                  <w:r>
                    <w:rPr>
                      <w:rFonts w:hint="eastAsia"/>
                      <w:lang w:val="en-US" w:eastAsia="zh-CN"/>
                    </w:rPr>
                    <w:t>0.05kg/t</w:t>
                  </w:r>
                </w:p>
              </w:tc>
              <w:tc>
                <w:tcPr>
                  <w:tcW w:w="20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4DCE1D">
                  <w:pPr>
                    <w:pStyle w:val="51"/>
                    <w:bidi w:val="0"/>
                    <w:rPr>
                      <w:rFonts w:hint="eastAsia"/>
                    </w:rPr>
                  </w:pPr>
                  <w:r>
                    <w:rPr>
                      <w:rFonts w:hint="eastAsia"/>
                      <w:lang w:val="en-US" w:eastAsia="zh-CN"/>
                    </w:rPr>
                    <w:t>1</w:t>
                  </w:r>
                </w:p>
              </w:tc>
            </w:tr>
            <w:tr w14:paraId="70B29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00" w:type="dxa"/>
                  <w:vMerge w:val="restart"/>
                  <w:tcBorders>
                    <w:top w:val="single" w:color="auto" w:sz="4" w:space="0"/>
                    <w:left w:val="single" w:color="auto" w:sz="4" w:space="0"/>
                    <w:right w:val="single" w:color="auto" w:sz="4" w:space="0"/>
                  </w:tcBorders>
                  <w:shd w:val="clear" w:color="auto" w:fill="auto"/>
                  <w:noWrap/>
                  <w:vAlign w:val="center"/>
                </w:tcPr>
                <w:p w14:paraId="3BCDD029">
                  <w:pPr>
                    <w:pStyle w:val="51"/>
                    <w:bidi w:val="0"/>
                    <w:rPr>
                      <w:rFonts w:hint="eastAsia"/>
                    </w:rPr>
                  </w:pPr>
                  <w:r>
                    <w:rPr>
                      <w:rFonts w:hint="default"/>
                      <w:lang w:val="en-US" w:eastAsia="zh-CN"/>
                    </w:rPr>
                    <w:t>漂浮分选</w:t>
                  </w:r>
                  <w:r>
                    <w:rPr>
                      <w:rFonts w:hint="eastAsia"/>
                      <w:lang w:val="en-US" w:eastAsia="zh-CN"/>
                    </w:rPr>
                    <w:t>（8182.8t）</w:t>
                  </w:r>
                </w:p>
              </w:tc>
              <w:tc>
                <w:tcPr>
                  <w:tcW w:w="17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A547BB">
                  <w:pPr>
                    <w:pStyle w:val="51"/>
                    <w:bidi w:val="0"/>
                    <w:ind w:firstLine="0" w:firstLineChars="0"/>
                    <w:rPr>
                      <w:rFonts w:hint="eastAsia"/>
                    </w:rPr>
                  </w:pPr>
                  <w:r>
                    <w:rPr>
                      <w:rFonts w:hint="eastAsia"/>
                      <w:lang w:val="en-US" w:eastAsia="zh-CN"/>
                    </w:rPr>
                    <w:t>上料</w:t>
                  </w:r>
                </w:p>
              </w:tc>
              <w:tc>
                <w:tcPr>
                  <w:tcW w:w="19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F097D2">
                  <w:pPr>
                    <w:pStyle w:val="51"/>
                    <w:bidi w:val="0"/>
                    <w:ind w:firstLine="0" w:firstLineChars="0"/>
                    <w:rPr>
                      <w:rFonts w:hint="eastAsia"/>
                    </w:rPr>
                  </w:pPr>
                  <w:r>
                    <w:rPr>
                      <w:rFonts w:hint="eastAsia"/>
                      <w:lang w:val="en-US" w:eastAsia="zh-CN"/>
                    </w:rPr>
                    <w:t>0.01kg/t</w:t>
                  </w:r>
                </w:p>
              </w:tc>
              <w:tc>
                <w:tcPr>
                  <w:tcW w:w="20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F991CB">
                  <w:pPr>
                    <w:pStyle w:val="51"/>
                    <w:bidi w:val="0"/>
                    <w:ind w:firstLine="0" w:firstLineChars="0"/>
                    <w:rPr>
                      <w:rFonts w:hint="eastAsia"/>
                    </w:rPr>
                  </w:pPr>
                  <w:r>
                    <w:rPr>
                      <w:rFonts w:hint="eastAsia"/>
                      <w:lang w:val="en-US" w:eastAsia="zh-CN"/>
                    </w:rPr>
                    <w:t>0.082</w:t>
                  </w:r>
                </w:p>
              </w:tc>
            </w:tr>
            <w:tr w14:paraId="0F7A1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00" w:type="dxa"/>
                  <w:vMerge w:val="continue"/>
                  <w:tcBorders>
                    <w:left w:val="single" w:color="auto" w:sz="4" w:space="0"/>
                    <w:bottom w:val="single" w:color="auto" w:sz="4" w:space="0"/>
                    <w:right w:val="single" w:color="auto" w:sz="4" w:space="0"/>
                  </w:tcBorders>
                  <w:shd w:val="clear" w:color="auto" w:fill="auto"/>
                  <w:noWrap/>
                  <w:vAlign w:val="center"/>
                </w:tcPr>
                <w:p w14:paraId="27705E1B">
                  <w:pPr>
                    <w:pStyle w:val="51"/>
                    <w:bidi w:val="0"/>
                    <w:rPr>
                      <w:rFonts w:hint="eastAsia"/>
                    </w:rPr>
                  </w:pPr>
                </w:p>
              </w:tc>
              <w:tc>
                <w:tcPr>
                  <w:tcW w:w="17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2E8733">
                  <w:pPr>
                    <w:pStyle w:val="51"/>
                    <w:bidi w:val="0"/>
                    <w:ind w:firstLine="0" w:firstLineChars="0"/>
                    <w:rPr>
                      <w:rFonts w:hint="eastAsia" w:eastAsia="宋体"/>
                      <w:lang w:val="en-US" w:eastAsia="zh-CN"/>
                    </w:rPr>
                  </w:pPr>
                  <w:r>
                    <w:rPr>
                      <w:rFonts w:hint="eastAsia"/>
                      <w:lang w:val="en-US" w:eastAsia="zh-CN"/>
                    </w:rPr>
                    <w:t>破碎</w:t>
                  </w:r>
                </w:p>
              </w:tc>
              <w:tc>
                <w:tcPr>
                  <w:tcW w:w="19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F1CDCD">
                  <w:pPr>
                    <w:pStyle w:val="51"/>
                    <w:bidi w:val="0"/>
                    <w:ind w:firstLine="0" w:firstLineChars="0"/>
                    <w:rPr>
                      <w:rFonts w:hint="eastAsia"/>
                    </w:rPr>
                  </w:pPr>
                  <w:r>
                    <w:rPr>
                      <w:rFonts w:hint="eastAsia"/>
                      <w:lang w:val="en-US" w:eastAsia="zh-CN"/>
                    </w:rPr>
                    <w:t>0.36kg/t</w:t>
                  </w:r>
                </w:p>
              </w:tc>
              <w:tc>
                <w:tcPr>
                  <w:tcW w:w="20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E20E74">
                  <w:pPr>
                    <w:pStyle w:val="51"/>
                    <w:bidi w:val="0"/>
                    <w:ind w:firstLine="0" w:firstLineChars="0"/>
                    <w:rPr>
                      <w:rFonts w:hint="eastAsia"/>
                    </w:rPr>
                  </w:pPr>
                  <w:r>
                    <w:rPr>
                      <w:rFonts w:hint="eastAsia"/>
                      <w:lang w:val="en-US" w:eastAsia="zh-CN"/>
                    </w:rPr>
                    <w:t>2.946</w:t>
                  </w:r>
                </w:p>
              </w:tc>
            </w:tr>
            <w:tr w14:paraId="1986F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073BCE">
                  <w:pPr>
                    <w:pStyle w:val="51"/>
                    <w:bidi w:val="0"/>
                    <w:rPr>
                      <w:rFonts w:hint="default" w:eastAsia="宋体"/>
                      <w:lang w:val="en-US" w:eastAsia="zh-CN"/>
                    </w:rPr>
                  </w:pPr>
                  <w:r>
                    <w:rPr>
                      <w:rFonts w:hint="eastAsia"/>
                      <w:lang w:val="en-US" w:eastAsia="zh-CN"/>
                    </w:rPr>
                    <w:t>塑料橡胶分选（6800t）</w:t>
                  </w:r>
                </w:p>
              </w:tc>
              <w:tc>
                <w:tcPr>
                  <w:tcW w:w="17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7FEBB9">
                  <w:pPr>
                    <w:pStyle w:val="51"/>
                    <w:bidi w:val="0"/>
                    <w:rPr>
                      <w:rFonts w:hint="eastAsia" w:eastAsia="宋体"/>
                      <w:lang w:val="en-US" w:eastAsia="zh-CN"/>
                    </w:rPr>
                  </w:pPr>
                  <w:r>
                    <w:rPr>
                      <w:rFonts w:hint="eastAsia"/>
                      <w:lang w:val="en-US" w:eastAsia="zh-CN"/>
                    </w:rPr>
                    <w:t>上料</w:t>
                  </w:r>
                </w:p>
              </w:tc>
              <w:tc>
                <w:tcPr>
                  <w:tcW w:w="19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DA90A">
                  <w:pPr>
                    <w:pStyle w:val="51"/>
                    <w:bidi w:val="0"/>
                    <w:rPr>
                      <w:rFonts w:hint="default" w:eastAsia="宋体"/>
                      <w:lang w:val="en-US" w:eastAsia="zh-CN"/>
                    </w:rPr>
                  </w:pPr>
                  <w:r>
                    <w:rPr>
                      <w:rFonts w:hint="eastAsia"/>
                      <w:lang w:val="en-US" w:eastAsia="zh-CN"/>
                    </w:rPr>
                    <w:t>0.01kg/t</w:t>
                  </w:r>
                </w:p>
              </w:tc>
              <w:tc>
                <w:tcPr>
                  <w:tcW w:w="20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73A3D4">
                  <w:pPr>
                    <w:pStyle w:val="51"/>
                    <w:bidi w:val="0"/>
                    <w:rPr>
                      <w:rFonts w:hint="default" w:eastAsia="宋体"/>
                      <w:lang w:val="en-US" w:eastAsia="zh-CN"/>
                    </w:rPr>
                  </w:pPr>
                  <w:r>
                    <w:rPr>
                      <w:rFonts w:hint="eastAsia"/>
                      <w:lang w:val="en-US" w:eastAsia="zh-CN"/>
                    </w:rPr>
                    <w:t>0.068</w:t>
                  </w:r>
                </w:p>
              </w:tc>
            </w:tr>
            <w:tr w14:paraId="271EA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89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EE25640">
                  <w:pPr>
                    <w:pStyle w:val="51"/>
                    <w:bidi w:val="0"/>
                    <w:rPr>
                      <w:rFonts w:hint="eastAsia" w:eastAsia="宋体"/>
                      <w:lang w:val="en-US" w:eastAsia="zh-CN"/>
                    </w:rPr>
                  </w:pPr>
                  <w:r>
                    <w:rPr>
                      <w:rFonts w:hint="eastAsia"/>
                      <w:lang w:val="en-US" w:eastAsia="zh-CN"/>
                    </w:rPr>
                    <w:t>总计</w:t>
                  </w:r>
                </w:p>
              </w:tc>
              <w:tc>
                <w:tcPr>
                  <w:tcW w:w="20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5BB5A">
                  <w:pPr>
                    <w:pStyle w:val="51"/>
                    <w:bidi w:val="0"/>
                    <w:rPr>
                      <w:rFonts w:hint="default" w:eastAsia="宋体"/>
                      <w:lang w:val="en-US" w:eastAsia="zh-CN"/>
                    </w:rPr>
                  </w:pPr>
                  <w:r>
                    <w:rPr>
                      <w:rFonts w:hint="eastAsia"/>
                      <w:lang w:val="en-US" w:eastAsia="zh-CN"/>
                    </w:rPr>
                    <w:t>5.296</w:t>
                  </w:r>
                </w:p>
              </w:tc>
            </w:tr>
          </w:tbl>
          <w:p w14:paraId="39F4627E">
            <w:pPr>
              <w:pStyle w:val="39"/>
              <w:bidi w:val="0"/>
              <w:rPr>
                <w:rFonts w:hint="default"/>
                <w:lang w:val="en-US" w:eastAsia="zh-CN"/>
              </w:rPr>
            </w:pPr>
            <w:r>
              <w:rPr>
                <w:rFonts w:hint="eastAsia"/>
                <w:lang w:val="en-US" w:eastAsia="zh-CN"/>
              </w:rPr>
              <w:t>由上表可知，项目颗粒物排放量为5.296t/a，项目年运行时间为7200h，则排放速率为0.74kg/h。项目各工艺中上料、空分、筛分、破碎等工序均位于生产车间内，各工序设置集气罩进行收集颗粒物灰尘，采用布袋除尘器对污染物进行处理，通过15m高排气筒排放。参考《关于印发《主要污染物总量减排核算技术指南（2022年修订）》的通知》（环办综合函[2022]350号）中表2-3，工艺中上料、空分、筛分、破碎等工序均位于生产车间内，采用负压收集，收集率为90%，4.766t/a，未被收集的以无组织形式排放，无组织排放量为0.53t/a，排放速率为0.074kg/h。</w:t>
            </w:r>
          </w:p>
          <w:p w14:paraId="27B2E0EF">
            <w:pPr>
              <w:pStyle w:val="46"/>
              <w:bidi w:val="0"/>
              <w:rPr>
                <w:rFonts w:hint="default"/>
                <w:lang w:val="en-US" w:eastAsia="zh-CN"/>
              </w:rPr>
            </w:pPr>
            <w:r>
              <w:rPr>
                <w:rFonts w:hint="eastAsia"/>
                <w:lang w:val="en-US" w:eastAsia="zh-CN"/>
              </w:rPr>
              <w:t>表4-2   有组织颗粒物排放源强</w:t>
            </w:r>
          </w:p>
          <w:tbl>
            <w:tblPr>
              <w:tblStyle w:val="114"/>
              <w:tblW w:w="79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2"/>
              <w:gridCol w:w="740"/>
              <w:gridCol w:w="487"/>
              <w:gridCol w:w="394"/>
              <w:gridCol w:w="756"/>
              <w:gridCol w:w="524"/>
              <w:gridCol w:w="623"/>
              <w:gridCol w:w="503"/>
              <w:gridCol w:w="472"/>
              <w:gridCol w:w="456"/>
              <w:gridCol w:w="676"/>
              <w:gridCol w:w="757"/>
              <w:gridCol w:w="667"/>
              <w:gridCol w:w="450"/>
            </w:tblGrid>
            <w:tr w14:paraId="78E0B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32" w:type="dxa"/>
                  <w:vMerge w:val="restart"/>
                  <w:tcBorders>
                    <w:tl2br w:val="nil"/>
                    <w:tr2bl w:val="nil"/>
                  </w:tcBorders>
                  <w:noWrap w:val="0"/>
                  <w:vAlign w:val="center"/>
                </w:tcPr>
                <w:p w14:paraId="78A87888">
                  <w:pPr>
                    <w:pStyle w:val="51"/>
                    <w:bidi w:val="0"/>
                    <w:jc w:val="center"/>
                  </w:pPr>
                  <w:r>
                    <w:t>污染源</w:t>
                  </w:r>
                </w:p>
              </w:tc>
              <w:tc>
                <w:tcPr>
                  <w:tcW w:w="740" w:type="dxa"/>
                  <w:vMerge w:val="restart"/>
                  <w:tcBorders>
                    <w:tl2br w:val="nil"/>
                    <w:tr2bl w:val="nil"/>
                  </w:tcBorders>
                  <w:noWrap w:val="0"/>
                  <w:vAlign w:val="center"/>
                </w:tcPr>
                <w:p w14:paraId="54A4602F">
                  <w:pPr>
                    <w:pStyle w:val="51"/>
                    <w:bidi w:val="0"/>
                    <w:jc w:val="center"/>
                  </w:pPr>
                  <w:r>
                    <w:t>污染环节</w:t>
                  </w:r>
                </w:p>
              </w:tc>
              <w:tc>
                <w:tcPr>
                  <w:tcW w:w="487" w:type="dxa"/>
                  <w:vMerge w:val="restart"/>
                  <w:tcBorders>
                    <w:tl2br w:val="nil"/>
                    <w:tr2bl w:val="nil"/>
                  </w:tcBorders>
                  <w:noWrap w:val="0"/>
                  <w:vAlign w:val="center"/>
                </w:tcPr>
                <w:p w14:paraId="09C7BA29">
                  <w:pPr>
                    <w:pStyle w:val="51"/>
                    <w:bidi w:val="0"/>
                    <w:jc w:val="center"/>
                  </w:pPr>
                  <w:r>
                    <w:t>排放方式</w:t>
                  </w:r>
                </w:p>
              </w:tc>
              <w:tc>
                <w:tcPr>
                  <w:tcW w:w="394" w:type="dxa"/>
                  <w:vMerge w:val="restart"/>
                  <w:tcBorders>
                    <w:tl2br w:val="nil"/>
                    <w:tr2bl w:val="nil"/>
                  </w:tcBorders>
                  <w:noWrap w:val="0"/>
                  <w:vAlign w:val="center"/>
                </w:tcPr>
                <w:p w14:paraId="5052E1BD">
                  <w:pPr>
                    <w:pStyle w:val="51"/>
                    <w:bidi w:val="0"/>
                    <w:jc w:val="center"/>
                  </w:pPr>
                  <w:r>
                    <w:t>污染物</w:t>
                  </w:r>
                </w:p>
              </w:tc>
              <w:tc>
                <w:tcPr>
                  <w:tcW w:w="2406" w:type="dxa"/>
                  <w:gridSpan w:val="4"/>
                  <w:tcBorders>
                    <w:tl2br w:val="nil"/>
                    <w:tr2bl w:val="nil"/>
                  </w:tcBorders>
                  <w:noWrap w:val="0"/>
                  <w:vAlign w:val="center"/>
                </w:tcPr>
                <w:p w14:paraId="3E66C4B6">
                  <w:pPr>
                    <w:pStyle w:val="51"/>
                    <w:bidi w:val="0"/>
                    <w:jc w:val="center"/>
                  </w:pPr>
                  <w:r>
                    <w:t>污染物产生</w:t>
                  </w:r>
                </w:p>
              </w:tc>
              <w:tc>
                <w:tcPr>
                  <w:tcW w:w="928" w:type="dxa"/>
                  <w:gridSpan w:val="2"/>
                  <w:tcBorders>
                    <w:tl2br w:val="nil"/>
                    <w:tr2bl w:val="nil"/>
                  </w:tcBorders>
                  <w:noWrap w:val="0"/>
                  <w:vAlign w:val="center"/>
                </w:tcPr>
                <w:p w14:paraId="3EF8A41A">
                  <w:pPr>
                    <w:pStyle w:val="51"/>
                    <w:bidi w:val="0"/>
                    <w:jc w:val="center"/>
                  </w:pPr>
                  <w:r>
                    <w:t>治理措施</w:t>
                  </w:r>
                </w:p>
              </w:tc>
              <w:tc>
                <w:tcPr>
                  <w:tcW w:w="2100" w:type="dxa"/>
                  <w:gridSpan w:val="3"/>
                  <w:tcBorders>
                    <w:tl2br w:val="nil"/>
                    <w:tr2bl w:val="nil"/>
                  </w:tcBorders>
                  <w:noWrap w:val="0"/>
                  <w:vAlign w:val="center"/>
                </w:tcPr>
                <w:p w14:paraId="3750A81E">
                  <w:pPr>
                    <w:pStyle w:val="51"/>
                    <w:bidi w:val="0"/>
                    <w:jc w:val="center"/>
                  </w:pPr>
                  <w:r>
                    <w:t>污染物排放</w:t>
                  </w:r>
                </w:p>
              </w:tc>
              <w:tc>
                <w:tcPr>
                  <w:tcW w:w="450" w:type="dxa"/>
                  <w:vMerge w:val="restart"/>
                  <w:tcBorders>
                    <w:tl2br w:val="nil"/>
                    <w:tr2bl w:val="nil"/>
                  </w:tcBorders>
                  <w:noWrap w:val="0"/>
                  <w:vAlign w:val="center"/>
                </w:tcPr>
                <w:p w14:paraId="7C463EBB">
                  <w:pPr>
                    <w:pStyle w:val="51"/>
                    <w:bidi w:val="0"/>
                    <w:jc w:val="center"/>
                  </w:pPr>
                  <w:r>
                    <w:t>排放时间h</w:t>
                  </w:r>
                </w:p>
              </w:tc>
            </w:tr>
            <w:tr w14:paraId="0924C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32" w:type="dxa"/>
                  <w:vMerge w:val="continue"/>
                  <w:tcBorders>
                    <w:tl2br w:val="nil"/>
                    <w:tr2bl w:val="nil"/>
                  </w:tcBorders>
                  <w:noWrap w:val="0"/>
                  <w:textDirection w:val="tbRlV"/>
                  <w:vAlign w:val="center"/>
                </w:tcPr>
                <w:p w14:paraId="5668FCD3">
                  <w:pPr>
                    <w:pStyle w:val="51"/>
                    <w:bidi w:val="0"/>
                    <w:jc w:val="center"/>
                  </w:pPr>
                </w:p>
              </w:tc>
              <w:tc>
                <w:tcPr>
                  <w:tcW w:w="740" w:type="dxa"/>
                  <w:vMerge w:val="continue"/>
                  <w:tcBorders>
                    <w:tl2br w:val="nil"/>
                    <w:tr2bl w:val="nil"/>
                  </w:tcBorders>
                  <w:noWrap w:val="0"/>
                  <w:vAlign w:val="center"/>
                </w:tcPr>
                <w:p w14:paraId="7F272E0C">
                  <w:pPr>
                    <w:pStyle w:val="51"/>
                    <w:bidi w:val="0"/>
                    <w:jc w:val="center"/>
                  </w:pPr>
                </w:p>
              </w:tc>
              <w:tc>
                <w:tcPr>
                  <w:tcW w:w="487" w:type="dxa"/>
                  <w:vMerge w:val="continue"/>
                  <w:tcBorders>
                    <w:tl2br w:val="nil"/>
                    <w:tr2bl w:val="nil"/>
                  </w:tcBorders>
                  <w:noWrap w:val="0"/>
                  <w:textDirection w:val="tbRlV"/>
                  <w:vAlign w:val="center"/>
                </w:tcPr>
                <w:p w14:paraId="0D821EDF">
                  <w:pPr>
                    <w:pStyle w:val="51"/>
                    <w:bidi w:val="0"/>
                    <w:jc w:val="center"/>
                  </w:pPr>
                </w:p>
              </w:tc>
              <w:tc>
                <w:tcPr>
                  <w:tcW w:w="394" w:type="dxa"/>
                  <w:vMerge w:val="continue"/>
                  <w:tcBorders>
                    <w:tl2br w:val="nil"/>
                    <w:tr2bl w:val="nil"/>
                  </w:tcBorders>
                  <w:noWrap w:val="0"/>
                  <w:textDirection w:val="tbRlV"/>
                  <w:vAlign w:val="center"/>
                </w:tcPr>
                <w:p w14:paraId="14F566AB">
                  <w:pPr>
                    <w:pStyle w:val="51"/>
                    <w:bidi w:val="0"/>
                    <w:jc w:val="center"/>
                  </w:pPr>
                </w:p>
              </w:tc>
              <w:tc>
                <w:tcPr>
                  <w:tcW w:w="756" w:type="dxa"/>
                  <w:tcBorders>
                    <w:tl2br w:val="nil"/>
                    <w:tr2bl w:val="nil"/>
                  </w:tcBorders>
                  <w:noWrap w:val="0"/>
                  <w:vAlign w:val="center"/>
                </w:tcPr>
                <w:p w14:paraId="607078E1">
                  <w:pPr>
                    <w:pStyle w:val="51"/>
                    <w:bidi w:val="0"/>
                    <w:jc w:val="center"/>
                  </w:pPr>
                  <w:r>
                    <w:t>核算方法</w:t>
                  </w:r>
                </w:p>
              </w:tc>
              <w:tc>
                <w:tcPr>
                  <w:tcW w:w="524" w:type="dxa"/>
                  <w:tcBorders>
                    <w:tl2br w:val="nil"/>
                    <w:tr2bl w:val="nil"/>
                  </w:tcBorders>
                  <w:noWrap w:val="0"/>
                  <w:vAlign w:val="center"/>
                </w:tcPr>
                <w:p w14:paraId="4EA54767">
                  <w:pPr>
                    <w:pStyle w:val="51"/>
                    <w:bidi w:val="0"/>
                    <w:jc w:val="center"/>
                  </w:pPr>
                  <w:r>
                    <w:t>废气量m</w:t>
                  </w:r>
                  <w:r>
                    <w:rPr>
                      <w:vertAlign w:val="superscript"/>
                    </w:rPr>
                    <w:t>3</w:t>
                  </w:r>
                  <w:r>
                    <w:t>/h</w:t>
                  </w:r>
                </w:p>
              </w:tc>
              <w:tc>
                <w:tcPr>
                  <w:tcW w:w="623" w:type="dxa"/>
                  <w:tcBorders>
                    <w:tl2br w:val="nil"/>
                    <w:tr2bl w:val="nil"/>
                  </w:tcBorders>
                  <w:noWrap w:val="0"/>
                  <w:vAlign w:val="center"/>
                </w:tcPr>
                <w:p w14:paraId="53C59D40">
                  <w:pPr>
                    <w:pStyle w:val="51"/>
                    <w:bidi w:val="0"/>
                    <w:jc w:val="center"/>
                  </w:pPr>
                  <w:r>
                    <w:t>产生浓度mg/m</w:t>
                  </w:r>
                  <w:r>
                    <w:rPr>
                      <w:vertAlign w:val="superscript"/>
                    </w:rPr>
                    <w:t>3</w:t>
                  </w:r>
                </w:p>
              </w:tc>
              <w:tc>
                <w:tcPr>
                  <w:tcW w:w="503" w:type="dxa"/>
                  <w:tcBorders>
                    <w:tl2br w:val="nil"/>
                    <w:tr2bl w:val="nil"/>
                  </w:tcBorders>
                  <w:noWrap w:val="0"/>
                  <w:vAlign w:val="center"/>
                </w:tcPr>
                <w:p w14:paraId="37CA218B">
                  <w:pPr>
                    <w:pStyle w:val="51"/>
                    <w:bidi w:val="0"/>
                    <w:jc w:val="center"/>
                  </w:pPr>
                  <w:r>
                    <w:t>产生量kg/h</w:t>
                  </w:r>
                </w:p>
              </w:tc>
              <w:tc>
                <w:tcPr>
                  <w:tcW w:w="472" w:type="dxa"/>
                  <w:tcBorders>
                    <w:tl2br w:val="nil"/>
                    <w:tr2bl w:val="nil"/>
                  </w:tcBorders>
                  <w:noWrap w:val="0"/>
                  <w:vAlign w:val="center"/>
                </w:tcPr>
                <w:p w14:paraId="74C761C2">
                  <w:pPr>
                    <w:pStyle w:val="51"/>
                    <w:bidi w:val="0"/>
                    <w:jc w:val="center"/>
                  </w:pPr>
                  <w:r>
                    <w:t>工艺</w:t>
                  </w:r>
                </w:p>
              </w:tc>
              <w:tc>
                <w:tcPr>
                  <w:tcW w:w="456" w:type="dxa"/>
                  <w:tcBorders>
                    <w:tl2br w:val="nil"/>
                    <w:tr2bl w:val="nil"/>
                  </w:tcBorders>
                  <w:noWrap w:val="0"/>
                  <w:vAlign w:val="center"/>
                </w:tcPr>
                <w:p w14:paraId="19CFA189">
                  <w:pPr>
                    <w:pStyle w:val="51"/>
                    <w:bidi w:val="0"/>
                    <w:jc w:val="center"/>
                  </w:pPr>
                  <w:r>
                    <w:t>效率%</w:t>
                  </w:r>
                </w:p>
              </w:tc>
              <w:tc>
                <w:tcPr>
                  <w:tcW w:w="676" w:type="dxa"/>
                  <w:tcBorders>
                    <w:tl2br w:val="nil"/>
                    <w:tr2bl w:val="nil"/>
                  </w:tcBorders>
                  <w:noWrap w:val="0"/>
                  <w:vAlign w:val="center"/>
                </w:tcPr>
                <w:p w14:paraId="43946B86">
                  <w:pPr>
                    <w:pStyle w:val="51"/>
                    <w:bidi w:val="0"/>
                    <w:jc w:val="center"/>
                  </w:pPr>
                  <w:r>
                    <w:t>废气量</w:t>
                  </w:r>
                </w:p>
                <w:p w14:paraId="602063A5">
                  <w:pPr>
                    <w:pStyle w:val="51"/>
                    <w:bidi w:val="0"/>
                    <w:jc w:val="center"/>
                  </w:pPr>
                  <w:r>
                    <w:t>m</w:t>
                  </w:r>
                  <w:r>
                    <w:rPr>
                      <w:vertAlign w:val="superscript"/>
                    </w:rPr>
                    <w:t>3</w:t>
                  </w:r>
                  <w:r>
                    <w:t>/h</w:t>
                  </w:r>
                </w:p>
              </w:tc>
              <w:tc>
                <w:tcPr>
                  <w:tcW w:w="757" w:type="dxa"/>
                  <w:tcBorders>
                    <w:tl2br w:val="nil"/>
                    <w:tr2bl w:val="nil"/>
                  </w:tcBorders>
                  <w:noWrap w:val="0"/>
                  <w:vAlign w:val="center"/>
                </w:tcPr>
                <w:p w14:paraId="3D02C5C9">
                  <w:pPr>
                    <w:pStyle w:val="51"/>
                    <w:bidi w:val="0"/>
                    <w:jc w:val="center"/>
                  </w:pPr>
                  <w:r>
                    <w:t>排放浓度mg/m</w:t>
                  </w:r>
                  <w:r>
                    <w:rPr>
                      <w:vertAlign w:val="superscript"/>
                    </w:rPr>
                    <w:t>3</w:t>
                  </w:r>
                </w:p>
              </w:tc>
              <w:tc>
                <w:tcPr>
                  <w:tcW w:w="667" w:type="dxa"/>
                  <w:tcBorders>
                    <w:tl2br w:val="nil"/>
                    <w:tr2bl w:val="nil"/>
                  </w:tcBorders>
                  <w:noWrap w:val="0"/>
                  <w:vAlign w:val="center"/>
                </w:tcPr>
                <w:p w14:paraId="14878B07">
                  <w:pPr>
                    <w:pStyle w:val="51"/>
                    <w:bidi w:val="0"/>
                    <w:jc w:val="center"/>
                  </w:pPr>
                  <w:r>
                    <w:t>排放量kg/h</w:t>
                  </w:r>
                </w:p>
              </w:tc>
              <w:tc>
                <w:tcPr>
                  <w:tcW w:w="450" w:type="dxa"/>
                  <w:vMerge w:val="continue"/>
                  <w:tcBorders>
                    <w:tl2br w:val="nil"/>
                    <w:tr2bl w:val="nil"/>
                  </w:tcBorders>
                  <w:noWrap w:val="0"/>
                  <w:vAlign w:val="center"/>
                </w:tcPr>
                <w:p w14:paraId="4839AEB5">
                  <w:pPr>
                    <w:pStyle w:val="51"/>
                    <w:bidi w:val="0"/>
                    <w:jc w:val="center"/>
                  </w:pPr>
                </w:p>
              </w:tc>
            </w:tr>
            <w:tr w14:paraId="04EEE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32" w:type="dxa"/>
                  <w:tcBorders>
                    <w:tl2br w:val="nil"/>
                    <w:tr2bl w:val="nil"/>
                  </w:tcBorders>
                  <w:noWrap w:val="0"/>
                  <w:vAlign w:val="center"/>
                </w:tcPr>
                <w:p w14:paraId="75F6CC29">
                  <w:pPr>
                    <w:pStyle w:val="51"/>
                    <w:bidi w:val="0"/>
                    <w:jc w:val="center"/>
                    <w:rPr>
                      <w:rFonts w:hint="default" w:eastAsia="宋体"/>
                      <w:lang w:val="en-US" w:eastAsia="zh-CN"/>
                    </w:rPr>
                  </w:pPr>
                  <w:r>
                    <w:rPr>
                      <w:rFonts w:hint="eastAsia"/>
                      <w:lang w:val="en-US" w:eastAsia="zh-CN"/>
                    </w:rPr>
                    <w:t>P1</w:t>
                  </w:r>
                </w:p>
              </w:tc>
              <w:tc>
                <w:tcPr>
                  <w:tcW w:w="740" w:type="dxa"/>
                  <w:tcBorders>
                    <w:tl2br w:val="nil"/>
                    <w:tr2bl w:val="nil"/>
                  </w:tcBorders>
                  <w:noWrap w:val="0"/>
                  <w:vAlign w:val="center"/>
                </w:tcPr>
                <w:p w14:paraId="5CD2712D">
                  <w:pPr>
                    <w:pStyle w:val="51"/>
                    <w:bidi w:val="0"/>
                    <w:jc w:val="center"/>
                  </w:pPr>
                  <w:r>
                    <w:t>上料、空分、筛分、破碎工序</w:t>
                  </w:r>
                </w:p>
              </w:tc>
              <w:tc>
                <w:tcPr>
                  <w:tcW w:w="487" w:type="dxa"/>
                  <w:tcBorders>
                    <w:tl2br w:val="nil"/>
                    <w:tr2bl w:val="nil"/>
                  </w:tcBorders>
                  <w:noWrap w:val="0"/>
                  <w:vAlign w:val="center"/>
                </w:tcPr>
                <w:p w14:paraId="20C34274">
                  <w:pPr>
                    <w:pStyle w:val="51"/>
                    <w:bidi w:val="0"/>
                    <w:jc w:val="center"/>
                  </w:pPr>
                  <w:r>
                    <w:t>有组织</w:t>
                  </w:r>
                </w:p>
              </w:tc>
              <w:tc>
                <w:tcPr>
                  <w:tcW w:w="394" w:type="dxa"/>
                  <w:tcBorders>
                    <w:tl2br w:val="nil"/>
                    <w:tr2bl w:val="nil"/>
                  </w:tcBorders>
                  <w:noWrap w:val="0"/>
                  <w:vAlign w:val="center"/>
                </w:tcPr>
                <w:p w14:paraId="04B4FC95">
                  <w:pPr>
                    <w:pStyle w:val="51"/>
                    <w:bidi w:val="0"/>
                    <w:jc w:val="center"/>
                  </w:pPr>
                  <w:r>
                    <w:t>颗粒物</w:t>
                  </w:r>
                </w:p>
              </w:tc>
              <w:tc>
                <w:tcPr>
                  <w:tcW w:w="756" w:type="dxa"/>
                  <w:tcBorders>
                    <w:tl2br w:val="nil"/>
                    <w:tr2bl w:val="nil"/>
                  </w:tcBorders>
                  <w:noWrap w:val="0"/>
                  <w:vAlign w:val="center"/>
                </w:tcPr>
                <w:p w14:paraId="5D62703A">
                  <w:pPr>
                    <w:pStyle w:val="51"/>
                    <w:bidi w:val="0"/>
                    <w:jc w:val="center"/>
                  </w:pPr>
                  <w:r>
                    <w:t>公式法、类比法</w:t>
                  </w:r>
                </w:p>
              </w:tc>
              <w:tc>
                <w:tcPr>
                  <w:tcW w:w="524" w:type="dxa"/>
                  <w:tcBorders>
                    <w:tl2br w:val="nil"/>
                    <w:tr2bl w:val="nil"/>
                  </w:tcBorders>
                  <w:noWrap w:val="0"/>
                  <w:vAlign w:val="center"/>
                </w:tcPr>
                <w:p w14:paraId="41E5EC1A">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7000</w:t>
                  </w:r>
                </w:p>
              </w:tc>
              <w:tc>
                <w:tcPr>
                  <w:tcW w:w="623" w:type="dxa"/>
                  <w:tcBorders>
                    <w:tl2br w:val="nil"/>
                    <w:tr2bl w:val="nil"/>
                  </w:tcBorders>
                  <w:noWrap w:val="0"/>
                  <w:vAlign w:val="center"/>
                </w:tcPr>
                <w:p w14:paraId="156EC474">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95.1</w:t>
                  </w:r>
                </w:p>
              </w:tc>
              <w:tc>
                <w:tcPr>
                  <w:tcW w:w="503" w:type="dxa"/>
                  <w:tcBorders>
                    <w:tl2br w:val="nil"/>
                    <w:tr2bl w:val="nil"/>
                  </w:tcBorders>
                  <w:noWrap w:val="0"/>
                  <w:vAlign w:val="center"/>
                </w:tcPr>
                <w:p w14:paraId="51EF43D7">
                  <w:pPr>
                    <w:keepNext w:val="0"/>
                    <w:keepLines w:val="0"/>
                    <w:widowControl/>
                    <w:suppressLineNumbers w:val="0"/>
                    <w:jc w:val="center"/>
                    <w:textAlignment w:val="center"/>
                    <w:rPr>
                      <w:rFonts w:hint="default" w:eastAsia="宋体"/>
                      <w:lang w:val="en-US" w:eastAsia="zh-CN"/>
                    </w:rPr>
                  </w:pPr>
                  <w:r>
                    <w:rPr>
                      <w:rFonts w:hint="default" w:ascii="Times New Roman" w:hAnsi="Times New Roman" w:eastAsia="宋体" w:cs="Times New Roman"/>
                      <w:i w:val="0"/>
                      <w:iCs w:val="0"/>
                      <w:color w:val="000000"/>
                      <w:kern w:val="0"/>
                      <w:sz w:val="21"/>
                      <w:szCs w:val="21"/>
                      <w:u w:val="none"/>
                      <w:lang w:val="en-US" w:eastAsia="zh-CN" w:bidi="ar"/>
                    </w:rPr>
                    <w:t>0.666</w:t>
                  </w:r>
                </w:p>
              </w:tc>
              <w:tc>
                <w:tcPr>
                  <w:tcW w:w="472" w:type="dxa"/>
                  <w:tcBorders>
                    <w:tl2br w:val="nil"/>
                    <w:tr2bl w:val="nil"/>
                  </w:tcBorders>
                  <w:noWrap w:val="0"/>
                  <w:vAlign w:val="center"/>
                </w:tcPr>
                <w:p w14:paraId="79A64988">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布袋除尘器</w:t>
                  </w:r>
                </w:p>
              </w:tc>
              <w:tc>
                <w:tcPr>
                  <w:tcW w:w="456" w:type="dxa"/>
                  <w:tcBorders>
                    <w:tl2br w:val="nil"/>
                    <w:tr2bl w:val="nil"/>
                  </w:tcBorders>
                  <w:noWrap w:val="0"/>
                  <w:vAlign w:val="center"/>
                </w:tcPr>
                <w:p w14:paraId="27B387F4">
                  <w:pPr>
                    <w:keepNext w:val="0"/>
                    <w:keepLines w:val="0"/>
                    <w:widowControl/>
                    <w:suppressLineNumbers w:val="0"/>
                    <w:jc w:val="center"/>
                    <w:textAlignment w:val="center"/>
                    <w:rPr>
                      <w:rFonts w:hint="eastAsia" w:eastAsia="宋体"/>
                      <w:lang w:eastAsia="zh-CN"/>
                    </w:rPr>
                  </w:pPr>
                  <w:r>
                    <w:rPr>
                      <w:rFonts w:hint="default" w:ascii="Times New Roman" w:hAnsi="Times New Roman" w:eastAsia="宋体" w:cs="Times New Roman"/>
                      <w:i w:val="0"/>
                      <w:iCs w:val="0"/>
                      <w:color w:val="000000"/>
                      <w:kern w:val="0"/>
                      <w:sz w:val="21"/>
                      <w:szCs w:val="21"/>
                      <w:u w:val="none"/>
                      <w:lang w:val="en-US" w:eastAsia="zh-CN" w:bidi="ar"/>
                    </w:rPr>
                    <w:t>99</w:t>
                  </w:r>
                </w:p>
              </w:tc>
              <w:tc>
                <w:tcPr>
                  <w:tcW w:w="676" w:type="dxa"/>
                  <w:tcBorders>
                    <w:tl2br w:val="nil"/>
                    <w:tr2bl w:val="nil"/>
                  </w:tcBorders>
                  <w:noWrap w:val="0"/>
                  <w:vAlign w:val="center"/>
                </w:tcPr>
                <w:p w14:paraId="48732FE5">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7000</w:t>
                  </w:r>
                </w:p>
              </w:tc>
              <w:tc>
                <w:tcPr>
                  <w:tcW w:w="757" w:type="dxa"/>
                  <w:tcBorders>
                    <w:tl2br w:val="nil"/>
                    <w:tr2bl w:val="nil"/>
                  </w:tcBorders>
                  <w:noWrap w:val="0"/>
                  <w:vAlign w:val="center"/>
                </w:tcPr>
                <w:p w14:paraId="0BFFCC57">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0.95</w:t>
                  </w:r>
                </w:p>
              </w:tc>
              <w:tc>
                <w:tcPr>
                  <w:tcW w:w="667" w:type="dxa"/>
                  <w:tcBorders>
                    <w:tl2br w:val="nil"/>
                    <w:tr2bl w:val="nil"/>
                  </w:tcBorders>
                  <w:noWrap w:val="0"/>
                  <w:vAlign w:val="center"/>
                </w:tcPr>
                <w:p w14:paraId="3B267610">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0.00</w:t>
                  </w:r>
                  <w:r>
                    <w:rPr>
                      <w:rFonts w:hint="eastAsia" w:ascii="Times New Roman" w:hAnsi="Times New Roman" w:eastAsia="宋体" w:cs="Times New Roman"/>
                      <w:i w:val="0"/>
                      <w:iCs w:val="0"/>
                      <w:color w:val="000000"/>
                      <w:kern w:val="0"/>
                      <w:sz w:val="21"/>
                      <w:szCs w:val="21"/>
                      <w:u w:val="none"/>
                      <w:lang w:val="en-US" w:eastAsia="zh-CN" w:bidi="ar"/>
                    </w:rPr>
                    <w:t>7</w:t>
                  </w:r>
                </w:p>
              </w:tc>
              <w:tc>
                <w:tcPr>
                  <w:tcW w:w="450" w:type="dxa"/>
                  <w:tcBorders>
                    <w:tl2br w:val="nil"/>
                    <w:tr2bl w:val="nil"/>
                  </w:tcBorders>
                  <w:noWrap w:val="0"/>
                  <w:vAlign w:val="center"/>
                </w:tcPr>
                <w:p w14:paraId="57377A12">
                  <w:pPr>
                    <w:pStyle w:val="51"/>
                    <w:bidi w:val="0"/>
                    <w:jc w:val="center"/>
                  </w:pPr>
                  <w:r>
                    <w:t>72</w:t>
                  </w:r>
                </w:p>
                <w:p w14:paraId="5B818158">
                  <w:pPr>
                    <w:pStyle w:val="51"/>
                    <w:bidi w:val="0"/>
                    <w:jc w:val="center"/>
                  </w:pPr>
                  <w:r>
                    <w:t>00</w:t>
                  </w:r>
                </w:p>
              </w:tc>
            </w:tr>
          </w:tbl>
          <w:p w14:paraId="3E69B645">
            <w:pPr>
              <w:pStyle w:val="38"/>
              <w:bidi w:val="0"/>
              <w:rPr>
                <w:rFonts w:hint="eastAsia" w:eastAsia="宋体"/>
                <w:color w:val="auto"/>
                <w:lang w:val="en-US" w:eastAsia="zh-CN"/>
              </w:rPr>
            </w:pPr>
            <w:r>
              <w:rPr>
                <w:rFonts w:hint="eastAsia"/>
                <w:color w:val="auto"/>
                <w:lang w:val="en-US" w:eastAsia="zh-CN"/>
              </w:rPr>
              <w:t>由上表可知，颗粒物排放量浓度为0.95mg/m³，可满足</w:t>
            </w:r>
            <w:r>
              <w:t>《大气污染物综合排放标准》（GB16297-1996）表2中二级排放标准</w:t>
            </w:r>
            <w:r>
              <w:rPr>
                <w:rFonts w:hint="eastAsia"/>
                <w:lang w:val="en-US" w:eastAsia="zh-CN"/>
              </w:rPr>
              <w:t>要求</w:t>
            </w:r>
            <w:r>
              <w:t>（颗粒物：3.5kg/h</w:t>
            </w:r>
            <w:r>
              <w:rPr>
                <w:rFonts w:hint="eastAsia"/>
                <w:lang w:eastAsia="zh-CN"/>
              </w:rPr>
              <w:t>，</w:t>
            </w:r>
            <w:r>
              <w:rPr>
                <w:rFonts w:hint="eastAsia"/>
                <w:lang w:val="en-US" w:eastAsia="zh-CN"/>
              </w:rPr>
              <w:t>120mg/m³</w:t>
            </w:r>
            <w:r>
              <w:t>）</w:t>
            </w:r>
            <w:r>
              <w:rPr>
                <w:rFonts w:hint="eastAsia"/>
                <w:lang w:eastAsia="zh-CN"/>
              </w:rPr>
              <w:t>。</w:t>
            </w:r>
          </w:p>
          <w:p w14:paraId="62E89EF3">
            <w:pPr>
              <w:pStyle w:val="38"/>
              <w:bidi w:val="0"/>
              <w:rPr>
                <w:rFonts w:hint="default"/>
                <w:color w:val="auto"/>
                <w:lang w:val="en-US" w:eastAsia="zh-CN"/>
              </w:rPr>
            </w:pPr>
            <w:r>
              <w:rPr>
                <w:rFonts w:hint="eastAsia"/>
                <w:color w:val="auto"/>
                <w:lang w:val="en-US" w:eastAsia="zh-CN"/>
              </w:rPr>
              <w:t>（2）无组织排放颗粒物</w:t>
            </w:r>
          </w:p>
          <w:p w14:paraId="1E2EFDAE">
            <w:pPr>
              <w:pStyle w:val="41"/>
              <w:bidi w:val="0"/>
              <w:rPr>
                <w:rFonts w:hint="default"/>
                <w:color w:val="auto"/>
                <w:lang w:val="en-US" w:eastAsia="zh-CN"/>
              </w:rPr>
            </w:pPr>
            <w:r>
              <w:rPr>
                <w:rFonts w:hint="eastAsia"/>
                <w:color w:val="auto"/>
                <w:lang w:val="en-US" w:eastAsia="zh-CN"/>
              </w:rPr>
              <w:t>①车间无组织颗粒物</w:t>
            </w:r>
          </w:p>
          <w:p w14:paraId="0DDB2C67">
            <w:pPr>
              <w:pStyle w:val="39"/>
              <w:bidi w:val="0"/>
              <w:rPr>
                <w:rFonts w:hint="default"/>
                <w:lang w:val="en-US" w:eastAsia="zh-CN"/>
              </w:rPr>
            </w:pPr>
            <w:r>
              <w:rPr>
                <w:rFonts w:hint="eastAsia"/>
                <w:lang w:val="en-US" w:eastAsia="zh-CN"/>
              </w:rPr>
              <w:t>参考《关于印发《主要污染物总量减排核算技术指南（2022年修订）》的通知》（环办综合函[2022]350号）中表2-3，工艺中上料、空分、筛分、破碎等工序均位于生产车间内，采用负压收集，收集率为90%，未被收集的以无组织形式排放，则无组织颗粒物排放量为0.53t/a，排放速率为0.074kg/h。</w:t>
            </w:r>
          </w:p>
          <w:p w14:paraId="445AD4C1">
            <w:pPr>
              <w:pStyle w:val="41"/>
              <w:bidi w:val="0"/>
              <w:rPr>
                <w:rFonts w:hint="default" w:eastAsia="宋体"/>
                <w:color w:val="auto"/>
                <w:lang w:val="en-US" w:eastAsia="zh-CN"/>
              </w:rPr>
            </w:pPr>
            <w:r>
              <w:rPr>
                <w:rFonts w:hint="eastAsia"/>
                <w:color w:val="auto"/>
                <w:lang w:val="en-US" w:eastAsia="zh-CN"/>
              </w:rPr>
              <w:t>②仓库扬尘G1</w:t>
            </w:r>
          </w:p>
          <w:p w14:paraId="6B93642A">
            <w:pPr>
              <w:pStyle w:val="41"/>
              <w:bidi w:val="0"/>
              <w:rPr>
                <w:rFonts w:hint="default" w:eastAsia="宋体"/>
                <w:color w:val="auto"/>
                <w:lang w:val="en-US" w:eastAsia="zh-CN"/>
              </w:rPr>
            </w:pPr>
            <w:r>
              <w:rPr>
                <w:color w:val="auto"/>
              </w:rPr>
              <w:t>本项目</w:t>
            </w:r>
            <w:r>
              <w:rPr>
                <w:rFonts w:hint="eastAsia"/>
                <w:color w:val="auto"/>
                <w:lang w:val="en-US" w:eastAsia="zh-CN"/>
              </w:rPr>
              <w:t>原料储存在仓库中，在储存、装卸过程中会产生扬尘，</w:t>
            </w:r>
            <w:r>
              <w:rPr>
                <w:color w:val="auto"/>
              </w:rPr>
              <w:t>本次评价采用</w:t>
            </w:r>
            <w:r>
              <w:rPr>
                <w:rFonts w:hint="eastAsia"/>
                <w:color w:val="auto"/>
                <w:lang w:eastAsia="zh-CN"/>
              </w:rPr>
              <w:t>《</w:t>
            </w:r>
            <w:r>
              <w:rPr>
                <w:rFonts w:hint="eastAsia"/>
                <w:color w:val="auto"/>
                <w:lang w:val="en-US" w:eastAsia="zh-CN"/>
              </w:rPr>
              <w:t>固体物料堆存颗粒物产排污核算系数手册</w:t>
            </w:r>
            <w:r>
              <w:rPr>
                <w:rFonts w:hint="eastAsia"/>
                <w:color w:val="auto"/>
                <w:lang w:eastAsia="zh-CN"/>
              </w:rPr>
              <w:t>》</w:t>
            </w:r>
            <w:r>
              <w:rPr>
                <w:rFonts w:hint="eastAsia"/>
                <w:color w:val="auto"/>
                <w:lang w:val="en-US" w:eastAsia="zh-CN"/>
              </w:rPr>
              <w:t>中推荐的核算方法。</w:t>
            </w:r>
          </w:p>
          <w:p w14:paraId="721532B7">
            <w:pPr>
              <w:pStyle w:val="39"/>
              <w:bidi w:val="0"/>
              <w:rPr>
                <w:rFonts w:hint="default"/>
                <w:lang w:val="en-US" w:eastAsia="zh-CN"/>
              </w:rPr>
            </w:pPr>
            <w:r>
              <w:rPr>
                <w:rFonts w:hint="eastAsia"/>
                <w:lang w:val="en-US" w:eastAsia="zh-CN"/>
              </w:rPr>
              <w:t>堆场颗粒物包括装卸扬尘和风蚀扬尘，颗粒物产生量核算公示如下：</w:t>
            </w:r>
          </w:p>
          <w:p w14:paraId="2E5D6766">
            <w:pPr>
              <w:pStyle w:val="39"/>
              <w:bidi w:val="0"/>
              <w:rPr>
                <w:rFonts w:hint="eastAsia"/>
                <w:lang w:val="en-US" w:eastAsia="zh-CN"/>
              </w:rPr>
            </w:pPr>
            <w:r>
              <w:drawing>
                <wp:inline distT="0" distB="0" distL="114300" distR="114300">
                  <wp:extent cx="4638675" cy="295275"/>
                  <wp:effectExtent l="0" t="0" r="9525" b="9525"/>
                  <wp:docPr id="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pic:cNvPicPr>
                            <a:picLocks noChangeAspect="1"/>
                          </pic:cNvPicPr>
                        </pic:nvPicPr>
                        <pic:blipFill>
                          <a:blip r:embed="rId17"/>
                          <a:stretch>
                            <a:fillRect/>
                          </a:stretch>
                        </pic:blipFill>
                        <pic:spPr>
                          <a:xfrm>
                            <a:off x="0" y="0"/>
                            <a:ext cx="4638675" cy="295275"/>
                          </a:xfrm>
                          <a:prstGeom prst="rect">
                            <a:avLst/>
                          </a:prstGeom>
                          <a:noFill/>
                          <a:ln>
                            <a:noFill/>
                          </a:ln>
                        </pic:spPr>
                      </pic:pic>
                    </a:graphicData>
                  </a:graphic>
                </wp:inline>
              </w:drawing>
            </w:r>
          </w:p>
          <w:p w14:paraId="7E50BA5C">
            <w:pPr>
              <w:pStyle w:val="39"/>
              <w:bidi w:val="0"/>
              <w:rPr>
                <w:rFonts w:hint="default"/>
                <w:lang w:val="en-US" w:eastAsia="zh-CN"/>
              </w:rPr>
            </w:pPr>
            <w:r>
              <w:rPr>
                <w:rFonts w:hint="eastAsia"/>
                <w:lang w:val="en-US" w:eastAsia="zh-CN"/>
              </w:rPr>
              <w:t>式中：</w:t>
            </w:r>
          </w:p>
          <w:p w14:paraId="41516B44">
            <w:pPr>
              <w:pStyle w:val="39"/>
              <w:bidi w:val="0"/>
              <w:rPr>
                <w:rFonts w:hint="eastAsia"/>
                <w:lang w:val="en-US" w:eastAsia="zh-CN"/>
              </w:rPr>
            </w:pPr>
            <w:r>
              <w:rPr>
                <w:rFonts w:hint="eastAsia"/>
                <w:lang w:val="en-US" w:eastAsia="zh-CN"/>
              </w:rPr>
              <w:t>P指颗粒物产生量（单位：吨）；</w:t>
            </w:r>
          </w:p>
          <w:p w14:paraId="57D42E6D">
            <w:pPr>
              <w:pStyle w:val="39"/>
              <w:bidi w:val="0"/>
              <w:rPr>
                <w:rFonts w:hint="eastAsia"/>
                <w:lang w:val="en-US" w:eastAsia="zh-CN"/>
              </w:rPr>
            </w:pPr>
            <w:r>
              <w:rPr>
                <w:rFonts w:hint="eastAsia"/>
                <w:lang w:val="en-US" w:eastAsia="zh-CN"/>
              </w:rPr>
              <w:t>ZCy指装卸扬尘产生量（单位：吨）；</w:t>
            </w:r>
          </w:p>
          <w:p w14:paraId="09714FED">
            <w:pPr>
              <w:pStyle w:val="39"/>
              <w:bidi w:val="0"/>
              <w:rPr>
                <w:rFonts w:hint="eastAsia"/>
                <w:lang w:val="en-US" w:eastAsia="zh-CN"/>
              </w:rPr>
            </w:pPr>
            <w:r>
              <w:rPr>
                <w:rFonts w:hint="eastAsia"/>
                <w:lang w:val="en-US" w:eastAsia="zh-CN"/>
              </w:rPr>
              <w:t>FCy指风蚀扬尘产生量（单位：吨）；</w:t>
            </w:r>
          </w:p>
          <w:p w14:paraId="1458B70F">
            <w:pPr>
              <w:pStyle w:val="39"/>
              <w:bidi w:val="0"/>
              <w:rPr>
                <w:rFonts w:hint="eastAsia"/>
                <w:lang w:val="en-US" w:eastAsia="zh-CN"/>
              </w:rPr>
            </w:pPr>
            <w:r>
              <w:rPr>
                <w:rFonts w:hint="eastAsia"/>
                <w:lang w:val="en-US" w:eastAsia="zh-CN"/>
              </w:rPr>
              <w:t>Nc指年物料运载车次（单位：车）；</w:t>
            </w:r>
          </w:p>
          <w:p w14:paraId="12432E81">
            <w:pPr>
              <w:pStyle w:val="39"/>
              <w:bidi w:val="0"/>
              <w:rPr>
                <w:rFonts w:hint="eastAsia"/>
                <w:lang w:val="en-US" w:eastAsia="zh-CN"/>
              </w:rPr>
            </w:pPr>
            <w:r>
              <w:rPr>
                <w:rFonts w:hint="eastAsia"/>
                <w:lang w:val="en-US" w:eastAsia="zh-CN"/>
              </w:rPr>
              <w:t>D指单车平均运载量（单位：吨/车）；</w:t>
            </w:r>
          </w:p>
          <w:p w14:paraId="267C722D">
            <w:pPr>
              <w:pStyle w:val="39"/>
              <w:bidi w:val="0"/>
              <w:rPr>
                <w:rFonts w:hint="default"/>
                <w:lang w:val="en-US" w:eastAsia="zh-CN"/>
              </w:rPr>
            </w:pPr>
            <w:r>
              <w:rPr>
                <w:rFonts w:hint="eastAsia"/>
                <w:lang w:val="en-US" w:eastAsia="zh-CN"/>
              </w:rPr>
              <w:t>（a/b）指装卸扬尘概化系数（单位：千克/吨），a指各省风速概化系数，取值0.0011，b指物料含水率概化系数，</w:t>
            </w:r>
            <w:r>
              <w:rPr>
                <w:rFonts w:hint="eastAsia"/>
                <w:color w:val="auto"/>
                <w:lang w:eastAsia="zh-CN"/>
              </w:rPr>
              <w:t>《</w:t>
            </w:r>
            <w:r>
              <w:rPr>
                <w:rFonts w:hint="eastAsia"/>
                <w:color w:val="auto"/>
                <w:lang w:val="en-US" w:eastAsia="zh-CN"/>
              </w:rPr>
              <w:t>固体物料堆存颗粒物产排污核算系数手册</w:t>
            </w:r>
            <w:r>
              <w:rPr>
                <w:rFonts w:hint="eastAsia"/>
                <w:color w:val="auto"/>
                <w:lang w:eastAsia="zh-CN"/>
              </w:rPr>
              <w:t>》</w:t>
            </w:r>
            <w:r>
              <w:rPr>
                <w:rFonts w:hint="eastAsia"/>
                <w:color w:val="auto"/>
                <w:lang w:val="en-US" w:eastAsia="zh-CN"/>
              </w:rPr>
              <w:t>无相关数据，参考矿块的含水率概化系数，取值0.0064；</w:t>
            </w:r>
          </w:p>
          <w:p w14:paraId="5C2FB0E4">
            <w:pPr>
              <w:pStyle w:val="39"/>
              <w:bidi w:val="0"/>
              <w:rPr>
                <w:rFonts w:hint="eastAsia"/>
                <w:lang w:val="en-US" w:eastAsia="zh-CN"/>
              </w:rPr>
            </w:pPr>
            <w:r>
              <w:rPr>
                <w:rFonts w:hint="eastAsia"/>
                <w:lang w:val="en-US" w:eastAsia="zh-CN"/>
              </w:rPr>
              <w:t>Ef指堆场风蚀扬尘概化系数，见附录3，矿块为0（单位：千克/平方米）；</w:t>
            </w:r>
          </w:p>
          <w:p w14:paraId="3488882F">
            <w:pPr>
              <w:pStyle w:val="39"/>
              <w:bidi w:val="0"/>
              <w:rPr>
                <w:rFonts w:hint="eastAsia"/>
                <w:lang w:val="en-US" w:eastAsia="zh-CN"/>
              </w:rPr>
            </w:pPr>
            <w:r>
              <w:rPr>
                <w:rFonts w:hint="eastAsia"/>
                <w:lang w:val="en-US" w:eastAsia="zh-CN"/>
              </w:rPr>
              <w:t>S指堆场占地面积（单位：平方米），500㎡。</w:t>
            </w:r>
          </w:p>
          <w:p w14:paraId="3C0E58D3">
            <w:pPr>
              <w:pStyle w:val="39"/>
              <w:bidi w:val="0"/>
              <w:rPr>
                <w:rFonts w:hint="default"/>
                <w:lang w:val="en-US" w:eastAsia="zh-CN"/>
              </w:rPr>
            </w:pPr>
            <w:r>
              <w:rPr>
                <w:rFonts w:hint="eastAsia"/>
                <w:lang w:val="en-US" w:eastAsia="zh-CN"/>
              </w:rPr>
              <w:t>根据上述公式，经计算可得，本项目颗粒物产生量为3.44t/a。</w:t>
            </w:r>
          </w:p>
          <w:p w14:paraId="70E7C177">
            <w:pPr>
              <w:pStyle w:val="39"/>
              <w:bidi w:val="0"/>
              <w:rPr>
                <w:rFonts w:hint="default"/>
                <w:lang w:val="en-US" w:eastAsia="zh-CN"/>
              </w:rPr>
            </w:pPr>
            <w:r>
              <w:rPr>
                <w:rFonts w:hint="eastAsia"/>
                <w:lang w:val="en-US" w:eastAsia="zh-CN"/>
              </w:rPr>
              <w:t>②项目仓库类型为全封闭，堆场颗粒物排放量核算公式如下：</w:t>
            </w:r>
          </w:p>
          <w:p w14:paraId="42DA0BC4">
            <w:pPr>
              <w:pStyle w:val="41"/>
              <w:bidi w:val="0"/>
              <w:jc w:val="center"/>
              <w:rPr>
                <w:rFonts w:hint="eastAsia"/>
                <w:color w:val="auto"/>
                <w:lang w:val="en-US" w:eastAsia="zh-CN"/>
              </w:rPr>
            </w:pPr>
            <w:r>
              <w:rPr>
                <w:color w:val="auto"/>
              </w:rPr>
              <w:drawing>
                <wp:inline distT="0" distB="0" distL="114300" distR="114300">
                  <wp:extent cx="3081655" cy="337820"/>
                  <wp:effectExtent l="0" t="0" r="4445" b="5080"/>
                  <wp:docPr id="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4"/>
                          <pic:cNvPicPr>
                            <a:picLocks noChangeAspect="1"/>
                          </pic:cNvPicPr>
                        </pic:nvPicPr>
                        <pic:blipFill>
                          <a:blip r:embed="rId18"/>
                          <a:stretch>
                            <a:fillRect/>
                          </a:stretch>
                        </pic:blipFill>
                        <pic:spPr>
                          <a:xfrm>
                            <a:off x="0" y="0"/>
                            <a:ext cx="3081655" cy="337820"/>
                          </a:xfrm>
                          <a:prstGeom prst="rect">
                            <a:avLst/>
                          </a:prstGeom>
                          <a:noFill/>
                          <a:ln>
                            <a:noFill/>
                          </a:ln>
                        </pic:spPr>
                      </pic:pic>
                    </a:graphicData>
                  </a:graphic>
                </wp:inline>
              </w:drawing>
            </w:r>
          </w:p>
          <w:p w14:paraId="331B5C05">
            <w:pPr>
              <w:pStyle w:val="38"/>
              <w:bidi w:val="0"/>
              <w:rPr>
                <w:color w:val="auto"/>
                <w:lang w:val="en-US" w:eastAsia="zh-CN"/>
              </w:rPr>
            </w:pPr>
            <w:r>
              <w:rPr>
                <w:color w:val="auto"/>
                <w:lang w:val="en-US" w:eastAsia="zh-CN"/>
              </w:rPr>
              <w:t>式中：</w:t>
            </w:r>
          </w:p>
          <w:p w14:paraId="4AF19C89">
            <w:pPr>
              <w:pStyle w:val="38"/>
              <w:bidi w:val="0"/>
              <w:rPr>
                <w:rFonts w:hint="eastAsia"/>
                <w:color w:val="auto"/>
                <w:lang w:val="en-US" w:eastAsia="zh-CN"/>
              </w:rPr>
            </w:pPr>
            <w:r>
              <w:rPr>
                <w:rFonts w:hint="default"/>
                <w:color w:val="auto"/>
                <w:lang w:val="en-US" w:eastAsia="zh-CN"/>
              </w:rPr>
              <w:t>P</w:t>
            </w:r>
            <w:r>
              <w:rPr>
                <w:rFonts w:hint="eastAsia"/>
                <w:color w:val="auto"/>
                <w:lang w:val="en-US" w:eastAsia="zh-CN"/>
              </w:rPr>
              <w:t>指颗粒物产生量</w:t>
            </w:r>
            <w:r>
              <w:rPr>
                <w:color w:val="auto"/>
                <w:lang w:val="en-US" w:eastAsia="zh-CN"/>
              </w:rPr>
              <w:t>（单位：吨）</w:t>
            </w:r>
            <w:r>
              <w:rPr>
                <w:rFonts w:hint="eastAsia"/>
                <w:color w:val="auto"/>
                <w:lang w:val="en-US" w:eastAsia="zh-CN"/>
              </w:rPr>
              <w:t>；</w:t>
            </w:r>
          </w:p>
          <w:p w14:paraId="5E93B442">
            <w:pPr>
              <w:pStyle w:val="38"/>
              <w:bidi w:val="0"/>
              <w:rPr>
                <w:color w:val="auto"/>
              </w:rPr>
            </w:pPr>
            <w:r>
              <w:rPr>
                <w:rFonts w:hint="default"/>
                <w:color w:val="auto"/>
                <w:lang w:val="en-US" w:eastAsia="zh-CN"/>
              </w:rPr>
              <w:t>Uc</w:t>
            </w:r>
            <w:r>
              <w:rPr>
                <w:rFonts w:hint="eastAsia"/>
                <w:color w:val="auto"/>
                <w:lang w:val="en-US" w:eastAsia="zh-CN"/>
              </w:rPr>
              <w:t>指颗粒物排放量</w:t>
            </w:r>
            <w:r>
              <w:rPr>
                <w:color w:val="auto"/>
                <w:lang w:val="en-US" w:eastAsia="zh-CN"/>
              </w:rPr>
              <w:t>（单位：吨）</w:t>
            </w:r>
            <w:r>
              <w:rPr>
                <w:rFonts w:hint="eastAsia"/>
                <w:color w:val="auto"/>
                <w:lang w:val="en-US" w:eastAsia="zh-CN"/>
              </w:rPr>
              <w:t>；</w:t>
            </w:r>
          </w:p>
          <w:p w14:paraId="49B31887">
            <w:pPr>
              <w:pStyle w:val="38"/>
              <w:bidi w:val="0"/>
              <w:rPr>
                <w:color w:val="auto"/>
              </w:rPr>
            </w:pPr>
            <w:r>
              <w:rPr>
                <w:rFonts w:hint="default"/>
                <w:color w:val="auto"/>
                <w:lang w:val="en-US" w:eastAsia="zh-CN"/>
              </w:rPr>
              <w:t>Cm</w:t>
            </w:r>
            <w:r>
              <w:rPr>
                <w:rFonts w:hint="eastAsia"/>
                <w:color w:val="auto"/>
                <w:lang w:val="en-US" w:eastAsia="zh-CN"/>
              </w:rPr>
              <w:t>指颗粒物控制措施控制效率</w:t>
            </w:r>
            <w:r>
              <w:rPr>
                <w:color w:val="auto"/>
                <w:lang w:val="en-US" w:eastAsia="zh-CN"/>
              </w:rPr>
              <w:t>（单位：</w:t>
            </w:r>
            <w:r>
              <w:rPr>
                <w:rFonts w:hint="default"/>
                <w:color w:val="auto"/>
                <w:lang w:val="en-US" w:eastAsia="zh-CN"/>
              </w:rPr>
              <w:t>%</w:t>
            </w:r>
            <w:r>
              <w:rPr>
                <w:color w:val="auto"/>
                <w:lang w:val="en-US" w:eastAsia="zh-CN"/>
              </w:rPr>
              <w:t>），</w:t>
            </w:r>
            <w:r>
              <w:rPr>
                <w:rFonts w:hint="eastAsia"/>
                <w:color w:val="auto"/>
                <w:lang w:val="en-US" w:eastAsia="zh-CN"/>
              </w:rPr>
              <w:t>无控制措施，控制效率为0；</w:t>
            </w:r>
          </w:p>
          <w:p w14:paraId="0C437195">
            <w:pPr>
              <w:pStyle w:val="38"/>
              <w:bidi w:val="0"/>
              <w:rPr>
                <w:color w:val="auto"/>
              </w:rPr>
            </w:pPr>
            <w:r>
              <w:rPr>
                <w:rFonts w:hint="default"/>
                <w:color w:val="auto"/>
                <w:lang w:val="en-US" w:eastAsia="zh-CN"/>
              </w:rPr>
              <w:t>Tm</w:t>
            </w:r>
            <w:r>
              <w:rPr>
                <w:rFonts w:hint="eastAsia"/>
                <w:color w:val="auto"/>
                <w:lang w:val="en-US" w:eastAsia="zh-CN"/>
              </w:rPr>
              <w:t>指堆场类型控制效率</w:t>
            </w:r>
            <w:r>
              <w:rPr>
                <w:color w:val="auto"/>
                <w:lang w:val="en-US" w:eastAsia="zh-CN"/>
              </w:rPr>
              <w:t>（单位：</w:t>
            </w:r>
            <w:r>
              <w:rPr>
                <w:rFonts w:hint="default"/>
                <w:color w:val="auto"/>
                <w:lang w:val="en-US" w:eastAsia="zh-CN"/>
              </w:rPr>
              <w:t>%</w:t>
            </w:r>
            <w:r>
              <w:rPr>
                <w:color w:val="auto"/>
                <w:lang w:val="en-US" w:eastAsia="zh-CN"/>
              </w:rPr>
              <w:t>），</w:t>
            </w:r>
            <w:r>
              <w:rPr>
                <w:rFonts w:hint="eastAsia"/>
                <w:color w:val="auto"/>
                <w:lang w:val="en-US" w:eastAsia="zh-CN"/>
              </w:rPr>
              <w:t>本项目为全封闭，控制效率为99%。</w:t>
            </w:r>
          </w:p>
          <w:p w14:paraId="4A14B32F">
            <w:pPr>
              <w:pStyle w:val="38"/>
              <w:bidi w:val="0"/>
              <w:rPr>
                <w:rFonts w:hint="default"/>
                <w:color w:val="auto"/>
                <w:lang w:val="en-US" w:eastAsia="zh-CN"/>
              </w:rPr>
            </w:pPr>
            <w:r>
              <w:rPr>
                <w:rFonts w:hint="eastAsia"/>
                <w:color w:val="auto"/>
                <w:lang w:val="en-US" w:eastAsia="zh-CN"/>
              </w:rPr>
              <w:t>经计算，本项目无组织颗粒物排放量为0.0344t/a。</w:t>
            </w:r>
          </w:p>
          <w:p w14:paraId="10A0A76A">
            <w:pPr>
              <w:pStyle w:val="46"/>
              <w:bidi w:val="0"/>
              <w:rPr>
                <w:color w:val="auto"/>
              </w:rPr>
            </w:pPr>
            <w:r>
              <w:rPr>
                <w:color w:val="auto"/>
              </w:rPr>
              <w:t>表4-</w:t>
            </w:r>
            <w:r>
              <w:rPr>
                <w:rFonts w:hint="eastAsia"/>
                <w:color w:val="auto"/>
                <w:lang w:val="en-US" w:eastAsia="zh-CN"/>
              </w:rPr>
              <w:t>3</w:t>
            </w:r>
            <w:r>
              <w:rPr>
                <w:color w:val="auto"/>
              </w:rPr>
              <w:t xml:space="preserve"> </w:t>
            </w:r>
            <w:r>
              <w:rPr>
                <w:rFonts w:hint="eastAsia"/>
                <w:color w:val="auto"/>
                <w:lang w:val="en-US" w:eastAsia="zh-CN"/>
              </w:rPr>
              <w:t xml:space="preserve"> </w:t>
            </w:r>
            <w:r>
              <w:rPr>
                <w:color w:val="auto"/>
              </w:rPr>
              <w:t xml:space="preserve"> 本项目无组织排放废气源强一览表</w:t>
            </w:r>
          </w:p>
          <w:p w14:paraId="4D70927A">
            <w:pPr>
              <w:spacing w:line="41" w:lineRule="exact"/>
              <w:rPr>
                <w:color w:val="auto"/>
              </w:rPr>
            </w:pPr>
          </w:p>
          <w:tbl>
            <w:tblPr>
              <w:tblStyle w:val="114"/>
              <w:tblW w:w="79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0"/>
              <w:gridCol w:w="821"/>
              <w:gridCol w:w="1642"/>
              <w:gridCol w:w="1505"/>
              <w:gridCol w:w="1096"/>
              <w:gridCol w:w="1613"/>
            </w:tblGrid>
            <w:tr w14:paraId="08FC9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jc w:val="center"/>
              </w:trPr>
              <w:tc>
                <w:tcPr>
                  <w:tcW w:w="1260" w:type="dxa"/>
                  <w:vAlign w:val="top"/>
                </w:tcPr>
                <w:p w14:paraId="71FB4A3C">
                  <w:pPr>
                    <w:pStyle w:val="51"/>
                    <w:bidi w:val="0"/>
                    <w:rPr>
                      <w:color w:val="auto"/>
                    </w:rPr>
                  </w:pPr>
                  <w:r>
                    <w:rPr>
                      <w:color w:val="auto"/>
                    </w:rPr>
                    <w:t>排放源</w:t>
                  </w:r>
                </w:p>
              </w:tc>
              <w:tc>
                <w:tcPr>
                  <w:tcW w:w="821" w:type="dxa"/>
                  <w:vAlign w:val="top"/>
                </w:tcPr>
                <w:p w14:paraId="150758D3">
                  <w:pPr>
                    <w:pStyle w:val="51"/>
                    <w:bidi w:val="0"/>
                    <w:rPr>
                      <w:color w:val="auto"/>
                    </w:rPr>
                  </w:pPr>
                  <w:r>
                    <w:rPr>
                      <w:color w:val="auto"/>
                    </w:rPr>
                    <w:t>污染物</w:t>
                  </w:r>
                </w:p>
              </w:tc>
              <w:tc>
                <w:tcPr>
                  <w:tcW w:w="1642" w:type="dxa"/>
                  <w:vAlign w:val="top"/>
                </w:tcPr>
                <w:p w14:paraId="3AD0FC5C">
                  <w:pPr>
                    <w:pStyle w:val="51"/>
                    <w:bidi w:val="0"/>
                    <w:rPr>
                      <w:color w:val="auto"/>
                    </w:rPr>
                  </w:pPr>
                  <w:r>
                    <w:rPr>
                      <w:color w:val="auto"/>
                    </w:rPr>
                    <w:t>产生量(t/a)</w:t>
                  </w:r>
                </w:p>
              </w:tc>
              <w:tc>
                <w:tcPr>
                  <w:tcW w:w="1505" w:type="dxa"/>
                  <w:vAlign w:val="top"/>
                </w:tcPr>
                <w:p w14:paraId="72267E5F">
                  <w:pPr>
                    <w:pStyle w:val="51"/>
                    <w:bidi w:val="0"/>
                    <w:rPr>
                      <w:color w:val="auto"/>
                    </w:rPr>
                  </w:pPr>
                  <w:r>
                    <w:rPr>
                      <w:color w:val="auto"/>
                    </w:rPr>
                    <w:t>产生速率(kg/h)</w:t>
                  </w:r>
                </w:p>
              </w:tc>
              <w:tc>
                <w:tcPr>
                  <w:tcW w:w="1096" w:type="dxa"/>
                  <w:vAlign w:val="top"/>
                </w:tcPr>
                <w:p w14:paraId="7D17356C">
                  <w:pPr>
                    <w:pStyle w:val="51"/>
                    <w:bidi w:val="0"/>
                    <w:rPr>
                      <w:color w:val="auto"/>
                    </w:rPr>
                  </w:pPr>
                  <w:r>
                    <w:rPr>
                      <w:color w:val="auto"/>
                    </w:rPr>
                    <w:t>排放量(t/a)</w:t>
                  </w:r>
                </w:p>
              </w:tc>
              <w:tc>
                <w:tcPr>
                  <w:tcW w:w="1613" w:type="dxa"/>
                  <w:vAlign w:val="top"/>
                </w:tcPr>
                <w:p w14:paraId="7DB591B3">
                  <w:pPr>
                    <w:pStyle w:val="51"/>
                    <w:bidi w:val="0"/>
                    <w:rPr>
                      <w:color w:val="auto"/>
                    </w:rPr>
                  </w:pPr>
                  <w:r>
                    <w:rPr>
                      <w:color w:val="auto"/>
                    </w:rPr>
                    <w:t>排放速率(kg/h)</w:t>
                  </w:r>
                </w:p>
              </w:tc>
            </w:tr>
            <w:tr w14:paraId="12507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1260" w:type="dxa"/>
                  <w:vAlign w:val="top"/>
                </w:tcPr>
                <w:p w14:paraId="4290F8C9">
                  <w:pPr>
                    <w:pStyle w:val="51"/>
                    <w:bidi w:val="0"/>
                    <w:rPr>
                      <w:rFonts w:hint="default" w:eastAsia="宋体"/>
                      <w:color w:val="auto"/>
                      <w:lang w:val="en-US" w:eastAsia="zh-CN"/>
                    </w:rPr>
                  </w:pPr>
                  <w:r>
                    <w:rPr>
                      <w:rFonts w:hint="eastAsia"/>
                      <w:color w:val="auto"/>
                      <w:lang w:val="en-US" w:eastAsia="zh-CN"/>
                    </w:rPr>
                    <w:t>车间</w:t>
                  </w:r>
                </w:p>
              </w:tc>
              <w:tc>
                <w:tcPr>
                  <w:tcW w:w="821" w:type="dxa"/>
                  <w:vAlign w:val="top"/>
                </w:tcPr>
                <w:p w14:paraId="7910FFEB">
                  <w:pPr>
                    <w:pStyle w:val="51"/>
                    <w:bidi w:val="0"/>
                    <w:rPr>
                      <w:color w:val="auto"/>
                    </w:rPr>
                  </w:pPr>
                  <w:r>
                    <w:rPr>
                      <w:color w:val="auto"/>
                    </w:rPr>
                    <w:t>颗粒物</w:t>
                  </w:r>
                </w:p>
              </w:tc>
              <w:tc>
                <w:tcPr>
                  <w:tcW w:w="1642" w:type="dxa"/>
                  <w:vAlign w:val="center"/>
                </w:tcPr>
                <w:p w14:paraId="12FB9484">
                  <w:pPr>
                    <w:pStyle w:val="51"/>
                    <w:bidi w:val="0"/>
                    <w:rPr>
                      <w:rFonts w:hint="default"/>
                      <w:color w:val="auto"/>
                      <w:lang w:val="en-US" w:eastAsia="zh-CN"/>
                    </w:rPr>
                  </w:pPr>
                  <w:r>
                    <w:rPr>
                      <w:rFonts w:hint="eastAsia"/>
                      <w:lang w:val="en-US" w:eastAsia="zh-CN"/>
                    </w:rPr>
                    <w:t>0.53</w:t>
                  </w:r>
                </w:p>
              </w:tc>
              <w:tc>
                <w:tcPr>
                  <w:tcW w:w="1505" w:type="dxa"/>
                  <w:vAlign w:val="center"/>
                </w:tcPr>
                <w:p w14:paraId="736B1386">
                  <w:pPr>
                    <w:pStyle w:val="51"/>
                    <w:bidi w:val="0"/>
                    <w:rPr>
                      <w:rFonts w:hint="default"/>
                      <w:color w:val="auto"/>
                      <w:lang w:val="en-US"/>
                    </w:rPr>
                  </w:pPr>
                  <w:r>
                    <w:rPr>
                      <w:rFonts w:hint="eastAsia"/>
                      <w:lang w:val="en-US" w:eastAsia="zh-CN"/>
                    </w:rPr>
                    <w:t>0.074</w:t>
                  </w:r>
                </w:p>
              </w:tc>
              <w:tc>
                <w:tcPr>
                  <w:tcW w:w="1096" w:type="dxa"/>
                  <w:vAlign w:val="center"/>
                </w:tcPr>
                <w:p w14:paraId="6CFED6D3">
                  <w:pPr>
                    <w:pStyle w:val="51"/>
                    <w:bidi w:val="0"/>
                    <w:ind w:firstLine="0" w:firstLineChars="0"/>
                    <w:rPr>
                      <w:color w:val="auto"/>
                    </w:rPr>
                  </w:pPr>
                  <w:r>
                    <w:rPr>
                      <w:rFonts w:hint="eastAsia"/>
                      <w:lang w:val="en-US" w:eastAsia="zh-CN"/>
                    </w:rPr>
                    <w:t>0.53</w:t>
                  </w:r>
                </w:p>
              </w:tc>
              <w:tc>
                <w:tcPr>
                  <w:tcW w:w="1613" w:type="dxa"/>
                  <w:vAlign w:val="center"/>
                </w:tcPr>
                <w:p w14:paraId="5392B23E">
                  <w:pPr>
                    <w:pStyle w:val="51"/>
                    <w:bidi w:val="0"/>
                    <w:ind w:firstLine="0" w:firstLineChars="0"/>
                    <w:rPr>
                      <w:rFonts w:hint="default"/>
                      <w:color w:val="auto"/>
                      <w:lang w:val="en-US"/>
                    </w:rPr>
                  </w:pPr>
                  <w:r>
                    <w:rPr>
                      <w:rFonts w:hint="eastAsia"/>
                      <w:lang w:val="en-US" w:eastAsia="zh-CN"/>
                    </w:rPr>
                    <w:t>0.074</w:t>
                  </w:r>
                </w:p>
              </w:tc>
            </w:tr>
            <w:tr w14:paraId="34629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jc w:val="center"/>
              </w:trPr>
              <w:tc>
                <w:tcPr>
                  <w:tcW w:w="1260" w:type="dxa"/>
                  <w:vAlign w:val="top"/>
                </w:tcPr>
                <w:p w14:paraId="27BD1D22">
                  <w:pPr>
                    <w:pStyle w:val="51"/>
                    <w:bidi w:val="0"/>
                    <w:rPr>
                      <w:rFonts w:hint="default" w:eastAsia="宋体"/>
                      <w:color w:val="auto"/>
                      <w:lang w:val="en-US" w:eastAsia="zh-CN"/>
                    </w:rPr>
                  </w:pPr>
                  <w:r>
                    <w:rPr>
                      <w:rFonts w:hint="eastAsia"/>
                      <w:color w:val="auto"/>
                      <w:lang w:val="en-US" w:eastAsia="zh-CN"/>
                    </w:rPr>
                    <w:t>原料仓库</w:t>
                  </w:r>
                </w:p>
              </w:tc>
              <w:tc>
                <w:tcPr>
                  <w:tcW w:w="821" w:type="dxa"/>
                  <w:vAlign w:val="top"/>
                </w:tcPr>
                <w:p w14:paraId="758198D5">
                  <w:pPr>
                    <w:pStyle w:val="51"/>
                    <w:bidi w:val="0"/>
                    <w:rPr>
                      <w:color w:val="auto"/>
                    </w:rPr>
                  </w:pPr>
                  <w:r>
                    <w:rPr>
                      <w:color w:val="auto"/>
                    </w:rPr>
                    <w:t>颗粒物</w:t>
                  </w:r>
                </w:p>
              </w:tc>
              <w:tc>
                <w:tcPr>
                  <w:tcW w:w="1642" w:type="dxa"/>
                  <w:vAlign w:val="center"/>
                </w:tcPr>
                <w:p w14:paraId="2926943A">
                  <w:pPr>
                    <w:pStyle w:val="51"/>
                    <w:bidi w:val="0"/>
                    <w:rPr>
                      <w:rFonts w:hint="default"/>
                      <w:color w:val="auto"/>
                      <w:lang w:val="en-US" w:eastAsia="zh-CN"/>
                    </w:rPr>
                  </w:pPr>
                  <w:r>
                    <w:rPr>
                      <w:rFonts w:hint="eastAsia"/>
                      <w:color w:val="auto"/>
                      <w:lang w:val="en-US" w:eastAsia="zh-CN"/>
                    </w:rPr>
                    <w:t>3.44</w:t>
                  </w:r>
                </w:p>
              </w:tc>
              <w:tc>
                <w:tcPr>
                  <w:tcW w:w="1505" w:type="dxa"/>
                  <w:vAlign w:val="center"/>
                </w:tcPr>
                <w:p w14:paraId="77BB5BFA">
                  <w:pPr>
                    <w:pStyle w:val="51"/>
                    <w:bidi w:val="0"/>
                    <w:rPr>
                      <w:rFonts w:hint="default" w:eastAsia="宋体"/>
                      <w:color w:val="auto"/>
                      <w:lang w:val="en-US" w:eastAsia="zh-CN"/>
                    </w:rPr>
                  </w:pPr>
                  <w:r>
                    <w:rPr>
                      <w:rFonts w:hint="eastAsia"/>
                      <w:color w:val="auto"/>
                      <w:lang w:val="en-US" w:eastAsia="zh-CN"/>
                    </w:rPr>
                    <w:t>0.48</w:t>
                  </w:r>
                </w:p>
              </w:tc>
              <w:tc>
                <w:tcPr>
                  <w:tcW w:w="1096" w:type="dxa"/>
                  <w:vAlign w:val="center"/>
                </w:tcPr>
                <w:p w14:paraId="2A685C21">
                  <w:pPr>
                    <w:pStyle w:val="51"/>
                    <w:bidi w:val="0"/>
                    <w:rPr>
                      <w:rFonts w:hint="default" w:eastAsia="宋体"/>
                      <w:color w:val="auto"/>
                      <w:lang w:val="en-US" w:eastAsia="zh-CN"/>
                    </w:rPr>
                  </w:pPr>
                  <w:r>
                    <w:rPr>
                      <w:rFonts w:hint="eastAsia"/>
                      <w:color w:val="auto"/>
                      <w:lang w:val="en-US" w:eastAsia="zh-CN"/>
                    </w:rPr>
                    <w:t>0.0344</w:t>
                  </w:r>
                </w:p>
              </w:tc>
              <w:tc>
                <w:tcPr>
                  <w:tcW w:w="1613" w:type="dxa"/>
                  <w:vAlign w:val="center"/>
                </w:tcPr>
                <w:p w14:paraId="26EBD0A9">
                  <w:pPr>
                    <w:pStyle w:val="51"/>
                    <w:bidi w:val="0"/>
                    <w:rPr>
                      <w:rFonts w:hint="default" w:eastAsia="宋体"/>
                      <w:color w:val="auto"/>
                      <w:lang w:val="en-US" w:eastAsia="zh-CN"/>
                    </w:rPr>
                  </w:pPr>
                  <w:r>
                    <w:rPr>
                      <w:rFonts w:hint="eastAsia"/>
                      <w:color w:val="auto"/>
                      <w:lang w:val="en-US" w:eastAsia="zh-CN"/>
                    </w:rPr>
                    <w:t>0.0048</w:t>
                  </w:r>
                </w:p>
              </w:tc>
            </w:tr>
          </w:tbl>
          <w:p w14:paraId="75793284">
            <w:pPr>
              <w:pStyle w:val="38"/>
              <w:bidi w:val="0"/>
              <w:rPr>
                <w:color w:val="auto"/>
              </w:rPr>
            </w:pPr>
            <w:r>
              <w:rPr>
                <w:rFonts w:hint="eastAsia"/>
                <w:color w:val="auto"/>
                <w:lang w:val="en-US" w:eastAsia="zh-CN"/>
              </w:rPr>
              <w:t>项目</w:t>
            </w:r>
            <w:r>
              <w:rPr>
                <w:color w:val="auto"/>
              </w:rPr>
              <w:t>无组织扬尘排放量为</w:t>
            </w:r>
            <w:r>
              <w:rPr>
                <w:rFonts w:hint="eastAsia"/>
                <w:color w:val="auto"/>
                <w:lang w:val="en-US" w:eastAsia="zh-CN"/>
              </w:rPr>
              <w:t>0.5644</w:t>
            </w:r>
            <w:r>
              <w:rPr>
                <w:color w:val="auto"/>
              </w:rPr>
              <w:t>t/a</w:t>
            </w:r>
            <w:r>
              <w:rPr>
                <w:rFonts w:hint="eastAsia"/>
                <w:color w:val="auto"/>
                <w:lang w:eastAsia="zh-CN"/>
              </w:rPr>
              <w:t>，</w:t>
            </w:r>
            <w:r>
              <w:rPr>
                <w:rFonts w:hint="eastAsia"/>
                <w:color w:val="auto"/>
                <w:lang w:val="en-US" w:eastAsia="zh-CN"/>
              </w:rPr>
              <w:t>排放速率为0.0788kg/h</w:t>
            </w:r>
            <w:r>
              <w:rPr>
                <w:color w:val="auto"/>
              </w:rPr>
              <w:t>。排放浓度执行《大气污染物综合排放标准》（GB16297-1996）无组织排放限值标准。</w:t>
            </w:r>
          </w:p>
          <w:p w14:paraId="0453C481">
            <w:pPr>
              <w:pStyle w:val="50"/>
              <w:bidi w:val="0"/>
              <w:rPr>
                <w:rFonts w:hint="eastAsia"/>
                <w:lang w:val="en-US" w:eastAsia="zh-CN"/>
              </w:rPr>
            </w:pPr>
            <w:r>
              <w:rPr>
                <w:rFonts w:hint="eastAsia"/>
                <w:lang w:val="en-US" w:eastAsia="zh-CN"/>
              </w:rPr>
              <w:t>（3）废气治理措施可行性分析</w:t>
            </w:r>
          </w:p>
          <w:p w14:paraId="4790371A">
            <w:pPr>
              <w:pStyle w:val="50"/>
              <w:bidi w:val="0"/>
            </w:pPr>
            <w:r>
              <w:t>根据《排污许可证申请与核发技术规范</w:t>
            </w:r>
            <w:r>
              <w:rPr>
                <w:rFonts w:hint="eastAsia"/>
                <w:lang w:val="en-US" w:eastAsia="zh-CN"/>
              </w:rPr>
              <w:t xml:space="preserve">  </w:t>
            </w:r>
            <w:r>
              <w:t>废弃资源加工工业》（HJ1034-2019）中附录A废弃资源加工工业排污单位废气污染防治可行技术参考表中：废机动车拆解产生的颗粒物推荐可行技术为布袋除尘。本项目废气污染治理设施拟采用布袋除尘器处理装置。</w:t>
            </w:r>
          </w:p>
          <w:p w14:paraId="4BA293CC">
            <w:pPr>
              <w:pStyle w:val="50"/>
              <w:bidi w:val="0"/>
            </w:pPr>
            <w:r>
              <w:t>布袋除尘器：布袋除尘器是一款常见的除尘设备。工作原理是含尘气流从下部孔板进入圆筒形滤袋内，在通过滤料的孔隙时，粉尘被捕集于滤料上，透过滤料的清洁气体由排出口排出。沉积在滤料上的粉尘，可在机械振动的作用下从滤料表面脱落，落入灰斗中。袋式除尘器用以捕集非粘结非纤维性的工业粉尘和挥发物，捕获粉尘微粒可达0.1微米。袋式除尘器具有很高的净化效率，捕集细微的粉尘效率也可达99%以上，而且其效率比高。它比电除尘器结构简单、投资省、运行稳定，可以回收高电阻率粉尘；与文丘里洗涤器相比，动力消耗少，回收的干颗粒便于综合利用。对于微细的干燥颗粒物，采用袋式除尘器捕集是适宜的。</w:t>
            </w:r>
          </w:p>
          <w:p w14:paraId="3677A1BC">
            <w:pPr>
              <w:pStyle w:val="38"/>
              <w:bidi w:val="0"/>
              <w:rPr>
                <w:rFonts w:hint="eastAsia"/>
                <w:color w:val="auto"/>
                <w:lang w:val="en-US" w:eastAsia="zh-CN"/>
              </w:rPr>
            </w:pPr>
            <w:r>
              <w:rPr>
                <w:rFonts w:hint="eastAsia"/>
                <w:color w:val="auto"/>
                <w:lang w:val="en-US" w:eastAsia="zh-CN"/>
              </w:rPr>
              <w:t>本项目仓库均未全封闭式，原料装卸、储存均位于仓库内，根据《工业料堆场扬尘整治规范》（DB65/T4061-2017）中表2工业料堆场扬尘防治方案选择参考表，本项目采取的措施符合</w:t>
            </w:r>
            <w:r>
              <w:rPr>
                <w:rFonts w:hint="eastAsia" w:ascii="宋体" w:hAnsi="宋体" w:eastAsia="宋体" w:cs="宋体"/>
                <w:color w:val="auto"/>
                <w:lang w:val="en-US" w:eastAsia="zh-CN"/>
              </w:rPr>
              <w:t>Ⅰ</w:t>
            </w:r>
            <w:r>
              <w:rPr>
                <w:rFonts w:hint="eastAsia"/>
                <w:color w:val="auto"/>
                <w:lang w:val="en-US" w:eastAsia="zh-CN"/>
              </w:rPr>
              <w:t>类料堆场的防治方案，故属于可行技术。</w:t>
            </w:r>
          </w:p>
          <w:p w14:paraId="4812FA94">
            <w:pPr>
              <w:pStyle w:val="38"/>
              <w:bidi w:val="0"/>
              <w:rPr>
                <w:color w:val="auto"/>
              </w:rPr>
            </w:pPr>
            <w:r>
              <w:rPr>
                <w:color w:val="auto"/>
              </w:rPr>
              <w:t>项目具体的大气污染物产排情况见下表：</w:t>
            </w:r>
          </w:p>
          <w:p w14:paraId="771C99E2">
            <w:pPr>
              <w:pStyle w:val="46"/>
              <w:bidi w:val="0"/>
              <w:rPr>
                <w:color w:val="auto"/>
              </w:rPr>
            </w:pPr>
            <w:r>
              <w:rPr>
                <w:color w:val="auto"/>
              </w:rPr>
              <w:t>表4-</w:t>
            </w:r>
            <w:r>
              <w:rPr>
                <w:rFonts w:hint="eastAsia"/>
                <w:color w:val="auto"/>
                <w:lang w:val="en-US" w:eastAsia="zh-CN"/>
              </w:rPr>
              <w:t>4</w:t>
            </w:r>
            <w:r>
              <w:rPr>
                <w:color w:val="auto"/>
              </w:rPr>
              <w:t xml:space="preserve">  项目废气污染物产排污情况一览表</w:t>
            </w:r>
          </w:p>
          <w:tbl>
            <w:tblPr>
              <w:tblStyle w:val="114"/>
              <w:tblW w:w="79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6"/>
              <w:gridCol w:w="240"/>
              <w:gridCol w:w="584"/>
              <w:gridCol w:w="614"/>
              <w:gridCol w:w="554"/>
              <w:gridCol w:w="703"/>
              <w:gridCol w:w="534"/>
              <w:gridCol w:w="644"/>
              <w:gridCol w:w="644"/>
              <w:gridCol w:w="517"/>
              <w:gridCol w:w="644"/>
              <w:gridCol w:w="644"/>
              <w:gridCol w:w="644"/>
              <w:gridCol w:w="455"/>
            </w:tblGrid>
            <w:tr w14:paraId="10D38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jc w:val="center"/>
              </w:trPr>
              <w:tc>
                <w:tcPr>
                  <w:tcW w:w="756" w:type="dxa"/>
                  <w:gridSpan w:val="2"/>
                  <w:vMerge w:val="restart"/>
                  <w:tcBorders>
                    <w:tl2br w:val="nil"/>
                    <w:tr2bl w:val="nil"/>
                  </w:tcBorders>
                  <w:vAlign w:val="center"/>
                </w:tcPr>
                <w:p w14:paraId="4D9C550A">
                  <w:pPr>
                    <w:pStyle w:val="51"/>
                    <w:bidi w:val="0"/>
                    <w:jc w:val="center"/>
                    <w:rPr>
                      <w:color w:val="auto"/>
                    </w:rPr>
                  </w:pPr>
                  <w:r>
                    <w:rPr>
                      <w:color w:val="auto"/>
                    </w:rPr>
                    <w:t>产排污环节</w:t>
                  </w:r>
                </w:p>
              </w:tc>
              <w:tc>
                <w:tcPr>
                  <w:tcW w:w="584" w:type="dxa"/>
                  <w:vMerge w:val="restart"/>
                  <w:tcBorders>
                    <w:tl2br w:val="nil"/>
                    <w:tr2bl w:val="nil"/>
                  </w:tcBorders>
                  <w:vAlign w:val="center"/>
                </w:tcPr>
                <w:p w14:paraId="706684F4">
                  <w:pPr>
                    <w:pStyle w:val="51"/>
                    <w:bidi w:val="0"/>
                    <w:jc w:val="center"/>
                    <w:rPr>
                      <w:color w:val="auto"/>
                    </w:rPr>
                  </w:pPr>
                  <w:r>
                    <w:rPr>
                      <w:color w:val="auto"/>
                    </w:rPr>
                    <w:t>污染物种</w:t>
                  </w:r>
                </w:p>
              </w:tc>
              <w:tc>
                <w:tcPr>
                  <w:tcW w:w="1871" w:type="dxa"/>
                  <w:gridSpan w:val="3"/>
                  <w:tcBorders>
                    <w:tl2br w:val="nil"/>
                    <w:tr2bl w:val="nil"/>
                  </w:tcBorders>
                  <w:vAlign w:val="center"/>
                </w:tcPr>
                <w:p w14:paraId="711A7C2F">
                  <w:pPr>
                    <w:pStyle w:val="51"/>
                    <w:bidi w:val="0"/>
                    <w:jc w:val="center"/>
                    <w:rPr>
                      <w:color w:val="auto"/>
                    </w:rPr>
                  </w:pPr>
                  <w:r>
                    <w:rPr>
                      <w:color w:val="auto"/>
                    </w:rPr>
                    <w:t>污染物产生量和浓度</w:t>
                  </w:r>
                </w:p>
              </w:tc>
              <w:tc>
                <w:tcPr>
                  <w:tcW w:w="2339" w:type="dxa"/>
                  <w:gridSpan w:val="4"/>
                  <w:tcBorders>
                    <w:tl2br w:val="nil"/>
                    <w:tr2bl w:val="nil"/>
                  </w:tcBorders>
                  <w:vAlign w:val="center"/>
                </w:tcPr>
                <w:p w14:paraId="0A1A0B76">
                  <w:pPr>
                    <w:pStyle w:val="51"/>
                    <w:bidi w:val="0"/>
                    <w:jc w:val="center"/>
                    <w:rPr>
                      <w:color w:val="auto"/>
                    </w:rPr>
                  </w:pPr>
                  <w:r>
                    <w:rPr>
                      <w:color w:val="auto"/>
                    </w:rPr>
                    <w:t>治理设施</w:t>
                  </w:r>
                </w:p>
              </w:tc>
              <w:tc>
                <w:tcPr>
                  <w:tcW w:w="1932" w:type="dxa"/>
                  <w:gridSpan w:val="3"/>
                  <w:tcBorders>
                    <w:tl2br w:val="nil"/>
                    <w:tr2bl w:val="nil"/>
                  </w:tcBorders>
                  <w:vAlign w:val="center"/>
                </w:tcPr>
                <w:p w14:paraId="14F5F028">
                  <w:pPr>
                    <w:pStyle w:val="51"/>
                    <w:bidi w:val="0"/>
                    <w:jc w:val="center"/>
                    <w:rPr>
                      <w:color w:val="auto"/>
                    </w:rPr>
                  </w:pPr>
                  <w:r>
                    <w:rPr>
                      <w:color w:val="auto"/>
                    </w:rPr>
                    <w:t>污染物排放情况</w:t>
                  </w:r>
                </w:p>
              </w:tc>
              <w:tc>
                <w:tcPr>
                  <w:tcW w:w="455" w:type="dxa"/>
                  <w:vMerge w:val="restart"/>
                  <w:tcBorders>
                    <w:tl2br w:val="nil"/>
                    <w:tr2bl w:val="nil"/>
                  </w:tcBorders>
                  <w:vAlign w:val="center"/>
                </w:tcPr>
                <w:p w14:paraId="66BFDA8B">
                  <w:pPr>
                    <w:pStyle w:val="51"/>
                    <w:bidi w:val="0"/>
                    <w:jc w:val="center"/>
                    <w:rPr>
                      <w:color w:val="auto"/>
                    </w:rPr>
                  </w:pPr>
                  <w:r>
                    <w:rPr>
                      <w:color w:val="auto"/>
                    </w:rPr>
                    <w:t>工作 时长 （h）</w:t>
                  </w:r>
                </w:p>
              </w:tc>
            </w:tr>
            <w:tr w14:paraId="68398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jc w:val="center"/>
              </w:trPr>
              <w:tc>
                <w:tcPr>
                  <w:tcW w:w="756" w:type="dxa"/>
                  <w:gridSpan w:val="2"/>
                  <w:vMerge w:val="continue"/>
                  <w:tcBorders>
                    <w:tl2br w:val="nil"/>
                    <w:tr2bl w:val="nil"/>
                  </w:tcBorders>
                  <w:vAlign w:val="center"/>
                </w:tcPr>
                <w:p w14:paraId="202F70BA">
                  <w:pPr>
                    <w:pStyle w:val="51"/>
                    <w:bidi w:val="0"/>
                    <w:jc w:val="center"/>
                    <w:rPr>
                      <w:color w:val="auto"/>
                    </w:rPr>
                  </w:pPr>
                </w:p>
              </w:tc>
              <w:tc>
                <w:tcPr>
                  <w:tcW w:w="584" w:type="dxa"/>
                  <w:vMerge w:val="continue"/>
                  <w:tcBorders>
                    <w:tl2br w:val="nil"/>
                    <w:tr2bl w:val="nil"/>
                  </w:tcBorders>
                  <w:vAlign w:val="center"/>
                </w:tcPr>
                <w:p w14:paraId="568BE11C">
                  <w:pPr>
                    <w:pStyle w:val="51"/>
                    <w:bidi w:val="0"/>
                    <w:jc w:val="center"/>
                    <w:rPr>
                      <w:color w:val="auto"/>
                    </w:rPr>
                  </w:pPr>
                </w:p>
              </w:tc>
              <w:tc>
                <w:tcPr>
                  <w:tcW w:w="614" w:type="dxa"/>
                  <w:tcBorders>
                    <w:tl2br w:val="nil"/>
                    <w:tr2bl w:val="nil"/>
                  </w:tcBorders>
                  <w:vAlign w:val="center"/>
                </w:tcPr>
                <w:p w14:paraId="0AA34EC5">
                  <w:pPr>
                    <w:pStyle w:val="51"/>
                    <w:bidi w:val="0"/>
                    <w:jc w:val="center"/>
                    <w:rPr>
                      <w:color w:val="auto"/>
                    </w:rPr>
                  </w:pPr>
                  <w:r>
                    <w:rPr>
                      <w:rFonts w:hint="eastAsia"/>
                      <w:color w:val="auto"/>
                      <w:lang w:val="en-US" w:eastAsia="zh-CN"/>
                    </w:rPr>
                    <w:t>产生</w:t>
                  </w:r>
                  <w:r>
                    <w:rPr>
                      <w:color w:val="auto"/>
                    </w:rPr>
                    <w:t>量(t/a)</w:t>
                  </w:r>
                </w:p>
              </w:tc>
              <w:tc>
                <w:tcPr>
                  <w:tcW w:w="554" w:type="dxa"/>
                  <w:tcBorders>
                    <w:tl2br w:val="nil"/>
                    <w:tr2bl w:val="nil"/>
                  </w:tcBorders>
                  <w:vAlign w:val="center"/>
                </w:tcPr>
                <w:p w14:paraId="7549CBA8">
                  <w:pPr>
                    <w:pStyle w:val="51"/>
                    <w:bidi w:val="0"/>
                    <w:jc w:val="center"/>
                    <w:rPr>
                      <w:color w:val="auto"/>
                    </w:rPr>
                  </w:pPr>
                  <w:r>
                    <w:rPr>
                      <w:color w:val="auto"/>
                    </w:rPr>
                    <w:t>排放速率</w:t>
                  </w:r>
                </w:p>
                <w:p w14:paraId="1B11FB51">
                  <w:pPr>
                    <w:pStyle w:val="51"/>
                    <w:bidi w:val="0"/>
                    <w:jc w:val="center"/>
                    <w:rPr>
                      <w:color w:val="auto"/>
                    </w:rPr>
                  </w:pPr>
                  <w:r>
                    <w:rPr>
                      <w:color w:val="auto"/>
                    </w:rPr>
                    <w:t>（kg/h)</w:t>
                  </w:r>
                </w:p>
              </w:tc>
              <w:tc>
                <w:tcPr>
                  <w:tcW w:w="703" w:type="dxa"/>
                  <w:tcBorders>
                    <w:tl2br w:val="nil"/>
                    <w:tr2bl w:val="nil"/>
                  </w:tcBorders>
                  <w:vAlign w:val="center"/>
                </w:tcPr>
                <w:p w14:paraId="5286F904">
                  <w:pPr>
                    <w:pStyle w:val="51"/>
                    <w:bidi w:val="0"/>
                    <w:jc w:val="center"/>
                    <w:rPr>
                      <w:color w:val="auto"/>
                    </w:rPr>
                  </w:pPr>
                  <w:r>
                    <w:rPr>
                      <w:color w:val="auto"/>
                    </w:rPr>
                    <w:t>产生浓 度</w:t>
                  </w:r>
                </w:p>
                <w:p w14:paraId="18D43670">
                  <w:pPr>
                    <w:pStyle w:val="51"/>
                    <w:bidi w:val="0"/>
                    <w:jc w:val="center"/>
                    <w:rPr>
                      <w:color w:val="auto"/>
                    </w:rPr>
                  </w:pPr>
                  <w:r>
                    <w:rPr>
                      <w:color w:val="auto"/>
                    </w:rPr>
                    <w:t>（mg/m</w:t>
                  </w:r>
                  <w:r>
                    <w:rPr>
                      <w:color w:val="auto"/>
                      <w:vertAlign w:val="superscript"/>
                    </w:rPr>
                    <w:t>3</w:t>
                  </w:r>
                  <w:r>
                    <w:rPr>
                      <w:color w:val="auto"/>
                    </w:rPr>
                    <w:t>)</w:t>
                  </w:r>
                </w:p>
              </w:tc>
              <w:tc>
                <w:tcPr>
                  <w:tcW w:w="534" w:type="dxa"/>
                  <w:tcBorders>
                    <w:tl2br w:val="nil"/>
                    <w:tr2bl w:val="nil"/>
                  </w:tcBorders>
                  <w:vAlign w:val="center"/>
                </w:tcPr>
                <w:p w14:paraId="07F12ADB">
                  <w:pPr>
                    <w:pStyle w:val="51"/>
                    <w:bidi w:val="0"/>
                    <w:jc w:val="center"/>
                    <w:rPr>
                      <w:color w:val="auto"/>
                    </w:rPr>
                  </w:pPr>
                  <w:r>
                    <w:rPr>
                      <w:color w:val="auto"/>
                    </w:rPr>
                    <w:t>设计风量</w:t>
                  </w:r>
                </w:p>
                <w:p w14:paraId="32248443">
                  <w:pPr>
                    <w:pStyle w:val="51"/>
                    <w:bidi w:val="0"/>
                    <w:jc w:val="center"/>
                    <w:rPr>
                      <w:color w:val="auto"/>
                    </w:rPr>
                  </w:pPr>
                  <w:r>
                    <w:rPr>
                      <w:color w:val="auto"/>
                    </w:rPr>
                    <w:t>(m</w:t>
                  </w:r>
                  <w:r>
                    <w:rPr>
                      <w:color w:val="auto"/>
                      <w:vertAlign w:val="superscript"/>
                    </w:rPr>
                    <w:t>3</w:t>
                  </w:r>
                  <w:r>
                    <w:rPr>
                      <w:color w:val="auto"/>
                    </w:rPr>
                    <w:t>/h)</w:t>
                  </w:r>
                </w:p>
              </w:tc>
              <w:tc>
                <w:tcPr>
                  <w:tcW w:w="644" w:type="dxa"/>
                  <w:tcBorders>
                    <w:tl2br w:val="nil"/>
                    <w:tr2bl w:val="nil"/>
                  </w:tcBorders>
                  <w:vAlign w:val="center"/>
                </w:tcPr>
                <w:p w14:paraId="64C6E584">
                  <w:pPr>
                    <w:pStyle w:val="51"/>
                    <w:bidi w:val="0"/>
                    <w:jc w:val="center"/>
                    <w:rPr>
                      <w:color w:val="auto"/>
                    </w:rPr>
                  </w:pPr>
                  <w:r>
                    <w:rPr>
                      <w:color w:val="auto"/>
                    </w:rPr>
                    <w:t>处理工 艺</w:t>
                  </w:r>
                </w:p>
              </w:tc>
              <w:tc>
                <w:tcPr>
                  <w:tcW w:w="644" w:type="dxa"/>
                  <w:tcBorders>
                    <w:tl2br w:val="nil"/>
                    <w:tr2bl w:val="nil"/>
                  </w:tcBorders>
                  <w:vAlign w:val="center"/>
                </w:tcPr>
                <w:p w14:paraId="48CFCDE6">
                  <w:pPr>
                    <w:pStyle w:val="51"/>
                    <w:bidi w:val="0"/>
                    <w:jc w:val="center"/>
                    <w:rPr>
                      <w:color w:val="auto"/>
                    </w:rPr>
                  </w:pPr>
                  <w:r>
                    <w:rPr>
                      <w:color w:val="auto"/>
                    </w:rPr>
                    <w:t>效率(%)</w:t>
                  </w:r>
                </w:p>
              </w:tc>
              <w:tc>
                <w:tcPr>
                  <w:tcW w:w="517" w:type="dxa"/>
                  <w:tcBorders>
                    <w:tl2br w:val="nil"/>
                    <w:tr2bl w:val="nil"/>
                  </w:tcBorders>
                  <w:vAlign w:val="center"/>
                </w:tcPr>
                <w:p w14:paraId="7E389C3E">
                  <w:pPr>
                    <w:pStyle w:val="51"/>
                    <w:bidi w:val="0"/>
                    <w:jc w:val="center"/>
                    <w:rPr>
                      <w:color w:val="auto"/>
                    </w:rPr>
                  </w:pPr>
                  <w:r>
                    <w:rPr>
                      <w:color w:val="auto"/>
                    </w:rPr>
                    <w:t>是否 可行 技术</w:t>
                  </w:r>
                </w:p>
              </w:tc>
              <w:tc>
                <w:tcPr>
                  <w:tcW w:w="644" w:type="dxa"/>
                  <w:tcBorders>
                    <w:tl2br w:val="nil"/>
                    <w:tr2bl w:val="nil"/>
                  </w:tcBorders>
                  <w:vAlign w:val="center"/>
                </w:tcPr>
                <w:p w14:paraId="40255506">
                  <w:pPr>
                    <w:pStyle w:val="51"/>
                    <w:bidi w:val="0"/>
                    <w:jc w:val="center"/>
                    <w:rPr>
                      <w:color w:val="auto"/>
                    </w:rPr>
                  </w:pPr>
                  <w:r>
                    <w:rPr>
                      <w:color w:val="auto"/>
                    </w:rPr>
                    <w:t>排放量 （t/a）</w:t>
                  </w:r>
                </w:p>
              </w:tc>
              <w:tc>
                <w:tcPr>
                  <w:tcW w:w="644" w:type="dxa"/>
                  <w:tcBorders>
                    <w:tl2br w:val="nil"/>
                    <w:tr2bl w:val="nil"/>
                  </w:tcBorders>
                  <w:vAlign w:val="center"/>
                </w:tcPr>
                <w:p w14:paraId="769D798D">
                  <w:pPr>
                    <w:pStyle w:val="51"/>
                    <w:bidi w:val="0"/>
                    <w:jc w:val="center"/>
                    <w:rPr>
                      <w:color w:val="auto"/>
                    </w:rPr>
                  </w:pPr>
                  <w:r>
                    <w:rPr>
                      <w:color w:val="auto"/>
                    </w:rPr>
                    <w:t>排放速 率(kg/h)</w:t>
                  </w:r>
                </w:p>
              </w:tc>
              <w:tc>
                <w:tcPr>
                  <w:tcW w:w="644" w:type="dxa"/>
                  <w:tcBorders>
                    <w:tl2br w:val="nil"/>
                    <w:tr2bl w:val="nil"/>
                  </w:tcBorders>
                  <w:vAlign w:val="center"/>
                </w:tcPr>
                <w:p w14:paraId="6AAC013F">
                  <w:pPr>
                    <w:pStyle w:val="51"/>
                    <w:bidi w:val="0"/>
                    <w:jc w:val="center"/>
                    <w:rPr>
                      <w:color w:val="auto"/>
                    </w:rPr>
                  </w:pPr>
                  <w:r>
                    <w:rPr>
                      <w:color w:val="auto"/>
                    </w:rPr>
                    <w:t>排放浓</w:t>
                  </w:r>
                </w:p>
                <w:p w14:paraId="6C2D308D">
                  <w:pPr>
                    <w:pStyle w:val="51"/>
                    <w:bidi w:val="0"/>
                    <w:jc w:val="center"/>
                    <w:rPr>
                      <w:color w:val="auto"/>
                    </w:rPr>
                  </w:pPr>
                  <w:r>
                    <w:rPr>
                      <w:color w:val="auto"/>
                    </w:rPr>
                    <w:t>度</w:t>
                  </w:r>
                </w:p>
                <w:p w14:paraId="2CD01C19">
                  <w:pPr>
                    <w:pStyle w:val="51"/>
                    <w:bidi w:val="0"/>
                    <w:jc w:val="center"/>
                    <w:rPr>
                      <w:color w:val="auto"/>
                    </w:rPr>
                  </w:pPr>
                  <w:r>
                    <w:rPr>
                      <w:color w:val="auto"/>
                    </w:rPr>
                    <w:t>(mg/m3)</w:t>
                  </w:r>
                </w:p>
              </w:tc>
              <w:tc>
                <w:tcPr>
                  <w:tcW w:w="455" w:type="dxa"/>
                  <w:vMerge w:val="continue"/>
                  <w:tcBorders>
                    <w:tl2br w:val="nil"/>
                    <w:tr2bl w:val="nil"/>
                  </w:tcBorders>
                  <w:vAlign w:val="center"/>
                </w:tcPr>
                <w:p w14:paraId="5FFA3112">
                  <w:pPr>
                    <w:pStyle w:val="51"/>
                    <w:bidi w:val="0"/>
                    <w:jc w:val="center"/>
                    <w:rPr>
                      <w:color w:val="auto"/>
                    </w:rPr>
                  </w:pPr>
                </w:p>
              </w:tc>
            </w:tr>
            <w:tr w14:paraId="2F7D5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jc w:val="center"/>
              </w:trPr>
              <w:tc>
                <w:tcPr>
                  <w:tcW w:w="516" w:type="dxa"/>
                  <w:tcBorders>
                    <w:tl2br w:val="nil"/>
                    <w:tr2bl w:val="nil"/>
                  </w:tcBorders>
                  <w:vAlign w:val="center"/>
                </w:tcPr>
                <w:p w14:paraId="2278FB38">
                  <w:pPr>
                    <w:pStyle w:val="51"/>
                    <w:bidi w:val="0"/>
                    <w:jc w:val="center"/>
                    <w:rPr>
                      <w:rFonts w:hint="default" w:eastAsia="宋体"/>
                      <w:color w:val="auto"/>
                      <w:lang w:val="en-US" w:eastAsia="zh-CN"/>
                    </w:rPr>
                  </w:pPr>
                  <w:r>
                    <w:rPr>
                      <w:rFonts w:hint="eastAsia"/>
                      <w:color w:val="auto"/>
                      <w:lang w:val="en-US" w:eastAsia="zh-CN"/>
                    </w:rPr>
                    <w:t>车间</w:t>
                  </w:r>
                </w:p>
              </w:tc>
              <w:tc>
                <w:tcPr>
                  <w:tcW w:w="240" w:type="dxa"/>
                  <w:tcBorders>
                    <w:tl2br w:val="nil"/>
                    <w:tr2bl w:val="nil"/>
                  </w:tcBorders>
                  <w:vAlign w:val="center"/>
                </w:tcPr>
                <w:p w14:paraId="459FD8CD">
                  <w:pPr>
                    <w:pStyle w:val="51"/>
                    <w:bidi w:val="0"/>
                    <w:jc w:val="center"/>
                    <w:rPr>
                      <w:rFonts w:hint="eastAsia" w:eastAsia="宋体"/>
                      <w:color w:val="auto"/>
                      <w:lang w:val="en-US" w:eastAsia="zh-CN"/>
                    </w:rPr>
                  </w:pPr>
                  <w:r>
                    <w:rPr>
                      <w:rFonts w:hint="eastAsia"/>
                      <w:color w:val="auto"/>
                      <w:lang w:val="en-US" w:eastAsia="zh-CN"/>
                    </w:rPr>
                    <w:t>有组织</w:t>
                  </w:r>
                </w:p>
              </w:tc>
              <w:tc>
                <w:tcPr>
                  <w:tcW w:w="584" w:type="dxa"/>
                  <w:tcBorders>
                    <w:tl2br w:val="nil"/>
                    <w:tr2bl w:val="nil"/>
                  </w:tcBorders>
                  <w:vAlign w:val="center"/>
                </w:tcPr>
                <w:p w14:paraId="48F18FB1">
                  <w:pPr>
                    <w:pStyle w:val="51"/>
                    <w:bidi w:val="0"/>
                    <w:ind w:firstLine="0" w:firstLineChars="0"/>
                    <w:jc w:val="center"/>
                    <w:rPr>
                      <w:color w:val="auto"/>
                    </w:rPr>
                  </w:pPr>
                  <w:r>
                    <w:rPr>
                      <w:color w:val="auto"/>
                    </w:rPr>
                    <w:t>颗粒物</w:t>
                  </w:r>
                </w:p>
              </w:tc>
              <w:tc>
                <w:tcPr>
                  <w:tcW w:w="614" w:type="dxa"/>
                  <w:tcBorders>
                    <w:tl2br w:val="nil"/>
                    <w:tr2bl w:val="nil"/>
                  </w:tcBorders>
                  <w:vAlign w:val="center"/>
                </w:tcPr>
                <w:p w14:paraId="243A2298">
                  <w:pPr>
                    <w:pStyle w:val="51"/>
                    <w:bidi w:val="0"/>
                    <w:ind w:firstLine="0" w:firstLineChars="0"/>
                    <w:jc w:val="center"/>
                    <w:rPr>
                      <w:rFonts w:hint="default" w:eastAsia="宋体"/>
                      <w:color w:val="auto"/>
                      <w:lang w:val="en-US" w:eastAsia="zh-CN"/>
                    </w:rPr>
                  </w:pPr>
                  <w:r>
                    <w:rPr>
                      <w:rFonts w:hint="eastAsia"/>
                      <w:color w:val="auto"/>
                      <w:lang w:val="en-US" w:eastAsia="zh-CN"/>
                    </w:rPr>
                    <w:t>4.766</w:t>
                  </w:r>
                </w:p>
              </w:tc>
              <w:tc>
                <w:tcPr>
                  <w:tcW w:w="554" w:type="dxa"/>
                  <w:tcBorders>
                    <w:tl2br w:val="nil"/>
                    <w:tr2bl w:val="nil"/>
                  </w:tcBorders>
                  <w:vAlign w:val="center"/>
                </w:tcPr>
                <w:p w14:paraId="270E882D">
                  <w:pPr>
                    <w:keepNext w:val="0"/>
                    <w:keepLines w:val="0"/>
                    <w:widowControl/>
                    <w:suppressLineNumbers w:val="0"/>
                    <w:jc w:val="center"/>
                    <w:textAlignment w:val="center"/>
                    <w:rPr>
                      <w:rFonts w:hint="default" w:eastAsia="宋体"/>
                      <w:color w:val="auto"/>
                      <w:lang w:val="en-US" w:eastAsia="zh-CN"/>
                    </w:rPr>
                  </w:pPr>
                  <w:r>
                    <w:rPr>
                      <w:rFonts w:hint="eastAsia"/>
                      <w:color w:val="auto"/>
                      <w:lang w:val="en-US" w:eastAsia="zh-CN"/>
                    </w:rPr>
                    <w:t>0.666</w:t>
                  </w:r>
                </w:p>
              </w:tc>
              <w:tc>
                <w:tcPr>
                  <w:tcW w:w="703" w:type="dxa"/>
                  <w:tcBorders>
                    <w:tl2br w:val="nil"/>
                    <w:tr2bl w:val="nil"/>
                  </w:tcBorders>
                  <w:vAlign w:val="center"/>
                </w:tcPr>
                <w:p w14:paraId="3B16E742">
                  <w:pPr>
                    <w:keepNext w:val="0"/>
                    <w:keepLines w:val="0"/>
                    <w:widowControl/>
                    <w:suppressLineNumbers w:val="0"/>
                    <w:jc w:val="center"/>
                    <w:textAlignment w:val="center"/>
                    <w:rPr>
                      <w:rFonts w:hint="default" w:eastAsia="宋体"/>
                      <w:color w:val="auto"/>
                      <w:lang w:val="en-US" w:eastAsia="zh-CN"/>
                    </w:rPr>
                  </w:pPr>
                  <w:r>
                    <w:rPr>
                      <w:rFonts w:hint="eastAsia"/>
                      <w:color w:val="auto"/>
                      <w:lang w:val="en-US" w:eastAsia="zh-CN"/>
                    </w:rPr>
                    <w:t>95.1</w:t>
                  </w:r>
                </w:p>
              </w:tc>
              <w:tc>
                <w:tcPr>
                  <w:tcW w:w="534" w:type="dxa"/>
                  <w:tcBorders>
                    <w:tl2br w:val="nil"/>
                    <w:tr2bl w:val="nil"/>
                  </w:tcBorders>
                  <w:vAlign w:val="center"/>
                </w:tcPr>
                <w:p w14:paraId="1DD3D141">
                  <w:pPr>
                    <w:pStyle w:val="51"/>
                    <w:bidi w:val="0"/>
                    <w:ind w:firstLine="0" w:firstLineChars="0"/>
                    <w:jc w:val="center"/>
                    <w:rPr>
                      <w:rFonts w:hint="default" w:eastAsia="宋体"/>
                      <w:color w:val="auto"/>
                      <w:lang w:val="en-US" w:eastAsia="zh-CN"/>
                    </w:rPr>
                  </w:pPr>
                  <w:r>
                    <w:rPr>
                      <w:rFonts w:hint="eastAsia"/>
                      <w:color w:val="auto"/>
                      <w:lang w:val="en-US" w:eastAsia="zh-CN"/>
                    </w:rPr>
                    <w:t>7000</w:t>
                  </w:r>
                </w:p>
              </w:tc>
              <w:tc>
                <w:tcPr>
                  <w:tcW w:w="644" w:type="dxa"/>
                  <w:tcBorders>
                    <w:tl2br w:val="nil"/>
                    <w:tr2bl w:val="nil"/>
                  </w:tcBorders>
                  <w:vAlign w:val="center"/>
                </w:tcPr>
                <w:p w14:paraId="2BD4B27A">
                  <w:pPr>
                    <w:pStyle w:val="51"/>
                    <w:bidi w:val="0"/>
                    <w:ind w:firstLine="0" w:firstLineChars="0"/>
                    <w:jc w:val="center"/>
                    <w:rPr>
                      <w:rFonts w:hint="default"/>
                      <w:color w:val="auto"/>
                      <w:lang w:val="en-US"/>
                    </w:rPr>
                  </w:pPr>
                  <w:r>
                    <w:rPr>
                      <w:rFonts w:hint="eastAsia"/>
                      <w:color w:val="auto"/>
                      <w:lang w:val="en-US" w:eastAsia="zh-CN"/>
                    </w:rPr>
                    <w:t>布袋除尘</w:t>
                  </w:r>
                </w:p>
              </w:tc>
              <w:tc>
                <w:tcPr>
                  <w:tcW w:w="644" w:type="dxa"/>
                  <w:tcBorders>
                    <w:tl2br w:val="nil"/>
                    <w:tr2bl w:val="nil"/>
                  </w:tcBorders>
                  <w:vAlign w:val="center"/>
                </w:tcPr>
                <w:p w14:paraId="03BD97BB">
                  <w:pPr>
                    <w:pStyle w:val="51"/>
                    <w:bidi w:val="0"/>
                    <w:ind w:firstLine="0" w:firstLineChars="0"/>
                    <w:jc w:val="center"/>
                    <w:rPr>
                      <w:rFonts w:hint="default"/>
                      <w:color w:val="auto"/>
                      <w:lang w:val="en-US"/>
                    </w:rPr>
                  </w:pPr>
                  <w:r>
                    <w:rPr>
                      <w:rFonts w:hint="eastAsia"/>
                      <w:color w:val="auto"/>
                      <w:lang w:val="en-US" w:eastAsia="zh-CN"/>
                    </w:rPr>
                    <w:t>99</w:t>
                  </w:r>
                </w:p>
              </w:tc>
              <w:tc>
                <w:tcPr>
                  <w:tcW w:w="517" w:type="dxa"/>
                  <w:tcBorders>
                    <w:tl2br w:val="nil"/>
                    <w:tr2bl w:val="nil"/>
                  </w:tcBorders>
                  <w:vAlign w:val="center"/>
                </w:tcPr>
                <w:p w14:paraId="653D87B9">
                  <w:pPr>
                    <w:pStyle w:val="51"/>
                    <w:bidi w:val="0"/>
                    <w:ind w:firstLine="0" w:firstLineChars="0"/>
                    <w:jc w:val="center"/>
                    <w:rPr>
                      <w:color w:val="auto"/>
                    </w:rPr>
                  </w:pPr>
                  <w:r>
                    <w:rPr>
                      <w:rFonts w:hint="eastAsia"/>
                      <w:color w:val="auto"/>
                      <w:lang w:val="en-US" w:eastAsia="zh-CN"/>
                    </w:rPr>
                    <w:t>是</w:t>
                  </w:r>
                </w:p>
              </w:tc>
              <w:tc>
                <w:tcPr>
                  <w:tcW w:w="644" w:type="dxa"/>
                  <w:tcBorders>
                    <w:tl2br w:val="nil"/>
                    <w:tr2bl w:val="nil"/>
                  </w:tcBorders>
                  <w:vAlign w:val="center"/>
                </w:tcPr>
                <w:p w14:paraId="185BE527">
                  <w:pPr>
                    <w:keepNext w:val="0"/>
                    <w:keepLines w:val="0"/>
                    <w:widowControl/>
                    <w:suppressLineNumbers w:val="0"/>
                    <w:jc w:val="center"/>
                    <w:textAlignment w:val="center"/>
                    <w:rPr>
                      <w:rFonts w:hint="default" w:eastAsia="宋体"/>
                      <w:color w:val="auto"/>
                      <w:lang w:val="en-US" w:eastAsia="zh-CN"/>
                    </w:rPr>
                  </w:pPr>
                  <w:r>
                    <w:rPr>
                      <w:rFonts w:hint="eastAsia"/>
                      <w:color w:val="auto"/>
                      <w:lang w:val="en-US" w:eastAsia="zh-CN"/>
                    </w:rPr>
                    <w:t>0.048</w:t>
                  </w:r>
                </w:p>
              </w:tc>
              <w:tc>
                <w:tcPr>
                  <w:tcW w:w="644" w:type="dxa"/>
                  <w:tcBorders>
                    <w:tl2br w:val="nil"/>
                    <w:tr2bl w:val="nil"/>
                  </w:tcBorders>
                  <w:vAlign w:val="center"/>
                </w:tcPr>
                <w:p w14:paraId="5ED7E81F">
                  <w:pPr>
                    <w:keepNext w:val="0"/>
                    <w:keepLines w:val="0"/>
                    <w:widowControl/>
                    <w:suppressLineNumbers w:val="0"/>
                    <w:jc w:val="center"/>
                    <w:textAlignment w:val="center"/>
                    <w:rPr>
                      <w:rFonts w:hint="default" w:eastAsia="宋体"/>
                      <w:color w:val="auto"/>
                      <w:lang w:val="en-US" w:eastAsia="zh-CN"/>
                    </w:rPr>
                  </w:pPr>
                  <w:r>
                    <w:rPr>
                      <w:rFonts w:hint="eastAsia"/>
                      <w:color w:val="auto"/>
                      <w:lang w:val="en-US" w:eastAsia="zh-CN"/>
                    </w:rPr>
                    <w:t>0.007</w:t>
                  </w:r>
                </w:p>
              </w:tc>
              <w:tc>
                <w:tcPr>
                  <w:tcW w:w="644" w:type="dxa"/>
                  <w:tcBorders>
                    <w:tl2br w:val="nil"/>
                    <w:tr2bl w:val="nil"/>
                  </w:tcBorders>
                  <w:vAlign w:val="center"/>
                </w:tcPr>
                <w:p w14:paraId="7407C98D">
                  <w:pPr>
                    <w:keepNext w:val="0"/>
                    <w:keepLines w:val="0"/>
                    <w:widowControl/>
                    <w:suppressLineNumbers w:val="0"/>
                    <w:jc w:val="center"/>
                    <w:textAlignment w:val="center"/>
                    <w:rPr>
                      <w:rFonts w:hint="default" w:eastAsia="宋体"/>
                      <w:color w:val="auto"/>
                      <w:lang w:val="en-US" w:eastAsia="zh-CN"/>
                    </w:rPr>
                  </w:pPr>
                  <w:r>
                    <w:rPr>
                      <w:rFonts w:hint="eastAsia"/>
                      <w:color w:val="auto"/>
                      <w:lang w:val="en-US" w:eastAsia="zh-CN"/>
                    </w:rPr>
                    <w:t>0.95</w:t>
                  </w:r>
                </w:p>
              </w:tc>
              <w:tc>
                <w:tcPr>
                  <w:tcW w:w="455" w:type="dxa"/>
                  <w:tcBorders>
                    <w:tl2br w:val="nil"/>
                    <w:tr2bl w:val="nil"/>
                  </w:tcBorders>
                  <w:vAlign w:val="center"/>
                </w:tcPr>
                <w:p w14:paraId="19AB6E04">
                  <w:pPr>
                    <w:pStyle w:val="51"/>
                    <w:bidi w:val="0"/>
                    <w:jc w:val="center"/>
                    <w:rPr>
                      <w:rFonts w:hint="default" w:eastAsia="宋体"/>
                      <w:color w:val="auto"/>
                      <w:lang w:val="en-US" w:eastAsia="zh-CN"/>
                    </w:rPr>
                  </w:pPr>
                  <w:r>
                    <w:rPr>
                      <w:rFonts w:hint="eastAsia"/>
                      <w:color w:val="auto"/>
                      <w:lang w:val="en-US" w:eastAsia="zh-CN"/>
                    </w:rPr>
                    <w:t>7200</w:t>
                  </w:r>
                </w:p>
              </w:tc>
            </w:tr>
            <w:tr w14:paraId="48447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jc w:val="center"/>
              </w:trPr>
              <w:tc>
                <w:tcPr>
                  <w:tcW w:w="516" w:type="dxa"/>
                  <w:tcBorders>
                    <w:tl2br w:val="nil"/>
                    <w:tr2bl w:val="nil"/>
                  </w:tcBorders>
                  <w:vAlign w:val="center"/>
                </w:tcPr>
                <w:p w14:paraId="5A01D470">
                  <w:pPr>
                    <w:pStyle w:val="51"/>
                    <w:bidi w:val="0"/>
                    <w:jc w:val="center"/>
                    <w:rPr>
                      <w:rFonts w:hint="default" w:eastAsia="宋体"/>
                      <w:color w:val="auto"/>
                      <w:lang w:val="en-US" w:eastAsia="zh-CN"/>
                    </w:rPr>
                  </w:pPr>
                  <w:r>
                    <w:rPr>
                      <w:rFonts w:hint="eastAsia"/>
                      <w:color w:val="auto"/>
                      <w:lang w:val="en-US" w:eastAsia="zh-CN"/>
                    </w:rPr>
                    <w:t>装卸、储存</w:t>
                  </w:r>
                </w:p>
              </w:tc>
              <w:tc>
                <w:tcPr>
                  <w:tcW w:w="240" w:type="dxa"/>
                  <w:tcBorders>
                    <w:tl2br w:val="nil"/>
                    <w:tr2bl w:val="nil"/>
                  </w:tcBorders>
                  <w:textDirection w:val="tbRlV"/>
                  <w:vAlign w:val="center"/>
                </w:tcPr>
                <w:p w14:paraId="6995BA34">
                  <w:pPr>
                    <w:pStyle w:val="51"/>
                    <w:bidi w:val="0"/>
                    <w:jc w:val="center"/>
                    <w:rPr>
                      <w:rFonts w:hint="eastAsia" w:eastAsia="宋体"/>
                      <w:color w:val="auto"/>
                      <w:lang w:val="en-US" w:eastAsia="zh-CN"/>
                    </w:rPr>
                  </w:pPr>
                  <w:r>
                    <w:rPr>
                      <w:rFonts w:hint="eastAsia"/>
                      <w:color w:val="auto"/>
                      <w:lang w:val="en-US" w:eastAsia="zh-CN"/>
                    </w:rPr>
                    <w:t>无组织</w:t>
                  </w:r>
                </w:p>
              </w:tc>
              <w:tc>
                <w:tcPr>
                  <w:tcW w:w="584" w:type="dxa"/>
                  <w:tcBorders>
                    <w:tl2br w:val="nil"/>
                    <w:tr2bl w:val="nil"/>
                  </w:tcBorders>
                  <w:vAlign w:val="center"/>
                </w:tcPr>
                <w:p w14:paraId="242DA275">
                  <w:pPr>
                    <w:pStyle w:val="51"/>
                    <w:bidi w:val="0"/>
                    <w:jc w:val="center"/>
                    <w:rPr>
                      <w:rFonts w:hint="eastAsia" w:eastAsia="宋体"/>
                      <w:color w:val="auto"/>
                      <w:lang w:val="en-US" w:eastAsia="zh-CN"/>
                    </w:rPr>
                  </w:pPr>
                  <w:r>
                    <w:rPr>
                      <w:rFonts w:hint="eastAsia"/>
                      <w:color w:val="auto"/>
                      <w:lang w:val="en-US" w:eastAsia="zh-CN"/>
                    </w:rPr>
                    <w:t>颗粒物</w:t>
                  </w:r>
                </w:p>
              </w:tc>
              <w:tc>
                <w:tcPr>
                  <w:tcW w:w="614" w:type="dxa"/>
                  <w:tcBorders>
                    <w:tl2br w:val="nil"/>
                    <w:tr2bl w:val="nil"/>
                  </w:tcBorders>
                  <w:vAlign w:val="center"/>
                </w:tcPr>
                <w:p w14:paraId="27752E0C">
                  <w:pPr>
                    <w:pStyle w:val="51"/>
                    <w:bidi w:val="0"/>
                    <w:jc w:val="center"/>
                    <w:rPr>
                      <w:rFonts w:hint="default"/>
                      <w:color w:val="auto"/>
                      <w:lang w:val="en-US"/>
                    </w:rPr>
                  </w:pPr>
                  <w:r>
                    <w:rPr>
                      <w:rFonts w:hint="eastAsia"/>
                      <w:color w:val="auto"/>
                      <w:lang w:val="en-US" w:eastAsia="zh-CN"/>
                    </w:rPr>
                    <w:t>3.44</w:t>
                  </w:r>
                </w:p>
              </w:tc>
              <w:tc>
                <w:tcPr>
                  <w:tcW w:w="554" w:type="dxa"/>
                  <w:tcBorders>
                    <w:tl2br w:val="nil"/>
                    <w:tr2bl w:val="nil"/>
                  </w:tcBorders>
                  <w:vAlign w:val="center"/>
                </w:tcPr>
                <w:p w14:paraId="32249CBC">
                  <w:pPr>
                    <w:pStyle w:val="51"/>
                    <w:bidi w:val="0"/>
                    <w:jc w:val="center"/>
                    <w:rPr>
                      <w:rFonts w:hint="eastAsia" w:eastAsia="宋体"/>
                      <w:color w:val="auto"/>
                      <w:lang w:val="en-US" w:eastAsia="zh-CN"/>
                    </w:rPr>
                  </w:pPr>
                  <w:r>
                    <w:rPr>
                      <w:rFonts w:hint="eastAsia"/>
                      <w:color w:val="auto"/>
                      <w:lang w:val="en-US" w:eastAsia="zh-CN"/>
                    </w:rPr>
                    <w:t>/</w:t>
                  </w:r>
                </w:p>
              </w:tc>
              <w:tc>
                <w:tcPr>
                  <w:tcW w:w="703" w:type="dxa"/>
                  <w:tcBorders>
                    <w:tl2br w:val="nil"/>
                    <w:tr2bl w:val="nil"/>
                  </w:tcBorders>
                  <w:vAlign w:val="center"/>
                </w:tcPr>
                <w:p w14:paraId="29D52A02">
                  <w:pPr>
                    <w:pStyle w:val="51"/>
                    <w:bidi w:val="0"/>
                    <w:jc w:val="center"/>
                    <w:rPr>
                      <w:rFonts w:hint="eastAsia" w:eastAsia="宋体"/>
                      <w:color w:val="auto"/>
                      <w:lang w:val="en-US" w:eastAsia="zh-CN"/>
                    </w:rPr>
                  </w:pPr>
                  <w:r>
                    <w:rPr>
                      <w:rFonts w:hint="eastAsia"/>
                      <w:color w:val="auto"/>
                      <w:lang w:val="en-US" w:eastAsia="zh-CN"/>
                    </w:rPr>
                    <w:t>/</w:t>
                  </w:r>
                </w:p>
              </w:tc>
              <w:tc>
                <w:tcPr>
                  <w:tcW w:w="534" w:type="dxa"/>
                  <w:tcBorders>
                    <w:tl2br w:val="nil"/>
                    <w:tr2bl w:val="nil"/>
                  </w:tcBorders>
                  <w:vAlign w:val="center"/>
                </w:tcPr>
                <w:p w14:paraId="58C08207">
                  <w:pPr>
                    <w:pStyle w:val="51"/>
                    <w:bidi w:val="0"/>
                    <w:jc w:val="center"/>
                    <w:rPr>
                      <w:rFonts w:hint="eastAsia" w:eastAsia="宋体"/>
                      <w:color w:val="auto"/>
                      <w:lang w:val="en-US" w:eastAsia="zh-CN"/>
                    </w:rPr>
                  </w:pPr>
                  <w:r>
                    <w:rPr>
                      <w:rFonts w:hint="eastAsia"/>
                      <w:color w:val="auto"/>
                      <w:lang w:val="en-US" w:eastAsia="zh-CN"/>
                    </w:rPr>
                    <w:t>/</w:t>
                  </w:r>
                </w:p>
              </w:tc>
              <w:tc>
                <w:tcPr>
                  <w:tcW w:w="644" w:type="dxa"/>
                  <w:tcBorders>
                    <w:tl2br w:val="nil"/>
                    <w:tr2bl w:val="nil"/>
                  </w:tcBorders>
                  <w:vAlign w:val="center"/>
                </w:tcPr>
                <w:p w14:paraId="4E854B86">
                  <w:pPr>
                    <w:pStyle w:val="51"/>
                    <w:bidi w:val="0"/>
                    <w:jc w:val="center"/>
                    <w:rPr>
                      <w:rFonts w:hint="default" w:eastAsia="宋体"/>
                      <w:color w:val="auto"/>
                      <w:lang w:val="en-US" w:eastAsia="zh-CN"/>
                    </w:rPr>
                  </w:pPr>
                  <w:r>
                    <w:rPr>
                      <w:rFonts w:hint="eastAsia"/>
                      <w:color w:val="auto"/>
                      <w:lang w:val="en-US" w:eastAsia="zh-CN"/>
                    </w:rPr>
                    <w:t>装卸、储存位于全封闭仓库</w:t>
                  </w:r>
                </w:p>
              </w:tc>
              <w:tc>
                <w:tcPr>
                  <w:tcW w:w="644" w:type="dxa"/>
                  <w:tcBorders>
                    <w:tl2br w:val="nil"/>
                    <w:tr2bl w:val="nil"/>
                  </w:tcBorders>
                  <w:vAlign w:val="center"/>
                </w:tcPr>
                <w:p w14:paraId="67018172">
                  <w:pPr>
                    <w:pStyle w:val="51"/>
                    <w:bidi w:val="0"/>
                    <w:jc w:val="center"/>
                    <w:rPr>
                      <w:rFonts w:hint="default" w:eastAsia="宋体"/>
                      <w:color w:val="auto"/>
                      <w:lang w:val="en-US" w:eastAsia="zh-CN"/>
                    </w:rPr>
                  </w:pPr>
                  <w:r>
                    <w:rPr>
                      <w:rFonts w:hint="eastAsia"/>
                      <w:color w:val="auto"/>
                      <w:lang w:val="en-US" w:eastAsia="zh-CN"/>
                    </w:rPr>
                    <w:t>99</w:t>
                  </w:r>
                </w:p>
              </w:tc>
              <w:tc>
                <w:tcPr>
                  <w:tcW w:w="517" w:type="dxa"/>
                  <w:tcBorders>
                    <w:tl2br w:val="nil"/>
                    <w:tr2bl w:val="nil"/>
                  </w:tcBorders>
                  <w:vAlign w:val="center"/>
                </w:tcPr>
                <w:p w14:paraId="5DFB4155">
                  <w:pPr>
                    <w:pStyle w:val="51"/>
                    <w:bidi w:val="0"/>
                    <w:jc w:val="center"/>
                    <w:rPr>
                      <w:rFonts w:hint="eastAsia" w:eastAsia="宋体"/>
                      <w:color w:val="auto"/>
                      <w:lang w:val="en-US" w:eastAsia="zh-CN"/>
                    </w:rPr>
                  </w:pPr>
                  <w:r>
                    <w:rPr>
                      <w:rFonts w:hint="eastAsia"/>
                      <w:color w:val="auto"/>
                      <w:lang w:val="en-US" w:eastAsia="zh-CN"/>
                    </w:rPr>
                    <w:t>是</w:t>
                  </w:r>
                </w:p>
              </w:tc>
              <w:tc>
                <w:tcPr>
                  <w:tcW w:w="644" w:type="dxa"/>
                  <w:tcBorders>
                    <w:tl2br w:val="nil"/>
                    <w:tr2bl w:val="nil"/>
                  </w:tcBorders>
                  <w:vAlign w:val="center"/>
                </w:tcPr>
                <w:p w14:paraId="242F45B9">
                  <w:pPr>
                    <w:pStyle w:val="51"/>
                    <w:bidi w:val="0"/>
                    <w:jc w:val="center"/>
                    <w:rPr>
                      <w:rFonts w:hint="default" w:eastAsia="宋体"/>
                      <w:color w:val="auto"/>
                      <w:lang w:val="en-US" w:eastAsia="zh-CN"/>
                    </w:rPr>
                  </w:pPr>
                  <w:r>
                    <w:rPr>
                      <w:rFonts w:hint="eastAsia"/>
                      <w:color w:val="auto"/>
                      <w:lang w:val="en-US" w:eastAsia="zh-CN"/>
                    </w:rPr>
                    <w:t>0.0344</w:t>
                  </w:r>
                </w:p>
              </w:tc>
              <w:tc>
                <w:tcPr>
                  <w:tcW w:w="644" w:type="dxa"/>
                  <w:tcBorders>
                    <w:tl2br w:val="nil"/>
                    <w:tr2bl w:val="nil"/>
                  </w:tcBorders>
                  <w:vAlign w:val="center"/>
                </w:tcPr>
                <w:p w14:paraId="1F212204">
                  <w:pPr>
                    <w:pStyle w:val="51"/>
                    <w:bidi w:val="0"/>
                    <w:jc w:val="center"/>
                    <w:rPr>
                      <w:rFonts w:hint="eastAsia" w:eastAsia="宋体"/>
                      <w:color w:val="auto"/>
                      <w:lang w:val="en-US" w:eastAsia="zh-CN"/>
                    </w:rPr>
                  </w:pPr>
                  <w:r>
                    <w:rPr>
                      <w:rFonts w:hint="eastAsia"/>
                      <w:color w:val="auto"/>
                      <w:lang w:val="en-US" w:eastAsia="zh-CN"/>
                    </w:rPr>
                    <w:t>/</w:t>
                  </w:r>
                </w:p>
              </w:tc>
              <w:tc>
                <w:tcPr>
                  <w:tcW w:w="644" w:type="dxa"/>
                  <w:tcBorders>
                    <w:tl2br w:val="nil"/>
                    <w:tr2bl w:val="nil"/>
                  </w:tcBorders>
                  <w:vAlign w:val="center"/>
                </w:tcPr>
                <w:p w14:paraId="7630C2A1">
                  <w:pPr>
                    <w:pStyle w:val="51"/>
                    <w:bidi w:val="0"/>
                    <w:jc w:val="center"/>
                    <w:rPr>
                      <w:rFonts w:hint="eastAsia" w:eastAsia="宋体"/>
                      <w:color w:val="auto"/>
                      <w:lang w:val="en-US" w:eastAsia="zh-CN"/>
                    </w:rPr>
                  </w:pPr>
                  <w:r>
                    <w:rPr>
                      <w:rFonts w:hint="eastAsia"/>
                      <w:color w:val="auto"/>
                      <w:lang w:val="en-US" w:eastAsia="zh-CN"/>
                    </w:rPr>
                    <w:t>/</w:t>
                  </w:r>
                </w:p>
              </w:tc>
              <w:tc>
                <w:tcPr>
                  <w:tcW w:w="455" w:type="dxa"/>
                  <w:tcBorders>
                    <w:tl2br w:val="nil"/>
                    <w:tr2bl w:val="nil"/>
                  </w:tcBorders>
                  <w:vAlign w:val="center"/>
                </w:tcPr>
                <w:p w14:paraId="2B1CC9CA">
                  <w:pPr>
                    <w:pStyle w:val="51"/>
                    <w:bidi w:val="0"/>
                    <w:jc w:val="center"/>
                    <w:rPr>
                      <w:rFonts w:hint="default" w:eastAsia="宋体"/>
                      <w:color w:val="auto"/>
                      <w:lang w:val="en-US" w:eastAsia="zh-CN"/>
                    </w:rPr>
                  </w:pPr>
                  <w:r>
                    <w:rPr>
                      <w:rFonts w:hint="eastAsia"/>
                      <w:color w:val="auto"/>
                      <w:lang w:val="en-US" w:eastAsia="zh-CN"/>
                    </w:rPr>
                    <w:t>7200</w:t>
                  </w:r>
                </w:p>
              </w:tc>
            </w:tr>
          </w:tbl>
          <w:p w14:paraId="79006E60">
            <w:pPr>
              <w:pStyle w:val="38"/>
              <w:bidi w:val="0"/>
              <w:rPr>
                <w:color w:val="auto"/>
              </w:rPr>
            </w:pPr>
            <w:r>
              <w:rPr>
                <w:color w:val="auto"/>
              </w:rPr>
              <w:t>（</w:t>
            </w:r>
            <w:r>
              <w:rPr>
                <w:rFonts w:hint="eastAsia"/>
                <w:color w:val="auto"/>
                <w:lang w:val="en-US" w:eastAsia="zh-CN"/>
              </w:rPr>
              <w:t>4</w:t>
            </w:r>
            <w:r>
              <w:rPr>
                <w:color w:val="auto"/>
              </w:rPr>
              <w:t>）非正常工况下污染源强核算过程</w:t>
            </w:r>
          </w:p>
          <w:p w14:paraId="6D6DBEEF">
            <w:pPr>
              <w:pStyle w:val="38"/>
              <w:bidi w:val="0"/>
              <w:rPr>
                <w:color w:val="auto"/>
              </w:rPr>
            </w:pPr>
            <w:r>
              <w:rPr>
                <w:color w:val="auto"/>
              </w:rPr>
              <w:t>项目生产过程可能产生的非正常工况：停机检修、废气治理设施发生故障等。这些非正常工况中，以废气治理设施发生故障，造成污染物</w:t>
            </w:r>
            <w:r>
              <w:rPr>
                <w:rFonts w:hint="eastAsia"/>
                <w:color w:val="auto"/>
                <w:lang w:val="en-US" w:eastAsia="zh-CN"/>
              </w:rPr>
              <w:t>进行处理</w:t>
            </w:r>
            <w:r>
              <w:rPr>
                <w:color w:val="auto"/>
              </w:rPr>
              <w:t>，甚至直接排放的影响最为严重，为此，按最不利原则，本评价按污染防治措施出现故障造成废气未经处理直接事故排放作为后面章节分析本项目非正常工况污染事故影响的重点内容。</w:t>
            </w:r>
          </w:p>
          <w:p w14:paraId="57E5A774">
            <w:pPr>
              <w:pStyle w:val="38"/>
              <w:bidi w:val="0"/>
              <w:rPr>
                <w:color w:val="auto"/>
              </w:rPr>
            </w:pPr>
            <w:r>
              <w:rPr>
                <w:color w:val="auto"/>
              </w:rPr>
              <w:t>建议建设单位每天定期对废气治理措施人工巡检，一旦发现出现故障现象，立刻通知停产。故非正常工况的持续时间按</w:t>
            </w:r>
            <w:r>
              <w:rPr>
                <w:rFonts w:hint="eastAsia"/>
                <w:color w:val="auto"/>
                <w:lang w:val="en-US" w:eastAsia="zh-CN"/>
              </w:rPr>
              <w:t>8</w:t>
            </w:r>
            <w:r>
              <w:rPr>
                <w:color w:val="auto"/>
              </w:rPr>
              <w:t>h计。类比同类型项目，本项目发生频率按1次/年计。</w:t>
            </w:r>
          </w:p>
          <w:p w14:paraId="25110C91">
            <w:pPr>
              <w:pStyle w:val="46"/>
              <w:bidi w:val="0"/>
              <w:rPr>
                <w:color w:val="auto"/>
              </w:rPr>
            </w:pPr>
            <w:r>
              <w:rPr>
                <w:color w:val="auto"/>
              </w:rPr>
              <w:t>表4-</w:t>
            </w:r>
            <w:r>
              <w:rPr>
                <w:rFonts w:hint="eastAsia"/>
                <w:color w:val="auto"/>
                <w:lang w:val="en-US" w:eastAsia="zh-CN"/>
              </w:rPr>
              <w:t>5</w:t>
            </w:r>
            <w:r>
              <w:rPr>
                <w:color w:val="auto"/>
              </w:rPr>
              <w:t xml:space="preserve"> </w:t>
            </w:r>
            <w:r>
              <w:rPr>
                <w:rFonts w:hint="eastAsia"/>
                <w:color w:val="auto"/>
                <w:lang w:val="en-US" w:eastAsia="zh-CN"/>
              </w:rPr>
              <w:t xml:space="preserve"> </w:t>
            </w:r>
            <w:r>
              <w:rPr>
                <w:color w:val="auto"/>
              </w:rPr>
              <w:t xml:space="preserve"> 非正常工况下污染源强核算一览表</w:t>
            </w:r>
          </w:p>
          <w:tbl>
            <w:tblPr>
              <w:tblStyle w:val="114"/>
              <w:tblW w:w="79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4"/>
              <w:gridCol w:w="1473"/>
              <w:gridCol w:w="1274"/>
              <w:gridCol w:w="1113"/>
              <w:gridCol w:w="990"/>
              <w:gridCol w:w="821"/>
              <w:gridCol w:w="774"/>
              <w:gridCol w:w="708"/>
            </w:tblGrid>
            <w:tr w14:paraId="11523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jc w:val="center"/>
              </w:trPr>
              <w:tc>
                <w:tcPr>
                  <w:tcW w:w="784" w:type="dxa"/>
                  <w:tcBorders>
                    <w:top w:val="single" w:color="000000" w:sz="2" w:space="0"/>
                    <w:left w:val="single" w:color="000000" w:sz="2" w:space="0"/>
                  </w:tcBorders>
                  <w:vAlign w:val="center"/>
                </w:tcPr>
                <w:p w14:paraId="5A681555">
                  <w:pPr>
                    <w:pStyle w:val="51"/>
                    <w:bidi w:val="0"/>
                    <w:jc w:val="center"/>
                    <w:rPr>
                      <w:color w:val="auto"/>
                    </w:rPr>
                  </w:pPr>
                  <w:r>
                    <w:rPr>
                      <w:color w:val="auto"/>
                    </w:rPr>
                    <w:t>非正常排放源</w:t>
                  </w:r>
                </w:p>
              </w:tc>
              <w:tc>
                <w:tcPr>
                  <w:tcW w:w="1473" w:type="dxa"/>
                  <w:tcBorders>
                    <w:top w:val="single" w:color="000000" w:sz="2" w:space="0"/>
                  </w:tcBorders>
                  <w:vAlign w:val="center"/>
                </w:tcPr>
                <w:p w14:paraId="6005A37D">
                  <w:pPr>
                    <w:pStyle w:val="51"/>
                    <w:bidi w:val="0"/>
                    <w:jc w:val="center"/>
                    <w:rPr>
                      <w:color w:val="auto"/>
                    </w:rPr>
                  </w:pPr>
                  <w:r>
                    <w:rPr>
                      <w:color w:val="auto"/>
                    </w:rPr>
                    <w:t>非正常排放原因</w:t>
                  </w:r>
                </w:p>
              </w:tc>
              <w:tc>
                <w:tcPr>
                  <w:tcW w:w="1274" w:type="dxa"/>
                  <w:tcBorders>
                    <w:top w:val="single" w:color="000000" w:sz="2" w:space="0"/>
                  </w:tcBorders>
                  <w:vAlign w:val="center"/>
                </w:tcPr>
                <w:p w14:paraId="1E7CD80E">
                  <w:pPr>
                    <w:pStyle w:val="51"/>
                    <w:bidi w:val="0"/>
                    <w:jc w:val="center"/>
                    <w:rPr>
                      <w:color w:val="auto"/>
                    </w:rPr>
                  </w:pPr>
                  <w:r>
                    <w:rPr>
                      <w:color w:val="auto"/>
                    </w:rPr>
                    <w:t>污染物</w:t>
                  </w:r>
                </w:p>
              </w:tc>
              <w:tc>
                <w:tcPr>
                  <w:tcW w:w="1113" w:type="dxa"/>
                  <w:tcBorders>
                    <w:top w:val="single" w:color="000000" w:sz="2" w:space="0"/>
                  </w:tcBorders>
                  <w:vAlign w:val="center"/>
                </w:tcPr>
                <w:p w14:paraId="330F1C6F">
                  <w:pPr>
                    <w:pStyle w:val="51"/>
                    <w:bidi w:val="0"/>
                    <w:jc w:val="center"/>
                    <w:rPr>
                      <w:color w:val="auto"/>
                    </w:rPr>
                  </w:pPr>
                  <w:r>
                    <w:rPr>
                      <w:color w:val="auto"/>
                    </w:rPr>
                    <w:t>排放量（kg/a）</w:t>
                  </w:r>
                </w:p>
              </w:tc>
              <w:tc>
                <w:tcPr>
                  <w:tcW w:w="990" w:type="dxa"/>
                  <w:tcBorders>
                    <w:top w:val="single" w:color="000000" w:sz="2" w:space="0"/>
                  </w:tcBorders>
                  <w:vAlign w:val="center"/>
                </w:tcPr>
                <w:p w14:paraId="2A7C8E29">
                  <w:pPr>
                    <w:pStyle w:val="51"/>
                    <w:bidi w:val="0"/>
                    <w:jc w:val="center"/>
                    <w:rPr>
                      <w:color w:val="auto"/>
                    </w:rPr>
                  </w:pPr>
                  <w:r>
                    <w:rPr>
                      <w:color w:val="auto"/>
                    </w:rPr>
                    <w:t>排放速率（kg/h）</w:t>
                  </w:r>
                </w:p>
              </w:tc>
              <w:tc>
                <w:tcPr>
                  <w:tcW w:w="821" w:type="dxa"/>
                  <w:tcBorders>
                    <w:top w:val="single" w:color="000000" w:sz="2" w:space="0"/>
                  </w:tcBorders>
                  <w:vAlign w:val="center"/>
                </w:tcPr>
                <w:p w14:paraId="7F23E1BB">
                  <w:pPr>
                    <w:pStyle w:val="51"/>
                    <w:bidi w:val="0"/>
                    <w:jc w:val="center"/>
                    <w:rPr>
                      <w:color w:val="auto"/>
                    </w:rPr>
                  </w:pPr>
                  <w:r>
                    <w:rPr>
                      <w:color w:val="auto"/>
                    </w:rPr>
                    <w:t>单次持续时间/h</w:t>
                  </w:r>
                </w:p>
              </w:tc>
              <w:tc>
                <w:tcPr>
                  <w:tcW w:w="774" w:type="dxa"/>
                  <w:tcBorders>
                    <w:top w:val="single" w:color="000000" w:sz="2" w:space="0"/>
                  </w:tcBorders>
                  <w:vAlign w:val="center"/>
                </w:tcPr>
                <w:p w14:paraId="3AE391FB">
                  <w:pPr>
                    <w:pStyle w:val="51"/>
                    <w:bidi w:val="0"/>
                    <w:jc w:val="center"/>
                    <w:rPr>
                      <w:color w:val="auto"/>
                    </w:rPr>
                  </w:pPr>
                  <w:r>
                    <w:rPr>
                      <w:color w:val="auto"/>
                    </w:rPr>
                    <w:t>年发生频次/次</w:t>
                  </w:r>
                </w:p>
              </w:tc>
              <w:tc>
                <w:tcPr>
                  <w:tcW w:w="708" w:type="dxa"/>
                  <w:tcBorders>
                    <w:top w:val="single" w:color="000000" w:sz="2" w:space="0"/>
                    <w:right w:val="single" w:color="000000" w:sz="2" w:space="0"/>
                  </w:tcBorders>
                  <w:vAlign w:val="center"/>
                </w:tcPr>
                <w:p w14:paraId="6AE1200B">
                  <w:pPr>
                    <w:pStyle w:val="51"/>
                    <w:bidi w:val="0"/>
                    <w:jc w:val="center"/>
                    <w:rPr>
                      <w:color w:val="auto"/>
                    </w:rPr>
                  </w:pPr>
                  <w:r>
                    <w:rPr>
                      <w:color w:val="auto"/>
                    </w:rPr>
                    <w:t>应对措施</w:t>
                  </w:r>
                </w:p>
              </w:tc>
            </w:tr>
            <w:tr w14:paraId="12567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 w:hRule="atLeast"/>
                <w:jc w:val="center"/>
              </w:trPr>
              <w:tc>
                <w:tcPr>
                  <w:tcW w:w="784" w:type="dxa"/>
                  <w:tcBorders>
                    <w:left w:val="single" w:color="000000" w:sz="2" w:space="0"/>
                  </w:tcBorders>
                  <w:vAlign w:val="center"/>
                </w:tcPr>
                <w:p w14:paraId="796C0538">
                  <w:pPr>
                    <w:pStyle w:val="51"/>
                    <w:bidi w:val="0"/>
                    <w:jc w:val="center"/>
                    <w:rPr>
                      <w:color w:val="auto"/>
                    </w:rPr>
                  </w:pPr>
                  <w:r>
                    <w:rPr>
                      <w:color w:val="auto"/>
                    </w:rPr>
                    <w:t>DA001</w:t>
                  </w:r>
                </w:p>
              </w:tc>
              <w:tc>
                <w:tcPr>
                  <w:tcW w:w="1473" w:type="dxa"/>
                  <w:vAlign w:val="center"/>
                </w:tcPr>
                <w:p w14:paraId="29C48ABF">
                  <w:pPr>
                    <w:pStyle w:val="51"/>
                    <w:bidi w:val="0"/>
                    <w:jc w:val="center"/>
                    <w:rPr>
                      <w:rFonts w:hint="default" w:eastAsia="宋体"/>
                      <w:color w:val="auto"/>
                      <w:lang w:val="en-US" w:eastAsia="zh-CN"/>
                    </w:rPr>
                  </w:pPr>
                  <w:r>
                    <w:rPr>
                      <w:rFonts w:hint="eastAsia"/>
                      <w:color w:val="auto"/>
                      <w:lang w:val="en-US" w:eastAsia="zh-CN"/>
                    </w:rPr>
                    <w:t>环保设施故障</w:t>
                  </w:r>
                </w:p>
              </w:tc>
              <w:tc>
                <w:tcPr>
                  <w:tcW w:w="1274" w:type="dxa"/>
                  <w:vAlign w:val="center"/>
                </w:tcPr>
                <w:p w14:paraId="1047EA1B">
                  <w:pPr>
                    <w:pStyle w:val="51"/>
                    <w:bidi w:val="0"/>
                    <w:ind w:firstLine="0" w:firstLineChars="0"/>
                    <w:jc w:val="center"/>
                    <w:rPr>
                      <w:color w:val="auto"/>
                    </w:rPr>
                  </w:pPr>
                  <w:r>
                    <w:rPr>
                      <w:color w:val="auto"/>
                    </w:rPr>
                    <w:t>颗粒物</w:t>
                  </w:r>
                </w:p>
              </w:tc>
              <w:tc>
                <w:tcPr>
                  <w:tcW w:w="1113" w:type="dxa"/>
                  <w:vAlign w:val="center"/>
                </w:tcPr>
                <w:p w14:paraId="04FE5646">
                  <w:pPr>
                    <w:pStyle w:val="51"/>
                    <w:bidi w:val="0"/>
                    <w:ind w:firstLine="0" w:firstLineChars="0"/>
                    <w:jc w:val="center"/>
                    <w:rPr>
                      <w:rFonts w:hint="default"/>
                      <w:color w:val="auto"/>
                      <w:lang w:val="en-US"/>
                    </w:rPr>
                  </w:pPr>
                  <w:r>
                    <w:rPr>
                      <w:rFonts w:hint="eastAsia"/>
                      <w:color w:val="auto"/>
                      <w:lang w:val="en-US" w:eastAsia="zh-CN"/>
                    </w:rPr>
                    <w:t>5.328</w:t>
                  </w:r>
                </w:p>
              </w:tc>
              <w:tc>
                <w:tcPr>
                  <w:tcW w:w="990" w:type="dxa"/>
                  <w:vAlign w:val="center"/>
                </w:tcPr>
                <w:p w14:paraId="53306849">
                  <w:pPr>
                    <w:pStyle w:val="51"/>
                    <w:bidi w:val="0"/>
                    <w:ind w:firstLine="0" w:firstLineChars="0"/>
                    <w:jc w:val="center"/>
                    <w:rPr>
                      <w:rFonts w:hint="default"/>
                      <w:color w:val="auto"/>
                      <w:lang w:val="en-US"/>
                    </w:rPr>
                  </w:pPr>
                  <w:r>
                    <w:rPr>
                      <w:rFonts w:hint="eastAsia"/>
                      <w:color w:val="auto"/>
                      <w:lang w:val="en-US" w:eastAsia="zh-CN"/>
                    </w:rPr>
                    <w:t>0.666</w:t>
                  </w:r>
                </w:p>
              </w:tc>
              <w:tc>
                <w:tcPr>
                  <w:tcW w:w="821" w:type="dxa"/>
                  <w:vAlign w:val="center"/>
                </w:tcPr>
                <w:p w14:paraId="6A885AB3">
                  <w:pPr>
                    <w:pStyle w:val="51"/>
                    <w:bidi w:val="0"/>
                    <w:jc w:val="center"/>
                    <w:rPr>
                      <w:rFonts w:hint="eastAsia" w:eastAsia="宋体"/>
                      <w:color w:val="auto"/>
                      <w:lang w:eastAsia="zh-CN"/>
                    </w:rPr>
                  </w:pPr>
                  <w:r>
                    <w:rPr>
                      <w:rFonts w:hint="eastAsia"/>
                      <w:color w:val="auto"/>
                      <w:lang w:val="en-US" w:eastAsia="zh-CN"/>
                    </w:rPr>
                    <w:t>8</w:t>
                  </w:r>
                </w:p>
              </w:tc>
              <w:tc>
                <w:tcPr>
                  <w:tcW w:w="774" w:type="dxa"/>
                  <w:vAlign w:val="center"/>
                </w:tcPr>
                <w:p w14:paraId="37B692C3">
                  <w:pPr>
                    <w:pStyle w:val="51"/>
                    <w:bidi w:val="0"/>
                    <w:jc w:val="center"/>
                    <w:rPr>
                      <w:rFonts w:hint="eastAsia" w:eastAsia="宋体"/>
                      <w:color w:val="auto"/>
                      <w:lang w:eastAsia="zh-CN"/>
                    </w:rPr>
                  </w:pPr>
                  <w:r>
                    <w:rPr>
                      <w:rFonts w:hint="eastAsia"/>
                      <w:color w:val="auto"/>
                      <w:lang w:val="en-US" w:eastAsia="zh-CN"/>
                    </w:rPr>
                    <w:t>8</w:t>
                  </w:r>
                </w:p>
              </w:tc>
              <w:tc>
                <w:tcPr>
                  <w:tcW w:w="708" w:type="dxa"/>
                  <w:tcBorders>
                    <w:right w:val="single" w:color="000000" w:sz="2" w:space="0"/>
                  </w:tcBorders>
                  <w:vAlign w:val="center"/>
                </w:tcPr>
                <w:p w14:paraId="4D54FF18">
                  <w:pPr>
                    <w:pStyle w:val="51"/>
                    <w:bidi w:val="0"/>
                    <w:jc w:val="center"/>
                    <w:rPr>
                      <w:color w:val="auto"/>
                    </w:rPr>
                  </w:pPr>
                  <w:r>
                    <w:rPr>
                      <w:color w:val="auto"/>
                    </w:rPr>
                    <w:t>加强车间巡逻，定时对设备进行检修</w:t>
                  </w:r>
                </w:p>
              </w:tc>
            </w:tr>
          </w:tbl>
          <w:p w14:paraId="759E6FAA">
            <w:pPr>
              <w:pStyle w:val="50"/>
              <w:bidi w:val="0"/>
            </w:pPr>
            <w:r>
              <w:t>项目环保设施均属常规设施，且该项目并非全年生产，只要建设单位重视环保设施的正常检修，加强设备的运行管理，出现事故的概率较小，可避免非正常排放对环境的影响。</w:t>
            </w:r>
          </w:p>
          <w:p w14:paraId="6958E6DE">
            <w:pPr>
              <w:pStyle w:val="50"/>
              <w:bidi w:val="0"/>
            </w:pPr>
            <w:r>
              <w:t>为尽量避免非正常排放发生，建设单位应采取如下防范措施：</w:t>
            </w:r>
          </w:p>
          <w:p w14:paraId="19C8D4F4">
            <w:pPr>
              <w:pStyle w:val="50"/>
              <w:bidi w:val="0"/>
            </w:pPr>
            <w:r>
              <w:t>①对非正常状态下排放的危害加强认识，建立一套完善的环保设施检修体制。</w:t>
            </w:r>
          </w:p>
          <w:p w14:paraId="2BB030D8">
            <w:pPr>
              <w:pStyle w:val="50"/>
              <w:bidi w:val="0"/>
            </w:pPr>
            <w:r>
              <w:t>②建设单位应做好生产设备和环保设施的管理、维修工作，选用质量好的设备；派专人对易发生非正常排放的设备进行管理，出现异常情况，立即疏散工作人员，及时维修处理。</w:t>
            </w:r>
          </w:p>
          <w:p w14:paraId="68414086">
            <w:pPr>
              <w:pStyle w:val="50"/>
              <w:bidi w:val="0"/>
              <w:rPr>
                <w:rFonts w:hint="eastAsia"/>
                <w:lang w:eastAsia="zh-CN"/>
              </w:rPr>
            </w:pPr>
            <w:r>
              <w:t>③如出现严重事故情况，应立即停车停产，进行检修。</w:t>
            </w:r>
          </w:p>
          <w:p w14:paraId="193CA325">
            <w:pPr>
              <w:pStyle w:val="38"/>
              <w:bidi w:val="0"/>
              <w:rPr>
                <w:rFonts w:hint="default" w:eastAsia="宋体"/>
                <w:color w:val="auto"/>
                <w:lang w:val="en-US" w:eastAsia="zh-CN"/>
              </w:rPr>
            </w:pPr>
            <w:r>
              <w:rPr>
                <w:rFonts w:hint="eastAsia"/>
                <w:color w:val="auto"/>
                <w:lang w:eastAsia="zh-CN"/>
              </w:rPr>
              <w:t>（</w:t>
            </w:r>
            <w:r>
              <w:rPr>
                <w:rFonts w:hint="eastAsia"/>
                <w:color w:val="auto"/>
                <w:lang w:val="en-US" w:eastAsia="zh-CN"/>
              </w:rPr>
              <w:t>5</w:t>
            </w:r>
            <w:r>
              <w:rPr>
                <w:rFonts w:hint="eastAsia"/>
                <w:color w:val="auto"/>
                <w:lang w:eastAsia="zh-CN"/>
              </w:rPr>
              <w:t>）</w:t>
            </w:r>
            <w:r>
              <w:rPr>
                <w:rFonts w:hint="eastAsia"/>
                <w:color w:val="auto"/>
                <w:lang w:val="en-US" w:eastAsia="zh-CN"/>
              </w:rPr>
              <w:t>排放口设置情况</w:t>
            </w:r>
          </w:p>
          <w:p w14:paraId="61036F03">
            <w:pPr>
              <w:pStyle w:val="38"/>
              <w:bidi w:val="0"/>
              <w:rPr>
                <w:color w:val="auto"/>
              </w:rPr>
            </w:pPr>
            <w:r>
              <w:rPr>
                <w:color w:val="auto"/>
              </w:rPr>
              <w:t>项目废气排放口基本情况见下表：</w:t>
            </w:r>
          </w:p>
          <w:p w14:paraId="29D83665">
            <w:pPr>
              <w:pStyle w:val="46"/>
              <w:bidi w:val="0"/>
              <w:rPr>
                <w:color w:val="auto"/>
              </w:rPr>
            </w:pPr>
            <w:r>
              <w:rPr>
                <w:color w:val="auto"/>
              </w:rPr>
              <w:t>表4-</w:t>
            </w:r>
            <w:r>
              <w:rPr>
                <w:rFonts w:hint="eastAsia"/>
                <w:color w:val="auto"/>
                <w:lang w:val="en-US" w:eastAsia="zh-CN"/>
              </w:rPr>
              <w:t>6</w:t>
            </w:r>
            <w:r>
              <w:rPr>
                <w:color w:val="auto"/>
              </w:rPr>
              <w:t xml:space="preserve"> </w:t>
            </w:r>
            <w:r>
              <w:rPr>
                <w:rFonts w:hint="eastAsia"/>
                <w:color w:val="auto"/>
                <w:lang w:val="en-US" w:eastAsia="zh-CN"/>
              </w:rPr>
              <w:t xml:space="preserve"> </w:t>
            </w:r>
            <w:r>
              <w:rPr>
                <w:color w:val="auto"/>
              </w:rPr>
              <w:t xml:space="preserve"> 废气排放口基本情况一览表</w:t>
            </w:r>
          </w:p>
          <w:tbl>
            <w:tblPr>
              <w:tblStyle w:val="114"/>
              <w:tblW w:w="79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9"/>
              <w:gridCol w:w="914"/>
              <w:gridCol w:w="550"/>
              <w:gridCol w:w="663"/>
              <w:gridCol w:w="637"/>
              <w:gridCol w:w="788"/>
              <w:gridCol w:w="675"/>
              <w:gridCol w:w="637"/>
              <w:gridCol w:w="1684"/>
            </w:tblGrid>
            <w:tr w14:paraId="299F9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389" w:type="dxa"/>
                  <w:vMerge w:val="restart"/>
                  <w:tcBorders>
                    <w:tl2br w:val="nil"/>
                    <w:tr2bl w:val="nil"/>
                  </w:tcBorders>
                  <w:vAlign w:val="center"/>
                </w:tcPr>
                <w:p w14:paraId="45E26570">
                  <w:pPr>
                    <w:pStyle w:val="51"/>
                    <w:bidi w:val="0"/>
                    <w:jc w:val="center"/>
                    <w:rPr>
                      <w:color w:val="auto"/>
                    </w:rPr>
                  </w:pPr>
                  <w:r>
                    <w:rPr>
                      <w:color w:val="auto"/>
                    </w:rPr>
                    <w:t>排放口编号及名称</w:t>
                  </w:r>
                </w:p>
              </w:tc>
              <w:tc>
                <w:tcPr>
                  <w:tcW w:w="3552" w:type="dxa"/>
                  <w:gridSpan w:val="5"/>
                  <w:tcBorders>
                    <w:tl2br w:val="nil"/>
                    <w:tr2bl w:val="nil"/>
                  </w:tcBorders>
                  <w:vAlign w:val="center"/>
                </w:tcPr>
                <w:p w14:paraId="22C2C4E2">
                  <w:pPr>
                    <w:pStyle w:val="51"/>
                    <w:bidi w:val="0"/>
                    <w:jc w:val="center"/>
                    <w:rPr>
                      <w:color w:val="auto"/>
                    </w:rPr>
                  </w:pPr>
                  <w:r>
                    <w:rPr>
                      <w:color w:val="auto"/>
                    </w:rPr>
                    <w:t>排放口基本情况</w:t>
                  </w:r>
                </w:p>
              </w:tc>
              <w:tc>
                <w:tcPr>
                  <w:tcW w:w="1312" w:type="dxa"/>
                  <w:gridSpan w:val="2"/>
                  <w:tcBorders>
                    <w:tl2br w:val="nil"/>
                    <w:tr2bl w:val="nil"/>
                  </w:tcBorders>
                  <w:vAlign w:val="center"/>
                </w:tcPr>
                <w:p w14:paraId="5113A3A0">
                  <w:pPr>
                    <w:pStyle w:val="51"/>
                    <w:bidi w:val="0"/>
                    <w:jc w:val="center"/>
                    <w:rPr>
                      <w:color w:val="auto"/>
                    </w:rPr>
                  </w:pPr>
                </w:p>
              </w:tc>
              <w:tc>
                <w:tcPr>
                  <w:tcW w:w="1684" w:type="dxa"/>
                  <w:tcBorders>
                    <w:tl2br w:val="nil"/>
                    <w:tr2bl w:val="nil"/>
                  </w:tcBorders>
                  <w:vAlign w:val="center"/>
                </w:tcPr>
                <w:p w14:paraId="0C7BF795">
                  <w:pPr>
                    <w:pStyle w:val="51"/>
                    <w:bidi w:val="0"/>
                    <w:jc w:val="center"/>
                    <w:rPr>
                      <w:color w:val="auto"/>
                    </w:rPr>
                  </w:pPr>
                  <w:r>
                    <w:rPr>
                      <w:color w:val="auto"/>
                    </w:rPr>
                    <w:t>排放标准</w:t>
                  </w:r>
                </w:p>
              </w:tc>
            </w:tr>
            <w:tr w14:paraId="48D14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389" w:type="dxa"/>
                  <w:vMerge w:val="continue"/>
                  <w:tcBorders>
                    <w:tl2br w:val="nil"/>
                    <w:tr2bl w:val="nil"/>
                  </w:tcBorders>
                  <w:vAlign w:val="center"/>
                </w:tcPr>
                <w:p w14:paraId="72CDCD7B">
                  <w:pPr>
                    <w:pStyle w:val="51"/>
                    <w:bidi w:val="0"/>
                    <w:jc w:val="center"/>
                    <w:rPr>
                      <w:color w:val="auto"/>
                    </w:rPr>
                  </w:pPr>
                </w:p>
              </w:tc>
              <w:tc>
                <w:tcPr>
                  <w:tcW w:w="914" w:type="dxa"/>
                  <w:tcBorders>
                    <w:tl2br w:val="nil"/>
                    <w:tr2bl w:val="nil"/>
                  </w:tcBorders>
                  <w:vAlign w:val="center"/>
                </w:tcPr>
                <w:p w14:paraId="50852305">
                  <w:pPr>
                    <w:pStyle w:val="51"/>
                    <w:bidi w:val="0"/>
                    <w:jc w:val="center"/>
                    <w:rPr>
                      <w:rFonts w:hint="eastAsia" w:eastAsia="宋体"/>
                      <w:color w:val="auto"/>
                      <w:lang w:val="en-US" w:eastAsia="zh-CN"/>
                    </w:rPr>
                  </w:pPr>
                  <w:r>
                    <w:rPr>
                      <w:rFonts w:hint="eastAsia"/>
                      <w:color w:val="auto"/>
                      <w:lang w:val="en-US" w:eastAsia="zh-CN"/>
                    </w:rPr>
                    <w:t>污染物</w:t>
                  </w:r>
                </w:p>
              </w:tc>
              <w:tc>
                <w:tcPr>
                  <w:tcW w:w="550" w:type="dxa"/>
                  <w:tcBorders>
                    <w:tl2br w:val="nil"/>
                    <w:tr2bl w:val="nil"/>
                  </w:tcBorders>
                  <w:vAlign w:val="center"/>
                </w:tcPr>
                <w:p w14:paraId="5BBC128B">
                  <w:pPr>
                    <w:pStyle w:val="51"/>
                    <w:bidi w:val="0"/>
                    <w:ind w:firstLine="0" w:firstLineChars="0"/>
                    <w:jc w:val="center"/>
                    <w:rPr>
                      <w:color w:val="auto"/>
                    </w:rPr>
                  </w:pPr>
                  <w:r>
                    <w:rPr>
                      <w:color w:val="auto"/>
                    </w:rPr>
                    <w:t>高度m</w:t>
                  </w:r>
                </w:p>
              </w:tc>
              <w:tc>
                <w:tcPr>
                  <w:tcW w:w="663" w:type="dxa"/>
                  <w:tcBorders>
                    <w:tl2br w:val="nil"/>
                    <w:tr2bl w:val="nil"/>
                  </w:tcBorders>
                  <w:vAlign w:val="center"/>
                </w:tcPr>
                <w:p w14:paraId="09C7547B">
                  <w:pPr>
                    <w:pStyle w:val="51"/>
                    <w:bidi w:val="0"/>
                    <w:jc w:val="center"/>
                    <w:rPr>
                      <w:color w:val="auto"/>
                    </w:rPr>
                  </w:pPr>
                  <w:r>
                    <w:rPr>
                      <w:color w:val="auto"/>
                    </w:rPr>
                    <w:t>直径m</w:t>
                  </w:r>
                </w:p>
              </w:tc>
              <w:tc>
                <w:tcPr>
                  <w:tcW w:w="637" w:type="dxa"/>
                  <w:tcBorders>
                    <w:tl2br w:val="nil"/>
                    <w:tr2bl w:val="nil"/>
                  </w:tcBorders>
                  <w:vAlign w:val="center"/>
                </w:tcPr>
                <w:p w14:paraId="21FF8622">
                  <w:pPr>
                    <w:pStyle w:val="51"/>
                    <w:bidi w:val="0"/>
                    <w:jc w:val="center"/>
                    <w:rPr>
                      <w:color w:val="auto"/>
                    </w:rPr>
                  </w:pPr>
                  <w:r>
                    <w:rPr>
                      <w:color w:val="auto"/>
                    </w:rPr>
                    <w:t>温度</w:t>
                  </w:r>
                </w:p>
              </w:tc>
              <w:tc>
                <w:tcPr>
                  <w:tcW w:w="788" w:type="dxa"/>
                  <w:tcBorders>
                    <w:tl2br w:val="nil"/>
                    <w:tr2bl w:val="nil"/>
                  </w:tcBorders>
                  <w:vAlign w:val="center"/>
                </w:tcPr>
                <w:p w14:paraId="37E43F7D">
                  <w:pPr>
                    <w:pStyle w:val="51"/>
                    <w:bidi w:val="0"/>
                    <w:jc w:val="center"/>
                    <w:rPr>
                      <w:color w:val="auto"/>
                    </w:rPr>
                  </w:pPr>
                  <w:r>
                    <w:rPr>
                      <w:color w:val="auto"/>
                    </w:rPr>
                    <w:t>类型</w:t>
                  </w:r>
                </w:p>
              </w:tc>
              <w:tc>
                <w:tcPr>
                  <w:tcW w:w="675" w:type="dxa"/>
                  <w:tcBorders>
                    <w:tl2br w:val="nil"/>
                    <w:tr2bl w:val="nil"/>
                  </w:tcBorders>
                  <w:vAlign w:val="center"/>
                </w:tcPr>
                <w:p w14:paraId="281E8709">
                  <w:pPr>
                    <w:pStyle w:val="51"/>
                    <w:bidi w:val="0"/>
                    <w:jc w:val="center"/>
                    <w:rPr>
                      <w:color w:val="auto"/>
                    </w:rPr>
                  </w:pPr>
                  <w:r>
                    <w:rPr>
                      <w:color w:val="auto"/>
                    </w:rPr>
                    <w:t>X</w:t>
                  </w:r>
                </w:p>
              </w:tc>
              <w:tc>
                <w:tcPr>
                  <w:tcW w:w="637" w:type="dxa"/>
                  <w:tcBorders>
                    <w:tl2br w:val="nil"/>
                    <w:tr2bl w:val="nil"/>
                  </w:tcBorders>
                  <w:vAlign w:val="center"/>
                </w:tcPr>
                <w:p w14:paraId="6E65FB53">
                  <w:pPr>
                    <w:pStyle w:val="51"/>
                    <w:bidi w:val="0"/>
                    <w:jc w:val="center"/>
                    <w:rPr>
                      <w:color w:val="auto"/>
                    </w:rPr>
                  </w:pPr>
                  <w:r>
                    <w:rPr>
                      <w:color w:val="auto"/>
                    </w:rPr>
                    <w:t>Y</w:t>
                  </w:r>
                </w:p>
              </w:tc>
              <w:tc>
                <w:tcPr>
                  <w:tcW w:w="1684" w:type="dxa"/>
                  <w:vMerge w:val="restart"/>
                  <w:tcBorders>
                    <w:tl2br w:val="nil"/>
                    <w:tr2bl w:val="nil"/>
                  </w:tcBorders>
                  <w:vAlign w:val="center"/>
                </w:tcPr>
                <w:p w14:paraId="05ED0F12">
                  <w:pPr>
                    <w:pStyle w:val="51"/>
                    <w:bidi w:val="0"/>
                    <w:jc w:val="center"/>
                    <w:rPr>
                      <w:color w:val="auto"/>
                    </w:rPr>
                  </w:pPr>
                  <w:r>
                    <w:rPr>
                      <w:color w:val="auto"/>
                    </w:rPr>
                    <w:t>（GB16297-1996）</w:t>
                  </w:r>
                </w:p>
              </w:tc>
            </w:tr>
            <w:tr w14:paraId="6B91D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389" w:type="dxa"/>
                  <w:tcBorders>
                    <w:tl2br w:val="nil"/>
                    <w:tr2bl w:val="nil"/>
                  </w:tcBorders>
                  <w:vAlign w:val="center"/>
                </w:tcPr>
                <w:p w14:paraId="7E36F030">
                  <w:pPr>
                    <w:pStyle w:val="51"/>
                    <w:bidi w:val="0"/>
                    <w:jc w:val="center"/>
                    <w:rPr>
                      <w:rFonts w:hint="eastAsia" w:eastAsia="宋体"/>
                      <w:color w:val="auto"/>
                      <w:lang w:val="en-US" w:eastAsia="zh-CN"/>
                    </w:rPr>
                  </w:pPr>
                  <w:r>
                    <w:rPr>
                      <w:color w:val="auto"/>
                    </w:rPr>
                    <w:t>DA00</w:t>
                  </w:r>
                  <w:r>
                    <w:rPr>
                      <w:rFonts w:hint="eastAsia"/>
                      <w:color w:val="auto"/>
                      <w:lang w:val="en-US" w:eastAsia="zh-CN"/>
                    </w:rPr>
                    <w:t>1</w:t>
                  </w:r>
                </w:p>
              </w:tc>
              <w:tc>
                <w:tcPr>
                  <w:tcW w:w="914" w:type="dxa"/>
                  <w:tcBorders>
                    <w:tl2br w:val="nil"/>
                    <w:tr2bl w:val="nil"/>
                  </w:tcBorders>
                  <w:vAlign w:val="center"/>
                </w:tcPr>
                <w:p w14:paraId="4B58D61C">
                  <w:pPr>
                    <w:pStyle w:val="51"/>
                    <w:bidi w:val="0"/>
                    <w:jc w:val="center"/>
                    <w:rPr>
                      <w:rFonts w:hint="default" w:eastAsia="宋体"/>
                      <w:color w:val="auto"/>
                      <w:lang w:val="en-US" w:eastAsia="zh-CN"/>
                    </w:rPr>
                  </w:pPr>
                  <w:r>
                    <w:rPr>
                      <w:rFonts w:hint="eastAsia"/>
                      <w:color w:val="auto"/>
                      <w:lang w:val="en-US" w:eastAsia="zh-CN"/>
                    </w:rPr>
                    <w:t>颗粒物</w:t>
                  </w:r>
                </w:p>
              </w:tc>
              <w:tc>
                <w:tcPr>
                  <w:tcW w:w="550" w:type="dxa"/>
                  <w:tcBorders>
                    <w:tl2br w:val="nil"/>
                    <w:tr2bl w:val="nil"/>
                  </w:tcBorders>
                  <w:vAlign w:val="center"/>
                </w:tcPr>
                <w:p w14:paraId="548AE598">
                  <w:pPr>
                    <w:pStyle w:val="51"/>
                    <w:bidi w:val="0"/>
                    <w:ind w:firstLine="0" w:firstLineChars="0"/>
                    <w:jc w:val="center"/>
                    <w:rPr>
                      <w:rFonts w:hint="default"/>
                      <w:color w:val="auto"/>
                      <w:lang w:val="en-US" w:eastAsia="zh-CN"/>
                    </w:rPr>
                  </w:pPr>
                  <w:r>
                    <w:rPr>
                      <w:rFonts w:hint="eastAsia"/>
                      <w:color w:val="auto"/>
                      <w:lang w:val="en-US" w:eastAsia="zh-CN"/>
                    </w:rPr>
                    <w:t>15</w:t>
                  </w:r>
                </w:p>
              </w:tc>
              <w:tc>
                <w:tcPr>
                  <w:tcW w:w="663" w:type="dxa"/>
                  <w:tcBorders>
                    <w:tl2br w:val="nil"/>
                    <w:tr2bl w:val="nil"/>
                  </w:tcBorders>
                  <w:vAlign w:val="center"/>
                </w:tcPr>
                <w:p w14:paraId="0A92BEA7">
                  <w:pPr>
                    <w:pStyle w:val="51"/>
                    <w:bidi w:val="0"/>
                    <w:jc w:val="center"/>
                    <w:rPr>
                      <w:rFonts w:hint="eastAsia" w:eastAsia="宋体"/>
                      <w:color w:val="auto"/>
                      <w:lang w:val="en-US" w:eastAsia="zh-CN"/>
                    </w:rPr>
                  </w:pPr>
                  <w:r>
                    <w:rPr>
                      <w:color w:val="auto"/>
                    </w:rPr>
                    <w:t>0.</w:t>
                  </w:r>
                  <w:r>
                    <w:rPr>
                      <w:rFonts w:hint="eastAsia"/>
                      <w:color w:val="auto"/>
                      <w:lang w:val="en-US" w:eastAsia="zh-CN"/>
                    </w:rPr>
                    <w:t>4</w:t>
                  </w:r>
                </w:p>
              </w:tc>
              <w:tc>
                <w:tcPr>
                  <w:tcW w:w="637" w:type="dxa"/>
                  <w:tcBorders>
                    <w:tl2br w:val="nil"/>
                    <w:tr2bl w:val="nil"/>
                  </w:tcBorders>
                  <w:vAlign w:val="center"/>
                </w:tcPr>
                <w:p w14:paraId="1E1E68EE">
                  <w:pPr>
                    <w:pStyle w:val="51"/>
                    <w:bidi w:val="0"/>
                    <w:jc w:val="center"/>
                    <w:rPr>
                      <w:color w:val="auto"/>
                    </w:rPr>
                  </w:pPr>
                  <w:r>
                    <w:rPr>
                      <w:color w:val="auto"/>
                    </w:rPr>
                    <w:t>常温</w:t>
                  </w:r>
                </w:p>
              </w:tc>
              <w:tc>
                <w:tcPr>
                  <w:tcW w:w="788" w:type="dxa"/>
                  <w:tcBorders>
                    <w:tl2br w:val="nil"/>
                    <w:tr2bl w:val="nil"/>
                  </w:tcBorders>
                  <w:vAlign w:val="center"/>
                </w:tcPr>
                <w:p w14:paraId="2454ADDE">
                  <w:pPr>
                    <w:pStyle w:val="51"/>
                    <w:bidi w:val="0"/>
                    <w:jc w:val="center"/>
                    <w:rPr>
                      <w:color w:val="auto"/>
                    </w:rPr>
                  </w:pPr>
                  <w:r>
                    <w:rPr>
                      <w:color w:val="auto"/>
                    </w:rPr>
                    <w:t>一般排放口</w:t>
                  </w:r>
                </w:p>
              </w:tc>
              <w:tc>
                <w:tcPr>
                  <w:tcW w:w="675" w:type="dxa"/>
                  <w:tcBorders>
                    <w:tl2br w:val="nil"/>
                    <w:tr2bl w:val="nil"/>
                  </w:tcBorders>
                  <w:vAlign w:val="center"/>
                </w:tcPr>
                <w:p w14:paraId="61746641">
                  <w:pPr>
                    <w:pStyle w:val="51"/>
                    <w:bidi w:val="0"/>
                    <w:jc w:val="center"/>
                    <w:rPr>
                      <w:rFonts w:hint="eastAsia" w:eastAsia="宋体"/>
                      <w:color w:val="auto"/>
                      <w:lang w:eastAsia="zh-CN"/>
                    </w:rPr>
                  </w:pPr>
                </w:p>
              </w:tc>
              <w:tc>
                <w:tcPr>
                  <w:tcW w:w="637" w:type="dxa"/>
                  <w:tcBorders>
                    <w:tl2br w:val="nil"/>
                    <w:tr2bl w:val="nil"/>
                  </w:tcBorders>
                  <w:vAlign w:val="center"/>
                </w:tcPr>
                <w:p w14:paraId="3618CEF7">
                  <w:pPr>
                    <w:pStyle w:val="51"/>
                    <w:bidi w:val="0"/>
                    <w:jc w:val="center"/>
                    <w:rPr>
                      <w:color w:val="auto"/>
                    </w:rPr>
                  </w:pPr>
                </w:p>
              </w:tc>
              <w:tc>
                <w:tcPr>
                  <w:tcW w:w="1684" w:type="dxa"/>
                  <w:vMerge w:val="continue"/>
                  <w:tcBorders>
                    <w:tl2br w:val="nil"/>
                    <w:tr2bl w:val="nil"/>
                  </w:tcBorders>
                  <w:vAlign w:val="center"/>
                </w:tcPr>
                <w:p w14:paraId="64DABF59">
                  <w:pPr>
                    <w:pStyle w:val="51"/>
                    <w:bidi w:val="0"/>
                    <w:jc w:val="center"/>
                    <w:rPr>
                      <w:color w:val="auto"/>
                    </w:rPr>
                  </w:pPr>
                </w:p>
              </w:tc>
            </w:tr>
          </w:tbl>
          <w:p w14:paraId="786A231D">
            <w:pPr>
              <w:pStyle w:val="38"/>
              <w:bidi w:val="0"/>
              <w:rPr>
                <w:rFonts w:hint="default" w:eastAsia="宋体"/>
                <w:color w:val="auto"/>
                <w:lang w:val="en-US" w:eastAsia="zh-CN"/>
              </w:rPr>
            </w:pPr>
            <w:r>
              <w:rPr>
                <w:rFonts w:hint="eastAsia"/>
                <w:color w:val="auto"/>
                <w:lang w:eastAsia="zh-CN"/>
              </w:rPr>
              <w:t>（</w:t>
            </w:r>
            <w:r>
              <w:rPr>
                <w:rFonts w:hint="eastAsia"/>
                <w:color w:val="auto"/>
                <w:lang w:val="en-US" w:eastAsia="zh-CN"/>
              </w:rPr>
              <w:t>6</w:t>
            </w:r>
            <w:r>
              <w:rPr>
                <w:rFonts w:hint="eastAsia"/>
                <w:color w:val="auto"/>
                <w:lang w:eastAsia="zh-CN"/>
              </w:rPr>
              <w:t>）</w:t>
            </w:r>
            <w:r>
              <w:rPr>
                <w:rFonts w:hint="eastAsia"/>
                <w:color w:val="auto"/>
                <w:lang w:val="en-US" w:eastAsia="zh-CN"/>
              </w:rPr>
              <w:t>监测计划</w:t>
            </w:r>
          </w:p>
          <w:p w14:paraId="7ABA308B">
            <w:pPr>
              <w:pStyle w:val="125"/>
              <w:spacing w:before="179" w:line="345" w:lineRule="auto"/>
              <w:ind w:left="109" w:right="103" w:firstLine="480"/>
              <w:rPr>
                <w:sz w:val="24"/>
                <w:szCs w:val="24"/>
              </w:rPr>
            </w:pPr>
            <w:r>
              <w:rPr>
                <w:spacing w:val="-3"/>
                <w:sz w:val="24"/>
                <w:szCs w:val="24"/>
              </w:rPr>
              <w:t>按照《排污单位自行监测技术指南 总则》（</w:t>
            </w:r>
            <w:r>
              <w:rPr>
                <w:rFonts w:ascii="Times New Roman" w:hAnsi="Times New Roman" w:eastAsia="Times New Roman" w:cs="Times New Roman"/>
                <w:spacing w:val="-3"/>
                <w:sz w:val="24"/>
                <w:szCs w:val="24"/>
              </w:rPr>
              <w:t>HJ819-2017</w:t>
            </w:r>
            <w:r>
              <w:rPr>
                <w:spacing w:val="-3"/>
                <w:sz w:val="24"/>
                <w:szCs w:val="24"/>
              </w:rPr>
              <w:t>）等中的监测要</w:t>
            </w:r>
            <w:r>
              <w:rPr>
                <w:spacing w:val="-1"/>
                <w:sz w:val="24"/>
                <w:szCs w:val="24"/>
              </w:rPr>
              <w:t>求，本项目废气监测计划内容如下：</w:t>
            </w:r>
          </w:p>
          <w:p w14:paraId="247A987F">
            <w:pPr>
              <w:pStyle w:val="46"/>
              <w:bidi w:val="0"/>
            </w:pPr>
            <w:r>
              <w:t>表4-</w:t>
            </w:r>
            <w:r>
              <w:rPr>
                <w:rFonts w:hint="eastAsia"/>
                <w:lang w:val="en-US" w:eastAsia="zh-CN"/>
              </w:rPr>
              <w:t xml:space="preserve">7  </w:t>
            </w:r>
            <w:r>
              <w:t xml:space="preserve"> 废气监测计划一览表</w:t>
            </w:r>
          </w:p>
          <w:tbl>
            <w:tblPr>
              <w:tblStyle w:val="114"/>
              <w:tblW w:w="79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2"/>
              <w:gridCol w:w="1132"/>
              <w:gridCol w:w="6143"/>
            </w:tblGrid>
            <w:tr w14:paraId="3344D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62" w:type="dxa"/>
                  <w:noWrap w:val="0"/>
                  <w:vAlign w:val="center"/>
                </w:tcPr>
                <w:p w14:paraId="118AF286">
                  <w:pPr>
                    <w:pStyle w:val="51"/>
                    <w:bidi w:val="0"/>
                    <w:jc w:val="center"/>
                  </w:pPr>
                  <w:r>
                    <w:t>项目</w:t>
                  </w:r>
                </w:p>
              </w:tc>
              <w:tc>
                <w:tcPr>
                  <w:tcW w:w="7275" w:type="dxa"/>
                  <w:gridSpan w:val="2"/>
                  <w:noWrap w:val="0"/>
                  <w:vAlign w:val="center"/>
                </w:tcPr>
                <w:p w14:paraId="3EB0D31B">
                  <w:pPr>
                    <w:pStyle w:val="51"/>
                    <w:bidi w:val="0"/>
                    <w:jc w:val="center"/>
                  </w:pPr>
                  <w:r>
                    <w:t>监测制度</w:t>
                  </w:r>
                </w:p>
              </w:tc>
            </w:tr>
            <w:tr w14:paraId="13A38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62" w:type="dxa"/>
                  <w:vMerge w:val="restart"/>
                  <w:tcBorders>
                    <w:bottom w:val="nil"/>
                  </w:tcBorders>
                  <w:noWrap w:val="0"/>
                  <w:vAlign w:val="center"/>
                </w:tcPr>
                <w:p w14:paraId="6774C4C3">
                  <w:pPr>
                    <w:pStyle w:val="51"/>
                    <w:bidi w:val="0"/>
                    <w:jc w:val="center"/>
                  </w:pPr>
                  <w:r>
                    <w:t>废气</w:t>
                  </w:r>
                </w:p>
              </w:tc>
              <w:tc>
                <w:tcPr>
                  <w:tcW w:w="1132" w:type="dxa"/>
                  <w:noWrap w:val="0"/>
                  <w:vAlign w:val="center"/>
                </w:tcPr>
                <w:p w14:paraId="5A900DFE">
                  <w:pPr>
                    <w:pStyle w:val="51"/>
                    <w:bidi w:val="0"/>
                    <w:jc w:val="center"/>
                  </w:pPr>
                  <w:r>
                    <w:t>监测项目</w:t>
                  </w:r>
                </w:p>
              </w:tc>
              <w:tc>
                <w:tcPr>
                  <w:tcW w:w="6143" w:type="dxa"/>
                  <w:noWrap w:val="0"/>
                  <w:vAlign w:val="center"/>
                </w:tcPr>
                <w:p w14:paraId="371762F2">
                  <w:pPr>
                    <w:pStyle w:val="51"/>
                    <w:bidi w:val="0"/>
                    <w:jc w:val="center"/>
                  </w:pPr>
                  <w:r>
                    <w:t>颗粒物</w:t>
                  </w:r>
                </w:p>
              </w:tc>
            </w:tr>
            <w:tr w14:paraId="4B1EC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62" w:type="dxa"/>
                  <w:vMerge w:val="continue"/>
                  <w:tcBorders>
                    <w:top w:val="nil"/>
                    <w:bottom w:val="nil"/>
                  </w:tcBorders>
                  <w:noWrap w:val="0"/>
                  <w:textDirection w:val="tbRlV"/>
                  <w:vAlign w:val="center"/>
                </w:tcPr>
                <w:p w14:paraId="057C523E">
                  <w:pPr>
                    <w:pStyle w:val="51"/>
                    <w:bidi w:val="0"/>
                    <w:jc w:val="center"/>
                  </w:pPr>
                </w:p>
              </w:tc>
              <w:tc>
                <w:tcPr>
                  <w:tcW w:w="1132" w:type="dxa"/>
                  <w:noWrap w:val="0"/>
                  <w:vAlign w:val="center"/>
                </w:tcPr>
                <w:p w14:paraId="49389A20">
                  <w:pPr>
                    <w:pStyle w:val="51"/>
                    <w:bidi w:val="0"/>
                    <w:jc w:val="center"/>
                  </w:pPr>
                  <w:r>
                    <w:t>监测布点</w:t>
                  </w:r>
                </w:p>
              </w:tc>
              <w:tc>
                <w:tcPr>
                  <w:tcW w:w="6143" w:type="dxa"/>
                  <w:noWrap w:val="0"/>
                  <w:vAlign w:val="center"/>
                </w:tcPr>
                <w:p w14:paraId="10E3AB4A">
                  <w:pPr>
                    <w:pStyle w:val="51"/>
                    <w:bidi w:val="0"/>
                    <w:jc w:val="center"/>
                  </w:pPr>
                  <w:r>
                    <w:t>排气筒P1、厂界下风向</w:t>
                  </w:r>
                </w:p>
              </w:tc>
            </w:tr>
            <w:tr w14:paraId="16A45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62" w:type="dxa"/>
                  <w:vMerge w:val="continue"/>
                  <w:tcBorders>
                    <w:top w:val="nil"/>
                    <w:bottom w:val="nil"/>
                  </w:tcBorders>
                  <w:noWrap w:val="0"/>
                  <w:textDirection w:val="tbRlV"/>
                  <w:vAlign w:val="center"/>
                </w:tcPr>
                <w:p w14:paraId="61B0AB08">
                  <w:pPr>
                    <w:pStyle w:val="51"/>
                    <w:bidi w:val="0"/>
                    <w:jc w:val="center"/>
                  </w:pPr>
                </w:p>
              </w:tc>
              <w:tc>
                <w:tcPr>
                  <w:tcW w:w="1132" w:type="dxa"/>
                  <w:vMerge w:val="restart"/>
                  <w:tcBorders>
                    <w:bottom w:val="nil"/>
                  </w:tcBorders>
                  <w:noWrap w:val="0"/>
                  <w:vAlign w:val="center"/>
                </w:tcPr>
                <w:p w14:paraId="71E8B213">
                  <w:pPr>
                    <w:pStyle w:val="51"/>
                    <w:bidi w:val="0"/>
                    <w:jc w:val="center"/>
                  </w:pPr>
                  <w:r>
                    <w:t>监测频率</w:t>
                  </w:r>
                </w:p>
              </w:tc>
              <w:tc>
                <w:tcPr>
                  <w:tcW w:w="6143" w:type="dxa"/>
                  <w:noWrap w:val="0"/>
                  <w:vAlign w:val="center"/>
                </w:tcPr>
                <w:p w14:paraId="7778D74A">
                  <w:pPr>
                    <w:pStyle w:val="51"/>
                    <w:bidi w:val="0"/>
                    <w:jc w:val="center"/>
                  </w:pPr>
                  <w:r>
                    <w:t>正常情况下每半年监测一次</w:t>
                  </w:r>
                </w:p>
              </w:tc>
            </w:tr>
            <w:tr w14:paraId="74235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62" w:type="dxa"/>
                  <w:vMerge w:val="continue"/>
                  <w:tcBorders>
                    <w:top w:val="nil"/>
                    <w:bottom w:val="nil"/>
                  </w:tcBorders>
                  <w:noWrap w:val="0"/>
                  <w:textDirection w:val="tbRlV"/>
                  <w:vAlign w:val="center"/>
                </w:tcPr>
                <w:p w14:paraId="3925C4FB">
                  <w:pPr>
                    <w:pStyle w:val="51"/>
                    <w:bidi w:val="0"/>
                    <w:jc w:val="center"/>
                  </w:pPr>
                </w:p>
              </w:tc>
              <w:tc>
                <w:tcPr>
                  <w:tcW w:w="1132" w:type="dxa"/>
                  <w:vMerge w:val="continue"/>
                  <w:tcBorders>
                    <w:top w:val="nil"/>
                  </w:tcBorders>
                  <w:noWrap w:val="0"/>
                  <w:vAlign w:val="center"/>
                </w:tcPr>
                <w:p w14:paraId="6A02F15D">
                  <w:pPr>
                    <w:pStyle w:val="51"/>
                    <w:bidi w:val="0"/>
                    <w:jc w:val="center"/>
                  </w:pPr>
                </w:p>
              </w:tc>
              <w:tc>
                <w:tcPr>
                  <w:tcW w:w="6143" w:type="dxa"/>
                  <w:noWrap w:val="0"/>
                  <w:vAlign w:val="center"/>
                </w:tcPr>
                <w:p w14:paraId="2A8CA683">
                  <w:pPr>
                    <w:pStyle w:val="51"/>
                    <w:bidi w:val="0"/>
                    <w:jc w:val="center"/>
                  </w:pPr>
                  <w:r>
                    <w:t>非正常情况发生时，随时安排必要的监测</w:t>
                  </w:r>
                </w:p>
              </w:tc>
            </w:tr>
            <w:tr w14:paraId="26D92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62" w:type="dxa"/>
                  <w:vMerge w:val="continue"/>
                  <w:tcBorders>
                    <w:top w:val="nil"/>
                  </w:tcBorders>
                  <w:noWrap w:val="0"/>
                  <w:textDirection w:val="tbRlV"/>
                  <w:vAlign w:val="center"/>
                </w:tcPr>
                <w:p w14:paraId="6D74657D">
                  <w:pPr>
                    <w:pStyle w:val="51"/>
                    <w:bidi w:val="0"/>
                    <w:jc w:val="center"/>
                  </w:pPr>
                </w:p>
              </w:tc>
              <w:tc>
                <w:tcPr>
                  <w:tcW w:w="1132" w:type="dxa"/>
                  <w:noWrap w:val="0"/>
                  <w:vAlign w:val="center"/>
                </w:tcPr>
                <w:p w14:paraId="4C3B650B">
                  <w:pPr>
                    <w:pStyle w:val="51"/>
                    <w:bidi w:val="0"/>
                    <w:jc w:val="center"/>
                  </w:pPr>
                  <w:r>
                    <w:t>采样分析、数据处理</w:t>
                  </w:r>
                </w:p>
              </w:tc>
              <w:tc>
                <w:tcPr>
                  <w:tcW w:w="6143" w:type="dxa"/>
                  <w:noWrap w:val="0"/>
                  <w:vAlign w:val="center"/>
                </w:tcPr>
                <w:p w14:paraId="2C8CAE91">
                  <w:pPr>
                    <w:pStyle w:val="51"/>
                    <w:bidi w:val="0"/>
                    <w:jc w:val="center"/>
                  </w:pPr>
                  <w:r>
                    <w:t>按照《环境空气质量标准》（GB3095-2012）、《空气和废气</w:t>
                  </w:r>
                </w:p>
                <w:p w14:paraId="318188CF">
                  <w:pPr>
                    <w:pStyle w:val="51"/>
                    <w:bidi w:val="0"/>
                    <w:jc w:val="center"/>
                  </w:pPr>
                  <w:r>
                    <w:t>监测分析方法》、《环境监测技术规范》、《大气污染物无组</w:t>
                  </w:r>
                </w:p>
                <w:p w14:paraId="0BE4C0F6">
                  <w:pPr>
                    <w:pStyle w:val="51"/>
                    <w:bidi w:val="0"/>
                    <w:jc w:val="center"/>
                  </w:pPr>
                  <w:r>
                    <w:t>织排放监测技术导则》的有关规定进行</w:t>
                  </w:r>
                </w:p>
              </w:tc>
            </w:tr>
          </w:tbl>
          <w:p w14:paraId="31C7DC95">
            <w:pPr>
              <w:pStyle w:val="4"/>
              <w:bidi w:val="0"/>
              <w:rPr>
                <w:color w:val="auto"/>
              </w:rPr>
            </w:pPr>
            <w:r>
              <w:rPr>
                <w:rFonts w:hint="eastAsia"/>
                <w:color w:val="auto"/>
                <w:lang w:val="en-US" w:eastAsia="zh-CN"/>
              </w:rPr>
              <w:t>4.2.2水环境影响和保护措施</w:t>
            </w:r>
          </w:p>
          <w:p w14:paraId="521C1D92">
            <w:pPr>
              <w:pStyle w:val="39"/>
              <w:bidi w:val="0"/>
            </w:pPr>
            <w:r>
              <w:t>1、项目运营期废水情况</w:t>
            </w:r>
          </w:p>
          <w:p w14:paraId="27FECA78">
            <w:pPr>
              <w:pStyle w:val="39"/>
              <w:bidi w:val="0"/>
            </w:pPr>
            <w:r>
              <w:t>本项目漂浮槽用水及循环沉淀池用水循环使用，只补充消耗量，漂浮槽补充水及循环沉淀池补充水全部损耗，项目无生产废水排放。</w:t>
            </w:r>
          </w:p>
          <w:p w14:paraId="2D561348">
            <w:pPr>
              <w:pStyle w:val="39"/>
              <w:bidi w:val="0"/>
            </w:pPr>
            <w:r>
              <w:t>本项目生活用水量为1</w:t>
            </w:r>
            <w:r>
              <w:rPr>
                <w:rFonts w:hint="eastAsia"/>
                <w:lang w:val="en-US" w:eastAsia="zh-CN"/>
              </w:rPr>
              <w:t>53</w:t>
            </w:r>
            <w:r>
              <w:t>m</w:t>
            </w:r>
            <w:r>
              <w:rPr>
                <w:vertAlign w:val="superscript"/>
              </w:rPr>
              <w:t>3</w:t>
            </w:r>
            <w:r>
              <w:t>/a，生活废水产生量按用水量的80%计，则生活废水产生量为1</w:t>
            </w:r>
            <w:r>
              <w:rPr>
                <w:rFonts w:hint="eastAsia"/>
                <w:lang w:val="en-US" w:eastAsia="zh-CN"/>
              </w:rPr>
              <w:t>22.4</w:t>
            </w:r>
            <w:r>
              <w:t>m</w:t>
            </w:r>
            <w:r>
              <w:rPr>
                <w:vertAlign w:val="superscript"/>
              </w:rPr>
              <w:t>3</w:t>
            </w:r>
            <w:r>
              <w:t>/a。废水中主要污染物浓度为COD：350mg/L、氨氮：30mg/L、SS：300mg/L，产生量为COD：0.0</w:t>
            </w:r>
            <w:r>
              <w:rPr>
                <w:rFonts w:hint="eastAsia"/>
                <w:lang w:val="en-US" w:eastAsia="zh-CN"/>
              </w:rPr>
              <w:t>43</w:t>
            </w:r>
            <w:r>
              <w:t>t/a，SS：0.0</w:t>
            </w:r>
            <w:r>
              <w:rPr>
                <w:rFonts w:hint="eastAsia"/>
                <w:lang w:val="en-US" w:eastAsia="zh-CN"/>
              </w:rPr>
              <w:t>37</w:t>
            </w:r>
            <w:r>
              <w:t>t/a，氨氮：0.003</w:t>
            </w:r>
            <w:r>
              <w:rPr>
                <w:rFonts w:hint="eastAsia"/>
                <w:lang w:val="en-US" w:eastAsia="zh-CN"/>
              </w:rPr>
              <w:t>7</w:t>
            </w:r>
            <w:r>
              <w:t>t/a。生活污水排入化粪池处理后</w:t>
            </w:r>
            <w:r>
              <w:rPr>
                <w:rFonts w:hint="eastAsia"/>
                <w:lang w:val="en-US" w:eastAsia="zh-CN"/>
              </w:rPr>
              <w:t>通过污水管网排入鄯善县污水处理厂</w:t>
            </w:r>
            <w:r>
              <w:t>，不外排。</w:t>
            </w:r>
          </w:p>
          <w:p w14:paraId="408D4DB7">
            <w:pPr>
              <w:pStyle w:val="39"/>
              <w:bidi w:val="0"/>
            </w:pPr>
            <w:r>
              <w:t>2、水环境影响分析</w:t>
            </w:r>
          </w:p>
          <w:p w14:paraId="387CA3AA">
            <w:pPr>
              <w:pStyle w:val="39"/>
              <w:bidi w:val="0"/>
              <w:rPr>
                <w:rFonts w:hint="eastAsia"/>
                <w:lang w:val="en-US" w:eastAsia="zh-CN"/>
              </w:rPr>
            </w:pPr>
            <w:r>
              <w:t>项目产生的废水主要为员工生活污水。生活污水排入化粪池处理后</w:t>
            </w:r>
            <w:r>
              <w:rPr>
                <w:rFonts w:hint="eastAsia"/>
                <w:lang w:val="en-US" w:eastAsia="zh-CN"/>
              </w:rPr>
              <w:t>通过污水管网排入鄯善县污水处理厂</w:t>
            </w:r>
            <w:r>
              <w:t>，不外排。项目建设过程中，对化粪池、循环池、沉淀池、事故水池等应进行严格防渗措施，杜绝污水跑、冒、滴、漏；对污水收集、转输环节以及垃圾收集装置均按规定进行严格的防渗处理。项目采取以上措施后，对周边地下水环境影响较小。</w:t>
            </w:r>
          </w:p>
          <w:p w14:paraId="5458850D">
            <w:pPr>
              <w:pStyle w:val="38"/>
              <w:bidi w:val="0"/>
              <w:rPr>
                <w:rFonts w:hint="eastAsia"/>
                <w:color w:val="auto"/>
                <w:lang w:val="en-US" w:eastAsia="zh-CN"/>
              </w:rPr>
            </w:pPr>
            <w:r>
              <w:rPr>
                <w:rFonts w:hint="eastAsia"/>
                <w:color w:val="auto"/>
                <w:lang w:val="en-US" w:eastAsia="zh-CN"/>
              </w:rPr>
              <w:t>鄯善县污水处理厂于2016年开始建设，2017年投入运行，位于鄯善县石材工业园北区，污水处理厂设计处理规模为5000m</w:t>
            </w:r>
            <w:r>
              <w:rPr>
                <w:rFonts w:hint="eastAsia"/>
                <w:color w:val="auto"/>
                <w:vertAlign w:val="superscript"/>
                <w:lang w:val="en-US" w:eastAsia="zh-CN"/>
              </w:rPr>
              <w:t>3</w:t>
            </w:r>
            <w:r>
              <w:rPr>
                <w:rFonts w:hint="eastAsia"/>
                <w:color w:val="auto"/>
                <w:lang w:val="en-US" w:eastAsia="zh-CN"/>
              </w:rPr>
              <w:t>/d，污水处理采用“预处理+生物处理+反应、沉淀过滤+高级催化氧化+消毒”的方案，其中一级预处理单元采用“格栅+曝气沉砂池”，二级生化单元采用“水解酸化+CAST+机械絮凝+高密沉淀+滤布滤池”工艺，三级处理单元采用“高级催化氧化”工艺，消毒处理单元采用“二氧化氯消毒”工艺，污泥处理单元采用“带式污泥浓缩脱水一体机+污泥加钙稳定干化处理”方案。污水处理厂尾水水质达到《城镇污水处理厂污染物排放标准》(GB18918-2002)一级A标准后用于园区绿化。目前，污水处理厂产生的中水全部用于城市道路浇洒、城市绿化和生态林的用水；</w:t>
            </w:r>
          </w:p>
          <w:p w14:paraId="1B25925D">
            <w:pPr>
              <w:pStyle w:val="38"/>
              <w:bidi w:val="0"/>
              <w:rPr>
                <w:rFonts w:hint="eastAsia"/>
                <w:color w:val="auto"/>
                <w:lang w:val="en-US" w:eastAsia="zh-CN"/>
              </w:rPr>
            </w:pPr>
            <w:r>
              <w:rPr>
                <w:rFonts w:hint="eastAsia"/>
                <w:color w:val="auto"/>
                <w:lang w:val="en-US" w:eastAsia="zh-CN"/>
              </w:rPr>
              <w:t>本项目只有生活污水没有生产废水。生活污水约占污水处理厂近期处理规模的0.008%，园区污水处理厂尚有接纳其他企业废水的能力。生活污水主要污染因子为COD、氨氮和SS，满足园区污水处理厂纳管标准。</w:t>
            </w:r>
          </w:p>
          <w:p w14:paraId="67A20F38">
            <w:pPr>
              <w:pStyle w:val="4"/>
              <w:bidi w:val="0"/>
              <w:rPr>
                <w:color w:val="auto"/>
              </w:rPr>
            </w:pPr>
            <w:r>
              <w:rPr>
                <w:rFonts w:hint="eastAsia"/>
                <w:color w:val="auto"/>
                <w:lang w:val="en-US" w:eastAsia="zh-CN"/>
              </w:rPr>
              <w:t>4.2.3</w:t>
            </w:r>
            <w:r>
              <w:rPr>
                <w:color w:val="auto"/>
              </w:rPr>
              <w:t>噪声污染源</w:t>
            </w:r>
          </w:p>
          <w:p w14:paraId="18ADE734">
            <w:pPr>
              <w:pStyle w:val="39"/>
              <w:bidi w:val="0"/>
            </w:pPr>
            <w:r>
              <w:t>（1）噪声源强分析</w:t>
            </w:r>
          </w:p>
          <w:p w14:paraId="59187B3F">
            <w:pPr>
              <w:pStyle w:val="39"/>
              <w:bidi w:val="0"/>
            </w:pPr>
            <w:r>
              <w:t>项目各类滚筛、破碎机、空分机、风机等设备是本项目的主要噪声源，主要表现为机械动力噪声和空气动力噪声。项目采用低噪声设备，根据设备设计参数，设备噪声源强在75~90dB（A）之间。为进一步降低设备噪声对周围声环境的影响，项目采取的降噪措施如下：</w:t>
            </w:r>
          </w:p>
          <w:p w14:paraId="3D6AE8D5">
            <w:pPr>
              <w:pStyle w:val="39"/>
              <w:bidi w:val="0"/>
            </w:pPr>
            <w:r>
              <w:t>①主要产噪设备均合理布置于车间内，通过厂房隔音和距离衰减降低噪 声，风机置于车间内并采用吸声材料围挡；</w:t>
            </w:r>
          </w:p>
          <w:p w14:paraId="00DD8C90">
            <w:pPr>
              <w:pStyle w:val="39"/>
              <w:bidi w:val="0"/>
            </w:pPr>
            <w:r>
              <w:t>②使用减震垫对部分设备进行基础减震；</w:t>
            </w:r>
          </w:p>
          <w:p w14:paraId="615CCE3E">
            <w:pPr>
              <w:pStyle w:val="39"/>
              <w:bidi w:val="0"/>
            </w:pPr>
            <w:r>
              <w:t>③定期维护生产设备、使设备运行良好；主要生产设备噪声源及噪声值见下表。</w:t>
            </w:r>
          </w:p>
          <w:p w14:paraId="0E25E242">
            <w:pPr>
              <w:pStyle w:val="46"/>
              <w:bidi w:val="0"/>
            </w:pPr>
            <w:r>
              <w:t>表4-8</w:t>
            </w:r>
            <w:r>
              <w:rPr>
                <w:rFonts w:hint="eastAsia"/>
                <w:lang w:val="en-US" w:eastAsia="zh-CN"/>
              </w:rPr>
              <w:t xml:space="preserve"> </w:t>
            </w:r>
            <w:r>
              <w:t xml:space="preserve">  本项目设备噪声源一览表</w:t>
            </w:r>
          </w:p>
          <w:tbl>
            <w:tblPr>
              <w:tblStyle w:val="114"/>
              <w:tblW w:w="79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8"/>
              <w:gridCol w:w="1696"/>
              <w:gridCol w:w="714"/>
              <w:gridCol w:w="988"/>
              <w:gridCol w:w="1089"/>
              <w:gridCol w:w="1253"/>
              <w:gridCol w:w="762"/>
              <w:gridCol w:w="777"/>
            </w:tblGrid>
            <w:tr w14:paraId="7A186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58" w:type="dxa"/>
                  <w:tcBorders>
                    <w:tl2br w:val="nil"/>
                    <w:tr2bl w:val="nil"/>
                  </w:tcBorders>
                  <w:noWrap w:val="0"/>
                  <w:vAlign w:val="top"/>
                </w:tcPr>
                <w:p w14:paraId="31AFC9E6">
                  <w:pPr>
                    <w:pStyle w:val="51"/>
                    <w:bidi w:val="0"/>
                  </w:pPr>
                  <w:r>
                    <w:t>序号</w:t>
                  </w:r>
                </w:p>
              </w:tc>
              <w:tc>
                <w:tcPr>
                  <w:tcW w:w="1696" w:type="dxa"/>
                  <w:tcBorders>
                    <w:tl2br w:val="nil"/>
                    <w:tr2bl w:val="nil"/>
                  </w:tcBorders>
                  <w:noWrap w:val="0"/>
                  <w:vAlign w:val="top"/>
                </w:tcPr>
                <w:p w14:paraId="6139CFCB">
                  <w:pPr>
                    <w:pStyle w:val="51"/>
                    <w:bidi w:val="0"/>
                  </w:pPr>
                  <w:r>
                    <w:t>设备名称</w:t>
                  </w:r>
                </w:p>
              </w:tc>
              <w:tc>
                <w:tcPr>
                  <w:tcW w:w="714" w:type="dxa"/>
                  <w:tcBorders>
                    <w:tl2br w:val="nil"/>
                    <w:tr2bl w:val="nil"/>
                  </w:tcBorders>
                  <w:noWrap w:val="0"/>
                  <w:vAlign w:val="top"/>
                </w:tcPr>
                <w:p w14:paraId="0FEE86CE">
                  <w:pPr>
                    <w:pStyle w:val="51"/>
                    <w:bidi w:val="0"/>
                  </w:pPr>
                  <w:r>
                    <w:t>数量</w:t>
                  </w:r>
                </w:p>
              </w:tc>
              <w:tc>
                <w:tcPr>
                  <w:tcW w:w="988" w:type="dxa"/>
                  <w:tcBorders>
                    <w:tl2br w:val="nil"/>
                    <w:tr2bl w:val="nil"/>
                  </w:tcBorders>
                  <w:noWrap w:val="0"/>
                  <w:vAlign w:val="top"/>
                </w:tcPr>
                <w:p w14:paraId="1F1DA2A7">
                  <w:pPr>
                    <w:pStyle w:val="51"/>
                    <w:bidi w:val="0"/>
                  </w:pPr>
                  <w:r>
                    <w:t>噪声值（dB（A））</w:t>
                  </w:r>
                </w:p>
              </w:tc>
              <w:tc>
                <w:tcPr>
                  <w:tcW w:w="1089" w:type="dxa"/>
                  <w:tcBorders>
                    <w:tl2br w:val="nil"/>
                    <w:tr2bl w:val="nil"/>
                  </w:tcBorders>
                  <w:noWrap w:val="0"/>
                  <w:vAlign w:val="top"/>
                </w:tcPr>
                <w:p w14:paraId="30718F79">
                  <w:pPr>
                    <w:pStyle w:val="51"/>
                    <w:bidi w:val="0"/>
                  </w:pPr>
                  <w:r>
                    <w:t>治理措施</w:t>
                  </w:r>
                </w:p>
              </w:tc>
              <w:tc>
                <w:tcPr>
                  <w:tcW w:w="1253" w:type="dxa"/>
                  <w:tcBorders>
                    <w:tl2br w:val="nil"/>
                    <w:tr2bl w:val="nil"/>
                  </w:tcBorders>
                  <w:noWrap w:val="0"/>
                  <w:vAlign w:val="top"/>
                </w:tcPr>
                <w:p w14:paraId="15543D9E">
                  <w:pPr>
                    <w:pStyle w:val="51"/>
                    <w:bidi w:val="0"/>
                  </w:pPr>
                  <w:r>
                    <w:t>治理后源强（dB（A））</w:t>
                  </w:r>
                </w:p>
              </w:tc>
              <w:tc>
                <w:tcPr>
                  <w:tcW w:w="762" w:type="dxa"/>
                  <w:tcBorders>
                    <w:tl2br w:val="nil"/>
                    <w:tr2bl w:val="nil"/>
                  </w:tcBorders>
                  <w:noWrap w:val="0"/>
                  <w:vAlign w:val="top"/>
                </w:tcPr>
                <w:p w14:paraId="1B62B3B8">
                  <w:pPr>
                    <w:pStyle w:val="51"/>
                    <w:bidi w:val="0"/>
                  </w:pPr>
                  <w:r>
                    <w:t>运行情况</w:t>
                  </w:r>
                </w:p>
              </w:tc>
              <w:tc>
                <w:tcPr>
                  <w:tcW w:w="777" w:type="dxa"/>
                  <w:tcBorders>
                    <w:tl2br w:val="nil"/>
                    <w:tr2bl w:val="nil"/>
                  </w:tcBorders>
                  <w:noWrap w:val="0"/>
                  <w:vAlign w:val="top"/>
                </w:tcPr>
                <w:p w14:paraId="38EB4C6F">
                  <w:pPr>
                    <w:pStyle w:val="51"/>
                    <w:bidi w:val="0"/>
                  </w:pPr>
                  <w:r>
                    <w:t>持续时间(h/a）</w:t>
                  </w:r>
                </w:p>
              </w:tc>
            </w:tr>
            <w:tr w14:paraId="6D357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58" w:type="dxa"/>
                  <w:tcBorders>
                    <w:tl2br w:val="nil"/>
                    <w:tr2bl w:val="nil"/>
                  </w:tcBorders>
                  <w:noWrap w:val="0"/>
                  <w:vAlign w:val="top"/>
                </w:tcPr>
                <w:p w14:paraId="1CA59F1B">
                  <w:pPr>
                    <w:pStyle w:val="51"/>
                    <w:bidi w:val="0"/>
                  </w:pPr>
                  <w:r>
                    <w:t>1</w:t>
                  </w:r>
                </w:p>
              </w:tc>
              <w:tc>
                <w:tcPr>
                  <w:tcW w:w="1696" w:type="dxa"/>
                  <w:tcBorders>
                    <w:tl2br w:val="nil"/>
                    <w:tr2bl w:val="nil"/>
                  </w:tcBorders>
                  <w:noWrap w:val="0"/>
                  <w:vAlign w:val="top"/>
                </w:tcPr>
                <w:p w14:paraId="3E6F98D0">
                  <w:pPr>
                    <w:pStyle w:val="51"/>
                    <w:bidi w:val="0"/>
                  </w:pPr>
                  <w:r>
                    <w:t>滚筛</w:t>
                  </w:r>
                </w:p>
              </w:tc>
              <w:tc>
                <w:tcPr>
                  <w:tcW w:w="714" w:type="dxa"/>
                  <w:tcBorders>
                    <w:tl2br w:val="nil"/>
                    <w:tr2bl w:val="nil"/>
                  </w:tcBorders>
                  <w:noWrap w:val="0"/>
                  <w:vAlign w:val="top"/>
                </w:tcPr>
                <w:p w14:paraId="18FEA134">
                  <w:pPr>
                    <w:pStyle w:val="51"/>
                    <w:bidi w:val="0"/>
                    <w:rPr>
                      <w:rFonts w:hint="eastAsia" w:eastAsia="宋体"/>
                      <w:lang w:eastAsia="zh-CN"/>
                    </w:rPr>
                  </w:pPr>
                  <w:r>
                    <w:rPr>
                      <w:rFonts w:hint="eastAsia"/>
                      <w:lang w:val="en-US" w:eastAsia="zh-CN"/>
                    </w:rPr>
                    <w:t>3</w:t>
                  </w:r>
                </w:p>
              </w:tc>
              <w:tc>
                <w:tcPr>
                  <w:tcW w:w="988" w:type="dxa"/>
                  <w:tcBorders>
                    <w:tl2br w:val="nil"/>
                    <w:tr2bl w:val="nil"/>
                  </w:tcBorders>
                  <w:noWrap w:val="0"/>
                  <w:vAlign w:val="top"/>
                </w:tcPr>
                <w:p w14:paraId="020B5CA0">
                  <w:pPr>
                    <w:pStyle w:val="51"/>
                    <w:bidi w:val="0"/>
                  </w:pPr>
                  <w:r>
                    <w:t>80</w:t>
                  </w:r>
                </w:p>
              </w:tc>
              <w:tc>
                <w:tcPr>
                  <w:tcW w:w="1089" w:type="dxa"/>
                  <w:vMerge w:val="restart"/>
                  <w:tcBorders>
                    <w:tl2br w:val="nil"/>
                    <w:tr2bl w:val="nil"/>
                  </w:tcBorders>
                  <w:noWrap w:val="0"/>
                  <w:vAlign w:val="top"/>
                </w:tcPr>
                <w:p w14:paraId="092590A2">
                  <w:pPr>
                    <w:pStyle w:val="51"/>
                    <w:bidi w:val="0"/>
                  </w:pPr>
                  <w:r>
                    <w:t>基础减震、车间隔声等措施</w:t>
                  </w:r>
                </w:p>
              </w:tc>
              <w:tc>
                <w:tcPr>
                  <w:tcW w:w="1253" w:type="dxa"/>
                  <w:tcBorders>
                    <w:tl2br w:val="nil"/>
                    <w:tr2bl w:val="nil"/>
                  </w:tcBorders>
                  <w:noWrap w:val="0"/>
                  <w:vAlign w:val="top"/>
                </w:tcPr>
                <w:p w14:paraId="02DB2E60">
                  <w:pPr>
                    <w:pStyle w:val="51"/>
                    <w:bidi w:val="0"/>
                  </w:pPr>
                  <w:r>
                    <w:t>60</w:t>
                  </w:r>
                </w:p>
              </w:tc>
              <w:tc>
                <w:tcPr>
                  <w:tcW w:w="762" w:type="dxa"/>
                  <w:tcBorders>
                    <w:tl2br w:val="nil"/>
                    <w:tr2bl w:val="nil"/>
                  </w:tcBorders>
                  <w:noWrap w:val="0"/>
                  <w:vAlign w:val="top"/>
                </w:tcPr>
                <w:p w14:paraId="28016FAD">
                  <w:pPr>
                    <w:pStyle w:val="51"/>
                    <w:bidi w:val="0"/>
                  </w:pPr>
                  <w:r>
                    <w:t>连续</w:t>
                  </w:r>
                </w:p>
              </w:tc>
              <w:tc>
                <w:tcPr>
                  <w:tcW w:w="777" w:type="dxa"/>
                  <w:tcBorders>
                    <w:tl2br w:val="nil"/>
                    <w:tr2bl w:val="nil"/>
                  </w:tcBorders>
                  <w:noWrap w:val="0"/>
                  <w:vAlign w:val="top"/>
                </w:tcPr>
                <w:p w14:paraId="3903FB8E">
                  <w:pPr>
                    <w:pStyle w:val="51"/>
                    <w:bidi w:val="0"/>
                  </w:pPr>
                  <w:r>
                    <w:t>7200</w:t>
                  </w:r>
                </w:p>
              </w:tc>
            </w:tr>
            <w:tr w14:paraId="3972E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58" w:type="dxa"/>
                  <w:tcBorders>
                    <w:tl2br w:val="nil"/>
                    <w:tr2bl w:val="nil"/>
                  </w:tcBorders>
                  <w:noWrap w:val="0"/>
                  <w:vAlign w:val="top"/>
                </w:tcPr>
                <w:p w14:paraId="645D98FB">
                  <w:pPr>
                    <w:pStyle w:val="51"/>
                    <w:bidi w:val="0"/>
                  </w:pPr>
                  <w:r>
                    <w:t>2</w:t>
                  </w:r>
                </w:p>
              </w:tc>
              <w:tc>
                <w:tcPr>
                  <w:tcW w:w="1696" w:type="dxa"/>
                  <w:tcBorders>
                    <w:tl2br w:val="nil"/>
                    <w:tr2bl w:val="nil"/>
                  </w:tcBorders>
                  <w:noWrap w:val="0"/>
                  <w:vAlign w:val="top"/>
                </w:tcPr>
                <w:p w14:paraId="430A81FA">
                  <w:pPr>
                    <w:pStyle w:val="51"/>
                    <w:bidi w:val="0"/>
                  </w:pPr>
                  <w:r>
                    <w:t>破碎机</w:t>
                  </w:r>
                </w:p>
              </w:tc>
              <w:tc>
                <w:tcPr>
                  <w:tcW w:w="714" w:type="dxa"/>
                  <w:tcBorders>
                    <w:tl2br w:val="nil"/>
                    <w:tr2bl w:val="nil"/>
                  </w:tcBorders>
                  <w:noWrap w:val="0"/>
                  <w:vAlign w:val="top"/>
                </w:tcPr>
                <w:p w14:paraId="780D5556">
                  <w:pPr>
                    <w:pStyle w:val="51"/>
                    <w:bidi w:val="0"/>
                    <w:rPr>
                      <w:rFonts w:hint="eastAsia" w:eastAsia="宋体"/>
                      <w:lang w:eastAsia="zh-CN"/>
                    </w:rPr>
                  </w:pPr>
                  <w:r>
                    <w:rPr>
                      <w:rFonts w:hint="eastAsia"/>
                      <w:lang w:val="en-US" w:eastAsia="zh-CN"/>
                    </w:rPr>
                    <w:t>2</w:t>
                  </w:r>
                </w:p>
              </w:tc>
              <w:tc>
                <w:tcPr>
                  <w:tcW w:w="988" w:type="dxa"/>
                  <w:tcBorders>
                    <w:tl2br w:val="nil"/>
                    <w:tr2bl w:val="nil"/>
                  </w:tcBorders>
                  <w:noWrap w:val="0"/>
                  <w:vAlign w:val="top"/>
                </w:tcPr>
                <w:p w14:paraId="1DC75132">
                  <w:pPr>
                    <w:pStyle w:val="51"/>
                    <w:bidi w:val="0"/>
                  </w:pPr>
                  <w:r>
                    <w:t>85</w:t>
                  </w:r>
                </w:p>
              </w:tc>
              <w:tc>
                <w:tcPr>
                  <w:tcW w:w="1089" w:type="dxa"/>
                  <w:vMerge w:val="continue"/>
                  <w:tcBorders>
                    <w:tl2br w:val="nil"/>
                    <w:tr2bl w:val="nil"/>
                  </w:tcBorders>
                  <w:noWrap w:val="0"/>
                  <w:vAlign w:val="top"/>
                </w:tcPr>
                <w:p w14:paraId="75DE994D">
                  <w:pPr>
                    <w:pStyle w:val="51"/>
                    <w:bidi w:val="0"/>
                  </w:pPr>
                </w:p>
              </w:tc>
              <w:tc>
                <w:tcPr>
                  <w:tcW w:w="1253" w:type="dxa"/>
                  <w:tcBorders>
                    <w:tl2br w:val="nil"/>
                    <w:tr2bl w:val="nil"/>
                  </w:tcBorders>
                  <w:noWrap w:val="0"/>
                  <w:vAlign w:val="top"/>
                </w:tcPr>
                <w:p w14:paraId="4FF04691">
                  <w:pPr>
                    <w:pStyle w:val="51"/>
                    <w:bidi w:val="0"/>
                  </w:pPr>
                  <w:r>
                    <w:t>65</w:t>
                  </w:r>
                </w:p>
              </w:tc>
              <w:tc>
                <w:tcPr>
                  <w:tcW w:w="762" w:type="dxa"/>
                  <w:tcBorders>
                    <w:tl2br w:val="nil"/>
                    <w:tr2bl w:val="nil"/>
                  </w:tcBorders>
                  <w:noWrap w:val="0"/>
                  <w:vAlign w:val="top"/>
                </w:tcPr>
                <w:p w14:paraId="3988FA78">
                  <w:pPr>
                    <w:pStyle w:val="51"/>
                    <w:bidi w:val="0"/>
                  </w:pPr>
                  <w:r>
                    <w:t>连续</w:t>
                  </w:r>
                </w:p>
              </w:tc>
              <w:tc>
                <w:tcPr>
                  <w:tcW w:w="777" w:type="dxa"/>
                  <w:tcBorders>
                    <w:tl2br w:val="nil"/>
                    <w:tr2bl w:val="nil"/>
                  </w:tcBorders>
                  <w:noWrap w:val="0"/>
                  <w:vAlign w:val="top"/>
                </w:tcPr>
                <w:p w14:paraId="3D4DD57F">
                  <w:pPr>
                    <w:pStyle w:val="51"/>
                    <w:bidi w:val="0"/>
                  </w:pPr>
                  <w:r>
                    <w:t>7200</w:t>
                  </w:r>
                </w:p>
              </w:tc>
            </w:tr>
            <w:tr w14:paraId="6B3C9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58" w:type="dxa"/>
                  <w:tcBorders>
                    <w:tl2br w:val="nil"/>
                    <w:tr2bl w:val="nil"/>
                  </w:tcBorders>
                  <w:noWrap w:val="0"/>
                  <w:vAlign w:val="top"/>
                </w:tcPr>
                <w:p w14:paraId="6403E1B1">
                  <w:pPr>
                    <w:pStyle w:val="51"/>
                    <w:bidi w:val="0"/>
                  </w:pPr>
                  <w:r>
                    <w:t>3</w:t>
                  </w:r>
                </w:p>
              </w:tc>
              <w:tc>
                <w:tcPr>
                  <w:tcW w:w="1696" w:type="dxa"/>
                  <w:tcBorders>
                    <w:tl2br w:val="nil"/>
                    <w:tr2bl w:val="nil"/>
                  </w:tcBorders>
                  <w:noWrap w:val="0"/>
                  <w:vAlign w:val="top"/>
                </w:tcPr>
                <w:p w14:paraId="3F96668D">
                  <w:pPr>
                    <w:pStyle w:val="51"/>
                    <w:bidi w:val="0"/>
                  </w:pPr>
                  <w:r>
                    <w:t>空分机</w:t>
                  </w:r>
                </w:p>
              </w:tc>
              <w:tc>
                <w:tcPr>
                  <w:tcW w:w="714" w:type="dxa"/>
                  <w:tcBorders>
                    <w:tl2br w:val="nil"/>
                    <w:tr2bl w:val="nil"/>
                  </w:tcBorders>
                  <w:noWrap w:val="0"/>
                  <w:vAlign w:val="top"/>
                </w:tcPr>
                <w:p w14:paraId="1687D74E">
                  <w:pPr>
                    <w:pStyle w:val="51"/>
                    <w:bidi w:val="0"/>
                    <w:rPr>
                      <w:rFonts w:hint="eastAsia" w:eastAsia="宋体"/>
                      <w:lang w:eastAsia="zh-CN"/>
                    </w:rPr>
                  </w:pPr>
                  <w:r>
                    <w:rPr>
                      <w:rFonts w:hint="eastAsia"/>
                      <w:lang w:val="en-US" w:eastAsia="zh-CN"/>
                    </w:rPr>
                    <w:t>2</w:t>
                  </w:r>
                </w:p>
              </w:tc>
              <w:tc>
                <w:tcPr>
                  <w:tcW w:w="988" w:type="dxa"/>
                  <w:tcBorders>
                    <w:tl2br w:val="nil"/>
                    <w:tr2bl w:val="nil"/>
                  </w:tcBorders>
                  <w:noWrap w:val="0"/>
                  <w:vAlign w:val="top"/>
                </w:tcPr>
                <w:p w14:paraId="08CC5761">
                  <w:pPr>
                    <w:pStyle w:val="51"/>
                    <w:bidi w:val="0"/>
                  </w:pPr>
                  <w:r>
                    <w:t>75</w:t>
                  </w:r>
                </w:p>
              </w:tc>
              <w:tc>
                <w:tcPr>
                  <w:tcW w:w="1089" w:type="dxa"/>
                  <w:vMerge w:val="continue"/>
                  <w:tcBorders>
                    <w:tl2br w:val="nil"/>
                    <w:tr2bl w:val="nil"/>
                  </w:tcBorders>
                  <w:noWrap w:val="0"/>
                  <w:vAlign w:val="top"/>
                </w:tcPr>
                <w:p w14:paraId="17625244">
                  <w:pPr>
                    <w:pStyle w:val="51"/>
                    <w:bidi w:val="0"/>
                  </w:pPr>
                </w:p>
              </w:tc>
              <w:tc>
                <w:tcPr>
                  <w:tcW w:w="1253" w:type="dxa"/>
                  <w:tcBorders>
                    <w:tl2br w:val="nil"/>
                    <w:tr2bl w:val="nil"/>
                  </w:tcBorders>
                  <w:noWrap w:val="0"/>
                  <w:vAlign w:val="top"/>
                </w:tcPr>
                <w:p w14:paraId="07C20E8C">
                  <w:pPr>
                    <w:pStyle w:val="51"/>
                    <w:bidi w:val="0"/>
                  </w:pPr>
                  <w:r>
                    <w:t>55</w:t>
                  </w:r>
                </w:p>
              </w:tc>
              <w:tc>
                <w:tcPr>
                  <w:tcW w:w="762" w:type="dxa"/>
                  <w:tcBorders>
                    <w:tl2br w:val="nil"/>
                    <w:tr2bl w:val="nil"/>
                  </w:tcBorders>
                  <w:noWrap w:val="0"/>
                  <w:vAlign w:val="top"/>
                </w:tcPr>
                <w:p w14:paraId="0D045D6B">
                  <w:pPr>
                    <w:pStyle w:val="51"/>
                    <w:bidi w:val="0"/>
                  </w:pPr>
                  <w:r>
                    <w:t>连续</w:t>
                  </w:r>
                </w:p>
              </w:tc>
              <w:tc>
                <w:tcPr>
                  <w:tcW w:w="777" w:type="dxa"/>
                  <w:tcBorders>
                    <w:tl2br w:val="nil"/>
                    <w:tr2bl w:val="nil"/>
                  </w:tcBorders>
                  <w:noWrap w:val="0"/>
                  <w:vAlign w:val="top"/>
                </w:tcPr>
                <w:p w14:paraId="01EC2EA1">
                  <w:pPr>
                    <w:pStyle w:val="51"/>
                    <w:bidi w:val="0"/>
                  </w:pPr>
                  <w:r>
                    <w:t>7200</w:t>
                  </w:r>
                </w:p>
              </w:tc>
            </w:tr>
            <w:tr w14:paraId="245B2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58" w:type="dxa"/>
                  <w:tcBorders>
                    <w:tl2br w:val="nil"/>
                    <w:tr2bl w:val="nil"/>
                  </w:tcBorders>
                  <w:noWrap w:val="0"/>
                  <w:vAlign w:val="top"/>
                </w:tcPr>
                <w:p w14:paraId="4852190F">
                  <w:pPr>
                    <w:pStyle w:val="51"/>
                    <w:bidi w:val="0"/>
                  </w:pPr>
                  <w:r>
                    <w:t>4</w:t>
                  </w:r>
                </w:p>
              </w:tc>
              <w:tc>
                <w:tcPr>
                  <w:tcW w:w="1696" w:type="dxa"/>
                  <w:tcBorders>
                    <w:tl2br w:val="nil"/>
                    <w:tr2bl w:val="nil"/>
                  </w:tcBorders>
                  <w:noWrap w:val="0"/>
                  <w:vAlign w:val="top"/>
                </w:tcPr>
                <w:p w14:paraId="27A5468D">
                  <w:pPr>
                    <w:pStyle w:val="51"/>
                    <w:bidi w:val="0"/>
                  </w:pPr>
                  <w:r>
                    <w:t>风选机</w:t>
                  </w:r>
                </w:p>
              </w:tc>
              <w:tc>
                <w:tcPr>
                  <w:tcW w:w="714" w:type="dxa"/>
                  <w:tcBorders>
                    <w:tl2br w:val="nil"/>
                    <w:tr2bl w:val="nil"/>
                  </w:tcBorders>
                  <w:noWrap w:val="0"/>
                  <w:vAlign w:val="top"/>
                </w:tcPr>
                <w:p w14:paraId="3CEFABF9">
                  <w:pPr>
                    <w:pStyle w:val="51"/>
                    <w:bidi w:val="0"/>
                    <w:rPr>
                      <w:rFonts w:hint="eastAsia" w:eastAsia="宋体"/>
                      <w:lang w:eastAsia="zh-CN"/>
                    </w:rPr>
                  </w:pPr>
                  <w:r>
                    <w:rPr>
                      <w:rFonts w:hint="eastAsia"/>
                      <w:lang w:val="en-US" w:eastAsia="zh-CN"/>
                    </w:rPr>
                    <w:t>2</w:t>
                  </w:r>
                </w:p>
              </w:tc>
              <w:tc>
                <w:tcPr>
                  <w:tcW w:w="988" w:type="dxa"/>
                  <w:tcBorders>
                    <w:tl2br w:val="nil"/>
                    <w:tr2bl w:val="nil"/>
                  </w:tcBorders>
                  <w:noWrap w:val="0"/>
                  <w:vAlign w:val="top"/>
                </w:tcPr>
                <w:p w14:paraId="3FF2E7F7">
                  <w:pPr>
                    <w:pStyle w:val="51"/>
                    <w:bidi w:val="0"/>
                  </w:pPr>
                  <w:r>
                    <w:t>75</w:t>
                  </w:r>
                </w:p>
              </w:tc>
              <w:tc>
                <w:tcPr>
                  <w:tcW w:w="1089" w:type="dxa"/>
                  <w:vMerge w:val="continue"/>
                  <w:tcBorders>
                    <w:tl2br w:val="nil"/>
                    <w:tr2bl w:val="nil"/>
                  </w:tcBorders>
                  <w:noWrap w:val="0"/>
                  <w:vAlign w:val="top"/>
                </w:tcPr>
                <w:p w14:paraId="6BE4F6E9">
                  <w:pPr>
                    <w:pStyle w:val="51"/>
                    <w:bidi w:val="0"/>
                  </w:pPr>
                </w:p>
              </w:tc>
              <w:tc>
                <w:tcPr>
                  <w:tcW w:w="1253" w:type="dxa"/>
                  <w:tcBorders>
                    <w:tl2br w:val="nil"/>
                    <w:tr2bl w:val="nil"/>
                  </w:tcBorders>
                  <w:noWrap w:val="0"/>
                  <w:vAlign w:val="top"/>
                </w:tcPr>
                <w:p w14:paraId="61C212AB">
                  <w:pPr>
                    <w:pStyle w:val="51"/>
                    <w:bidi w:val="0"/>
                  </w:pPr>
                  <w:r>
                    <w:t>55</w:t>
                  </w:r>
                </w:p>
              </w:tc>
              <w:tc>
                <w:tcPr>
                  <w:tcW w:w="762" w:type="dxa"/>
                  <w:tcBorders>
                    <w:tl2br w:val="nil"/>
                    <w:tr2bl w:val="nil"/>
                  </w:tcBorders>
                  <w:noWrap w:val="0"/>
                  <w:vAlign w:val="top"/>
                </w:tcPr>
                <w:p w14:paraId="34636B89">
                  <w:pPr>
                    <w:pStyle w:val="51"/>
                    <w:bidi w:val="0"/>
                  </w:pPr>
                  <w:r>
                    <w:t>连续</w:t>
                  </w:r>
                </w:p>
              </w:tc>
              <w:tc>
                <w:tcPr>
                  <w:tcW w:w="777" w:type="dxa"/>
                  <w:tcBorders>
                    <w:tl2br w:val="nil"/>
                    <w:tr2bl w:val="nil"/>
                  </w:tcBorders>
                  <w:noWrap w:val="0"/>
                  <w:vAlign w:val="top"/>
                </w:tcPr>
                <w:p w14:paraId="3A4497E5">
                  <w:pPr>
                    <w:pStyle w:val="51"/>
                    <w:bidi w:val="0"/>
                  </w:pPr>
                  <w:r>
                    <w:t>7200</w:t>
                  </w:r>
                </w:p>
              </w:tc>
            </w:tr>
            <w:tr w14:paraId="58125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58" w:type="dxa"/>
                  <w:tcBorders>
                    <w:tl2br w:val="nil"/>
                    <w:tr2bl w:val="nil"/>
                  </w:tcBorders>
                  <w:noWrap w:val="0"/>
                  <w:vAlign w:val="top"/>
                </w:tcPr>
                <w:p w14:paraId="38A8B109">
                  <w:pPr>
                    <w:pStyle w:val="51"/>
                    <w:bidi w:val="0"/>
                  </w:pPr>
                  <w:r>
                    <w:t>5</w:t>
                  </w:r>
                </w:p>
              </w:tc>
              <w:tc>
                <w:tcPr>
                  <w:tcW w:w="1696" w:type="dxa"/>
                  <w:tcBorders>
                    <w:tl2br w:val="nil"/>
                    <w:tr2bl w:val="nil"/>
                  </w:tcBorders>
                  <w:noWrap w:val="0"/>
                  <w:vAlign w:val="top"/>
                </w:tcPr>
                <w:p w14:paraId="76681E9C">
                  <w:pPr>
                    <w:pStyle w:val="51"/>
                    <w:bidi w:val="0"/>
                  </w:pPr>
                  <w:r>
                    <w:t>风机</w:t>
                  </w:r>
                </w:p>
              </w:tc>
              <w:tc>
                <w:tcPr>
                  <w:tcW w:w="714" w:type="dxa"/>
                  <w:tcBorders>
                    <w:tl2br w:val="nil"/>
                    <w:tr2bl w:val="nil"/>
                  </w:tcBorders>
                  <w:noWrap w:val="0"/>
                  <w:vAlign w:val="top"/>
                </w:tcPr>
                <w:p w14:paraId="16E5D0EA">
                  <w:pPr>
                    <w:pStyle w:val="51"/>
                    <w:bidi w:val="0"/>
                    <w:rPr>
                      <w:rFonts w:hint="eastAsia" w:eastAsia="宋体"/>
                      <w:lang w:eastAsia="zh-CN"/>
                    </w:rPr>
                  </w:pPr>
                  <w:r>
                    <w:rPr>
                      <w:rFonts w:hint="eastAsia"/>
                      <w:lang w:val="en-US" w:eastAsia="zh-CN"/>
                    </w:rPr>
                    <w:t>1</w:t>
                  </w:r>
                </w:p>
              </w:tc>
              <w:tc>
                <w:tcPr>
                  <w:tcW w:w="988" w:type="dxa"/>
                  <w:tcBorders>
                    <w:tl2br w:val="nil"/>
                    <w:tr2bl w:val="nil"/>
                  </w:tcBorders>
                  <w:noWrap w:val="0"/>
                  <w:vAlign w:val="top"/>
                </w:tcPr>
                <w:p w14:paraId="02D7DD66">
                  <w:pPr>
                    <w:pStyle w:val="51"/>
                    <w:bidi w:val="0"/>
                  </w:pPr>
                  <w:r>
                    <w:t>85</w:t>
                  </w:r>
                </w:p>
              </w:tc>
              <w:tc>
                <w:tcPr>
                  <w:tcW w:w="1089" w:type="dxa"/>
                  <w:vMerge w:val="continue"/>
                  <w:tcBorders>
                    <w:tl2br w:val="nil"/>
                    <w:tr2bl w:val="nil"/>
                  </w:tcBorders>
                  <w:noWrap w:val="0"/>
                  <w:vAlign w:val="top"/>
                </w:tcPr>
                <w:p w14:paraId="03D15A5E">
                  <w:pPr>
                    <w:pStyle w:val="51"/>
                    <w:bidi w:val="0"/>
                  </w:pPr>
                </w:p>
              </w:tc>
              <w:tc>
                <w:tcPr>
                  <w:tcW w:w="1253" w:type="dxa"/>
                  <w:tcBorders>
                    <w:tl2br w:val="nil"/>
                    <w:tr2bl w:val="nil"/>
                  </w:tcBorders>
                  <w:noWrap w:val="0"/>
                  <w:vAlign w:val="top"/>
                </w:tcPr>
                <w:p w14:paraId="66E76D35">
                  <w:pPr>
                    <w:pStyle w:val="51"/>
                    <w:bidi w:val="0"/>
                  </w:pPr>
                  <w:r>
                    <w:t>65</w:t>
                  </w:r>
                </w:p>
              </w:tc>
              <w:tc>
                <w:tcPr>
                  <w:tcW w:w="762" w:type="dxa"/>
                  <w:tcBorders>
                    <w:tl2br w:val="nil"/>
                    <w:tr2bl w:val="nil"/>
                  </w:tcBorders>
                  <w:noWrap w:val="0"/>
                  <w:vAlign w:val="top"/>
                </w:tcPr>
                <w:p w14:paraId="5EBA6F8A">
                  <w:pPr>
                    <w:pStyle w:val="51"/>
                    <w:bidi w:val="0"/>
                  </w:pPr>
                  <w:r>
                    <w:t>连续</w:t>
                  </w:r>
                </w:p>
              </w:tc>
              <w:tc>
                <w:tcPr>
                  <w:tcW w:w="777" w:type="dxa"/>
                  <w:tcBorders>
                    <w:tl2br w:val="nil"/>
                    <w:tr2bl w:val="nil"/>
                  </w:tcBorders>
                  <w:noWrap w:val="0"/>
                  <w:vAlign w:val="top"/>
                </w:tcPr>
                <w:p w14:paraId="3FDB1476">
                  <w:pPr>
                    <w:pStyle w:val="51"/>
                    <w:bidi w:val="0"/>
                  </w:pPr>
                  <w:r>
                    <w:t>7200</w:t>
                  </w:r>
                </w:p>
              </w:tc>
            </w:tr>
          </w:tbl>
          <w:p w14:paraId="47D7BC07">
            <w:pPr>
              <w:pStyle w:val="41"/>
              <w:bidi w:val="0"/>
              <w:rPr>
                <w:color w:val="auto"/>
              </w:rPr>
            </w:pPr>
            <w:r>
              <w:rPr>
                <w:rFonts w:hint="eastAsia"/>
                <w:color w:val="auto"/>
                <w:lang w:val="en-US" w:eastAsia="zh-CN"/>
              </w:rPr>
              <w:t>（2）</w:t>
            </w:r>
            <w:r>
              <w:rPr>
                <w:color w:val="auto"/>
              </w:rPr>
              <w:t>噪声评价</w:t>
            </w:r>
          </w:p>
          <w:p w14:paraId="4CB78986">
            <w:pPr>
              <w:pageBreakBefore w:val="0"/>
              <w:kinsoku/>
              <w:overflowPunct w:val="0"/>
              <w:bidi w:val="0"/>
              <w:snapToGrid w:val="0"/>
              <w:spacing w:line="360" w:lineRule="auto"/>
              <w:ind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噪声衰减预测采用《</w:t>
            </w:r>
            <w:r>
              <w:rPr>
                <w:rFonts w:hint="default" w:ascii="Times New Roman" w:hAnsi="Times New Roman" w:eastAsia="宋体" w:cs="Times New Roman"/>
                <w:color w:val="auto"/>
                <w:sz w:val="24"/>
                <w:szCs w:val="24"/>
                <w:highlight w:val="none"/>
                <w:lang w:eastAsia="zh-CN"/>
              </w:rPr>
              <w:t>环境影响评价技术导则声环境</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HJ2.4-2021</w:t>
            </w:r>
            <w:r>
              <w:rPr>
                <w:rFonts w:hint="default" w:ascii="Times New Roman" w:hAnsi="Times New Roman" w:eastAsia="宋体" w:cs="Times New Roman"/>
                <w:color w:val="auto"/>
                <w:sz w:val="24"/>
                <w:szCs w:val="24"/>
                <w:highlight w:val="none"/>
              </w:rPr>
              <w:t>）中推荐的噪声预测模式，公式如下：</w:t>
            </w:r>
          </w:p>
          <w:p w14:paraId="61066547">
            <w:pPr>
              <w:pStyle w:val="100"/>
              <w:keepNext w:val="0"/>
              <w:keepLines w:val="0"/>
              <w:pageBreakBefore w:val="0"/>
              <w:kinsoku/>
              <w:wordWrap/>
              <w:bidi w:val="0"/>
              <w:spacing w:line="360" w:lineRule="auto"/>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噪声源分为室外室内两种声源。噪声声波在传播过程中，将通过距离衰减，空气吸收衰减达到各预测点。另外，雨、雪、雾和温度梯度等因素忽略不计，作为满足预测精度前提下的一定安全保证值。以保证未来实际噪声环境较预测结果优越。</w:t>
            </w:r>
          </w:p>
          <w:p w14:paraId="62B6A1E4">
            <w:pPr>
              <w:pStyle w:val="100"/>
              <w:keepNext w:val="0"/>
              <w:keepLines w:val="0"/>
              <w:pageBreakBefore w:val="0"/>
              <w:kinsoku/>
              <w:wordWrap/>
              <w:bidi w:val="0"/>
              <w:spacing w:line="360" w:lineRule="auto"/>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具体噪声预测模式采用《环境影响评价技术导则声环境》</w:t>
            </w:r>
            <w:r>
              <w:rPr>
                <w:rFonts w:hint="default" w:ascii="Times New Roman" w:hAnsi="Times New Roman" w:eastAsia="宋体" w:cs="Times New Roman"/>
                <w:color w:val="auto"/>
                <w:sz w:val="24"/>
                <w:szCs w:val="24"/>
                <w:highlight w:val="none"/>
                <w:lang w:eastAsia="zh-CN"/>
              </w:rPr>
              <w:t>（HJ2.4-2021）</w:t>
            </w:r>
            <w:r>
              <w:rPr>
                <w:rFonts w:hint="default" w:ascii="Times New Roman" w:hAnsi="Times New Roman" w:eastAsia="宋体" w:cs="Times New Roman"/>
                <w:color w:val="auto"/>
                <w:sz w:val="24"/>
                <w:szCs w:val="24"/>
                <w:highlight w:val="none"/>
              </w:rPr>
              <w:t>中推荐模式形式进行预测：</w:t>
            </w:r>
          </w:p>
          <w:p w14:paraId="2DB94AC8">
            <w:pPr>
              <w:pStyle w:val="100"/>
              <w:keepNext w:val="0"/>
              <w:keepLines w:val="0"/>
              <w:pageBreakBefore w:val="0"/>
              <w:kinsoku/>
              <w:wordWrap/>
              <w:bidi w:val="0"/>
              <w:spacing w:line="360" w:lineRule="auto"/>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室内声源</w:t>
            </w:r>
          </w:p>
          <w:p w14:paraId="392561A0">
            <w:pPr>
              <w:pStyle w:val="128"/>
              <w:keepNext w:val="0"/>
              <w:keepLines w:val="0"/>
              <w:pageBreakBefore w:val="0"/>
              <w:kinsoku/>
              <w:wordWrap/>
              <w:bidi w:val="0"/>
              <w:spacing w:line="360" w:lineRule="auto"/>
              <w:ind w:firstLine="48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根据《环境影响评价技术导则声环境》（</w:t>
            </w:r>
            <w:r>
              <w:rPr>
                <w:rFonts w:hint="default" w:ascii="Times New Roman" w:hAnsi="Times New Roman" w:eastAsia="宋体" w:cs="Times New Roman"/>
                <w:color w:val="auto"/>
                <w:sz w:val="24"/>
                <w:szCs w:val="24"/>
                <w:highlight w:val="none"/>
                <w:lang w:eastAsia="zh-CN"/>
              </w:rPr>
              <w:t>HJ2.4-2021</w:t>
            </w:r>
            <w:r>
              <w:rPr>
                <w:rFonts w:hint="default" w:ascii="Times New Roman" w:hAnsi="Times New Roman" w:eastAsia="宋体" w:cs="Times New Roman"/>
                <w:color w:val="auto"/>
                <w:sz w:val="24"/>
                <w:szCs w:val="24"/>
                <w:highlight w:val="none"/>
              </w:rPr>
              <w:t>）对室内声源的预测方法，声源位于室内，室内声源可采用等效室外声源声功率级法进行计算。</w:t>
            </w:r>
          </w:p>
          <w:p w14:paraId="1B1EAE15">
            <w:pPr>
              <w:pStyle w:val="128"/>
              <w:keepNext w:val="0"/>
              <w:keepLines w:val="0"/>
              <w:pageBreakBefore w:val="0"/>
              <w:kinsoku/>
              <w:wordWrap/>
              <w:bidi w:val="0"/>
              <w:spacing w:line="360" w:lineRule="auto"/>
              <w:ind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color w:val="auto"/>
                <w:sz w:val="24"/>
                <w:szCs w:val="24"/>
                <w:highlight w:val="none"/>
              </w:rPr>
              <w:t>计算某一室内声源靠近围护结构处产生的倍频带声压级：</w:t>
            </w:r>
          </w:p>
          <w:p w14:paraId="1B679674">
            <w:pPr>
              <w:pStyle w:val="128"/>
              <w:keepNext w:val="0"/>
              <w:keepLines w:val="0"/>
              <w:pageBreakBefore w:val="0"/>
              <w:kinsoku/>
              <w:wordWrap/>
              <w:bidi w:val="0"/>
              <w:spacing w:line="360" w:lineRule="auto"/>
              <w:ind w:firstLine="48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object>
                <v:shape id="_x0000_i1025" o:spt="75" type="#_x0000_t75" style="height:31.5pt;width:134.25pt;" o:ole="t" filled="f" o:preferrelative="t" stroked="f" coordsize="21600,21600">
                  <v:path/>
                  <v:fill on="f" focussize="0,0"/>
                  <v:stroke on="f" joinstyle="miter"/>
                  <v:imagedata r:id="rId20" o:title=""/>
                  <o:lock v:ext="edit" aspectratio="t"/>
                  <w10:wrap type="none"/>
                  <w10:anchorlock/>
                </v:shape>
                <o:OLEObject Type="Embed" ProgID="Equation.3" ShapeID="_x0000_i1025" DrawAspect="Content" ObjectID="_1468075725" r:id="rId19">
                  <o:LockedField>false</o:LockedField>
                </o:OLEObject>
              </w:object>
            </w:r>
          </w:p>
          <w:p w14:paraId="3551040C">
            <w:pPr>
              <w:pStyle w:val="128"/>
              <w:keepNext w:val="0"/>
              <w:keepLines w:val="0"/>
              <w:pageBreakBefore w:val="0"/>
              <w:kinsoku/>
              <w:wordWrap/>
              <w:bidi w:val="0"/>
              <w:spacing w:line="360" w:lineRule="auto"/>
              <w:ind w:left="0" w:leftChars="0" w:firstLine="0" w:firstLineChar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式中：Q——指向性因子：通常对无指向性声源，当声源放在房间中心时，Q=1；当放在一面墙的中心时，Q=2；当放在两面墙夹角时，Q=4；当放在三面墙夹角处时，Q=8。</w:t>
            </w:r>
          </w:p>
          <w:p w14:paraId="2791ADC9">
            <w:pPr>
              <w:pStyle w:val="128"/>
              <w:keepNext w:val="0"/>
              <w:keepLines w:val="0"/>
              <w:pageBreakBefore w:val="0"/>
              <w:kinsoku/>
              <w:wordWrap/>
              <w:bidi w:val="0"/>
              <w:spacing w:line="360" w:lineRule="auto"/>
              <w:ind w:firstLine="1200" w:firstLineChars="5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R——房间常数：R=Sa/（1-a），S为房间内表面面积，m</w:t>
            </w:r>
            <w:r>
              <w:rPr>
                <w:rFonts w:hint="default" w:ascii="Times New Roman" w:hAnsi="Times New Roman" w:eastAsia="宋体" w:cs="Times New Roman"/>
                <w:color w:val="auto"/>
                <w:sz w:val="24"/>
                <w:szCs w:val="24"/>
                <w:highlight w:val="none"/>
                <w:vertAlign w:val="superscript"/>
              </w:rPr>
              <w:t>2</w:t>
            </w:r>
            <w:r>
              <w:rPr>
                <w:rFonts w:hint="default" w:ascii="Times New Roman" w:hAnsi="Times New Roman" w:eastAsia="宋体" w:cs="Times New Roman"/>
                <w:color w:val="auto"/>
                <w:sz w:val="24"/>
                <w:szCs w:val="24"/>
                <w:highlight w:val="none"/>
              </w:rPr>
              <w:t>；a为平均吸声系数（混凝土刷漆，取值为0.07）。</w:t>
            </w:r>
          </w:p>
          <w:p w14:paraId="44201A2D">
            <w:pPr>
              <w:pStyle w:val="128"/>
              <w:keepNext w:val="0"/>
              <w:keepLines w:val="0"/>
              <w:pageBreakBefore w:val="0"/>
              <w:kinsoku/>
              <w:wordWrap/>
              <w:bidi w:val="0"/>
              <w:spacing w:line="360" w:lineRule="auto"/>
              <w:ind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rPr>
              <w:t>计算出所有室内声源在围护结构处产生的i倍频带叠加声压级：</w:t>
            </w:r>
          </w:p>
          <w:p w14:paraId="385FAF7B">
            <w:pPr>
              <w:pStyle w:val="128"/>
              <w:keepNext w:val="0"/>
              <w:keepLines w:val="0"/>
              <w:pageBreakBefore w:val="0"/>
              <w:kinsoku/>
              <w:wordWrap/>
              <w:bidi w:val="0"/>
              <w:spacing w:line="360" w:lineRule="auto"/>
              <w:ind w:firstLine="480" w:firstLineChars="20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object>
                <v:shape id="_x0000_i1026" o:spt="75" type="#_x0000_t75" style="height:32.25pt;width:119.25pt;" o:ole="t" filled="f" o:preferrelative="t" stroked="f" coordsize="21600,21600">
                  <v:path/>
                  <v:fill on="f" focussize="0,0"/>
                  <v:stroke on="f"/>
                  <v:imagedata r:id="rId22" o:title=""/>
                  <o:lock v:ext="edit" aspectratio="t"/>
                  <w10:wrap type="none"/>
                  <w10:anchorlock/>
                </v:shape>
                <o:OLEObject Type="Embed" ProgID="Equation.3" ShapeID="_x0000_i1026" DrawAspect="Content" ObjectID="_1468075726" r:id="rId21">
                  <o:LockedField>false</o:LockedField>
                </o:OLEObject>
              </w:object>
            </w:r>
          </w:p>
          <w:p w14:paraId="162F43DC">
            <w:pPr>
              <w:pStyle w:val="128"/>
              <w:keepNext w:val="0"/>
              <w:keepLines w:val="0"/>
              <w:pageBreakBefore w:val="0"/>
              <w:kinsoku/>
              <w:wordWrap/>
              <w:bidi w:val="0"/>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式中：L</w:t>
            </w:r>
            <w:r>
              <w:rPr>
                <w:rFonts w:hint="default" w:ascii="Times New Roman" w:hAnsi="Times New Roman" w:eastAsia="宋体" w:cs="Times New Roman"/>
                <w:color w:val="auto"/>
                <w:sz w:val="24"/>
                <w:szCs w:val="24"/>
                <w:highlight w:val="none"/>
                <w:vertAlign w:val="subscript"/>
              </w:rPr>
              <w:t>p1i</w:t>
            </w:r>
            <w:r>
              <w:rPr>
                <w:rFonts w:hint="default" w:ascii="Times New Roman" w:hAnsi="Times New Roman" w:eastAsia="宋体" w:cs="Times New Roman"/>
                <w:color w:val="auto"/>
                <w:sz w:val="24"/>
                <w:szCs w:val="24"/>
                <w:highlight w:val="none"/>
              </w:rPr>
              <w:t>（T）——靠近围护结构处室内N个声源i倍频带的叠加声压级，dB；</w:t>
            </w:r>
          </w:p>
          <w:p w14:paraId="4890AE5C">
            <w:pPr>
              <w:pStyle w:val="128"/>
              <w:keepNext w:val="0"/>
              <w:keepLines w:val="0"/>
              <w:pageBreakBefore w:val="0"/>
              <w:kinsoku/>
              <w:wordWrap/>
              <w:bidi w:val="0"/>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L</w:t>
            </w:r>
            <w:r>
              <w:rPr>
                <w:rFonts w:hint="default" w:ascii="Times New Roman" w:hAnsi="Times New Roman" w:eastAsia="宋体" w:cs="Times New Roman"/>
                <w:color w:val="auto"/>
                <w:sz w:val="24"/>
                <w:szCs w:val="24"/>
                <w:highlight w:val="none"/>
                <w:vertAlign w:val="subscript"/>
              </w:rPr>
              <w:t>p1ij</w:t>
            </w:r>
            <w:r>
              <w:rPr>
                <w:rFonts w:hint="default" w:ascii="Times New Roman" w:hAnsi="Times New Roman" w:eastAsia="宋体" w:cs="Times New Roman"/>
                <w:color w:val="auto"/>
                <w:sz w:val="24"/>
                <w:szCs w:val="24"/>
                <w:highlight w:val="none"/>
              </w:rPr>
              <w:t>——室内j声源i倍频带的声压级，dB；</w:t>
            </w:r>
          </w:p>
          <w:p w14:paraId="0AD5A23D">
            <w:pPr>
              <w:pStyle w:val="128"/>
              <w:keepNext w:val="0"/>
              <w:keepLines w:val="0"/>
              <w:pageBreakBefore w:val="0"/>
              <w:kinsoku/>
              <w:wordWrap/>
              <w:bidi w:val="0"/>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③</w:t>
            </w:r>
            <w:r>
              <w:rPr>
                <w:rFonts w:hint="default" w:ascii="Times New Roman" w:hAnsi="Times New Roman" w:eastAsia="宋体" w:cs="Times New Roman"/>
                <w:color w:val="auto"/>
                <w:sz w:val="24"/>
                <w:szCs w:val="24"/>
                <w:highlight w:val="none"/>
              </w:rPr>
              <w:t>在室内近似为扩散声场地，按下式计算出靠近室外围护结构处的声压级：</w:t>
            </w:r>
          </w:p>
          <w:p w14:paraId="71E447B1">
            <w:pPr>
              <w:pStyle w:val="128"/>
              <w:keepNext w:val="0"/>
              <w:keepLines w:val="0"/>
              <w:pageBreakBefore w:val="0"/>
              <w:kinsoku/>
              <w:wordWrap/>
              <w:bidi w:val="0"/>
              <w:spacing w:line="360" w:lineRule="auto"/>
              <w:ind w:firstLine="48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object>
                <v:shape id="_x0000_i1027" o:spt="75" type="#_x0000_t75" style="height:21.75pt;width:150.75pt;" o:ole="t" filled="f" o:preferrelative="t" stroked="f" coordsize="21600,21600">
                  <v:path/>
                  <v:fill on="f" focussize="0,0"/>
                  <v:stroke on="f" joinstyle="miter"/>
                  <v:imagedata r:id="rId24" o:title=""/>
                  <o:lock v:ext="edit" aspectratio="t"/>
                  <w10:wrap type="none"/>
                  <w10:anchorlock/>
                </v:shape>
                <o:OLEObject Type="Embed" ProgID="Equation.3" ShapeID="_x0000_i1027" DrawAspect="Content" ObjectID="_1468075727" r:id="rId23">
                  <o:LockedField>false</o:LockedField>
                </o:OLEObject>
              </w:object>
            </w:r>
          </w:p>
          <w:p w14:paraId="5B5D77BC">
            <w:pPr>
              <w:pStyle w:val="128"/>
              <w:keepNext w:val="0"/>
              <w:keepLines w:val="0"/>
              <w:pageBreakBefore w:val="0"/>
              <w:kinsoku/>
              <w:wordWrap/>
              <w:bidi w:val="0"/>
              <w:spacing w:line="360" w:lineRule="auto"/>
              <w:ind w:firstLine="48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式中：Lp</w:t>
            </w:r>
            <w:r>
              <w:rPr>
                <w:rFonts w:hint="default" w:ascii="Times New Roman" w:hAnsi="Times New Roman" w:eastAsia="宋体" w:cs="Times New Roman"/>
                <w:color w:val="auto"/>
                <w:sz w:val="24"/>
                <w:szCs w:val="24"/>
                <w:highlight w:val="none"/>
                <w:vertAlign w:val="subscript"/>
              </w:rPr>
              <w:t>2i</w:t>
            </w:r>
            <w:r>
              <w:rPr>
                <w:rFonts w:hint="default" w:ascii="Times New Roman" w:hAnsi="Times New Roman" w:eastAsia="宋体" w:cs="Times New Roman"/>
                <w:color w:val="auto"/>
                <w:sz w:val="24"/>
                <w:szCs w:val="24"/>
                <w:highlight w:val="none"/>
              </w:rPr>
              <w:t>（T）——靠近围护结构处室外N个声源i倍频带的叠加声压级，dB；</w:t>
            </w:r>
          </w:p>
          <w:p w14:paraId="5E9F1C7F">
            <w:pPr>
              <w:pStyle w:val="128"/>
              <w:keepNext w:val="0"/>
              <w:keepLines w:val="0"/>
              <w:pageBreakBefore w:val="0"/>
              <w:kinsoku/>
              <w:wordWrap/>
              <w:bidi w:val="0"/>
              <w:spacing w:line="360" w:lineRule="auto"/>
              <w:ind w:firstLine="1200" w:firstLineChars="5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TL</w:t>
            </w:r>
            <w:r>
              <w:rPr>
                <w:rFonts w:hint="default" w:ascii="Times New Roman" w:hAnsi="Times New Roman" w:eastAsia="宋体" w:cs="Times New Roman"/>
                <w:color w:val="auto"/>
                <w:sz w:val="24"/>
                <w:szCs w:val="24"/>
                <w:highlight w:val="none"/>
                <w:vertAlign w:val="subscript"/>
              </w:rPr>
              <w:t>i</w:t>
            </w:r>
            <w:r>
              <w:rPr>
                <w:rFonts w:hint="default" w:ascii="Times New Roman" w:hAnsi="Times New Roman" w:eastAsia="宋体" w:cs="Times New Roman"/>
                <w:color w:val="auto"/>
                <w:sz w:val="24"/>
                <w:szCs w:val="24"/>
                <w:highlight w:val="none"/>
              </w:rPr>
              <w:t>——围护结构i倍频带的隔声量，dB；</w:t>
            </w:r>
          </w:p>
          <w:p w14:paraId="57A3C528">
            <w:pPr>
              <w:pStyle w:val="128"/>
              <w:keepNext w:val="0"/>
              <w:keepLines w:val="0"/>
              <w:pageBreakBefore w:val="0"/>
              <w:kinsoku/>
              <w:wordWrap/>
              <w:bidi w:val="0"/>
              <w:spacing w:line="360" w:lineRule="auto"/>
              <w:ind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④</w:t>
            </w:r>
            <w:r>
              <w:rPr>
                <w:rFonts w:hint="default" w:ascii="Times New Roman" w:hAnsi="Times New Roman" w:eastAsia="宋体" w:cs="Times New Roman"/>
                <w:color w:val="auto"/>
                <w:sz w:val="24"/>
                <w:szCs w:val="24"/>
                <w:highlight w:val="none"/>
              </w:rPr>
              <w:t>将室外声源的声压级和透过面积换算成等效的室外声源，计算出中心位置位地透声面积（S）处的等效声源的倍频带声功率级。</w:t>
            </w:r>
          </w:p>
          <w:p w14:paraId="74D5B2A8">
            <w:pPr>
              <w:pStyle w:val="128"/>
              <w:keepNext w:val="0"/>
              <w:keepLines w:val="0"/>
              <w:pageBreakBefore w:val="0"/>
              <w:kinsoku/>
              <w:wordWrap/>
              <w:bidi w:val="0"/>
              <w:spacing w:line="360" w:lineRule="auto"/>
              <w:ind w:firstLine="48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object>
                <v:shape id="_x0000_i1028" o:spt="75" type="#_x0000_t75" style="height:32.25pt;width:118.5pt;" o:ole="t" filled="f" o:preferrelative="t" stroked="f" coordsize="21600,21600">
                  <v:path/>
                  <v:fill on="f" focussize="0,0"/>
                  <v:stroke on="f" joinstyle="miter"/>
                  <v:imagedata r:id="rId22" o:title=""/>
                  <o:lock v:ext="edit" aspectratio="t"/>
                  <w10:wrap type="none"/>
                  <w10:anchorlock/>
                </v:shape>
                <o:OLEObject Type="Embed" ProgID="Equation.3" ShapeID="_x0000_i1028" DrawAspect="Content" ObjectID="_1468075728" r:id="rId25">
                  <o:LockedField>false</o:LockedField>
                </o:OLEObject>
              </w:object>
            </w:r>
          </w:p>
          <w:p w14:paraId="2B85C4B9">
            <w:pPr>
              <w:pStyle w:val="128"/>
              <w:keepNext w:val="0"/>
              <w:keepLines w:val="0"/>
              <w:pageBreakBefore w:val="0"/>
              <w:kinsoku/>
              <w:wordWrap/>
              <w:bidi w:val="0"/>
              <w:spacing w:line="360" w:lineRule="auto"/>
              <w:ind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⑤</w:t>
            </w:r>
            <w:r>
              <w:rPr>
                <w:rFonts w:hint="default" w:ascii="Times New Roman" w:hAnsi="Times New Roman" w:eastAsia="宋体" w:cs="Times New Roman"/>
                <w:color w:val="auto"/>
                <w:sz w:val="24"/>
                <w:szCs w:val="24"/>
                <w:highlight w:val="none"/>
              </w:rPr>
              <w:t>按室外声源预测方法计算预测点处的A声级。</w:t>
            </w:r>
          </w:p>
          <w:p w14:paraId="7C29D90C">
            <w:pPr>
              <w:pStyle w:val="128"/>
              <w:keepNext w:val="0"/>
              <w:keepLines w:val="0"/>
              <w:pageBreakBefore w:val="0"/>
              <w:kinsoku/>
              <w:wordWrap/>
              <w:bidi w:val="0"/>
              <w:spacing w:line="360" w:lineRule="auto"/>
              <w:ind w:firstLine="48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设第i个室外声源在预是点产生的A声级为L</w:t>
            </w:r>
            <w:r>
              <w:rPr>
                <w:rFonts w:hint="default" w:ascii="Times New Roman" w:hAnsi="Times New Roman" w:eastAsia="宋体" w:cs="Times New Roman"/>
                <w:color w:val="auto"/>
                <w:sz w:val="24"/>
                <w:szCs w:val="24"/>
                <w:highlight w:val="none"/>
                <w:vertAlign w:val="subscript"/>
              </w:rPr>
              <w:t>Ai</w:t>
            </w:r>
            <w:r>
              <w:rPr>
                <w:rFonts w:hint="default" w:ascii="Times New Roman" w:hAnsi="Times New Roman" w:eastAsia="宋体" w:cs="Times New Roman"/>
                <w:color w:val="auto"/>
                <w:sz w:val="24"/>
                <w:szCs w:val="24"/>
                <w:highlight w:val="none"/>
              </w:rPr>
              <w:t>，在T时间内该声源工作时间为ti；第j个等效室外声源在预测点产生的A声级为L</w:t>
            </w:r>
            <w:r>
              <w:rPr>
                <w:rFonts w:hint="default" w:ascii="Times New Roman" w:hAnsi="Times New Roman" w:eastAsia="宋体" w:cs="Times New Roman"/>
                <w:color w:val="auto"/>
                <w:sz w:val="24"/>
                <w:szCs w:val="24"/>
                <w:highlight w:val="none"/>
                <w:vertAlign w:val="subscript"/>
              </w:rPr>
              <w:t>Aj</w:t>
            </w:r>
            <w:r>
              <w:rPr>
                <w:rFonts w:hint="default" w:ascii="Times New Roman" w:hAnsi="Times New Roman" w:eastAsia="宋体" w:cs="Times New Roman"/>
                <w:color w:val="auto"/>
                <w:sz w:val="24"/>
                <w:szCs w:val="24"/>
                <w:highlight w:val="none"/>
              </w:rPr>
              <w:t>，在T时间内该声源工作时间为tj，则拟建工程声源对预测点产生的贡献值（Leqg）为：</w:t>
            </w:r>
          </w:p>
          <w:p w14:paraId="4B416A8C">
            <w:pPr>
              <w:pStyle w:val="128"/>
              <w:keepNext w:val="0"/>
              <w:keepLines w:val="0"/>
              <w:pageBreakBefore w:val="0"/>
              <w:kinsoku/>
              <w:wordWrap/>
              <w:bidi w:val="0"/>
              <w:spacing w:line="360" w:lineRule="auto"/>
              <w:ind w:firstLine="48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object>
                <v:shape id="_x0000_i1029" o:spt="75" type="#_x0000_t75" style="height:39pt;width:196.5pt;" o:ole="t" filled="f" o:preferrelative="t" stroked="f" coordsize="21600,21600">
                  <v:path/>
                  <v:fill on="f" focussize="0,0"/>
                  <v:stroke on="f" joinstyle="miter"/>
                  <v:imagedata r:id="rId27" o:title=""/>
                  <o:lock v:ext="edit" aspectratio="t"/>
                  <w10:wrap type="none"/>
                  <w10:anchorlock/>
                </v:shape>
                <o:OLEObject Type="Embed" ProgID="Visio.Drawing.11" ShapeID="_x0000_i1029" DrawAspect="Content" ObjectID="_1468075729" r:id="rId26">
                  <o:LockedField>false</o:LockedField>
                </o:OLEObject>
              </w:object>
            </w:r>
          </w:p>
          <w:p w14:paraId="0A3BB064">
            <w:pPr>
              <w:pStyle w:val="128"/>
              <w:keepNext w:val="0"/>
              <w:keepLines w:val="0"/>
              <w:pageBreakBefore w:val="0"/>
              <w:kinsoku/>
              <w:wordWrap/>
              <w:bidi w:val="0"/>
              <w:spacing w:line="360" w:lineRule="auto"/>
              <w:ind w:firstLine="48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式中：tj——在T时间内j声源工作时间，s；</w:t>
            </w:r>
          </w:p>
          <w:p w14:paraId="1B89AE29">
            <w:pPr>
              <w:pStyle w:val="128"/>
              <w:keepNext w:val="0"/>
              <w:keepLines w:val="0"/>
              <w:pageBreakBefore w:val="0"/>
              <w:kinsoku/>
              <w:wordWrap/>
              <w:bidi w:val="0"/>
              <w:spacing w:line="360" w:lineRule="auto"/>
              <w:ind w:firstLine="1200" w:firstLineChars="5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ti——在T时间内i声源工作时间，s；</w:t>
            </w:r>
          </w:p>
          <w:p w14:paraId="25D794E1">
            <w:pPr>
              <w:pStyle w:val="128"/>
              <w:keepNext w:val="0"/>
              <w:keepLines w:val="0"/>
              <w:pageBreakBefore w:val="0"/>
              <w:kinsoku/>
              <w:wordWrap/>
              <w:bidi w:val="0"/>
              <w:spacing w:line="360" w:lineRule="auto"/>
              <w:ind w:firstLine="1200" w:firstLineChars="5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T——用于计算等效声级的时间，s；</w:t>
            </w:r>
          </w:p>
          <w:p w14:paraId="39747EFD">
            <w:pPr>
              <w:pStyle w:val="128"/>
              <w:keepNext w:val="0"/>
              <w:keepLines w:val="0"/>
              <w:pageBreakBefore w:val="0"/>
              <w:kinsoku/>
              <w:wordWrap/>
              <w:bidi w:val="0"/>
              <w:spacing w:line="360" w:lineRule="auto"/>
              <w:ind w:firstLine="1200" w:firstLineChars="5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N——室外声源个数；</w:t>
            </w:r>
          </w:p>
          <w:p w14:paraId="0AA68071">
            <w:pPr>
              <w:pStyle w:val="128"/>
              <w:keepNext w:val="0"/>
              <w:keepLines w:val="0"/>
              <w:pageBreakBefore w:val="0"/>
              <w:kinsoku/>
              <w:wordWrap/>
              <w:bidi w:val="0"/>
              <w:spacing w:line="360" w:lineRule="auto"/>
              <w:ind w:firstLine="1200" w:firstLineChars="5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M——等效室外声源个数；</w:t>
            </w:r>
          </w:p>
          <w:p w14:paraId="73DC188C">
            <w:pPr>
              <w:pStyle w:val="128"/>
              <w:keepNext w:val="0"/>
              <w:keepLines w:val="0"/>
              <w:pageBreakBefore w:val="0"/>
              <w:kinsoku/>
              <w:wordWrap/>
              <w:bidi w:val="0"/>
              <w:spacing w:line="360" w:lineRule="auto"/>
              <w:ind w:firstLine="48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⑥</w:t>
            </w:r>
            <w:r>
              <w:rPr>
                <w:rFonts w:hint="default" w:ascii="Times New Roman" w:hAnsi="Times New Roman" w:eastAsia="宋体" w:cs="Times New Roman"/>
                <w:color w:val="auto"/>
                <w:sz w:val="24"/>
                <w:szCs w:val="24"/>
                <w:highlight w:val="none"/>
              </w:rPr>
              <w:t>预测点的预测等效声级（Leq）计算：</w:t>
            </w:r>
          </w:p>
          <w:p w14:paraId="166D16C3">
            <w:pPr>
              <w:pStyle w:val="128"/>
              <w:keepNext w:val="0"/>
              <w:keepLines w:val="0"/>
              <w:pageBreakBefore w:val="0"/>
              <w:kinsoku/>
              <w:wordWrap/>
              <w:bidi w:val="0"/>
              <w:spacing w:line="360" w:lineRule="auto"/>
              <w:ind w:firstLine="48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drawing>
                <wp:inline distT="0" distB="0" distL="114300" distR="114300">
                  <wp:extent cx="2522220" cy="278765"/>
                  <wp:effectExtent l="0" t="0" r="11430" b="6350"/>
                  <wp:docPr id="2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7"/>
                          <pic:cNvPicPr>
                            <a:picLocks noChangeAspect="1"/>
                          </pic:cNvPicPr>
                        </pic:nvPicPr>
                        <pic:blipFill>
                          <a:blip r:embed="rId28"/>
                          <a:stretch>
                            <a:fillRect/>
                          </a:stretch>
                        </pic:blipFill>
                        <pic:spPr>
                          <a:xfrm>
                            <a:off x="0" y="0"/>
                            <a:ext cx="2522220" cy="278765"/>
                          </a:xfrm>
                          <a:prstGeom prst="rect">
                            <a:avLst/>
                          </a:prstGeom>
                          <a:noFill/>
                          <a:ln>
                            <a:noFill/>
                          </a:ln>
                        </pic:spPr>
                      </pic:pic>
                    </a:graphicData>
                  </a:graphic>
                </wp:inline>
              </w:drawing>
            </w:r>
          </w:p>
          <w:p w14:paraId="7B6983E6">
            <w:pPr>
              <w:pStyle w:val="128"/>
              <w:keepNext w:val="0"/>
              <w:keepLines w:val="0"/>
              <w:pageBreakBefore w:val="0"/>
              <w:kinsoku/>
              <w:wordWrap/>
              <w:bidi w:val="0"/>
              <w:spacing w:line="360" w:lineRule="auto"/>
              <w:ind w:firstLine="48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式中：Leq（A）贡——建设项目声源在预测点的等效声级贡献量，dB（A）；</w:t>
            </w:r>
          </w:p>
          <w:p w14:paraId="0F900E5C">
            <w:pPr>
              <w:pStyle w:val="100"/>
              <w:keepNext w:val="0"/>
              <w:keepLines w:val="0"/>
              <w:pageBreakBefore w:val="0"/>
              <w:kinsoku/>
              <w:wordWrap/>
              <w:bidi w:val="0"/>
              <w:spacing w:line="360" w:lineRule="auto"/>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Leq（A）现——预测点背景值，dB（A）。</w:t>
            </w:r>
          </w:p>
          <w:p w14:paraId="08D065FF">
            <w:pPr>
              <w:pStyle w:val="100"/>
              <w:keepNext w:val="0"/>
              <w:keepLines w:val="0"/>
              <w:pageBreakBefore w:val="0"/>
              <w:kinsoku/>
              <w:wordWrap/>
              <w:bidi w:val="0"/>
              <w:spacing w:line="360" w:lineRule="auto"/>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室外声源</w:t>
            </w:r>
          </w:p>
          <w:p w14:paraId="53D56E0C">
            <w:pPr>
              <w:pStyle w:val="100"/>
              <w:keepNext w:val="0"/>
              <w:keepLines w:val="0"/>
              <w:pageBreakBefore w:val="0"/>
              <w:kinsoku/>
              <w:wordWrap/>
              <w:bidi w:val="0"/>
              <w:spacing w:line="360" w:lineRule="auto"/>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设室外声源为I个</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预测点为j个，采用倍频带声压级法</w:t>
            </w:r>
            <w:r>
              <w:rPr>
                <w:rFonts w:hint="default" w:ascii="Times New Roman" w:hAnsi="Times New Roman" w:eastAsia="宋体" w:cs="Times New Roman"/>
                <w:color w:val="auto"/>
                <w:sz w:val="24"/>
                <w:szCs w:val="24"/>
                <w:highlight w:val="none"/>
                <w:lang w:eastAsia="zh-CN"/>
              </w:rPr>
              <w:t>：</w:t>
            </w:r>
          </w:p>
          <w:p w14:paraId="7535B1D4">
            <w:pPr>
              <w:pStyle w:val="100"/>
              <w:keepNext w:val="0"/>
              <w:keepLines w:val="0"/>
              <w:pageBreakBefore w:val="0"/>
              <w:kinsoku/>
              <w:wordWrap/>
              <w:bidi w:val="0"/>
              <w:spacing w:line="360" w:lineRule="auto"/>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color w:val="auto"/>
                <w:sz w:val="24"/>
                <w:szCs w:val="24"/>
                <w:highlight w:val="none"/>
              </w:rPr>
              <w:t>计算第I个噪声源在第j个预测点的倍频带声压级L</w:t>
            </w:r>
            <w:r>
              <w:rPr>
                <w:rFonts w:hint="default" w:ascii="Times New Roman" w:hAnsi="Times New Roman" w:eastAsia="宋体" w:cs="Times New Roman"/>
                <w:color w:val="auto"/>
                <w:sz w:val="24"/>
                <w:szCs w:val="24"/>
                <w:highlight w:val="none"/>
                <w:vertAlign w:val="subscript"/>
              </w:rPr>
              <w:t>octij</w:t>
            </w:r>
            <w:r>
              <w:rPr>
                <w:rFonts w:hint="default" w:ascii="Times New Roman" w:hAnsi="Times New Roman" w:eastAsia="宋体" w:cs="Times New Roman"/>
                <w:color w:val="auto"/>
                <w:sz w:val="24"/>
                <w:szCs w:val="24"/>
                <w:highlight w:val="none"/>
              </w:rPr>
              <w:t>（r</w:t>
            </w:r>
            <w:r>
              <w:rPr>
                <w:rFonts w:hint="default" w:ascii="Times New Roman" w:hAnsi="Times New Roman" w:eastAsia="宋体" w:cs="Times New Roman"/>
                <w:color w:val="auto"/>
                <w:sz w:val="24"/>
                <w:szCs w:val="24"/>
                <w:highlight w:val="none"/>
                <w:vertAlign w:val="subscript"/>
              </w:rPr>
              <w:t>0</w:t>
            </w:r>
            <w:r>
              <w:rPr>
                <w:rFonts w:hint="default" w:ascii="Times New Roman" w:hAnsi="Times New Roman" w:eastAsia="宋体" w:cs="Times New Roman"/>
                <w:color w:val="auto"/>
                <w:sz w:val="24"/>
                <w:szCs w:val="24"/>
                <w:highlight w:val="none"/>
              </w:rPr>
              <w:t>）</w:t>
            </w:r>
          </w:p>
          <w:p w14:paraId="7DF6FB02">
            <w:pPr>
              <w:pStyle w:val="100"/>
              <w:keepNext w:val="0"/>
              <w:keepLines w:val="0"/>
              <w:pageBreakBefore w:val="0"/>
              <w:kinsoku/>
              <w:wordWrap/>
              <w:bidi w:val="0"/>
              <w:spacing w:line="360" w:lineRule="auto"/>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L</w:t>
            </w:r>
            <w:r>
              <w:rPr>
                <w:rFonts w:hint="default" w:ascii="Times New Roman" w:hAnsi="Times New Roman" w:eastAsia="宋体" w:cs="Times New Roman"/>
                <w:color w:val="auto"/>
                <w:sz w:val="24"/>
                <w:szCs w:val="24"/>
                <w:highlight w:val="none"/>
                <w:vertAlign w:val="subscript"/>
              </w:rPr>
              <w:t>octij</w:t>
            </w:r>
            <w:r>
              <w:rPr>
                <w:rFonts w:hint="default" w:ascii="Times New Roman" w:hAnsi="Times New Roman" w:eastAsia="宋体" w:cs="Times New Roman"/>
                <w:color w:val="auto"/>
                <w:sz w:val="24"/>
                <w:szCs w:val="24"/>
                <w:highlight w:val="none"/>
              </w:rPr>
              <w:t>=L</w:t>
            </w:r>
            <w:r>
              <w:rPr>
                <w:rFonts w:hint="default" w:ascii="Times New Roman" w:hAnsi="Times New Roman" w:eastAsia="宋体" w:cs="Times New Roman"/>
                <w:color w:val="auto"/>
                <w:sz w:val="24"/>
                <w:szCs w:val="24"/>
                <w:highlight w:val="none"/>
                <w:vertAlign w:val="subscript"/>
              </w:rPr>
              <w:t>octi</w:t>
            </w:r>
            <w:r>
              <w:rPr>
                <w:rFonts w:hint="default" w:ascii="Times New Roman" w:hAnsi="Times New Roman" w:eastAsia="宋体" w:cs="Times New Roman"/>
                <w:color w:val="auto"/>
                <w:sz w:val="24"/>
                <w:szCs w:val="24"/>
                <w:highlight w:val="none"/>
              </w:rPr>
              <w:t>（r</w:t>
            </w:r>
            <w:r>
              <w:rPr>
                <w:rFonts w:hint="default" w:ascii="Times New Roman" w:hAnsi="Times New Roman" w:eastAsia="宋体" w:cs="Times New Roman"/>
                <w:color w:val="auto"/>
                <w:sz w:val="24"/>
                <w:szCs w:val="24"/>
                <w:highlight w:val="none"/>
                <w:vertAlign w:val="subscript"/>
              </w:rPr>
              <w:t>0</w:t>
            </w:r>
            <w:r>
              <w:rPr>
                <w:rFonts w:hint="default" w:ascii="Times New Roman" w:hAnsi="Times New Roman" w:eastAsia="宋体" w:cs="Times New Roman"/>
                <w:color w:val="auto"/>
                <w:sz w:val="24"/>
                <w:szCs w:val="24"/>
                <w:highlight w:val="none"/>
              </w:rPr>
              <w:t>）-（Aoctdir+Aoctbar+Aoctatm+Aoctexc）</w:t>
            </w:r>
          </w:p>
          <w:p w14:paraId="5C317C38">
            <w:pPr>
              <w:pStyle w:val="100"/>
              <w:keepNext w:val="0"/>
              <w:keepLines w:val="0"/>
              <w:pageBreakBefore w:val="0"/>
              <w:kinsoku/>
              <w:wordWrap/>
              <w:bidi w:val="0"/>
              <w:spacing w:line="360" w:lineRule="auto"/>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式中：</w:t>
            </w:r>
          </w:p>
          <w:p w14:paraId="5C4E6574">
            <w:pPr>
              <w:pStyle w:val="100"/>
              <w:keepNext w:val="0"/>
              <w:keepLines w:val="0"/>
              <w:pageBreakBefore w:val="0"/>
              <w:kinsoku/>
              <w:wordWrap/>
              <w:bidi w:val="0"/>
              <w:spacing w:line="360" w:lineRule="auto"/>
              <w:ind w:firstLine="960" w:firstLineChars="4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Loctij（r0）—第I个噪声源在参考位置r0处的倍频带声压级，dB；</w:t>
            </w:r>
          </w:p>
          <w:p w14:paraId="745A1A0F">
            <w:pPr>
              <w:pStyle w:val="100"/>
              <w:keepNext w:val="0"/>
              <w:keepLines w:val="0"/>
              <w:pageBreakBefore w:val="0"/>
              <w:kinsoku/>
              <w:wordWrap/>
              <w:bidi w:val="0"/>
              <w:spacing w:line="360" w:lineRule="auto"/>
              <w:ind w:firstLine="960" w:firstLineChars="4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Aoctdir—发散衰减量，dB；</w:t>
            </w:r>
          </w:p>
          <w:p w14:paraId="03C454FE">
            <w:pPr>
              <w:pStyle w:val="100"/>
              <w:keepNext w:val="0"/>
              <w:keepLines w:val="0"/>
              <w:pageBreakBefore w:val="0"/>
              <w:kinsoku/>
              <w:wordWrap/>
              <w:bidi w:val="0"/>
              <w:spacing w:line="360" w:lineRule="auto"/>
              <w:ind w:firstLine="960" w:firstLineChars="4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Aoctbar—屏障衰减量，dB；</w:t>
            </w:r>
          </w:p>
          <w:p w14:paraId="674474DB">
            <w:pPr>
              <w:pStyle w:val="100"/>
              <w:keepNext w:val="0"/>
              <w:keepLines w:val="0"/>
              <w:pageBreakBefore w:val="0"/>
              <w:kinsoku/>
              <w:wordWrap/>
              <w:bidi w:val="0"/>
              <w:spacing w:line="360" w:lineRule="auto"/>
              <w:ind w:firstLine="960" w:firstLineChars="4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Aoctatm—空气吸收衰减量，dB；</w:t>
            </w:r>
          </w:p>
          <w:p w14:paraId="2F8F7F4E">
            <w:pPr>
              <w:pStyle w:val="100"/>
              <w:keepNext w:val="0"/>
              <w:keepLines w:val="0"/>
              <w:pageBreakBefore w:val="0"/>
              <w:kinsoku/>
              <w:wordWrap/>
              <w:bidi w:val="0"/>
              <w:spacing w:line="360" w:lineRule="auto"/>
              <w:ind w:firstLine="960" w:firstLineChars="4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Aoctexc—附加衰减量，dB；</w:t>
            </w:r>
          </w:p>
          <w:p w14:paraId="04A664FB">
            <w:pPr>
              <w:pStyle w:val="100"/>
              <w:keepNext w:val="0"/>
              <w:keepLines w:val="0"/>
              <w:pageBreakBefore w:val="0"/>
              <w:kinsoku/>
              <w:wordWrap/>
              <w:bidi w:val="0"/>
              <w:spacing w:line="360" w:lineRule="auto"/>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假设已知噪声源的倍频带声功率级为L</w:t>
            </w:r>
            <w:r>
              <w:rPr>
                <w:rFonts w:hint="default" w:ascii="Times New Roman" w:hAnsi="Times New Roman" w:eastAsia="宋体" w:cs="Times New Roman"/>
                <w:color w:val="auto"/>
                <w:sz w:val="24"/>
                <w:szCs w:val="24"/>
                <w:highlight w:val="none"/>
                <w:vertAlign w:val="subscript"/>
              </w:rPr>
              <w:t>wiact</w:t>
            </w:r>
            <w:r>
              <w:rPr>
                <w:rFonts w:hint="default" w:ascii="Times New Roman" w:hAnsi="Times New Roman" w:eastAsia="宋体" w:cs="Times New Roman"/>
                <w:color w:val="auto"/>
                <w:sz w:val="24"/>
                <w:szCs w:val="24"/>
                <w:highlight w:val="none"/>
              </w:rPr>
              <w:t>，并假设声源位于地面上（半自由场），则：</w:t>
            </w:r>
          </w:p>
          <w:p w14:paraId="5F5FD791">
            <w:pPr>
              <w:pStyle w:val="100"/>
              <w:keepNext w:val="0"/>
              <w:keepLines w:val="0"/>
              <w:pageBreakBefore w:val="0"/>
              <w:kinsoku/>
              <w:wordWrap/>
              <w:bidi w:val="0"/>
              <w:spacing w:line="360" w:lineRule="auto"/>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L</w:t>
            </w:r>
            <w:r>
              <w:rPr>
                <w:rFonts w:hint="default" w:ascii="Times New Roman" w:hAnsi="Times New Roman" w:eastAsia="宋体" w:cs="Times New Roman"/>
                <w:color w:val="auto"/>
                <w:sz w:val="24"/>
                <w:szCs w:val="24"/>
                <w:highlight w:val="none"/>
                <w:vertAlign w:val="subscript"/>
              </w:rPr>
              <w:t>octi</w:t>
            </w:r>
            <w:r>
              <w:rPr>
                <w:rFonts w:hint="default" w:ascii="Times New Roman" w:hAnsi="Times New Roman" w:eastAsia="宋体" w:cs="Times New Roman"/>
                <w:color w:val="auto"/>
                <w:sz w:val="24"/>
                <w:szCs w:val="24"/>
                <w:highlight w:val="none"/>
              </w:rPr>
              <w:t>（r</w:t>
            </w:r>
            <w:r>
              <w:rPr>
                <w:rFonts w:hint="default" w:ascii="Times New Roman" w:hAnsi="Times New Roman" w:eastAsia="宋体" w:cs="Times New Roman"/>
                <w:color w:val="auto"/>
                <w:sz w:val="24"/>
                <w:szCs w:val="24"/>
                <w:highlight w:val="none"/>
                <w:vertAlign w:val="subscript"/>
              </w:rPr>
              <w:t>0</w:t>
            </w:r>
            <w:r>
              <w:rPr>
                <w:rFonts w:hint="default" w:ascii="Times New Roman" w:hAnsi="Times New Roman" w:eastAsia="宋体" w:cs="Times New Roman"/>
                <w:color w:val="auto"/>
                <w:sz w:val="24"/>
                <w:szCs w:val="24"/>
                <w:highlight w:val="none"/>
              </w:rPr>
              <w:t>）=L</w:t>
            </w:r>
            <w:r>
              <w:rPr>
                <w:rFonts w:hint="default" w:ascii="Times New Roman" w:hAnsi="Times New Roman" w:eastAsia="宋体" w:cs="Times New Roman"/>
                <w:color w:val="auto"/>
                <w:sz w:val="24"/>
                <w:szCs w:val="24"/>
                <w:highlight w:val="none"/>
                <w:vertAlign w:val="subscript"/>
              </w:rPr>
              <w:t>wiact</w:t>
            </w:r>
            <w:r>
              <w:rPr>
                <w:rFonts w:hint="default" w:ascii="Times New Roman" w:hAnsi="Times New Roman" w:eastAsia="宋体" w:cs="Times New Roman"/>
                <w:color w:val="auto"/>
                <w:sz w:val="24"/>
                <w:szCs w:val="24"/>
                <w:highlight w:val="none"/>
              </w:rPr>
              <w:t>-20lgr</w:t>
            </w:r>
            <w:r>
              <w:rPr>
                <w:rFonts w:hint="default" w:ascii="Times New Roman" w:hAnsi="Times New Roman" w:eastAsia="宋体" w:cs="Times New Roman"/>
                <w:color w:val="auto"/>
                <w:sz w:val="24"/>
                <w:szCs w:val="24"/>
                <w:highlight w:val="none"/>
                <w:vertAlign w:val="subscript"/>
              </w:rPr>
              <w:t>0</w:t>
            </w:r>
            <w:r>
              <w:rPr>
                <w:rFonts w:hint="default" w:ascii="Times New Roman" w:hAnsi="Times New Roman" w:eastAsia="宋体" w:cs="Times New Roman"/>
                <w:color w:val="auto"/>
                <w:sz w:val="24"/>
                <w:szCs w:val="24"/>
                <w:highlight w:val="none"/>
              </w:rPr>
              <w:t>-8</w:t>
            </w:r>
          </w:p>
          <w:p w14:paraId="39BA08E8">
            <w:pPr>
              <w:pStyle w:val="100"/>
              <w:keepNext w:val="0"/>
              <w:keepLines w:val="0"/>
              <w:pageBreakBefore w:val="0"/>
              <w:kinsoku/>
              <w:wordWrap/>
              <w:bidi w:val="0"/>
              <w:spacing w:line="360" w:lineRule="auto"/>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rPr>
              <w:t>由上式计算的倍频带声压级合成为A声级</w:t>
            </w:r>
          </w:p>
          <w:p w14:paraId="581FB60E">
            <w:pPr>
              <w:pStyle w:val="100"/>
              <w:keepNext w:val="0"/>
              <w:keepLines w:val="0"/>
              <w:pageBreakBefore w:val="0"/>
              <w:kinsoku/>
              <w:wordWrap/>
              <w:bidi w:val="0"/>
              <w:spacing w:line="360" w:lineRule="auto"/>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L</w:t>
            </w:r>
            <w:r>
              <w:rPr>
                <w:rFonts w:hint="default" w:ascii="Times New Roman" w:hAnsi="Times New Roman" w:eastAsia="宋体" w:cs="Times New Roman"/>
                <w:color w:val="auto"/>
                <w:sz w:val="24"/>
                <w:szCs w:val="24"/>
                <w:highlight w:val="none"/>
                <w:vertAlign w:val="subscript"/>
              </w:rPr>
              <w:t>aij</w:t>
            </w:r>
            <w:r>
              <w:rPr>
                <w:rFonts w:hint="default" w:ascii="Times New Roman" w:hAnsi="Times New Roman" w:eastAsia="宋体" w:cs="Times New Roman"/>
                <w:color w:val="auto"/>
                <w:sz w:val="24"/>
                <w:szCs w:val="24"/>
                <w:highlight w:val="none"/>
              </w:rPr>
              <w:t>=L</w:t>
            </w:r>
            <w:r>
              <w:rPr>
                <w:rFonts w:hint="default" w:ascii="Times New Roman" w:hAnsi="Times New Roman" w:eastAsia="宋体" w:cs="Times New Roman"/>
                <w:color w:val="auto"/>
                <w:sz w:val="24"/>
                <w:szCs w:val="24"/>
                <w:highlight w:val="none"/>
                <w:vertAlign w:val="subscript"/>
              </w:rPr>
              <w:t>wai</w:t>
            </w:r>
            <w:r>
              <w:rPr>
                <w:rFonts w:hint="default" w:ascii="Times New Roman" w:hAnsi="Times New Roman" w:eastAsia="宋体" w:cs="Times New Roman"/>
                <w:color w:val="auto"/>
                <w:sz w:val="24"/>
                <w:szCs w:val="24"/>
                <w:highlight w:val="none"/>
              </w:rPr>
              <w:t>-20lgr</w:t>
            </w:r>
            <w:r>
              <w:rPr>
                <w:rFonts w:hint="default" w:ascii="Times New Roman" w:hAnsi="Times New Roman" w:eastAsia="宋体" w:cs="Times New Roman"/>
                <w:color w:val="auto"/>
                <w:sz w:val="24"/>
                <w:szCs w:val="24"/>
                <w:highlight w:val="none"/>
                <w:vertAlign w:val="subscript"/>
              </w:rPr>
              <w:t>0</w:t>
            </w:r>
            <w:r>
              <w:rPr>
                <w:rFonts w:hint="default" w:ascii="Times New Roman" w:hAnsi="Times New Roman" w:eastAsia="宋体" w:cs="Times New Roman"/>
                <w:color w:val="auto"/>
                <w:sz w:val="24"/>
                <w:szCs w:val="24"/>
                <w:highlight w:val="none"/>
              </w:rPr>
              <w:t>-8</w:t>
            </w:r>
          </w:p>
          <w:p w14:paraId="4473DD0E">
            <w:pPr>
              <w:pStyle w:val="38"/>
              <w:bidi w:val="0"/>
              <w:rPr>
                <w:rFonts w:hint="eastAsia"/>
                <w:color w:val="auto"/>
                <w:lang w:val="en-US" w:eastAsia="zh-CN"/>
              </w:rPr>
            </w:pPr>
            <w:r>
              <w:rPr>
                <w:rFonts w:hint="default" w:ascii="Times New Roman" w:hAnsi="Times New Roman" w:eastAsia="宋体" w:cs="Times New Roman"/>
                <w:color w:val="auto"/>
                <w:sz w:val="24"/>
                <w:szCs w:val="24"/>
              </w:rPr>
              <w:t>采取上述预测方法，该项目营运后厂界外1m处的噪声预测结果见表4-</w:t>
            </w:r>
            <w:r>
              <w:rPr>
                <w:rFonts w:hint="eastAsia" w:cs="Times New Roman"/>
                <w:color w:val="auto"/>
                <w:sz w:val="24"/>
                <w:szCs w:val="24"/>
                <w:lang w:val="en-US" w:eastAsia="zh-CN"/>
              </w:rPr>
              <w:t>9</w:t>
            </w:r>
            <w:r>
              <w:rPr>
                <w:rFonts w:hint="default" w:ascii="Times New Roman" w:hAnsi="Times New Roman" w:eastAsia="宋体" w:cs="Times New Roman"/>
                <w:color w:val="auto"/>
                <w:sz w:val="24"/>
                <w:szCs w:val="24"/>
              </w:rPr>
              <w:t>。</w:t>
            </w:r>
          </w:p>
          <w:p w14:paraId="1538FF5A">
            <w:pPr>
              <w:pStyle w:val="46"/>
              <w:bidi w:val="0"/>
              <w:rPr>
                <w:color w:val="auto"/>
              </w:rPr>
            </w:pPr>
            <w:r>
              <w:rPr>
                <w:color w:val="auto"/>
              </w:rPr>
              <w:t>4-</w:t>
            </w:r>
            <w:r>
              <w:rPr>
                <w:rFonts w:hint="eastAsia"/>
                <w:color w:val="auto"/>
                <w:lang w:val="en-US" w:eastAsia="zh-CN"/>
              </w:rPr>
              <w:t>9</w:t>
            </w:r>
            <w:r>
              <w:rPr>
                <w:color w:val="auto"/>
              </w:rPr>
              <w:t xml:space="preserve">  </w:t>
            </w:r>
            <w:r>
              <w:rPr>
                <w:rFonts w:hint="eastAsia"/>
                <w:color w:val="auto"/>
                <w:lang w:val="en-US" w:eastAsia="zh-CN"/>
              </w:rPr>
              <w:t xml:space="preserve"> </w:t>
            </w:r>
            <w:r>
              <w:rPr>
                <w:color w:val="auto"/>
              </w:rPr>
              <w:t>各类机械设备的噪声对厂界影响结果表</w:t>
            </w:r>
          </w:p>
          <w:tbl>
            <w:tblPr>
              <w:tblStyle w:val="114"/>
              <w:tblW w:w="79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8"/>
              <w:gridCol w:w="946"/>
              <w:gridCol w:w="765"/>
              <w:gridCol w:w="1073"/>
              <w:gridCol w:w="765"/>
              <w:gridCol w:w="920"/>
              <w:gridCol w:w="765"/>
              <w:gridCol w:w="959"/>
              <w:gridCol w:w="736"/>
            </w:tblGrid>
            <w:tr w14:paraId="3FB10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jc w:val="center"/>
              </w:trPr>
              <w:tc>
                <w:tcPr>
                  <w:tcW w:w="927" w:type="dxa"/>
                  <w:vMerge w:val="restart"/>
                  <w:tcBorders>
                    <w:bottom w:val="nil"/>
                    <w:tl2br w:val="single" w:color="000000" w:sz="2" w:space="0"/>
                  </w:tcBorders>
                  <w:vAlign w:val="top"/>
                </w:tcPr>
                <w:p w14:paraId="05ABF6A4">
                  <w:pPr>
                    <w:pStyle w:val="51"/>
                    <w:bidi w:val="0"/>
                    <w:rPr>
                      <w:color w:val="auto"/>
                    </w:rPr>
                  </w:pPr>
                </w:p>
              </w:tc>
              <w:tc>
                <w:tcPr>
                  <w:tcW w:w="1574" w:type="dxa"/>
                  <w:gridSpan w:val="2"/>
                  <w:vAlign w:val="top"/>
                </w:tcPr>
                <w:p w14:paraId="5BBC0779">
                  <w:pPr>
                    <w:pStyle w:val="51"/>
                    <w:bidi w:val="0"/>
                    <w:rPr>
                      <w:color w:val="auto"/>
                    </w:rPr>
                  </w:pPr>
                  <w:r>
                    <w:rPr>
                      <w:color w:val="auto"/>
                    </w:rPr>
                    <w:t>北厂界</w:t>
                  </w:r>
                </w:p>
              </w:tc>
              <w:tc>
                <w:tcPr>
                  <w:tcW w:w="1691" w:type="dxa"/>
                  <w:gridSpan w:val="2"/>
                  <w:vAlign w:val="top"/>
                </w:tcPr>
                <w:p w14:paraId="3055C46E">
                  <w:pPr>
                    <w:pStyle w:val="51"/>
                    <w:bidi w:val="0"/>
                    <w:rPr>
                      <w:color w:val="auto"/>
                    </w:rPr>
                  </w:pPr>
                  <w:r>
                    <w:rPr>
                      <w:color w:val="auto"/>
                    </w:rPr>
                    <w:t>南厂界</w:t>
                  </w:r>
                </w:p>
              </w:tc>
              <w:tc>
                <w:tcPr>
                  <w:tcW w:w="1550" w:type="dxa"/>
                  <w:gridSpan w:val="2"/>
                  <w:vAlign w:val="top"/>
                </w:tcPr>
                <w:p w14:paraId="1320A0E4">
                  <w:pPr>
                    <w:pStyle w:val="51"/>
                    <w:bidi w:val="0"/>
                    <w:rPr>
                      <w:color w:val="auto"/>
                    </w:rPr>
                  </w:pPr>
                  <w:r>
                    <w:rPr>
                      <w:color w:val="auto"/>
                    </w:rPr>
                    <w:t>西厂界</w:t>
                  </w:r>
                </w:p>
              </w:tc>
              <w:tc>
                <w:tcPr>
                  <w:tcW w:w="1559" w:type="dxa"/>
                  <w:gridSpan w:val="2"/>
                  <w:vAlign w:val="top"/>
                </w:tcPr>
                <w:p w14:paraId="6156F92A">
                  <w:pPr>
                    <w:pStyle w:val="51"/>
                    <w:bidi w:val="0"/>
                    <w:rPr>
                      <w:color w:val="auto"/>
                    </w:rPr>
                  </w:pPr>
                  <w:r>
                    <w:rPr>
                      <w:color w:val="auto"/>
                    </w:rPr>
                    <w:t>东厂界</w:t>
                  </w:r>
                </w:p>
              </w:tc>
            </w:tr>
            <w:tr w14:paraId="3940C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jc w:val="center"/>
              </w:trPr>
              <w:tc>
                <w:tcPr>
                  <w:tcW w:w="927" w:type="dxa"/>
                  <w:vMerge w:val="continue"/>
                  <w:tcBorders>
                    <w:top w:val="nil"/>
                    <w:tl2br w:val="single" w:color="000000" w:sz="2" w:space="0"/>
                  </w:tcBorders>
                  <w:vAlign w:val="top"/>
                </w:tcPr>
                <w:p w14:paraId="2E982CE4">
                  <w:pPr>
                    <w:pStyle w:val="51"/>
                    <w:bidi w:val="0"/>
                    <w:rPr>
                      <w:color w:val="auto"/>
                    </w:rPr>
                  </w:pPr>
                </w:p>
              </w:tc>
              <w:tc>
                <w:tcPr>
                  <w:tcW w:w="870" w:type="dxa"/>
                  <w:vAlign w:val="top"/>
                </w:tcPr>
                <w:p w14:paraId="49DA01D1">
                  <w:pPr>
                    <w:pStyle w:val="51"/>
                    <w:bidi w:val="0"/>
                    <w:rPr>
                      <w:color w:val="auto"/>
                    </w:rPr>
                  </w:pPr>
                  <w:r>
                    <w:rPr>
                      <w:color w:val="auto"/>
                    </w:rPr>
                    <w:t>声源与厂 界距离m</w:t>
                  </w:r>
                </w:p>
              </w:tc>
              <w:tc>
                <w:tcPr>
                  <w:tcW w:w="704" w:type="dxa"/>
                  <w:vAlign w:val="top"/>
                </w:tcPr>
                <w:p w14:paraId="0C7C5EB0">
                  <w:pPr>
                    <w:pStyle w:val="51"/>
                    <w:bidi w:val="0"/>
                    <w:rPr>
                      <w:color w:val="auto"/>
                    </w:rPr>
                  </w:pPr>
                  <w:r>
                    <w:rPr>
                      <w:color w:val="auto"/>
                    </w:rPr>
                    <w:t>贡献值 dB(A)</w:t>
                  </w:r>
                </w:p>
              </w:tc>
              <w:tc>
                <w:tcPr>
                  <w:tcW w:w="987" w:type="dxa"/>
                  <w:vAlign w:val="top"/>
                </w:tcPr>
                <w:p w14:paraId="5373E350">
                  <w:pPr>
                    <w:pStyle w:val="51"/>
                    <w:bidi w:val="0"/>
                    <w:rPr>
                      <w:color w:val="auto"/>
                    </w:rPr>
                  </w:pPr>
                  <w:r>
                    <w:rPr>
                      <w:color w:val="auto"/>
                    </w:rPr>
                    <w:t>声源与厂界距离m</w:t>
                  </w:r>
                </w:p>
              </w:tc>
              <w:tc>
                <w:tcPr>
                  <w:tcW w:w="704" w:type="dxa"/>
                  <w:vAlign w:val="top"/>
                </w:tcPr>
                <w:p w14:paraId="6E00D217">
                  <w:pPr>
                    <w:pStyle w:val="51"/>
                    <w:bidi w:val="0"/>
                    <w:rPr>
                      <w:color w:val="auto"/>
                    </w:rPr>
                  </w:pPr>
                  <w:r>
                    <w:rPr>
                      <w:color w:val="auto"/>
                    </w:rPr>
                    <w:t>贡献值 dB(A)</w:t>
                  </w:r>
                </w:p>
              </w:tc>
              <w:tc>
                <w:tcPr>
                  <w:tcW w:w="846" w:type="dxa"/>
                  <w:vAlign w:val="top"/>
                </w:tcPr>
                <w:p w14:paraId="11E42542">
                  <w:pPr>
                    <w:pStyle w:val="51"/>
                    <w:bidi w:val="0"/>
                    <w:rPr>
                      <w:color w:val="auto"/>
                    </w:rPr>
                  </w:pPr>
                  <w:r>
                    <w:rPr>
                      <w:color w:val="auto"/>
                    </w:rPr>
                    <w:t>声源与厂 界距离m</w:t>
                  </w:r>
                </w:p>
              </w:tc>
              <w:tc>
                <w:tcPr>
                  <w:tcW w:w="704" w:type="dxa"/>
                  <w:vAlign w:val="top"/>
                </w:tcPr>
                <w:p w14:paraId="43E1AD9C">
                  <w:pPr>
                    <w:pStyle w:val="51"/>
                    <w:bidi w:val="0"/>
                    <w:rPr>
                      <w:color w:val="auto"/>
                    </w:rPr>
                  </w:pPr>
                  <w:r>
                    <w:rPr>
                      <w:color w:val="auto"/>
                    </w:rPr>
                    <w:t>贡献值 dB(A)</w:t>
                  </w:r>
                </w:p>
              </w:tc>
              <w:tc>
                <w:tcPr>
                  <w:tcW w:w="882" w:type="dxa"/>
                  <w:vAlign w:val="top"/>
                </w:tcPr>
                <w:p w14:paraId="22AD28E7">
                  <w:pPr>
                    <w:pStyle w:val="51"/>
                    <w:bidi w:val="0"/>
                    <w:rPr>
                      <w:color w:val="auto"/>
                    </w:rPr>
                  </w:pPr>
                  <w:r>
                    <w:rPr>
                      <w:color w:val="auto"/>
                    </w:rPr>
                    <w:t>声源与厂 界距离m</w:t>
                  </w:r>
                </w:p>
              </w:tc>
              <w:tc>
                <w:tcPr>
                  <w:tcW w:w="677" w:type="dxa"/>
                  <w:vAlign w:val="top"/>
                </w:tcPr>
                <w:p w14:paraId="1DF10310">
                  <w:pPr>
                    <w:pStyle w:val="51"/>
                    <w:bidi w:val="0"/>
                    <w:rPr>
                      <w:color w:val="auto"/>
                    </w:rPr>
                  </w:pPr>
                  <w:r>
                    <w:rPr>
                      <w:color w:val="auto"/>
                    </w:rPr>
                    <w:t>贡献值 dB(A)</w:t>
                  </w:r>
                </w:p>
              </w:tc>
            </w:tr>
            <w:tr w14:paraId="3E080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jc w:val="center"/>
              </w:trPr>
              <w:tc>
                <w:tcPr>
                  <w:tcW w:w="927" w:type="dxa"/>
                  <w:vAlign w:val="top"/>
                </w:tcPr>
                <w:p w14:paraId="2BF41A39">
                  <w:pPr>
                    <w:pStyle w:val="51"/>
                    <w:bidi w:val="0"/>
                    <w:ind w:firstLine="0" w:firstLineChars="0"/>
                    <w:rPr>
                      <w:color w:val="auto"/>
                    </w:rPr>
                  </w:pPr>
                  <w:r>
                    <w:t>滚筛</w:t>
                  </w:r>
                </w:p>
              </w:tc>
              <w:tc>
                <w:tcPr>
                  <w:tcW w:w="870" w:type="dxa"/>
                  <w:vAlign w:val="top"/>
                </w:tcPr>
                <w:p w14:paraId="7049F76E">
                  <w:pPr>
                    <w:pStyle w:val="51"/>
                    <w:bidi w:val="0"/>
                    <w:rPr>
                      <w:color w:val="auto"/>
                    </w:rPr>
                  </w:pPr>
                  <w:r>
                    <w:rPr>
                      <w:color w:val="auto"/>
                    </w:rPr>
                    <w:t>50</w:t>
                  </w:r>
                </w:p>
              </w:tc>
              <w:tc>
                <w:tcPr>
                  <w:tcW w:w="704" w:type="dxa"/>
                  <w:vAlign w:val="top"/>
                </w:tcPr>
                <w:p w14:paraId="769752F7">
                  <w:pPr>
                    <w:pStyle w:val="51"/>
                    <w:bidi w:val="0"/>
                    <w:rPr>
                      <w:color w:val="auto"/>
                    </w:rPr>
                  </w:pPr>
                  <w:r>
                    <w:rPr>
                      <w:color w:val="auto"/>
                    </w:rPr>
                    <w:t>29.03</w:t>
                  </w:r>
                </w:p>
              </w:tc>
              <w:tc>
                <w:tcPr>
                  <w:tcW w:w="987" w:type="dxa"/>
                  <w:vAlign w:val="top"/>
                </w:tcPr>
                <w:p w14:paraId="19B8E836">
                  <w:pPr>
                    <w:pStyle w:val="51"/>
                    <w:bidi w:val="0"/>
                    <w:rPr>
                      <w:color w:val="auto"/>
                    </w:rPr>
                  </w:pPr>
                  <w:r>
                    <w:rPr>
                      <w:color w:val="auto"/>
                    </w:rPr>
                    <w:t>150</w:t>
                  </w:r>
                </w:p>
              </w:tc>
              <w:tc>
                <w:tcPr>
                  <w:tcW w:w="704" w:type="dxa"/>
                  <w:vAlign w:val="top"/>
                </w:tcPr>
                <w:p w14:paraId="5F54D7DE">
                  <w:pPr>
                    <w:pStyle w:val="51"/>
                    <w:bidi w:val="0"/>
                    <w:rPr>
                      <w:color w:val="auto"/>
                    </w:rPr>
                  </w:pPr>
                  <w:r>
                    <w:rPr>
                      <w:color w:val="auto"/>
                    </w:rPr>
                    <w:t>19.48</w:t>
                  </w:r>
                </w:p>
              </w:tc>
              <w:tc>
                <w:tcPr>
                  <w:tcW w:w="846" w:type="dxa"/>
                  <w:vAlign w:val="top"/>
                </w:tcPr>
                <w:p w14:paraId="0F558915">
                  <w:pPr>
                    <w:pStyle w:val="51"/>
                    <w:bidi w:val="0"/>
                    <w:rPr>
                      <w:color w:val="auto"/>
                    </w:rPr>
                  </w:pPr>
                  <w:r>
                    <w:rPr>
                      <w:color w:val="auto"/>
                    </w:rPr>
                    <w:t>60</w:t>
                  </w:r>
                </w:p>
              </w:tc>
              <w:tc>
                <w:tcPr>
                  <w:tcW w:w="704" w:type="dxa"/>
                  <w:vAlign w:val="top"/>
                </w:tcPr>
                <w:p w14:paraId="03F3F828">
                  <w:pPr>
                    <w:pStyle w:val="51"/>
                    <w:bidi w:val="0"/>
                    <w:rPr>
                      <w:color w:val="auto"/>
                    </w:rPr>
                  </w:pPr>
                  <w:r>
                    <w:rPr>
                      <w:color w:val="auto"/>
                    </w:rPr>
                    <w:t>27.44</w:t>
                  </w:r>
                </w:p>
              </w:tc>
              <w:tc>
                <w:tcPr>
                  <w:tcW w:w="882" w:type="dxa"/>
                  <w:vAlign w:val="top"/>
                </w:tcPr>
                <w:p w14:paraId="0D0D6B45">
                  <w:pPr>
                    <w:pStyle w:val="51"/>
                    <w:bidi w:val="0"/>
                    <w:rPr>
                      <w:color w:val="auto"/>
                    </w:rPr>
                  </w:pPr>
                  <w:r>
                    <w:rPr>
                      <w:color w:val="auto"/>
                    </w:rPr>
                    <w:t>40</w:t>
                  </w:r>
                </w:p>
              </w:tc>
              <w:tc>
                <w:tcPr>
                  <w:tcW w:w="677" w:type="dxa"/>
                  <w:vAlign w:val="top"/>
                </w:tcPr>
                <w:p w14:paraId="1961E4AB">
                  <w:pPr>
                    <w:pStyle w:val="51"/>
                    <w:bidi w:val="0"/>
                    <w:rPr>
                      <w:color w:val="auto"/>
                    </w:rPr>
                  </w:pPr>
                  <w:r>
                    <w:rPr>
                      <w:color w:val="auto"/>
                    </w:rPr>
                    <w:t>30.96</w:t>
                  </w:r>
                </w:p>
              </w:tc>
            </w:tr>
            <w:tr w14:paraId="57CD1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jc w:val="center"/>
              </w:trPr>
              <w:tc>
                <w:tcPr>
                  <w:tcW w:w="927" w:type="dxa"/>
                  <w:vAlign w:val="top"/>
                </w:tcPr>
                <w:p w14:paraId="71AC180D">
                  <w:pPr>
                    <w:pStyle w:val="51"/>
                    <w:bidi w:val="0"/>
                    <w:ind w:firstLine="0" w:firstLineChars="0"/>
                    <w:rPr>
                      <w:color w:val="auto"/>
                    </w:rPr>
                  </w:pPr>
                  <w:r>
                    <w:t>破碎机</w:t>
                  </w:r>
                </w:p>
              </w:tc>
              <w:tc>
                <w:tcPr>
                  <w:tcW w:w="870" w:type="dxa"/>
                  <w:vAlign w:val="top"/>
                </w:tcPr>
                <w:p w14:paraId="6363893D">
                  <w:pPr>
                    <w:pStyle w:val="51"/>
                    <w:bidi w:val="0"/>
                    <w:rPr>
                      <w:color w:val="auto"/>
                    </w:rPr>
                  </w:pPr>
                  <w:r>
                    <w:rPr>
                      <w:color w:val="auto"/>
                    </w:rPr>
                    <w:t>50</w:t>
                  </w:r>
                </w:p>
              </w:tc>
              <w:tc>
                <w:tcPr>
                  <w:tcW w:w="704" w:type="dxa"/>
                  <w:vAlign w:val="top"/>
                </w:tcPr>
                <w:p w14:paraId="45302F78">
                  <w:pPr>
                    <w:pStyle w:val="51"/>
                    <w:bidi w:val="0"/>
                    <w:rPr>
                      <w:color w:val="auto"/>
                    </w:rPr>
                  </w:pPr>
                  <w:r>
                    <w:rPr>
                      <w:color w:val="auto"/>
                    </w:rPr>
                    <w:t>22.95</w:t>
                  </w:r>
                </w:p>
              </w:tc>
              <w:tc>
                <w:tcPr>
                  <w:tcW w:w="987" w:type="dxa"/>
                  <w:vAlign w:val="top"/>
                </w:tcPr>
                <w:p w14:paraId="73B68FE2">
                  <w:pPr>
                    <w:pStyle w:val="51"/>
                    <w:bidi w:val="0"/>
                    <w:rPr>
                      <w:color w:val="auto"/>
                    </w:rPr>
                  </w:pPr>
                  <w:r>
                    <w:rPr>
                      <w:color w:val="auto"/>
                    </w:rPr>
                    <w:t>150</w:t>
                  </w:r>
                </w:p>
              </w:tc>
              <w:tc>
                <w:tcPr>
                  <w:tcW w:w="704" w:type="dxa"/>
                  <w:vAlign w:val="top"/>
                </w:tcPr>
                <w:p w14:paraId="7DA48509">
                  <w:pPr>
                    <w:pStyle w:val="51"/>
                    <w:bidi w:val="0"/>
                    <w:rPr>
                      <w:color w:val="auto"/>
                    </w:rPr>
                  </w:pPr>
                  <w:r>
                    <w:rPr>
                      <w:color w:val="auto"/>
                    </w:rPr>
                    <w:t>11.47</w:t>
                  </w:r>
                </w:p>
              </w:tc>
              <w:tc>
                <w:tcPr>
                  <w:tcW w:w="846" w:type="dxa"/>
                  <w:vAlign w:val="top"/>
                </w:tcPr>
                <w:p w14:paraId="26B29F4F">
                  <w:pPr>
                    <w:pStyle w:val="51"/>
                    <w:bidi w:val="0"/>
                    <w:rPr>
                      <w:color w:val="auto"/>
                    </w:rPr>
                  </w:pPr>
                  <w:r>
                    <w:rPr>
                      <w:color w:val="auto"/>
                    </w:rPr>
                    <w:t>60</w:t>
                  </w:r>
                </w:p>
              </w:tc>
              <w:tc>
                <w:tcPr>
                  <w:tcW w:w="704" w:type="dxa"/>
                  <w:vAlign w:val="top"/>
                </w:tcPr>
                <w:p w14:paraId="057CBF74">
                  <w:pPr>
                    <w:pStyle w:val="51"/>
                    <w:bidi w:val="0"/>
                    <w:rPr>
                      <w:color w:val="auto"/>
                    </w:rPr>
                  </w:pPr>
                  <w:r>
                    <w:rPr>
                      <w:color w:val="auto"/>
                    </w:rPr>
                    <w:t>19.43</w:t>
                  </w:r>
                </w:p>
              </w:tc>
              <w:tc>
                <w:tcPr>
                  <w:tcW w:w="882" w:type="dxa"/>
                  <w:vAlign w:val="top"/>
                </w:tcPr>
                <w:p w14:paraId="6E535718">
                  <w:pPr>
                    <w:pStyle w:val="51"/>
                    <w:bidi w:val="0"/>
                    <w:rPr>
                      <w:color w:val="auto"/>
                    </w:rPr>
                  </w:pPr>
                  <w:r>
                    <w:rPr>
                      <w:color w:val="auto"/>
                    </w:rPr>
                    <w:t>40</w:t>
                  </w:r>
                </w:p>
              </w:tc>
              <w:tc>
                <w:tcPr>
                  <w:tcW w:w="677" w:type="dxa"/>
                  <w:vAlign w:val="top"/>
                </w:tcPr>
                <w:p w14:paraId="398E0A9E">
                  <w:pPr>
                    <w:pStyle w:val="51"/>
                    <w:bidi w:val="0"/>
                    <w:rPr>
                      <w:color w:val="auto"/>
                    </w:rPr>
                  </w:pPr>
                  <w:r>
                    <w:rPr>
                      <w:color w:val="auto"/>
                    </w:rPr>
                    <w:t>22.95</w:t>
                  </w:r>
                </w:p>
              </w:tc>
            </w:tr>
            <w:tr w14:paraId="4403B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jc w:val="center"/>
              </w:trPr>
              <w:tc>
                <w:tcPr>
                  <w:tcW w:w="927" w:type="dxa"/>
                  <w:vAlign w:val="top"/>
                </w:tcPr>
                <w:p w14:paraId="58285E84">
                  <w:pPr>
                    <w:pStyle w:val="51"/>
                    <w:bidi w:val="0"/>
                    <w:ind w:firstLine="0" w:firstLineChars="0"/>
                    <w:rPr>
                      <w:color w:val="auto"/>
                    </w:rPr>
                  </w:pPr>
                  <w:r>
                    <w:t>空分机</w:t>
                  </w:r>
                </w:p>
              </w:tc>
              <w:tc>
                <w:tcPr>
                  <w:tcW w:w="870" w:type="dxa"/>
                  <w:vAlign w:val="top"/>
                </w:tcPr>
                <w:p w14:paraId="2C9FE268">
                  <w:pPr>
                    <w:pStyle w:val="51"/>
                    <w:bidi w:val="0"/>
                    <w:rPr>
                      <w:color w:val="auto"/>
                    </w:rPr>
                  </w:pPr>
                  <w:r>
                    <w:rPr>
                      <w:color w:val="auto"/>
                    </w:rPr>
                    <w:t>50</w:t>
                  </w:r>
                </w:p>
              </w:tc>
              <w:tc>
                <w:tcPr>
                  <w:tcW w:w="704" w:type="dxa"/>
                  <w:vAlign w:val="top"/>
                </w:tcPr>
                <w:p w14:paraId="36DB5AB0">
                  <w:pPr>
                    <w:pStyle w:val="51"/>
                    <w:bidi w:val="0"/>
                    <w:rPr>
                      <w:color w:val="auto"/>
                    </w:rPr>
                  </w:pPr>
                  <w:r>
                    <w:rPr>
                      <w:color w:val="auto"/>
                    </w:rPr>
                    <w:t>32.04</w:t>
                  </w:r>
                </w:p>
              </w:tc>
              <w:tc>
                <w:tcPr>
                  <w:tcW w:w="987" w:type="dxa"/>
                  <w:vAlign w:val="top"/>
                </w:tcPr>
                <w:p w14:paraId="48E437F7">
                  <w:pPr>
                    <w:pStyle w:val="51"/>
                    <w:bidi w:val="0"/>
                    <w:rPr>
                      <w:color w:val="auto"/>
                    </w:rPr>
                  </w:pPr>
                  <w:r>
                    <w:rPr>
                      <w:color w:val="auto"/>
                    </w:rPr>
                    <w:t>150</w:t>
                  </w:r>
                </w:p>
              </w:tc>
              <w:tc>
                <w:tcPr>
                  <w:tcW w:w="704" w:type="dxa"/>
                  <w:vAlign w:val="top"/>
                </w:tcPr>
                <w:p w14:paraId="7EB845F4">
                  <w:pPr>
                    <w:pStyle w:val="51"/>
                    <w:bidi w:val="0"/>
                    <w:rPr>
                      <w:color w:val="auto"/>
                    </w:rPr>
                  </w:pPr>
                  <w:r>
                    <w:rPr>
                      <w:color w:val="auto"/>
                    </w:rPr>
                    <w:t>22.49</w:t>
                  </w:r>
                </w:p>
              </w:tc>
              <w:tc>
                <w:tcPr>
                  <w:tcW w:w="846" w:type="dxa"/>
                  <w:vAlign w:val="top"/>
                </w:tcPr>
                <w:p w14:paraId="44D0CB2B">
                  <w:pPr>
                    <w:pStyle w:val="51"/>
                    <w:bidi w:val="0"/>
                    <w:rPr>
                      <w:color w:val="auto"/>
                    </w:rPr>
                  </w:pPr>
                  <w:r>
                    <w:rPr>
                      <w:color w:val="auto"/>
                    </w:rPr>
                    <w:t>60</w:t>
                  </w:r>
                </w:p>
              </w:tc>
              <w:tc>
                <w:tcPr>
                  <w:tcW w:w="704" w:type="dxa"/>
                  <w:vAlign w:val="top"/>
                </w:tcPr>
                <w:p w14:paraId="07C6A9B7">
                  <w:pPr>
                    <w:pStyle w:val="51"/>
                    <w:bidi w:val="0"/>
                    <w:rPr>
                      <w:color w:val="auto"/>
                    </w:rPr>
                  </w:pPr>
                  <w:r>
                    <w:rPr>
                      <w:color w:val="auto"/>
                    </w:rPr>
                    <w:t>30.45</w:t>
                  </w:r>
                </w:p>
              </w:tc>
              <w:tc>
                <w:tcPr>
                  <w:tcW w:w="882" w:type="dxa"/>
                  <w:vAlign w:val="top"/>
                </w:tcPr>
                <w:p w14:paraId="5156C6C6">
                  <w:pPr>
                    <w:pStyle w:val="51"/>
                    <w:bidi w:val="0"/>
                    <w:rPr>
                      <w:color w:val="auto"/>
                    </w:rPr>
                  </w:pPr>
                  <w:r>
                    <w:rPr>
                      <w:color w:val="auto"/>
                    </w:rPr>
                    <w:t>40</w:t>
                  </w:r>
                </w:p>
              </w:tc>
              <w:tc>
                <w:tcPr>
                  <w:tcW w:w="677" w:type="dxa"/>
                  <w:vAlign w:val="top"/>
                </w:tcPr>
                <w:p w14:paraId="2688EB60">
                  <w:pPr>
                    <w:pStyle w:val="51"/>
                    <w:bidi w:val="0"/>
                    <w:rPr>
                      <w:color w:val="auto"/>
                    </w:rPr>
                  </w:pPr>
                  <w:r>
                    <w:rPr>
                      <w:color w:val="auto"/>
                    </w:rPr>
                    <w:t>33.97</w:t>
                  </w:r>
                </w:p>
              </w:tc>
            </w:tr>
            <w:tr w14:paraId="0B1F8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jc w:val="center"/>
              </w:trPr>
              <w:tc>
                <w:tcPr>
                  <w:tcW w:w="927" w:type="dxa"/>
                  <w:vAlign w:val="top"/>
                </w:tcPr>
                <w:p w14:paraId="45CAB85A">
                  <w:pPr>
                    <w:pStyle w:val="51"/>
                    <w:bidi w:val="0"/>
                    <w:ind w:firstLine="0" w:firstLineChars="0"/>
                    <w:rPr>
                      <w:color w:val="auto"/>
                    </w:rPr>
                  </w:pPr>
                  <w:r>
                    <w:t>风选机</w:t>
                  </w:r>
                </w:p>
              </w:tc>
              <w:tc>
                <w:tcPr>
                  <w:tcW w:w="870" w:type="dxa"/>
                  <w:vAlign w:val="top"/>
                </w:tcPr>
                <w:p w14:paraId="46A5F8E0">
                  <w:pPr>
                    <w:pStyle w:val="51"/>
                    <w:bidi w:val="0"/>
                    <w:rPr>
                      <w:color w:val="auto"/>
                    </w:rPr>
                  </w:pPr>
                  <w:r>
                    <w:rPr>
                      <w:color w:val="auto"/>
                    </w:rPr>
                    <w:t>50</w:t>
                  </w:r>
                </w:p>
              </w:tc>
              <w:tc>
                <w:tcPr>
                  <w:tcW w:w="704" w:type="dxa"/>
                  <w:vAlign w:val="top"/>
                </w:tcPr>
                <w:p w14:paraId="24B6E4C2">
                  <w:pPr>
                    <w:pStyle w:val="51"/>
                    <w:bidi w:val="0"/>
                    <w:rPr>
                      <w:color w:val="auto"/>
                    </w:rPr>
                  </w:pPr>
                  <w:r>
                    <w:rPr>
                      <w:color w:val="auto"/>
                    </w:rPr>
                    <w:t>28.8</w:t>
                  </w:r>
                </w:p>
              </w:tc>
              <w:tc>
                <w:tcPr>
                  <w:tcW w:w="987" w:type="dxa"/>
                  <w:vAlign w:val="top"/>
                </w:tcPr>
                <w:p w14:paraId="2C64CF07">
                  <w:pPr>
                    <w:pStyle w:val="51"/>
                    <w:bidi w:val="0"/>
                    <w:rPr>
                      <w:color w:val="auto"/>
                    </w:rPr>
                  </w:pPr>
                  <w:r>
                    <w:rPr>
                      <w:color w:val="auto"/>
                    </w:rPr>
                    <w:t>150</w:t>
                  </w:r>
                </w:p>
              </w:tc>
              <w:tc>
                <w:tcPr>
                  <w:tcW w:w="704" w:type="dxa"/>
                  <w:vAlign w:val="top"/>
                </w:tcPr>
                <w:p w14:paraId="62A876F0">
                  <w:pPr>
                    <w:pStyle w:val="51"/>
                    <w:bidi w:val="0"/>
                    <w:rPr>
                      <w:color w:val="auto"/>
                    </w:rPr>
                  </w:pPr>
                  <w:r>
                    <w:rPr>
                      <w:color w:val="auto"/>
                    </w:rPr>
                    <w:t>19.25</w:t>
                  </w:r>
                </w:p>
              </w:tc>
              <w:tc>
                <w:tcPr>
                  <w:tcW w:w="846" w:type="dxa"/>
                  <w:vAlign w:val="top"/>
                </w:tcPr>
                <w:p w14:paraId="6A0C9F08">
                  <w:pPr>
                    <w:pStyle w:val="51"/>
                    <w:bidi w:val="0"/>
                    <w:rPr>
                      <w:color w:val="auto"/>
                    </w:rPr>
                  </w:pPr>
                  <w:r>
                    <w:rPr>
                      <w:color w:val="auto"/>
                    </w:rPr>
                    <w:t>60</w:t>
                  </w:r>
                </w:p>
              </w:tc>
              <w:tc>
                <w:tcPr>
                  <w:tcW w:w="704" w:type="dxa"/>
                  <w:vAlign w:val="top"/>
                </w:tcPr>
                <w:p w14:paraId="4E88F53A">
                  <w:pPr>
                    <w:pStyle w:val="51"/>
                    <w:bidi w:val="0"/>
                    <w:rPr>
                      <w:color w:val="auto"/>
                    </w:rPr>
                  </w:pPr>
                  <w:r>
                    <w:rPr>
                      <w:color w:val="auto"/>
                    </w:rPr>
                    <w:t>27.21</w:t>
                  </w:r>
                </w:p>
              </w:tc>
              <w:tc>
                <w:tcPr>
                  <w:tcW w:w="882" w:type="dxa"/>
                  <w:vAlign w:val="top"/>
                </w:tcPr>
                <w:p w14:paraId="448C6BBA">
                  <w:pPr>
                    <w:pStyle w:val="51"/>
                    <w:bidi w:val="0"/>
                    <w:rPr>
                      <w:color w:val="auto"/>
                    </w:rPr>
                  </w:pPr>
                  <w:r>
                    <w:rPr>
                      <w:color w:val="auto"/>
                    </w:rPr>
                    <w:t>40</w:t>
                  </w:r>
                </w:p>
              </w:tc>
              <w:tc>
                <w:tcPr>
                  <w:tcW w:w="677" w:type="dxa"/>
                  <w:vAlign w:val="top"/>
                </w:tcPr>
                <w:p w14:paraId="6B0EDFE3">
                  <w:pPr>
                    <w:pStyle w:val="51"/>
                    <w:bidi w:val="0"/>
                    <w:rPr>
                      <w:color w:val="auto"/>
                    </w:rPr>
                  </w:pPr>
                  <w:r>
                    <w:rPr>
                      <w:color w:val="auto"/>
                    </w:rPr>
                    <w:t>30.73</w:t>
                  </w:r>
                </w:p>
              </w:tc>
            </w:tr>
            <w:tr w14:paraId="104CA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jc w:val="center"/>
              </w:trPr>
              <w:tc>
                <w:tcPr>
                  <w:tcW w:w="927" w:type="dxa"/>
                  <w:vAlign w:val="top"/>
                </w:tcPr>
                <w:p w14:paraId="4796ADB4">
                  <w:pPr>
                    <w:pStyle w:val="51"/>
                    <w:bidi w:val="0"/>
                    <w:ind w:firstLine="0" w:firstLineChars="0"/>
                    <w:rPr>
                      <w:color w:val="auto"/>
                    </w:rPr>
                  </w:pPr>
                  <w:r>
                    <w:t>风机</w:t>
                  </w:r>
                </w:p>
              </w:tc>
              <w:tc>
                <w:tcPr>
                  <w:tcW w:w="870" w:type="dxa"/>
                  <w:vAlign w:val="top"/>
                </w:tcPr>
                <w:p w14:paraId="17B45761">
                  <w:pPr>
                    <w:pStyle w:val="51"/>
                    <w:bidi w:val="0"/>
                    <w:rPr>
                      <w:color w:val="auto"/>
                    </w:rPr>
                  </w:pPr>
                  <w:r>
                    <w:rPr>
                      <w:color w:val="auto"/>
                    </w:rPr>
                    <w:t>50</w:t>
                  </w:r>
                </w:p>
              </w:tc>
              <w:tc>
                <w:tcPr>
                  <w:tcW w:w="704" w:type="dxa"/>
                  <w:vAlign w:val="top"/>
                </w:tcPr>
                <w:p w14:paraId="4BEE2D73">
                  <w:pPr>
                    <w:pStyle w:val="51"/>
                    <w:bidi w:val="0"/>
                    <w:rPr>
                      <w:color w:val="auto"/>
                    </w:rPr>
                  </w:pPr>
                  <w:r>
                    <w:rPr>
                      <w:color w:val="auto"/>
                    </w:rPr>
                    <w:t>24.03</w:t>
                  </w:r>
                </w:p>
              </w:tc>
              <w:tc>
                <w:tcPr>
                  <w:tcW w:w="987" w:type="dxa"/>
                  <w:vAlign w:val="top"/>
                </w:tcPr>
                <w:p w14:paraId="6C906647">
                  <w:pPr>
                    <w:pStyle w:val="51"/>
                    <w:bidi w:val="0"/>
                    <w:rPr>
                      <w:color w:val="auto"/>
                    </w:rPr>
                  </w:pPr>
                  <w:r>
                    <w:rPr>
                      <w:color w:val="auto"/>
                    </w:rPr>
                    <w:t>150</w:t>
                  </w:r>
                </w:p>
              </w:tc>
              <w:tc>
                <w:tcPr>
                  <w:tcW w:w="704" w:type="dxa"/>
                  <w:vAlign w:val="top"/>
                </w:tcPr>
                <w:p w14:paraId="1ED8FF40">
                  <w:pPr>
                    <w:pStyle w:val="51"/>
                    <w:bidi w:val="0"/>
                    <w:rPr>
                      <w:color w:val="auto"/>
                    </w:rPr>
                  </w:pPr>
                  <w:r>
                    <w:rPr>
                      <w:color w:val="auto"/>
                    </w:rPr>
                    <w:t>14.48</w:t>
                  </w:r>
                </w:p>
              </w:tc>
              <w:tc>
                <w:tcPr>
                  <w:tcW w:w="846" w:type="dxa"/>
                  <w:vAlign w:val="top"/>
                </w:tcPr>
                <w:p w14:paraId="60B42086">
                  <w:pPr>
                    <w:pStyle w:val="51"/>
                    <w:bidi w:val="0"/>
                    <w:rPr>
                      <w:color w:val="auto"/>
                    </w:rPr>
                  </w:pPr>
                  <w:r>
                    <w:rPr>
                      <w:color w:val="auto"/>
                    </w:rPr>
                    <w:t>60</w:t>
                  </w:r>
                </w:p>
              </w:tc>
              <w:tc>
                <w:tcPr>
                  <w:tcW w:w="704" w:type="dxa"/>
                  <w:vAlign w:val="top"/>
                </w:tcPr>
                <w:p w14:paraId="5ED80C55">
                  <w:pPr>
                    <w:pStyle w:val="51"/>
                    <w:bidi w:val="0"/>
                    <w:rPr>
                      <w:color w:val="auto"/>
                    </w:rPr>
                  </w:pPr>
                  <w:r>
                    <w:rPr>
                      <w:color w:val="auto"/>
                    </w:rPr>
                    <w:t>22.44</w:t>
                  </w:r>
                </w:p>
              </w:tc>
              <w:tc>
                <w:tcPr>
                  <w:tcW w:w="882" w:type="dxa"/>
                  <w:vAlign w:val="top"/>
                </w:tcPr>
                <w:p w14:paraId="4C305371">
                  <w:pPr>
                    <w:pStyle w:val="51"/>
                    <w:bidi w:val="0"/>
                    <w:rPr>
                      <w:color w:val="auto"/>
                    </w:rPr>
                  </w:pPr>
                  <w:r>
                    <w:rPr>
                      <w:color w:val="auto"/>
                    </w:rPr>
                    <w:t>40</w:t>
                  </w:r>
                </w:p>
              </w:tc>
              <w:tc>
                <w:tcPr>
                  <w:tcW w:w="677" w:type="dxa"/>
                  <w:vAlign w:val="top"/>
                </w:tcPr>
                <w:p w14:paraId="3FE2BD28">
                  <w:pPr>
                    <w:pStyle w:val="51"/>
                    <w:bidi w:val="0"/>
                    <w:rPr>
                      <w:color w:val="auto"/>
                    </w:rPr>
                  </w:pPr>
                  <w:r>
                    <w:rPr>
                      <w:color w:val="auto"/>
                    </w:rPr>
                    <w:t>25.96</w:t>
                  </w:r>
                </w:p>
              </w:tc>
            </w:tr>
            <w:tr w14:paraId="587D9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jc w:val="center"/>
              </w:trPr>
              <w:tc>
                <w:tcPr>
                  <w:tcW w:w="927" w:type="dxa"/>
                  <w:vAlign w:val="top"/>
                </w:tcPr>
                <w:p w14:paraId="74345FDF">
                  <w:pPr>
                    <w:pStyle w:val="51"/>
                    <w:bidi w:val="0"/>
                    <w:rPr>
                      <w:color w:val="auto"/>
                    </w:rPr>
                  </w:pPr>
                  <w:r>
                    <w:rPr>
                      <w:color w:val="auto"/>
                    </w:rPr>
                    <w:t>叠加值</w:t>
                  </w:r>
                </w:p>
              </w:tc>
              <w:tc>
                <w:tcPr>
                  <w:tcW w:w="870" w:type="dxa"/>
                  <w:vAlign w:val="top"/>
                </w:tcPr>
                <w:p w14:paraId="404B6F5A">
                  <w:pPr>
                    <w:pStyle w:val="51"/>
                    <w:bidi w:val="0"/>
                    <w:rPr>
                      <w:color w:val="auto"/>
                    </w:rPr>
                  </w:pPr>
                  <w:r>
                    <w:rPr>
                      <w:color w:val="auto"/>
                    </w:rPr>
                    <w:t>/</w:t>
                  </w:r>
                </w:p>
              </w:tc>
              <w:tc>
                <w:tcPr>
                  <w:tcW w:w="704" w:type="dxa"/>
                  <w:vAlign w:val="top"/>
                </w:tcPr>
                <w:p w14:paraId="78C80F51">
                  <w:pPr>
                    <w:pStyle w:val="51"/>
                    <w:bidi w:val="0"/>
                    <w:rPr>
                      <w:color w:val="auto"/>
                    </w:rPr>
                  </w:pPr>
                  <w:r>
                    <w:rPr>
                      <w:color w:val="auto"/>
                    </w:rPr>
                    <w:t>35.78</w:t>
                  </w:r>
                </w:p>
              </w:tc>
              <w:tc>
                <w:tcPr>
                  <w:tcW w:w="987" w:type="dxa"/>
                  <w:vAlign w:val="top"/>
                </w:tcPr>
                <w:p w14:paraId="3ECAB079">
                  <w:pPr>
                    <w:pStyle w:val="51"/>
                    <w:bidi w:val="0"/>
                    <w:rPr>
                      <w:color w:val="auto"/>
                    </w:rPr>
                  </w:pPr>
                  <w:r>
                    <w:rPr>
                      <w:color w:val="auto"/>
                    </w:rPr>
                    <w:t>/</w:t>
                  </w:r>
                </w:p>
              </w:tc>
              <w:tc>
                <w:tcPr>
                  <w:tcW w:w="704" w:type="dxa"/>
                  <w:vAlign w:val="top"/>
                </w:tcPr>
                <w:p w14:paraId="5C4A36B7">
                  <w:pPr>
                    <w:pStyle w:val="51"/>
                    <w:bidi w:val="0"/>
                    <w:rPr>
                      <w:color w:val="auto"/>
                    </w:rPr>
                  </w:pPr>
                  <w:r>
                    <w:rPr>
                      <w:color w:val="auto"/>
                    </w:rPr>
                    <w:t>27.04</w:t>
                  </w:r>
                </w:p>
              </w:tc>
              <w:tc>
                <w:tcPr>
                  <w:tcW w:w="846" w:type="dxa"/>
                  <w:vAlign w:val="top"/>
                </w:tcPr>
                <w:p w14:paraId="533C76FF">
                  <w:pPr>
                    <w:pStyle w:val="51"/>
                    <w:bidi w:val="0"/>
                    <w:rPr>
                      <w:color w:val="auto"/>
                    </w:rPr>
                  </w:pPr>
                  <w:r>
                    <w:rPr>
                      <w:color w:val="auto"/>
                    </w:rPr>
                    <w:t>/</w:t>
                  </w:r>
                </w:p>
              </w:tc>
              <w:tc>
                <w:tcPr>
                  <w:tcW w:w="704" w:type="dxa"/>
                  <w:vAlign w:val="top"/>
                </w:tcPr>
                <w:p w14:paraId="3D06BF0C">
                  <w:pPr>
                    <w:pStyle w:val="51"/>
                    <w:bidi w:val="0"/>
                    <w:rPr>
                      <w:color w:val="auto"/>
                    </w:rPr>
                  </w:pPr>
                  <w:r>
                    <w:rPr>
                      <w:color w:val="auto"/>
                    </w:rPr>
                    <w:t>34.63</w:t>
                  </w:r>
                </w:p>
              </w:tc>
              <w:tc>
                <w:tcPr>
                  <w:tcW w:w="882" w:type="dxa"/>
                  <w:vAlign w:val="top"/>
                </w:tcPr>
                <w:p w14:paraId="025680FA">
                  <w:pPr>
                    <w:pStyle w:val="51"/>
                    <w:bidi w:val="0"/>
                    <w:rPr>
                      <w:color w:val="auto"/>
                    </w:rPr>
                  </w:pPr>
                  <w:r>
                    <w:rPr>
                      <w:color w:val="auto"/>
                    </w:rPr>
                    <w:t>/</w:t>
                  </w:r>
                </w:p>
              </w:tc>
              <w:tc>
                <w:tcPr>
                  <w:tcW w:w="677" w:type="dxa"/>
                  <w:vAlign w:val="top"/>
                </w:tcPr>
                <w:p w14:paraId="29456C8F">
                  <w:pPr>
                    <w:pStyle w:val="51"/>
                    <w:bidi w:val="0"/>
                    <w:rPr>
                      <w:color w:val="auto"/>
                    </w:rPr>
                  </w:pPr>
                  <w:r>
                    <w:rPr>
                      <w:color w:val="auto"/>
                    </w:rPr>
                    <w:t>37.76</w:t>
                  </w:r>
                </w:p>
              </w:tc>
            </w:tr>
          </w:tbl>
          <w:p w14:paraId="3E0203C7">
            <w:pPr>
              <w:pStyle w:val="38"/>
              <w:bidi w:val="0"/>
              <w:rPr>
                <w:color w:val="auto"/>
              </w:rPr>
            </w:pPr>
            <w:r>
              <w:rPr>
                <w:color w:val="auto"/>
              </w:rPr>
              <w:t>由上表可知，经处理后，再经厂房的隔声以及距离的衰减，项目营运期噪声源对项目周围声环境质量影响较小，能够保证项目边界噪声排放达到《工业企业厂界环境噪声排放标准》（GB12348-2008）3类标准，项目50米范围内无声环境保护目标，故项目营运期间生产噪声对周围环境影响不大。</w:t>
            </w:r>
          </w:p>
          <w:p w14:paraId="66CBED75">
            <w:pPr>
              <w:pStyle w:val="38"/>
              <w:bidi w:val="0"/>
              <w:rPr>
                <w:rFonts w:hint="eastAsia"/>
                <w:color w:val="auto"/>
                <w:lang w:val="en-US" w:eastAsia="zh-CN"/>
              </w:rPr>
            </w:pPr>
            <w:r>
              <w:rPr>
                <w:rFonts w:hint="eastAsia"/>
                <w:color w:val="auto"/>
                <w:lang w:val="en-US" w:eastAsia="zh-CN"/>
              </w:rPr>
              <w:t>（3）项目营运期主要噪声治理措施</w:t>
            </w:r>
          </w:p>
          <w:p w14:paraId="22B509C7">
            <w:pPr>
              <w:pStyle w:val="38"/>
              <w:bidi w:val="0"/>
              <w:rPr>
                <w:rFonts w:hint="eastAsia"/>
                <w:color w:val="auto"/>
                <w:lang w:val="en-US" w:eastAsia="zh-CN"/>
              </w:rPr>
            </w:pPr>
            <w:r>
              <w:rPr>
                <w:rFonts w:hint="eastAsia"/>
                <w:color w:val="auto"/>
                <w:lang w:val="en-US" w:eastAsia="zh-CN"/>
              </w:rPr>
              <w:t>项目声环境评价范围内无环境敏感目标，为确保厂界噪声能达到相应的排放标准，项目建成投产后，建设单位拟采取以下防护措施：</w:t>
            </w:r>
          </w:p>
          <w:p w14:paraId="0B824F21">
            <w:pPr>
              <w:pStyle w:val="38"/>
              <w:bidi w:val="0"/>
              <w:rPr>
                <w:rFonts w:hint="eastAsia"/>
                <w:color w:val="auto"/>
                <w:lang w:val="en-US" w:eastAsia="zh-CN"/>
              </w:rPr>
            </w:pPr>
            <w:r>
              <w:rPr>
                <w:rFonts w:hint="eastAsia"/>
                <w:color w:val="auto"/>
                <w:lang w:val="en-US" w:eastAsia="zh-CN"/>
              </w:rPr>
              <w:t>1）合理布局，重视总平面布置</w:t>
            </w:r>
          </w:p>
          <w:p w14:paraId="5E65473E">
            <w:pPr>
              <w:pStyle w:val="38"/>
              <w:bidi w:val="0"/>
              <w:rPr>
                <w:rFonts w:hint="eastAsia"/>
                <w:color w:val="auto"/>
                <w:lang w:val="en-US" w:eastAsia="zh-CN"/>
              </w:rPr>
            </w:pPr>
            <w:r>
              <w:rPr>
                <w:rFonts w:hint="eastAsia"/>
                <w:color w:val="auto"/>
                <w:lang w:val="en-US" w:eastAsia="zh-CN"/>
              </w:rPr>
              <w:t>尽量将高噪声设备布置在厂房中间，远离厂界，厂界四周设置绿化带、原料库，利用树林及构筑物降低噪声的传播和干扰；对有强噪声的车间，考虑利用建筑物、构筑物来阻隔声波的传播，减少对周围环境的影响。</w:t>
            </w:r>
          </w:p>
          <w:p w14:paraId="023CC1BE">
            <w:pPr>
              <w:pStyle w:val="38"/>
              <w:bidi w:val="0"/>
              <w:rPr>
                <w:rFonts w:hint="eastAsia"/>
                <w:color w:val="auto"/>
                <w:lang w:val="en-US" w:eastAsia="zh-CN"/>
              </w:rPr>
            </w:pPr>
            <w:r>
              <w:rPr>
                <w:rFonts w:hint="eastAsia"/>
                <w:color w:val="auto"/>
                <w:lang w:val="en-US" w:eastAsia="zh-CN"/>
              </w:rPr>
              <w:t>2）设备选型及厂房使用状况</w:t>
            </w:r>
          </w:p>
          <w:p w14:paraId="561CE225">
            <w:pPr>
              <w:pStyle w:val="38"/>
              <w:bidi w:val="0"/>
              <w:rPr>
                <w:rFonts w:hint="eastAsia"/>
                <w:color w:val="auto"/>
                <w:lang w:val="en-US" w:eastAsia="zh-CN"/>
              </w:rPr>
            </w:pPr>
            <w:r>
              <w:rPr>
                <w:rFonts w:hint="eastAsia"/>
                <w:color w:val="auto"/>
                <w:lang w:val="en-US" w:eastAsia="zh-CN"/>
              </w:rPr>
              <w:t>①在设备选型方面，在满足工艺生产的前提下，选用精度高、装配质量好、噪声低的设备；对于某些设备运行时由振动产生的噪声，应对设备基础进行隔振、减震。</w:t>
            </w:r>
          </w:p>
          <w:p w14:paraId="21A7A789">
            <w:pPr>
              <w:pStyle w:val="38"/>
              <w:bidi w:val="0"/>
              <w:rPr>
                <w:rFonts w:hint="eastAsia"/>
                <w:color w:val="auto"/>
                <w:lang w:val="en-US" w:eastAsia="zh-CN"/>
              </w:rPr>
            </w:pPr>
            <w:r>
              <w:rPr>
                <w:rFonts w:hint="eastAsia"/>
                <w:color w:val="auto"/>
                <w:lang w:val="en-US" w:eastAsia="zh-CN"/>
              </w:rPr>
              <w:t>②重视厂房的使用状况，尽量采用密闭形式，少开门窗，防止噪声对外传 播，其中靠厂界的厂房其一侧墙壁应避免打开门窗；厂房内使用隔声材料进行降噪，并在其表面铺覆一层吸声材料，可进一步削减噪声强度。</w:t>
            </w:r>
          </w:p>
          <w:p w14:paraId="26799FF7">
            <w:pPr>
              <w:pStyle w:val="38"/>
              <w:bidi w:val="0"/>
              <w:rPr>
                <w:rFonts w:hint="eastAsia"/>
                <w:color w:val="auto"/>
                <w:lang w:val="en-US" w:eastAsia="zh-CN"/>
              </w:rPr>
            </w:pPr>
            <w:r>
              <w:rPr>
                <w:rFonts w:hint="eastAsia"/>
                <w:color w:val="auto"/>
                <w:lang w:val="en-US" w:eastAsia="zh-CN"/>
              </w:rPr>
              <w:t>3）加强管理制度</w:t>
            </w:r>
          </w:p>
          <w:p w14:paraId="62E43816">
            <w:pPr>
              <w:pStyle w:val="38"/>
              <w:bidi w:val="0"/>
              <w:rPr>
                <w:rFonts w:hint="eastAsia"/>
                <w:color w:val="auto"/>
                <w:lang w:val="en-US" w:eastAsia="zh-CN"/>
              </w:rPr>
            </w:pPr>
            <w:r>
              <w:rPr>
                <w:rFonts w:hint="eastAsia"/>
                <w:color w:val="auto"/>
                <w:lang w:val="en-US" w:eastAsia="zh-CN"/>
              </w:rPr>
              <w:t>加强管理建立设备定期维护、保养的管理制度，以防止设备故障形成的非生产噪声，同时确保环保措施发挥最有效的功能；加强职工环保意识教育，提倡文明生产，防止人为噪声；对于厂区内流动声源（汽车），应强化行车管理制度，严禁鸣号，进入厂区低速行使，最大限度减少流动噪声源。</w:t>
            </w:r>
          </w:p>
          <w:p w14:paraId="7AEA1878">
            <w:pPr>
              <w:pStyle w:val="38"/>
              <w:bidi w:val="0"/>
              <w:rPr>
                <w:color w:val="auto"/>
              </w:rPr>
            </w:pPr>
            <w:r>
              <w:rPr>
                <w:rFonts w:hint="eastAsia"/>
                <w:color w:val="auto"/>
                <w:lang w:eastAsia="zh-CN"/>
              </w:rPr>
              <w:t>（</w:t>
            </w:r>
            <w:r>
              <w:rPr>
                <w:rFonts w:hint="eastAsia"/>
                <w:color w:val="auto"/>
                <w:lang w:val="en-US" w:eastAsia="zh-CN"/>
              </w:rPr>
              <w:t>4</w:t>
            </w:r>
            <w:r>
              <w:rPr>
                <w:rFonts w:hint="eastAsia"/>
                <w:color w:val="auto"/>
                <w:lang w:eastAsia="zh-CN"/>
              </w:rPr>
              <w:t>）</w:t>
            </w:r>
            <w:r>
              <w:rPr>
                <w:color w:val="auto"/>
              </w:rPr>
              <w:t>监测计划</w:t>
            </w:r>
          </w:p>
          <w:p w14:paraId="5EE8BBBE">
            <w:pPr>
              <w:pStyle w:val="38"/>
              <w:bidi w:val="0"/>
              <w:rPr>
                <w:color w:val="auto"/>
              </w:rPr>
            </w:pPr>
            <w:r>
              <w:rPr>
                <w:color w:val="auto"/>
              </w:rPr>
              <w:t>根据《排污单位自行监测技术指南 总则》(HJ819-2017)、《排污许可证申请与核发技术规范 总则》(HJ942-2018)，项目噪声监测计划如下所示:</w:t>
            </w:r>
          </w:p>
          <w:p w14:paraId="6224CA47">
            <w:pPr>
              <w:pStyle w:val="46"/>
              <w:bidi w:val="0"/>
              <w:rPr>
                <w:rFonts w:hint="eastAsia"/>
                <w:color w:val="auto"/>
                <w:lang w:val="en-US" w:eastAsia="zh-CN"/>
              </w:rPr>
            </w:pPr>
            <w:r>
              <w:rPr>
                <w:color w:val="auto"/>
              </w:rPr>
              <w:t>表4-1</w:t>
            </w:r>
            <w:r>
              <w:rPr>
                <w:rFonts w:hint="eastAsia"/>
                <w:color w:val="auto"/>
                <w:lang w:val="en-US" w:eastAsia="zh-CN"/>
              </w:rPr>
              <w:t>0</w:t>
            </w:r>
            <w:r>
              <w:rPr>
                <w:color w:val="auto"/>
              </w:rPr>
              <w:t xml:space="preserve"> </w:t>
            </w:r>
            <w:r>
              <w:rPr>
                <w:rFonts w:hint="eastAsia"/>
                <w:color w:val="auto"/>
                <w:lang w:val="en-US" w:eastAsia="zh-CN"/>
              </w:rPr>
              <w:t xml:space="preserve"> </w:t>
            </w:r>
            <w:r>
              <w:rPr>
                <w:color w:val="auto"/>
              </w:rPr>
              <w:t xml:space="preserve"> 项目噪声源环保监测一览表</w:t>
            </w:r>
          </w:p>
          <w:tbl>
            <w:tblPr>
              <w:tblStyle w:val="114"/>
              <w:tblW w:w="79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3"/>
              <w:gridCol w:w="1235"/>
              <w:gridCol w:w="1376"/>
              <w:gridCol w:w="1994"/>
              <w:gridCol w:w="1729"/>
            </w:tblGrid>
            <w:tr w14:paraId="45246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1603" w:type="dxa"/>
                  <w:tcBorders>
                    <w:tl2br w:val="nil"/>
                    <w:tr2bl w:val="nil"/>
                  </w:tcBorders>
                  <w:vAlign w:val="top"/>
                </w:tcPr>
                <w:p w14:paraId="11B38546">
                  <w:pPr>
                    <w:pStyle w:val="51"/>
                    <w:bidi w:val="0"/>
                    <w:rPr>
                      <w:color w:val="auto"/>
                    </w:rPr>
                  </w:pPr>
                  <w:r>
                    <w:rPr>
                      <w:color w:val="auto"/>
                    </w:rPr>
                    <w:t>监测点位</w:t>
                  </w:r>
                </w:p>
              </w:tc>
              <w:tc>
                <w:tcPr>
                  <w:tcW w:w="1235" w:type="dxa"/>
                  <w:tcBorders>
                    <w:tl2br w:val="nil"/>
                    <w:tr2bl w:val="nil"/>
                  </w:tcBorders>
                  <w:vAlign w:val="top"/>
                </w:tcPr>
                <w:p w14:paraId="3482D2B6">
                  <w:pPr>
                    <w:pStyle w:val="51"/>
                    <w:bidi w:val="0"/>
                    <w:rPr>
                      <w:color w:val="auto"/>
                    </w:rPr>
                  </w:pPr>
                  <w:r>
                    <w:rPr>
                      <w:color w:val="auto"/>
                    </w:rPr>
                    <w:t>监测项目</w:t>
                  </w:r>
                </w:p>
              </w:tc>
              <w:tc>
                <w:tcPr>
                  <w:tcW w:w="1376" w:type="dxa"/>
                  <w:tcBorders>
                    <w:tl2br w:val="nil"/>
                    <w:tr2bl w:val="nil"/>
                  </w:tcBorders>
                  <w:vAlign w:val="top"/>
                </w:tcPr>
                <w:p w14:paraId="52C6BB58">
                  <w:pPr>
                    <w:pStyle w:val="51"/>
                    <w:bidi w:val="0"/>
                    <w:rPr>
                      <w:color w:val="auto"/>
                    </w:rPr>
                  </w:pPr>
                  <w:r>
                    <w:rPr>
                      <w:color w:val="auto"/>
                    </w:rPr>
                    <w:t>监测位置</w:t>
                  </w:r>
                </w:p>
              </w:tc>
              <w:tc>
                <w:tcPr>
                  <w:tcW w:w="1994" w:type="dxa"/>
                  <w:tcBorders>
                    <w:tl2br w:val="nil"/>
                    <w:tr2bl w:val="nil"/>
                  </w:tcBorders>
                  <w:vAlign w:val="top"/>
                </w:tcPr>
                <w:p w14:paraId="5D60BEB9">
                  <w:pPr>
                    <w:pStyle w:val="51"/>
                    <w:bidi w:val="0"/>
                    <w:rPr>
                      <w:color w:val="auto"/>
                    </w:rPr>
                  </w:pPr>
                  <w:r>
                    <w:rPr>
                      <w:color w:val="auto"/>
                    </w:rPr>
                    <w:t>执行标准</w:t>
                  </w:r>
                </w:p>
              </w:tc>
              <w:tc>
                <w:tcPr>
                  <w:tcW w:w="1729" w:type="dxa"/>
                  <w:tcBorders>
                    <w:tl2br w:val="nil"/>
                    <w:tr2bl w:val="nil"/>
                  </w:tcBorders>
                  <w:vAlign w:val="top"/>
                </w:tcPr>
                <w:p w14:paraId="5A382EFA">
                  <w:pPr>
                    <w:pStyle w:val="51"/>
                    <w:bidi w:val="0"/>
                    <w:rPr>
                      <w:color w:val="auto"/>
                    </w:rPr>
                  </w:pPr>
                  <w:r>
                    <w:rPr>
                      <w:color w:val="auto"/>
                    </w:rPr>
                    <w:t>标准限值</w:t>
                  </w:r>
                </w:p>
              </w:tc>
            </w:tr>
            <w:tr w14:paraId="7EBC7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jc w:val="center"/>
              </w:trPr>
              <w:tc>
                <w:tcPr>
                  <w:tcW w:w="1603" w:type="dxa"/>
                  <w:tcBorders>
                    <w:tl2br w:val="nil"/>
                    <w:tr2bl w:val="nil"/>
                  </w:tcBorders>
                  <w:vAlign w:val="top"/>
                </w:tcPr>
                <w:p w14:paraId="3A88C97D">
                  <w:pPr>
                    <w:pStyle w:val="51"/>
                    <w:bidi w:val="0"/>
                    <w:rPr>
                      <w:color w:val="auto"/>
                    </w:rPr>
                  </w:pPr>
                  <w:r>
                    <w:rPr>
                      <w:color w:val="auto"/>
                    </w:rPr>
                    <w:t>东厂界外1m</w:t>
                  </w:r>
                </w:p>
              </w:tc>
              <w:tc>
                <w:tcPr>
                  <w:tcW w:w="1235" w:type="dxa"/>
                  <w:tcBorders>
                    <w:tl2br w:val="nil"/>
                    <w:tr2bl w:val="nil"/>
                  </w:tcBorders>
                  <w:vAlign w:val="top"/>
                </w:tcPr>
                <w:p w14:paraId="164C9F14">
                  <w:pPr>
                    <w:pStyle w:val="51"/>
                    <w:bidi w:val="0"/>
                    <w:rPr>
                      <w:color w:val="auto"/>
                    </w:rPr>
                  </w:pPr>
                  <w:r>
                    <w:rPr>
                      <w:color w:val="auto"/>
                    </w:rPr>
                    <w:t>昼夜噪声</w:t>
                  </w:r>
                </w:p>
              </w:tc>
              <w:tc>
                <w:tcPr>
                  <w:tcW w:w="1376" w:type="dxa"/>
                  <w:vMerge w:val="restart"/>
                  <w:tcBorders>
                    <w:tl2br w:val="nil"/>
                    <w:tr2bl w:val="nil"/>
                  </w:tcBorders>
                  <w:vAlign w:val="top"/>
                </w:tcPr>
                <w:p w14:paraId="76B6D325">
                  <w:pPr>
                    <w:pStyle w:val="51"/>
                    <w:bidi w:val="0"/>
                    <w:rPr>
                      <w:color w:val="auto"/>
                    </w:rPr>
                  </w:pPr>
                  <w:r>
                    <w:rPr>
                      <w:color w:val="auto"/>
                    </w:rPr>
                    <w:t>每季度一次</w:t>
                  </w:r>
                </w:p>
              </w:tc>
              <w:tc>
                <w:tcPr>
                  <w:tcW w:w="1994" w:type="dxa"/>
                  <w:vMerge w:val="restart"/>
                  <w:tcBorders>
                    <w:tl2br w:val="nil"/>
                    <w:tr2bl w:val="nil"/>
                  </w:tcBorders>
                  <w:vAlign w:val="top"/>
                </w:tcPr>
                <w:p w14:paraId="44FE01DC">
                  <w:pPr>
                    <w:pStyle w:val="51"/>
                    <w:bidi w:val="0"/>
                    <w:rPr>
                      <w:color w:val="auto"/>
                    </w:rPr>
                  </w:pPr>
                  <w:r>
                    <w:rPr>
                      <w:color w:val="auto"/>
                    </w:rPr>
                    <w:t>《工业企业厂界环境 噪声排放标准》（GB12348-2008）3类标准</w:t>
                  </w:r>
                </w:p>
              </w:tc>
              <w:tc>
                <w:tcPr>
                  <w:tcW w:w="1729" w:type="dxa"/>
                  <w:vMerge w:val="restart"/>
                  <w:tcBorders>
                    <w:tl2br w:val="nil"/>
                    <w:tr2bl w:val="nil"/>
                  </w:tcBorders>
                  <w:vAlign w:val="top"/>
                </w:tcPr>
                <w:p w14:paraId="18258DD5">
                  <w:pPr>
                    <w:pStyle w:val="51"/>
                    <w:bidi w:val="0"/>
                    <w:rPr>
                      <w:color w:val="auto"/>
                    </w:rPr>
                  </w:pPr>
                  <w:r>
                    <w:rPr>
                      <w:color w:val="auto"/>
                    </w:rPr>
                    <w:t>昼间：65dB（A）</w:t>
                  </w:r>
                </w:p>
                <w:p w14:paraId="6223007C">
                  <w:pPr>
                    <w:pStyle w:val="51"/>
                    <w:bidi w:val="0"/>
                    <w:rPr>
                      <w:color w:val="auto"/>
                    </w:rPr>
                  </w:pPr>
                  <w:r>
                    <w:rPr>
                      <w:color w:val="auto"/>
                    </w:rPr>
                    <w:t>夜间：55dB（A）</w:t>
                  </w:r>
                </w:p>
              </w:tc>
            </w:tr>
            <w:tr w14:paraId="6B24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jc w:val="center"/>
              </w:trPr>
              <w:tc>
                <w:tcPr>
                  <w:tcW w:w="1603" w:type="dxa"/>
                  <w:tcBorders>
                    <w:tl2br w:val="nil"/>
                    <w:tr2bl w:val="nil"/>
                  </w:tcBorders>
                  <w:vAlign w:val="top"/>
                </w:tcPr>
                <w:p w14:paraId="3E7B22B8">
                  <w:pPr>
                    <w:pStyle w:val="51"/>
                    <w:bidi w:val="0"/>
                    <w:rPr>
                      <w:color w:val="auto"/>
                    </w:rPr>
                  </w:pPr>
                  <w:r>
                    <w:rPr>
                      <w:color w:val="auto"/>
                    </w:rPr>
                    <w:t>西厂界外1m</w:t>
                  </w:r>
                </w:p>
              </w:tc>
              <w:tc>
                <w:tcPr>
                  <w:tcW w:w="1235" w:type="dxa"/>
                  <w:tcBorders>
                    <w:tl2br w:val="nil"/>
                    <w:tr2bl w:val="nil"/>
                  </w:tcBorders>
                  <w:vAlign w:val="top"/>
                </w:tcPr>
                <w:p w14:paraId="03BE6A26">
                  <w:pPr>
                    <w:pStyle w:val="51"/>
                    <w:bidi w:val="0"/>
                    <w:rPr>
                      <w:color w:val="auto"/>
                    </w:rPr>
                  </w:pPr>
                  <w:r>
                    <w:rPr>
                      <w:color w:val="auto"/>
                    </w:rPr>
                    <w:t>昼夜噪声</w:t>
                  </w:r>
                </w:p>
              </w:tc>
              <w:tc>
                <w:tcPr>
                  <w:tcW w:w="1376" w:type="dxa"/>
                  <w:vMerge w:val="continue"/>
                  <w:tcBorders>
                    <w:tl2br w:val="nil"/>
                    <w:tr2bl w:val="nil"/>
                  </w:tcBorders>
                  <w:vAlign w:val="top"/>
                </w:tcPr>
                <w:p w14:paraId="524EF65F">
                  <w:pPr>
                    <w:pStyle w:val="51"/>
                    <w:bidi w:val="0"/>
                    <w:rPr>
                      <w:color w:val="auto"/>
                    </w:rPr>
                  </w:pPr>
                </w:p>
              </w:tc>
              <w:tc>
                <w:tcPr>
                  <w:tcW w:w="1994" w:type="dxa"/>
                  <w:vMerge w:val="continue"/>
                  <w:tcBorders>
                    <w:tl2br w:val="nil"/>
                    <w:tr2bl w:val="nil"/>
                  </w:tcBorders>
                  <w:vAlign w:val="top"/>
                </w:tcPr>
                <w:p w14:paraId="6494FCB8">
                  <w:pPr>
                    <w:pStyle w:val="51"/>
                    <w:bidi w:val="0"/>
                    <w:rPr>
                      <w:color w:val="auto"/>
                    </w:rPr>
                  </w:pPr>
                </w:p>
              </w:tc>
              <w:tc>
                <w:tcPr>
                  <w:tcW w:w="1729" w:type="dxa"/>
                  <w:vMerge w:val="continue"/>
                  <w:tcBorders>
                    <w:tl2br w:val="nil"/>
                    <w:tr2bl w:val="nil"/>
                  </w:tcBorders>
                  <w:vAlign w:val="top"/>
                </w:tcPr>
                <w:p w14:paraId="598DC38B">
                  <w:pPr>
                    <w:pStyle w:val="51"/>
                    <w:bidi w:val="0"/>
                    <w:rPr>
                      <w:color w:val="auto"/>
                    </w:rPr>
                  </w:pPr>
                </w:p>
              </w:tc>
            </w:tr>
            <w:tr w14:paraId="17C9E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jc w:val="center"/>
              </w:trPr>
              <w:tc>
                <w:tcPr>
                  <w:tcW w:w="1603" w:type="dxa"/>
                  <w:tcBorders>
                    <w:tl2br w:val="nil"/>
                    <w:tr2bl w:val="nil"/>
                  </w:tcBorders>
                  <w:vAlign w:val="top"/>
                </w:tcPr>
                <w:p w14:paraId="090FA28B">
                  <w:pPr>
                    <w:pStyle w:val="51"/>
                    <w:bidi w:val="0"/>
                    <w:rPr>
                      <w:color w:val="auto"/>
                    </w:rPr>
                  </w:pPr>
                  <w:r>
                    <w:rPr>
                      <w:color w:val="auto"/>
                    </w:rPr>
                    <w:t>南厂界外1m</w:t>
                  </w:r>
                </w:p>
              </w:tc>
              <w:tc>
                <w:tcPr>
                  <w:tcW w:w="1235" w:type="dxa"/>
                  <w:tcBorders>
                    <w:tl2br w:val="nil"/>
                    <w:tr2bl w:val="nil"/>
                  </w:tcBorders>
                  <w:vAlign w:val="top"/>
                </w:tcPr>
                <w:p w14:paraId="64F306D4">
                  <w:pPr>
                    <w:pStyle w:val="51"/>
                    <w:bidi w:val="0"/>
                    <w:rPr>
                      <w:color w:val="auto"/>
                    </w:rPr>
                  </w:pPr>
                  <w:r>
                    <w:rPr>
                      <w:color w:val="auto"/>
                    </w:rPr>
                    <w:t>昼夜噪声</w:t>
                  </w:r>
                </w:p>
              </w:tc>
              <w:tc>
                <w:tcPr>
                  <w:tcW w:w="1376" w:type="dxa"/>
                  <w:vMerge w:val="continue"/>
                  <w:tcBorders>
                    <w:tl2br w:val="nil"/>
                    <w:tr2bl w:val="nil"/>
                  </w:tcBorders>
                  <w:vAlign w:val="top"/>
                </w:tcPr>
                <w:p w14:paraId="034DA820">
                  <w:pPr>
                    <w:pStyle w:val="51"/>
                    <w:bidi w:val="0"/>
                    <w:rPr>
                      <w:color w:val="auto"/>
                    </w:rPr>
                  </w:pPr>
                </w:p>
              </w:tc>
              <w:tc>
                <w:tcPr>
                  <w:tcW w:w="1994" w:type="dxa"/>
                  <w:vMerge w:val="continue"/>
                  <w:tcBorders>
                    <w:tl2br w:val="nil"/>
                    <w:tr2bl w:val="nil"/>
                  </w:tcBorders>
                  <w:vAlign w:val="top"/>
                </w:tcPr>
                <w:p w14:paraId="6E3B5668">
                  <w:pPr>
                    <w:pStyle w:val="51"/>
                    <w:bidi w:val="0"/>
                    <w:rPr>
                      <w:color w:val="auto"/>
                    </w:rPr>
                  </w:pPr>
                </w:p>
              </w:tc>
              <w:tc>
                <w:tcPr>
                  <w:tcW w:w="1729" w:type="dxa"/>
                  <w:vMerge w:val="continue"/>
                  <w:tcBorders>
                    <w:tl2br w:val="nil"/>
                    <w:tr2bl w:val="nil"/>
                  </w:tcBorders>
                  <w:vAlign w:val="top"/>
                </w:tcPr>
                <w:p w14:paraId="7AFF2A18">
                  <w:pPr>
                    <w:pStyle w:val="51"/>
                    <w:bidi w:val="0"/>
                    <w:rPr>
                      <w:color w:val="auto"/>
                    </w:rPr>
                  </w:pPr>
                </w:p>
              </w:tc>
            </w:tr>
            <w:tr w14:paraId="25215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603" w:type="dxa"/>
                  <w:tcBorders>
                    <w:tl2br w:val="nil"/>
                    <w:tr2bl w:val="nil"/>
                  </w:tcBorders>
                  <w:vAlign w:val="top"/>
                </w:tcPr>
                <w:p w14:paraId="7AF3712F">
                  <w:pPr>
                    <w:pStyle w:val="51"/>
                    <w:bidi w:val="0"/>
                    <w:rPr>
                      <w:color w:val="auto"/>
                    </w:rPr>
                  </w:pPr>
                  <w:r>
                    <w:rPr>
                      <w:color w:val="auto"/>
                    </w:rPr>
                    <w:t>北厂界外1m</w:t>
                  </w:r>
                </w:p>
              </w:tc>
              <w:tc>
                <w:tcPr>
                  <w:tcW w:w="1235" w:type="dxa"/>
                  <w:tcBorders>
                    <w:tl2br w:val="nil"/>
                    <w:tr2bl w:val="nil"/>
                  </w:tcBorders>
                  <w:vAlign w:val="top"/>
                </w:tcPr>
                <w:p w14:paraId="0994B033">
                  <w:pPr>
                    <w:pStyle w:val="51"/>
                    <w:bidi w:val="0"/>
                    <w:rPr>
                      <w:color w:val="auto"/>
                    </w:rPr>
                  </w:pPr>
                  <w:r>
                    <w:rPr>
                      <w:color w:val="auto"/>
                    </w:rPr>
                    <w:t>昼夜噪声</w:t>
                  </w:r>
                </w:p>
              </w:tc>
              <w:tc>
                <w:tcPr>
                  <w:tcW w:w="1376" w:type="dxa"/>
                  <w:vMerge w:val="continue"/>
                  <w:tcBorders>
                    <w:tl2br w:val="nil"/>
                    <w:tr2bl w:val="nil"/>
                  </w:tcBorders>
                  <w:vAlign w:val="top"/>
                </w:tcPr>
                <w:p w14:paraId="77905FF9">
                  <w:pPr>
                    <w:pStyle w:val="51"/>
                    <w:bidi w:val="0"/>
                    <w:rPr>
                      <w:color w:val="auto"/>
                    </w:rPr>
                  </w:pPr>
                </w:p>
              </w:tc>
              <w:tc>
                <w:tcPr>
                  <w:tcW w:w="1994" w:type="dxa"/>
                  <w:vMerge w:val="continue"/>
                  <w:tcBorders>
                    <w:tl2br w:val="nil"/>
                    <w:tr2bl w:val="nil"/>
                  </w:tcBorders>
                  <w:vAlign w:val="top"/>
                </w:tcPr>
                <w:p w14:paraId="49A07D57">
                  <w:pPr>
                    <w:pStyle w:val="51"/>
                    <w:bidi w:val="0"/>
                    <w:rPr>
                      <w:color w:val="auto"/>
                    </w:rPr>
                  </w:pPr>
                </w:p>
              </w:tc>
              <w:tc>
                <w:tcPr>
                  <w:tcW w:w="1729" w:type="dxa"/>
                  <w:vMerge w:val="continue"/>
                  <w:tcBorders>
                    <w:tl2br w:val="nil"/>
                    <w:tr2bl w:val="nil"/>
                  </w:tcBorders>
                  <w:vAlign w:val="top"/>
                </w:tcPr>
                <w:p w14:paraId="02C0D240">
                  <w:pPr>
                    <w:pStyle w:val="51"/>
                    <w:bidi w:val="0"/>
                    <w:rPr>
                      <w:color w:val="auto"/>
                    </w:rPr>
                  </w:pPr>
                </w:p>
              </w:tc>
            </w:tr>
          </w:tbl>
          <w:p w14:paraId="49591C3D">
            <w:pPr>
              <w:pStyle w:val="4"/>
              <w:bidi w:val="0"/>
              <w:rPr>
                <w:color w:val="auto"/>
              </w:rPr>
            </w:pPr>
            <w:r>
              <w:rPr>
                <w:rFonts w:hint="eastAsia"/>
                <w:color w:val="auto"/>
                <w:lang w:val="en-US" w:eastAsia="zh-CN"/>
              </w:rPr>
              <w:t>4.2.4</w:t>
            </w:r>
            <w:r>
              <w:rPr>
                <w:color w:val="auto"/>
              </w:rPr>
              <w:t>固体废物污染源</w:t>
            </w:r>
          </w:p>
          <w:p w14:paraId="7EF62139">
            <w:pPr>
              <w:pStyle w:val="38"/>
              <w:bidi w:val="0"/>
              <w:rPr>
                <w:rFonts w:hint="default" w:eastAsia="宋体"/>
                <w:color w:val="auto"/>
                <w:lang w:val="en-US" w:eastAsia="zh-CN"/>
              </w:rPr>
            </w:pPr>
            <w:r>
              <w:rPr>
                <w:color w:val="auto"/>
              </w:rPr>
              <w:t>1、固体废物产生及</w:t>
            </w:r>
            <w:r>
              <w:rPr>
                <w:rFonts w:hint="eastAsia"/>
                <w:color w:val="auto"/>
                <w:lang w:val="en-US" w:eastAsia="zh-CN"/>
              </w:rPr>
              <w:t>处置情况</w:t>
            </w:r>
          </w:p>
          <w:p w14:paraId="3113B281">
            <w:pPr>
              <w:pStyle w:val="38"/>
              <w:bidi w:val="0"/>
              <w:rPr>
                <w:rFonts w:hint="eastAsia"/>
                <w:color w:val="auto"/>
              </w:rPr>
            </w:pPr>
            <w:r>
              <w:rPr>
                <w:rFonts w:hint="eastAsia"/>
                <w:color w:val="auto"/>
              </w:rPr>
              <w:t>拟建项目产生的固体废物主要为布袋除尘器收集到的粉尘及废布袋，原料使用产生的废包装袋，漂浮工序产生的浮油，项目气浮后压滤产生的污泥，设备运行保养产生的废矿物油、废油桶，员工生活产生的生活垃圾。具体情况如下：</w:t>
            </w:r>
          </w:p>
          <w:p w14:paraId="325ADD15">
            <w:pPr>
              <w:pStyle w:val="38"/>
              <w:bidi w:val="0"/>
              <w:rPr>
                <w:rFonts w:hint="eastAsia"/>
                <w:color w:val="auto"/>
              </w:rPr>
            </w:pPr>
            <w:r>
              <w:rPr>
                <w:rFonts w:hint="eastAsia"/>
                <w:color w:val="auto"/>
              </w:rPr>
              <w:t>（1）一般固体废物</w:t>
            </w:r>
          </w:p>
          <w:p w14:paraId="4A1BE3FC">
            <w:pPr>
              <w:pStyle w:val="38"/>
              <w:bidi w:val="0"/>
              <w:rPr>
                <w:rFonts w:hint="eastAsia"/>
                <w:color w:val="auto"/>
              </w:rPr>
            </w:pPr>
            <w:r>
              <w:rPr>
                <w:rFonts w:hint="eastAsia"/>
                <w:color w:val="auto"/>
              </w:rPr>
              <w:t>①除尘器收尘及废布袋</w:t>
            </w:r>
          </w:p>
          <w:p w14:paraId="2D384BC9">
            <w:pPr>
              <w:pStyle w:val="38"/>
              <w:bidi w:val="0"/>
              <w:rPr>
                <w:color w:val="auto"/>
              </w:rPr>
            </w:pPr>
            <w:r>
              <w:rPr>
                <w:rFonts w:hint="eastAsia"/>
                <w:color w:val="auto"/>
              </w:rPr>
              <w:t>项目含尘废气处理过程中会产生除尘器收尘，除尘器收集粉尘量约为</w:t>
            </w:r>
            <w:r>
              <w:rPr>
                <w:rFonts w:hint="eastAsia"/>
                <w:color w:val="auto"/>
                <w:lang w:val="en-US" w:eastAsia="zh-CN"/>
              </w:rPr>
              <w:t>4.72</w:t>
            </w:r>
            <w:r>
              <w:rPr>
                <w:rFonts w:hint="eastAsia"/>
                <w:color w:val="auto"/>
              </w:rPr>
              <w:t>t/a</w:t>
            </w:r>
            <w:r>
              <w:rPr>
                <w:rFonts w:hint="eastAsia"/>
                <w:color w:val="auto"/>
                <w:lang w:eastAsia="zh-CN"/>
              </w:rPr>
              <w:t>，</w:t>
            </w:r>
            <w:r>
              <w:rPr>
                <w:rFonts w:hint="eastAsia"/>
                <w:color w:val="auto"/>
              </w:rPr>
              <w:t>废布袋产生量约为0.1t/a。除尘器收尘直接回用于生产工序，废布袋收集后外售给废品收购站。</w:t>
            </w:r>
          </w:p>
          <w:p w14:paraId="24FC67B6">
            <w:pPr>
              <w:pStyle w:val="39"/>
              <w:rPr>
                <w:rFonts w:hint="eastAsia"/>
                <w:color w:val="auto"/>
              </w:rPr>
            </w:pPr>
            <w:r>
              <w:rPr>
                <w:rFonts w:hint="eastAsia"/>
                <w:color w:val="auto"/>
              </w:rPr>
              <w:t>②废包装物</w:t>
            </w:r>
          </w:p>
          <w:p w14:paraId="0FC95CE3">
            <w:pPr>
              <w:pStyle w:val="39"/>
              <w:rPr>
                <w:rFonts w:hint="eastAsia"/>
                <w:color w:val="auto"/>
              </w:rPr>
            </w:pPr>
            <w:r>
              <w:rPr>
                <w:rFonts w:hint="eastAsia"/>
                <w:color w:val="auto"/>
              </w:rPr>
              <w:t>项目原料使用过程中会产生原料废包装物，主要为废包装袋，经与建设单位提供资料，废包装袋产生量约为10t/a，外售给废品收购站。</w:t>
            </w:r>
          </w:p>
          <w:p w14:paraId="7A092F78">
            <w:pPr>
              <w:pStyle w:val="39"/>
              <w:rPr>
                <w:rFonts w:hint="eastAsia"/>
                <w:color w:val="auto"/>
              </w:rPr>
            </w:pPr>
            <w:r>
              <w:rPr>
                <w:rFonts w:hint="eastAsia"/>
                <w:color w:val="auto"/>
              </w:rPr>
              <w:t>③生活垃圾</w:t>
            </w:r>
          </w:p>
          <w:p w14:paraId="356F0B54">
            <w:pPr>
              <w:pStyle w:val="39"/>
              <w:rPr>
                <w:rFonts w:hint="eastAsia"/>
                <w:color w:val="auto"/>
              </w:rPr>
            </w:pPr>
            <w:r>
              <w:rPr>
                <w:rFonts w:hint="eastAsia"/>
                <w:color w:val="auto"/>
              </w:rPr>
              <w:t>项目劳动定员</w:t>
            </w:r>
            <w:r>
              <w:rPr>
                <w:rFonts w:hint="eastAsia"/>
                <w:color w:val="auto"/>
                <w:lang w:val="en-US" w:eastAsia="zh-CN"/>
              </w:rPr>
              <w:t>6</w:t>
            </w:r>
            <w:r>
              <w:rPr>
                <w:rFonts w:hint="eastAsia"/>
                <w:color w:val="auto"/>
              </w:rPr>
              <w:t>人，生活垃圾量按每天每人0.5kg计算，项目年运营天数为300天，则生活垃圾产生量约为</w:t>
            </w:r>
            <w:r>
              <w:rPr>
                <w:rFonts w:hint="eastAsia"/>
                <w:color w:val="auto"/>
                <w:lang w:val="en-US" w:eastAsia="zh-CN"/>
              </w:rPr>
              <w:t>1.8</w:t>
            </w:r>
            <w:r>
              <w:rPr>
                <w:rFonts w:hint="eastAsia"/>
                <w:color w:val="auto"/>
              </w:rPr>
              <w:t>t/a，生活垃圾经垃圾桶收集后，由环卫部门定期清运处置。</w:t>
            </w:r>
          </w:p>
          <w:p w14:paraId="525FBF8D">
            <w:pPr>
              <w:pStyle w:val="39"/>
              <w:rPr>
                <w:rFonts w:hint="eastAsia"/>
                <w:color w:val="auto"/>
              </w:rPr>
            </w:pPr>
            <w:r>
              <w:rPr>
                <w:rFonts w:hint="eastAsia"/>
                <w:color w:val="auto"/>
              </w:rPr>
              <w:t>（2）危险废物</w:t>
            </w:r>
          </w:p>
          <w:p w14:paraId="0E17BE08">
            <w:pPr>
              <w:pStyle w:val="39"/>
              <w:rPr>
                <w:rFonts w:hint="eastAsia"/>
                <w:color w:val="auto"/>
              </w:rPr>
            </w:pPr>
            <w:r>
              <w:rPr>
                <w:rFonts w:hint="eastAsia"/>
                <w:color w:val="auto"/>
              </w:rPr>
              <w:t>①废矿物油：项目生产过程中机械设备使用维修保养过程会产生废矿物油，项目废矿物油产生量约为0.1t/a。根据《国家危险废物名录（2021）》中规定，废矿物油属于“HW08废矿物油与含矿物油废物（900-214-08）”中的“车辆、轮船及其它机械维修过程中产生的废发动机油、制动器油、自动变速器油、齿轮油等废润滑油”。统一收集后暂存于公司厂区危废暂存库，定期委托有资质的单位进行处置。</w:t>
            </w:r>
          </w:p>
          <w:p w14:paraId="721F9C06">
            <w:pPr>
              <w:pStyle w:val="39"/>
              <w:rPr>
                <w:rFonts w:hint="eastAsia"/>
                <w:color w:val="auto"/>
              </w:rPr>
            </w:pPr>
            <w:r>
              <w:rPr>
                <w:rFonts w:hint="eastAsia"/>
                <w:color w:val="auto"/>
              </w:rPr>
              <w:t>②浮油：项目漂浮工序会产生部分浮油，约30天清理一次，每次清理量约为0.001t，则浮油产生量约为0.01t/a。浮油属于“HW08废矿物油与含矿物油废物（900-199-08）”中的“内燃机、汽车、轮船等集中拆解过程中产生的废矿物油及油泥”，统一收集后暂存于公司厂区危废暂存库，定期委托有资质的单位进行处置。</w:t>
            </w:r>
          </w:p>
          <w:p w14:paraId="020AE070">
            <w:pPr>
              <w:pStyle w:val="39"/>
              <w:rPr>
                <w:color w:val="auto"/>
              </w:rPr>
            </w:pPr>
            <w:r>
              <w:rPr>
                <w:rFonts w:hint="eastAsia"/>
                <w:color w:val="auto"/>
              </w:rPr>
              <w:t>③污泥：项目摇床循环沉淀池用水使用经沉淀后循环使用，沉淀过程产生沉淀污泥，主要为泥土。</w:t>
            </w:r>
            <w:r>
              <w:rPr>
                <w:rFonts w:hint="eastAsia"/>
                <w:color w:val="auto"/>
                <w:lang w:val="en-US" w:eastAsia="zh-CN"/>
              </w:rPr>
              <w:t>污泥的产生量约为295.272t，</w:t>
            </w:r>
            <w:r>
              <w:rPr>
                <w:rFonts w:hint="eastAsia"/>
                <w:color w:val="auto"/>
              </w:rPr>
              <w:t>因污泥中不能排除含有重金属，暂按危险废物管理，待项目运营后，对污泥进行固废类型鉴别，根据鉴别结果进行规范处置。</w:t>
            </w:r>
          </w:p>
          <w:p w14:paraId="7A244E82">
            <w:pPr>
              <w:pStyle w:val="38"/>
              <w:bidi w:val="0"/>
              <w:rPr>
                <w:rFonts w:hint="eastAsia"/>
                <w:color w:val="auto"/>
              </w:rPr>
            </w:pPr>
            <w:r>
              <w:rPr>
                <w:rFonts w:hint="eastAsia"/>
                <w:color w:val="auto"/>
              </w:rPr>
              <w:t>项目生产过程中产生的固体废物产生情况及排放信息一览表如下表所示。</w:t>
            </w:r>
          </w:p>
          <w:p w14:paraId="23BF3F65">
            <w:pPr>
              <w:pStyle w:val="46"/>
              <w:bidi w:val="0"/>
              <w:rPr>
                <w:color w:val="auto"/>
              </w:rPr>
            </w:pPr>
          </w:p>
          <w:p w14:paraId="3604BD4E">
            <w:pPr>
              <w:pStyle w:val="46"/>
              <w:bidi w:val="0"/>
              <w:rPr>
                <w:color w:val="auto"/>
              </w:rPr>
            </w:pPr>
          </w:p>
          <w:p w14:paraId="4AFBC7C3">
            <w:pPr>
              <w:pStyle w:val="46"/>
              <w:bidi w:val="0"/>
              <w:rPr>
                <w:color w:val="auto"/>
              </w:rPr>
            </w:pPr>
          </w:p>
          <w:p w14:paraId="2D9CA459">
            <w:pPr>
              <w:pStyle w:val="46"/>
              <w:bidi w:val="0"/>
              <w:rPr>
                <w:color w:val="auto"/>
              </w:rPr>
            </w:pPr>
            <w:r>
              <w:rPr>
                <w:color w:val="auto"/>
              </w:rPr>
              <w:t>表4-1</w:t>
            </w:r>
            <w:r>
              <w:rPr>
                <w:rFonts w:hint="eastAsia"/>
                <w:color w:val="auto"/>
                <w:lang w:val="en-US" w:eastAsia="zh-CN"/>
              </w:rPr>
              <w:t>1</w:t>
            </w:r>
            <w:r>
              <w:rPr>
                <w:color w:val="auto"/>
              </w:rPr>
              <w:t xml:space="preserve"> </w:t>
            </w:r>
            <w:r>
              <w:rPr>
                <w:rFonts w:hint="eastAsia"/>
                <w:color w:val="auto"/>
                <w:lang w:val="en-US" w:eastAsia="zh-CN"/>
              </w:rPr>
              <w:t xml:space="preserve"> </w:t>
            </w:r>
            <w:r>
              <w:rPr>
                <w:color w:val="auto"/>
              </w:rPr>
              <w:t xml:space="preserve"> 项目固体废物产生情况汇总</w:t>
            </w:r>
          </w:p>
          <w:tbl>
            <w:tblPr>
              <w:tblStyle w:val="114"/>
              <w:tblW w:w="79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1120"/>
              <w:gridCol w:w="1005"/>
              <w:gridCol w:w="899"/>
              <w:gridCol w:w="1249"/>
              <w:gridCol w:w="791"/>
              <w:gridCol w:w="664"/>
              <w:gridCol w:w="1213"/>
            </w:tblGrid>
            <w:tr w14:paraId="0C705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996" w:type="dxa"/>
                  <w:vMerge w:val="restart"/>
                  <w:tcBorders>
                    <w:tl2br w:val="nil"/>
                    <w:tr2bl w:val="nil"/>
                  </w:tcBorders>
                  <w:vAlign w:val="center"/>
                </w:tcPr>
                <w:p w14:paraId="39271D89">
                  <w:pPr>
                    <w:pStyle w:val="51"/>
                    <w:bidi w:val="0"/>
                    <w:jc w:val="center"/>
                    <w:rPr>
                      <w:color w:val="auto"/>
                    </w:rPr>
                  </w:pPr>
                  <w:r>
                    <w:rPr>
                      <w:color w:val="auto"/>
                    </w:rPr>
                    <w:t>产生环节</w:t>
                  </w:r>
                </w:p>
              </w:tc>
              <w:tc>
                <w:tcPr>
                  <w:tcW w:w="1120" w:type="dxa"/>
                  <w:vMerge w:val="restart"/>
                  <w:tcBorders>
                    <w:tl2br w:val="nil"/>
                    <w:tr2bl w:val="nil"/>
                  </w:tcBorders>
                  <w:vAlign w:val="center"/>
                </w:tcPr>
                <w:p w14:paraId="284ECB7D">
                  <w:pPr>
                    <w:pStyle w:val="51"/>
                    <w:bidi w:val="0"/>
                    <w:jc w:val="center"/>
                    <w:rPr>
                      <w:color w:val="auto"/>
                    </w:rPr>
                  </w:pPr>
                  <w:r>
                    <w:rPr>
                      <w:color w:val="auto"/>
                    </w:rPr>
                    <w:t>固体废物名称</w:t>
                  </w:r>
                </w:p>
              </w:tc>
              <w:tc>
                <w:tcPr>
                  <w:tcW w:w="3153" w:type="dxa"/>
                  <w:gridSpan w:val="3"/>
                  <w:tcBorders>
                    <w:tl2br w:val="nil"/>
                    <w:tr2bl w:val="nil"/>
                  </w:tcBorders>
                  <w:vAlign w:val="center"/>
                </w:tcPr>
                <w:p w14:paraId="37152829">
                  <w:pPr>
                    <w:pStyle w:val="51"/>
                    <w:bidi w:val="0"/>
                    <w:jc w:val="center"/>
                    <w:rPr>
                      <w:color w:val="auto"/>
                    </w:rPr>
                  </w:pPr>
                  <w:r>
                    <w:rPr>
                      <w:color w:val="auto"/>
                    </w:rPr>
                    <w:t>固废属性</w:t>
                  </w:r>
                </w:p>
              </w:tc>
              <w:tc>
                <w:tcPr>
                  <w:tcW w:w="791" w:type="dxa"/>
                  <w:vMerge w:val="restart"/>
                  <w:tcBorders>
                    <w:tl2br w:val="nil"/>
                    <w:tr2bl w:val="nil"/>
                  </w:tcBorders>
                  <w:vAlign w:val="center"/>
                </w:tcPr>
                <w:p w14:paraId="47B7403A">
                  <w:pPr>
                    <w:pStyle w:val="51"/>
                    <w:bidi w:val="0"/>
                    <w:jc w:val="center"/>
                    <w:rPr>
                      <w:color w:val="auto"/>
                    </w:rPr>
                  </w:pPr>
                  <w:r>
                    <w:rPr>
                      <w:color w:val="auto"/>
                    </w:rPr>
                    <w:t>年产生量(t/a)</w:t>
                  </w:r>
                </w:p>
              </w:tc>
              <w:tc>
                <w:tcPr>
                  <w:tcW w:w="664" w:type="dxa"/>
                  <w:vMerge w:val="restart"/>
                  <w:tcBorders>
                    <w:tl2br w:val="nil"/>
                    <w:tr2bl w:val="nil"/>
                  </w:tcBorders>
                  <w:vAlign w:val="center"/>
                </w:tcPr>
                <w:p w14:paraId="272FA23A">
                  <w:pPr>
                    <w:pStyle w:val="51"/>
                    <w:bidi w:val="0"/>
                    <w:jc w:val="center"/>
                    <w:rPr>
                      <w:color w:val="auto"/>
                    </w:rPr>
                  </w:pPr>
                  <w:r>
                    <w:rPr>
                      <w:color w:val="auto"/>
                    </w:rPr>
                    <w:t>贮存方式</w:t>
                  </w:r>
                </w:p>
              </w:tc>
              <w:tc>
                <w:tcPr>
                  <w:tcW w:w="1213" w:type="dxa"/>
                  <w:vMerge w:val="restart"/>
                  <w:tcBorders>
                    <w:tl2br w:val="nil"/>
                    <w:tr2bl w:val="nil"/>
                  </w:tcBorders>
                  <w:vAlign w:val="center"/>
                </w:tcPr>
                <w:p w14:paraId="192284DA">
                  <w:pPr>
                    <w:pStyle w:val="51"/>
                    <w:bidi w:val="0"/>
                    <w:jc w:val="center"/>
                    <w:rPr>
                      <w:rFonts w:hint="default" w:eastAsia="宋体"/>
                      <w:color w:val="auto"/>
                      <w:lang w:val="en-US" w:eastAsia="zh-CN"/>
                    </w:rPr>
                  </w:pPr>
                  <w:r>
                    <w:rPr>
                      <w:color w:val="auto"/>
                    </w:rPr>
                    <w:t>处理方式</w:t>
                  </w:r>
                  <w:r>
                    <w:rPr>
                      <w:rFonts w:hint="eastAsia"/>
                      <w:color w:val="auto"/>
                      <w:lang w:val="en-US" w:eastAsia="zh-CN"/>
                    </w:rPr>
                    <w:t>及去向</w:t>
                  </w:r>
                </w:p>
              </w:tc>
            </w:tr>
            <w:tr w14:paraId="08686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jc w:val="center"/>
              </w:trPr>
              <w:tc>
                <w:tcPr>
                  <w:tcW w:w="996" w:type="dxa"/>
                  <w:vMerge w:val="continue"/>
                  <w:tcBorders>
                    <w:tl2br w:val="nil"/>
                    <w:tr2bl w:val="nil"/>
                  </w:tcBorders>
                  <w:vAlign w:val="center"/>
                </w:tcPr>
                <w:p w14:paraId="594F8296">
                  <w:pPr>
                    <w:pStyle w:val="51"/>
                    <w:bidi w:val="0"/>
                    <w:jc w:val="center"/>
                    <w:rPr>
                      <w:color w:val="auto"/>
                    </w:rPr>
                  </w:pPr>
                </w:p>
              </w:tc>
              <w:tc>
                <w:tcPr>
                  <w:tcW w:w="1120" w:type="dxa"/>
                  <w:vMerge w:val="continue"/>
                  <w:tcBorders>
                    <w:tl2br w:val="nil"/>
                    <w:tr2bl w:val="nil"/>
                  </w:tcBorders>
                  <w:vAlign w:val="center"/>
                </w:tcPr>
                <w:p w14:paraId="3E2D004E">
                  <w:pPr>
                    <w:pStyle w:val="51"/>
                    <w:bidi w:val="0"/>
                    <w:jc w:val="center"/>
                    <w:rPr>
                      <w:color w:val="auto"/>
                    </w:rPr>
                  </w:pPr>
                </w:p>
              </w:tc>
              <w:tc>
                <w:tcPr>
                  <w:tcW w:w="1005" w:type="dxa"/>
                  <w:tcBorders>
                    <w:tl2br w:val="nil"/>
                    <w:tr2bl w:val="nil"/>
                  </w:tcBorders>
                  <w:vAlign w:val="center"/>
                </w:tcPr>
                <w:p w14:paraId="7929645D">
                  <w:pPr>
                    <w:pStyle w:val="51"/>
                    <w:bidi w:val="0"/>
                    <w:jc w:val="center"/>
                    <w:rPr>
                      <w:color w:val="auto"/>
                    </w:rPr>
                  </w:pPr>
                  <w:r>
                    <w:rPr>
                      <w:color w:val="auto"/>
                    </w:rPr>
                    <w:t>固废类别</w:t>
                  </w:r>
                </w:p>
              </w:tc>
              <w:tc>
                <w:tcPr>
                  <w:tcW w:w="899" w:type="dxa"/>
                  <w:tcBorders>
                    <w:tl2br w:val="nil"/>
                    <w:tr2bl w:val="nil"/>
                  </w:tcBorders>
                  <w:vAlign w:val="center"/>
                </w:tcPr>
                <w:p w14:paraId="5DF5A3BF">
                  <w:pPr>
                    <w:pStyle w:val="51"/>
                    <w:bidi w:val="0"/>
                    <w:jc w:val="center"/>
                    <w:rPr>
                      <w:color w:val="auto"/>
                    </w:rPr>
                  </w:pPr>
                  <w:r>
                    <w:rPr>
                      <w:color w:val="auto"/>
                    </w:rPr>
                    <w:t>危险废物类别</w:t>
                  </w:r>
                </w:p>
              </w:tc>
              <w:tc>
                <w:tcPr>
                  <w:tcW w:w="1249" w:type="dxa"/>
                  <w:tcBorders>
                    <w:tl2br w:val="nil"/>
                    <w:tr2bl w:val="nil"/>
                  </w:tcBorders>
                  <w:vAlign w:val="center"/>
                </w:tcPr>
                <w:p w14:paraId="0AD514F3">
                  <w:pPr>
                    <w:pStyle w:val="51"/>
                    <w:bidi w:val="0"/>
                    <w:jc w:val="center"/>
                    <w:rPr>
                      <w:color w:val="auto"/>
                    </w:rPr>
                  </w:pPr>
                  <w:r>
                    <w:rPr>
                      <w:color w:val="auto"/>
                    </w:rPr>
                    <w:t>废物代码</w:t>
                  </w:r>
                </w:p>
              </w:tc>
              <w:tc>
                <w:tcPr>
                  <w:tcW w:w="791" w:type="dxa"/>
                  <w:vMerge w:val="continue"/>
                  <w:tcBorders>
                    <w:tl2br w:val="nil"/>
                    <w:tr2bl w:val="nil"/>
                  </w:tcBorders>
                  <w:vAlign w:val="center"/>
                </w:tcPr>
                <w:p w14:paraId="6BD9603C">
                  <w:pPr>
                    <w:pStyle w:val="51"/>
                    <w:bidi w:val="0"/>
                    <w:jc w:val="center"/>
                    <w:rPr>
                      <w:color w:val="auto"/>
                    </w:rPr>
                  </w:pPr>
                </w:p>
              </w:tc>
              <w:tc>
                <w:tcPr>
                  <w:tcW w:w="664" w:type="dxa"/>
                  <w:vMerge w:val="continue"/>
                  <w:tcBorders>
                    <w:tl2br w:val="nil"/>
                    <w:tr2bl w:val="nil"/>
                  </w:tcBorders>
                  <w:vAlign w:val="center"/>
                </w:tcPr>
                <w:p w14:paraId="60F2F9D9">
                  <w:pPr>
                    <w:pStyle w:val="51"/>
                    <w:bidi w:val="0"/>
                    <w:jc w:val="center"/>
                    <w:rPr>
                      <w:color w:val="auto"/>
                    </w:rPr>
                  </w:pPr>
                </w:p>
              </w:tc>
              <w:tc>
                <w:tcPr>
                  <w:tcW w:w="1213" w:type="dxa"/>
                  <w:vMerge w:val="continue"/>
                  <w:tcBorders>
                    <w:tl2br w:val="nil"/>
                    <w:tr2bl w:val="nil"/>
                  </w:tcBorders>
                  <w:vAlign w:val="center"/>
                </w:tcPr>
                <w:p w14:paraId="5657C2FE">
                  <w:pPr>
                    <w:pStyle w:val="51"/>
                    <w:bidi w:val="0"/>
                    <w:jc w:val="center"/>
                    <w:rPr>
                      <w:color w:val="auto"/>
                    </w:rPr>
                  </w:pPr>
                </w:p>
              </w:tc>
            </w:tr>
            <w:tr w14:paraId="0C471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jc w:val="center"/>
              </w:trPr>
              <w:tc>
                <w:tcPr>
                  <w:tcW w:w="996" w:type="dxa"/>
                  <w:vMerge w:val="restart"/>
                  <w:tcBorders>
                    <w:tl2br w:val="nil"/>
                    <w:tr2bl w:val="nil"/>
                  </w:tcBorders>
                  <w:vAlign w:val="center"/>
                </w:tcPr>
                <w:p w14:paraId="3543F2B7">
                  <w:pPr>
                    <w:pStyle w:val="51"/>
                    <w:bidi w:val="0"/>
                    <w:jc w:val="center"/>
                    <w:rPr>
                      <w:rFonts w:hint="eastAsia" w:eastAsia="宋体"/>
                      <w:color w:val="auto"/>
                      <w:lang w:val="en-US" w:eastAsia="zh-CN"/>
                    </w:rPr>
                  </w:pPr>
                  <w:r>
                    <w:rPr>
                      <w:rFonts w:hint="eastAsia"/>
                      <w:color w:val="auto"/>
                      <w:lang w:val="en-US" w:eastAsia="zh-CN"/>
                    </w:rPr>
                    <w:t>除尘</w:t>
                  </w:r>
                </w:p>
              </w:tc>
              <w:tc>
                <w:tcPr>
                  <w:tcW w:w="1120" w:type="dxa"/>
                  <w:tcBorders>
                    <w:tl2br w:val="nil"/>
                    <w:tr2bl w:val="nil"/>
                  </w:tcBorders>
                  <w:vAlign w:val="center"/>
                </w:tcPr>
                <w:p w14:paraId="765AC4AC">
                  <w:pPr>
                    <w:pStyle w:val="51"/>
                    <w:bidi w:val="0"/>
                    <w:jc w:val="center"/>
                    <w:rPr>
                      <w:rFonts w:hint="eastAsia" w:eastAsia="宋体"/>
                      <w:color w:val="auto"/>
                      <w:lang w:val="en-US" w:eastAsia="zh-CN"/>
                    </w:rPr>
                  </w:pPr>
                  <w:r>
                    <w:rPr>
                      <w:rFonts w:hint="eastAsia"/>
                      <w:color w:val="auto"/>
                      <w:lang w:val="en-US" w:eastAsia="zh-CN"/>
                    </w:rPr>
                    <w:t>收尘灰</w:t>
                  </w:r>
                </w:p>
              </w:tc>
              <w:tc>
                <w:tcPr>
                  <w:tcW w:w="1005" w:type="dxa"/>
                  <w:tcBorders>
                    <w:tl2br w:val="nil"/>
                    <w:tr2bl w:val="nil"/>
                  </w:tcBorders>
                  <w:vAlign w:val="center"/>
                </w:tcPr>
                <w:p w14:paraId="6E62B2F3">
                  <w:pPr>
                    <w:pStyle w:val="51"/>
                    <w:bidi w:val="0"/>
                    <w:jc w:val="center"/>
                    <w:rPr>
                      <w:rFonts w:hint="default" w:eastAsia="宋体"/>
                      <w:color w:val="auto"/>
                      <w:lang w:val="en-US" w:eastAsia="zh-CN"/>
                    </w:rPr>
                  </w:pPr>
                  <w:r>
                    <w:rPr>
                      <w:rFonts w:hint="eastAsia"/>
                      <w:color w:val="auto"/>
                      <w:lang w:val="en-US" w:eastAsia="zh-CN"/>
                    </w:rPr>
                    <w:t>一般固废</w:t>
                  </w:r>
                </w:p>
              </w:tc>
              <w:tc>
                <w:tcPr>
                  <w:tcW w:w="899" w:type="dxa"/>
                  <w:tcBorders>
                    <w:tl2br w:val="nil"/>
                    <w:tr2bl w:val="nil"/>
                  </w:tcBorders>
                  <w:vAlign w:val="center"/>
                </w:tcPr>
                <w:p w14:paraId="701E7596">
                  <w:pPr>
                    <w:pStyle w:val="51"/>
                    <w:bidi w:val="0"/>
                    <w:jc w:val="center"/>
                    <w:rPr>
                      <w:rFonts w:hint="default" w:eastAsia="宋体"/>
                      <w:color w:val="auto"/>
                      <w:lang w:val="en-US" w:eastAsia="zh-CN"/>
                    </w:rPr>
                  </w:pPr>
                  <w:r>
                    <w:rPr>
                      <w:rFonts w:hint="eastAsia"/>
                      <w:color w:val="auto"/>
                      <w:lang w:val="en-US" w:eastAsia="zh-CN"/>
                    </w:rPr>
                    <w:t>/</w:t>
                  </w:r>
                </w:p>
              </w:tc>
              <w:tc>
                <w:tcPr>
                  <w:tcW w:w="1249" w:type="dxa"/>
                  <w:tcBorders>
                    <w:tl2br w:val="nil"/>
                    <w:tr2bl w:val="nil"/>
                  </w:tcBorders>
                  <w:vAlign w:val="center"/>
                </w:tcPr>
                <w:p w14:paraId="273E6A70">
                  <w:pPr>
                    <w:pStyle w:val="51"/>
                    <w:bidi w:val="0"/>
                    <w:jc w:val="center"/>
                    <w:rPr>
                      <w:rFonts w:hint="eastAsia" w:eastAsia="宋体"/>
                      <w:color w:val="auto"/>
                      <w:lang w:val="en-US" w:eastAsia="zh-CN"/>
                    </w:rPr>
                  </w:pPr>
                  <w:r>
                    <w:rPr>
                      <w:rFonts w:hint="eastAsia"/>
                      <w:color w:val="auto"/>
                      <w:lang w:val="en-US" w:eastAsia="zh-CN"/>
                    </w:rPr>
                    <w:t>/</w:t>
                  </w:r>
                </w:p>
              </w:tc>
              <w:tc>
                <w:tcPr>
                  <w:tcW w:w="791" w:type="dxa"/>
                  <w:tcBorders>
                    <w:tl2br w:val="nil"/>
                    <w:tr2bl w:val="nil"/>
                  </w:tcBorders>
                  <w:vAlign w:val="center"/>
                </w:tcPr>
                <w:p w14:paraId="1CC10425">
                  <w:pPr>
                    <w:pStyle w:val="51"/>
                    <w:bidi w:val="0"/>
                    <w:jc w:val="center"/>
                    <w:rPr>
                      <w:rFonts w:hint="default" w:eastAsia="宋体"/>
                      <w:color w:val="auto"/>
                      <w:lang w:val="en-US" w:eastAsia="zh-CN"/>
                    </w:rPr>
                  </w:pPr>
                  <w:r>
                    <w:rPr>
                      <w:rFonts w:hint="eastAsia"/>
                      <w:color w:val="auto"/>
                      <w:lang w:val="en-US" w:eastAsia="zh-CN"/>
                    </w:rPr>
                    <w:t>4.72</w:t>
                  </w:r>
                </w:p>
              </w:tc>
              <w:tc>
                <w:tcPr>
                  <w:tcW w:w="664" w:type="dxa"/>
                  <w:tcBorders>
                    <w:tl2br w:val="nil"/>
                    <w:tr2bl w:val="nil"/>
                  </w:tcBorders>
                  <w:vAlign w:val="center"/>
                </w:tcPr>
                <w:p w14:paraId="6DAE0919">
                  <w:pPr>
                    <w:pStyle w:val="51"/>
                    <w:bidi w:val="0"/>
                    <w:jc w:val="center"/>
                    <w:rPr>
                      <w:rFonts w:hint="eastAsia" w:eastAsia="宋体"/>
                      <w:color w:val="auto"/>
                      <w:lang w:val="en-US" w:eastAsia="zh-CN"/>
                    </w:rPr>
                  </w:pPr>
                  <w:r>
                    <w:rPr>
                      <w:rFonts w:hint="eastAsia"/>
                      <w:color w:val="auto"/>
                      <w:lang w:val="en-US" w:eastAsia="zh-CN"/>
                    </w:rPr>
                    <w:t>/</w:t>
                  </w:r>
                </w:p>
              </w:tc>
              <w:tc>
                <w:tcPr>
                  <w:tcW w:w="1213" w:type="dxa"/>
                  <w:tcBorders>
                    <w:tl2br w:val="nil"/>
                    <w:tr2bl w:val="nil"/>
                  </w:tcBorders>
                  <w:vAlign w:val="center"/>
                </w:tcPr>
                <w:p w14:paraId="6639EE21">
                  <w:pPr>
                    <w:pStyle w:val="51"/>
                    <w:bidi w:val="0"/>
                    <w:jc w:val="center"/>
                    <w:rPr>
                      <w:rFonts w:hint="default" w:eastAsia="宋体"/>
                      <w:color w:val="auto"/>
                      <w:lang w:val="en-US" w:eastAsia="zh-CN"/>
                    </w:rPr>
                  </w:pPr>
                  <w:r>
                    <w:rPr>
                      <w:rFonts w:hint="eastAsia"/>
                      <w:color w:val="auto"/>
                      <w:lang w:val="en-US" w:eastAsia="zh-CN"/>
                    </w:rPr>
                    <w:t>返回生产工段</w:t>
                  </w:r>
                </w:p>
              </w:tc>
            </w:tr>
            <w:tr w14:paraId="0A91F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jc w:val="center"/>
              </w:trPr>
              <w:tc>
                <w:tcPr>
                  <w:tcW w:w="996" w:type="dxa"/>
                  <w:vMerge w:val="continue"/>
                  <w:tcBorders>
                    <w:tl2br w:val="nil"/>
                    <w:tr2bl w:val="nil"/>
                  </w:tcBorders>
                  <w:vAlign w:val="center"/>
                </w:tcPr>
                <w:p w14:paraId="4F826CF6">
                  <w:pPr>
                    <w:pStyle w:val="51"/>
                    <w:bidi w:val="0"/>
                    <w:jc w:val="center"/>
                  </w:pPr>
                </w:p>
              </w:tc>
              <w:tc>
                <w:tcPr>
                  <w:tcW w:w="1120" w:type="dxa"/>
                  <w:tcBorders>
                    <w:tl2br w:val="nil"/>
                    <w:tr2bl w:val="nil"/>
                  </w:tcBorders>
                  <w:vAlign w:val="center"/>
                </w:tcPr>
                <w:p w14:paraId="405D27DD">
                  <w:pPr>
                    <w:pStyle w:val="51"/>
                    <w:bidi w:val="0"/>
                    <w:jc w:val="center"/>
                    <w:rPr>
                      <w:rFonts w:hint="default" w:eastAsia="宋体"/>
                      <w:color w:val="auto"/>
                      <w:lang w:val="en-US" w:eastAsia="zh-CN"/>
                    </w:rPr>
                  </w:pPr>
                  <w:r>
                    <w:rPr>
                      <w:rFonts w:hint="eastAsia"/>
                      <w:color w:val="auto"/>
                      <w:lang w:val="en-US" w:eastAsia="zh-CN"/>
                    </w:rPr>
                    <w:t>废除尘袋</w:t>
                  </w:r>
                </w:p>
              </w:tc>
              <w:tc>
                <w:tcPr>
                  <w:tcW w:w="1005" w:type="dxa"/>
                  <w:tcBorders>
                    <w:tl2br w:val="nil"/>
                    <w:tr2bl w:val="nil"/>
                  </w:tcBorders>
                  <w:vAlign w:val="center"/>
                </w:tcPr>
                <w:p w14:paraId="56F12152">
                  <w:pPr>
                    <w:pStyle w:val="51"/>
                    <w:bidi w:val="0"/>
                    <w:jc w:val="center"/>
                    <w:rPr>
                      <w:rFonts w:hint="default" w:eastAsia="宋体"/>
                      <w:color w:val="auto"/>
                      <w:lang w:val="en-US" w:eastAsia="zh-CN"/>
                    </w:rPr>
                  </w:pPr>
                  <w:r>
                    <w:rPr>
                      <w:rFonts w:hint="eastAsia"/>
                      <w:color w:val="auto"/>
                      <w:lang w:val="en-US" w:eastAsia="zh-CN"/>
                    </w:rPr>
                    <w:t>一般固废</w:t>
                  </w:r>
                </w:p>
              </w:tc>
              <w:tc>
                <w:tcPr>
                  <w:tcW w:w="899" w:type="dxa"/>
                  <w:tcBorders>
                    <w:tl2br w:val="nil"/>
                    <w:tr2bl w:val="nil"/>
                  </w:tcBorders>
                  <w:vAlign w:val="center"/>
                </w:tcPr>
                <w:p w14:paraId="5601C488">
                  <w:pPr>
                    <w:pStyle w:val="51"/>
                    <w:bidi w:val="0"/>
                    <w:jc w:val="center"/>
                    <w:rPr>
                      <w:rFonts w:hint="default" w:eastAsia="宋体"/>
                      <w:color w:val="auto"/>
                      <w:lang w:val="en-US" w:eastAsia="zh-CN"/>
                    </w:rPr>
                  </w:pPr>
                  <w:r>
                    <w:rPr>
                      <w:rFonts w:hint="eastAsia"/>
                      <w:color w:val="auto"/>
                      <w:lang w:val="en-US" w:eastAsia="zh-CN"/>
                    </w:rPr>
                    <w:t>SW17</w:t>
                  </w:r>
                </w:p>
              </w:tc>
              <w:tc>
                <w:tcPr>
                  <w:tcW w:w="1249" w:type="dxa"/>
                  <w:tcBorders>
                    <w:tl2br w:val="nil"/>
                    <w:tr2bl w:val="nil"/>
                  </w:tcBorders>
                  <w:vAlign w:val="center"/>
                </w:tcPr>
                <w:p w14:paraId="1D4D11A1">
                  <w:pPr>
                    <w:pStyle w:val="51"/>
                    <w:bidi w:val="0"/>
                    <w:jc w:val="center"/>
                    <w:rPr>
                      <w:rFonts w:hint="default" w:eastAsia="宋体"/>
                      <w:color w:val="auto"/>
                      <w:lang w:val="en-US" w:eastAsia="zh-CN"/>
                    </w:rPr>
                  </w:pPr>
                  <w:r>
                    <w:rPr>
                      <w:rFonts w:hint="eastAsia"/>
                      <w:color w:val="auto"/>
                      <w:lang w:val="en-US" w:eastAsia="zh-CN"/>
                    </w:rPr>
                    <w:t>900-099-S17</w:t>
                  </w:r>
                </w:p>
              </w:tc>
              <w:tc>
                <w:tcPr>
                  <w:tcW w:w="791" w:type="dxa"/>
                  <w:tcBorders>
                    <w:tl2br w:val="nil"/>
                    <w:tr2bl w:val="nil"/>
                  </w:tcBorders>
                  <w:vAlign w:val="center"/>
                </w:tcPr>
                <w:p w14:paraId="7D5C8C3A">
                  <w:pPr>
                    <w:pStyle w:val="51"/>
                    <w:bidi w:val="0"/>
                    <w:jc w:val="center"/>
                    <w:rPr>
                      <w:rFonts w:hint="default" w:eastAsia="宋体"/>
                      <w:color w:val="auto"/>
                      <w:lang w:val="en-US" w:eastAsia="zh-CN"/>
                    </w:rPr>
                  </w:pPr>
                  <w:r>
                    <w:rPr>
                      <w:rFonts w:hint="eastAsia"/>
                      <w:color w:val="auto"/>
                      <w:lang w:val="en-US" w:eastAsia="zh-CN"/>
                    </w:rPr>
                    <w:t>0.1</w:t>
                  </w:r>
                </w:p>
              </w:tc>
              <w:tc>
                <w:tcPr>
                  <w:tcW w:w="664" w:type="dxa"/>
                  <w:tcBorders>
                    <w:tl2br w:val="nil"/>
                    <w:tr2bl w:val="nil"/>
                  </w:tcBorders>
                  <w:vAlign w:val="center"/>
                </w:tcPr>
                <w:p w14:paraId="59E2792C">
                  <w:pPr>
                    <w:pStyle w:val="51"/>
                    <w:bidi w:val="0"/>
                    <w:jc w:val="center"/>
                    <w:rPr>
                      <w:rFonts w:hint="eastAsia" w:eastAsia="宋体"/>
                      <w:color w:val="auto"/>
                      <w:lang w:val="en-US" w:eastAsia="zh-CN"/>
                    </w:rPr>
                  </w:pPr>
                  <w:r>
                    <w:rPr>
                      <w:rFonts w:hint="eastAsia"/>
                      <w:color w:val="auto"/>
                      <w:lang w:val="en-US" w:eastAsia="zh-CN"/>
                    </w:rPr>
                    <w:t>袋装</w:t>
                  </w:r>
                </w:p>
              </w:tc>
              <w:tc>
                <w:tcPr>
                  <w:tcW w:w="1213" w:type="dxa"/>
                  <w:tcBorders>
                    <w:tl2br w:val="nil"/>
                    <w:tr2bl w:val="nil"/>
                  </w:tcBorders>
                  <w:vAlign w:val="center"/>
                </w:tcPr>
                <w:p w14:paraId="783EC827">
                  <w:pPr>
                    <w:pStyle w:val="51"/>
                    <w:bidi w:val="0"/>
                    <w:jc w:val="center"/>
                    <w:rPr>
                      <w:rFonts w:hint="eastAsia" w:eastAsia="宋体"/>
                      <w:color w:val="auto"/>
                      <w:lang w:val="en-US" w:eastAsia="zh-CN"/>
                    </w:rPr>
                  </w:pPr>
                  <w:r>
                    <w:rPr>
                      <w:rFonts w:hint="eastAsia"/>
                      <w:color w:val="auto"/>
                      <w:lang w:val="en-US" w:eastAsia="zh-CN"/>
                    </w:rPr>
                    <w:t>外售</w:t>
                  </w:r>
                </w:p>
              </w:tc>
            </w:tr>
            <w:tr w14:paraId="161F8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996" w:type="dxa"/>
                  <w:tcBorders>
                    <w:tl2br w:val="nil"/>
                    <w:tr2bl w:val="nil"/>
                  </w:tcBorders>
                  <w:vAlign w:val="center"/>
                </w:tcPr>
                <w:p w14:paraId="612C9807">
                  <w:pPr>
                    <w:pStyle w:val="51"/>
                    <w:bidi w:val="0"/>
                    <w:jc w:val="center"/>
                    <w:rPr>
                      <w:rFonts w:hint="default" w:eastAsia="宋体"/>
                      <w:color w:val="auto"/>
                      <w:lang w:val="en-US" w:eastAsia="zh-CN"/>
                    </w:rPr>
                  </w:pPr>
                  <w:r>
                    <w:rPr>
                      <w:rFonts w:hint="eastAsia"/>
                      <w:color w:val="auto"/>
                      <w:lang w:val="en-US" w:eastAsia="zh-CN"/>
                    </w:rPr>
                    <w:t>运输包装</w:t>
                  </w:r>
                </w:p>
              </w:tc>
              <w:tc>
                <w:tcPr>
                  <w:tcW w:w="1120" w:type="dxa"/>
                  <w:tcBorders>
                    <w:tl2br w:val="nil"/>
                    <w:tr2bl w:val="nil"/>
                  </w:tcBorders>
                  <w:vAlign w:val="center"/>
                </w:tcPr>
                <w:p w14:paraId="26E9AAE4">
                  <w:pPr>
                    <w:pStyle w:val="51"/>
                    <w:bidi w:val="0"/>
                    <w:jc w:val="center"/>
                    <w:rPr>
                      <w:rFonts w:hint="default" w:eastAsia="宋体"/>
                      <w:color w:val="auto"/>
                      <w:lang w:val="en-US" w:eastAsia="zh-CN"/>
                    </w:rPr>
                  </w:pPr>
                  <w:r>
                    <w:rPr>
                      <w:rFonts w:hint="eastAsia"/>
                      <w:color w:val="auto"/>
                      <w:lang w:val="en-US" w:eastAsia="zh-CN"/>
                    </w:rPr>
                    <w:t>废包装袋</w:t>
                  </w:r>
                </w:p>
              </w:tc>
              <w:tc>
                <w:tcPr>
                  <w:tcW w:w="1005" w:type="dxa"/>
                  <w:tcBorders>
                    <w:tl2br w:val="nil"/>
                    <w:tr2bl w:val="nil"/>
                  </w:tcBorders>
                  <w:vAlign w:val="center"/>
                </w:tcPr>
                <w:p w14:paraId="533F3BA3">
                  <w:pPr>
                    <w:pStyle w:val="51"/>
                    <w:bidi w:val="0"/>
                    <w:jc w:val="center"/>
                    <w:rPr>
                      <w:rFonts w:hint="default" w:eastAsia="宋体"/>
                      <w:color w:val="auto"/>
                      <w:lang w:val="en-US" w:eastAsia="zh-CN"/>
                    </w:rPr>
                  </w:pPr>
                  <w:r>
                    <w:rPr>
                      <w:rFonts w:hint="eastAsia"/>
                      <w:color w:val="auto"/>
                      <w:lang w:val="en-US" w:eastAsia="zh-CN"/>
                    </w:rPr>
                    <w:t>一般固废</w:t>
                  </w:r>
                </w:p>
              </w:tc>
              <w:tc>
                <w:tcPr>
                  <w:tcW w:w="899" w:type="dxa"/>
                  <w:tcBorders>
                    <w:tl2br w:val="nil"/>
                    <w:tr2bl w:val="nil"/>
                  </w:tcBorders>
                  <w:vAlign w:val="center"/>
                </w:tcPr>
                <w:p w14:paraId="5CBD6452">
                  <w:pPr>
                    <w:pStyle w:val="51"/>
                    <w:bidi w:val="0"/>
                    <w:jc w:val="center"/>
                    <w:rPr>
                      <w:rFonts w:hint="default" w:eastAsia="宋体"/>
                      <w:color w:val="auto"/>
                      <w:lang w:val="en-US" w:eastAsia="zh-CN"/>
                    </w:rPr>
                  </w:pPr>
                  <w:r>
                    <w:rPr>
                      <w:rFonts w:hint="eastAsia"/>
                      <w:color w:val="auto"/>
                      <w:lang w:val="en-US" w:eastAsia="zh-CN"/>
                    </w:rPr>
                    <w:t>SW17</w:t>
                  </w:r>
                </w:p>
              </w:tc>
              <w:tc>
                <w:tcPr>
                  <w:tcW w:w="1249" w:type="dxa"/>
                  <w:tcBorders>
                    <w:tl2br w:val="nil"/>
                    <w:tr2bl w:val="nil"/>
                  </w:tcBorders>
                  <w:vAlign w:val="center"/>
                </w:tcPr>
                <w:p w14:paraId="04A678A3">
                  <w:pPr>
                    <w:pStyle w:val="51"/>
                    <w:bidi w:val="0"/>
                    <w:jc w:val="center"/>
                    <w:rPr>
                      <w:rFonts w:hint="default" w:eastAsia="宋体"/>
                      <w:color w:val="auto"/>
                      <w:lang w:val="en-US" w:eastAsia="zh-CN"/>
                    </w:rPr>
                  </w:pPr>
                  <w:r>
                    <w:rPr>
                      <w:rFonts w:hint="eastAsia"/>
                      <w:color w:val="auto"/>
                      <w:lang w:val="en-US" w:eastAsia="zh-CN"/>
                    </w:rPr>
                    <w:t>900-003-S17</w:t>
                  </w:r>
                </w:p>
              </w:tc>
              <w:tc>
                <w:tcPr>
                  <w:tcW w:w="791" w:type="dxa"/>
                  <w:tcBorders>
                    <w:tl2br w:val="nil"/>
                    <w:tr2bl w:val="nil"/>
                  </w:tcBorders>
                  <w:vAlign w:val="center"/>
                </w:tcPr>
                <w:p w14:paraId="56B5A9F0">
                  <w:pPr>
                    <w:pStyle w:val="51"/>
                    <w:bidi w:val="0"/>
                    <w:jc w:val="center"/>
                    <w:rPr>
                      <w:rFonts w:hint="default"/>
                      <w:color w:val="auto"/>
                      <w:lang w:val="en-US" w:eastAsia="zh-CN"/>
                    </w:rPr>
                  </w:pPr>
                  <w:r>
                    <w:rPr>
                      <w:rFonts w:hint="eastAsia"/>
                      <w:color w:val="auto"/>
                      <w:lang w:val="en-US" w:eastAsia="zh-CN"/>
                    </w:rPr>
                    <w:t>10</w:t>
                  </w:r>
                </w:p>
              </w:tc>
              <w:tc>
                <w:tcPr>
                  <w:tcW w:w="664" w:type="dxa"/>
                  <w:tcBorders>
                    <w:tl2br w:val="nil"/>
                    <w:tr2bl w:val="nil"/>
                  </w:tcBorders>
                  <w:vAlign w:val="center"/>
                </w:tcPr>
                <w:p w14:paraId="1D8B3592">
                  <w:pPr>
                    <w:pStyle w:val="51"/>
                    <w:bidi w:val="0"/>
                    <w:jc w:val="center"/>
                    <w:rPr>
                      <w:rFonts w:hint="eastAsia" w:eastAsia="宋体"/>
                      <w:color w:val="auto"/>
                      <w:lang w:val="en-US" w:eastAsia="zh-CN"/>
                    </w:rPr>
                  </w:pPr>
                  <w:r>
                    <w:rPr>
                      <w:rFonts w:hint="eastAsia"/>
                      <w:color w:val="auto"/>
                      <w:lang w:val="en-US" w:eastAsia="zh-CN"/>
                    </w:rPr>
                    <w:t>袋装</w:t>
                  </w:r>
                </w:p>
              </w:tc>
              <w:tc>
                <w:tcPr>
                  <w:tcW w:w="1213" w:type="dxa"/>
                  <w:tcBorders>
                    <w:tl2br w:val="nil"/>
                    <w:tr2bl w:val="nil"/>
                  </w:tcBorders>
                  <w:vAlign w:val="center"/>
                </w:tcPr>
                <w:p w14:paraId="0FBB5E89">
                  <w:pPr>
                    <w:pStyle w:val="51"/>
                    <w:bidi w:val="0"/>
                    <w:jc w:val="center"/>
                    <w:rPr>
                      <w:rFonts w:hint="eastAsia" w:eastAsia="宋体"/>
                      <w:color w:val="auto"/>
                      <w:lang w:val="en-US" w:eastAsia="zh-CN"/>
                    </w:rPr>
                  </w:pPr>
                  <w:r>
                    <w:rPr>
                      <w:rFonts w:hint="eastAsia"/>
                      <w:color w:val="auto"/>
                      <w:lang w:val="en-US" w:eastAsia="zh-CN"/>
                    </w:rPr>
                    <w:t>外售</w:t>
                  </w:r>
                </w:p>
              </w:tc>
            </w:tr>
            <w:tr w14:paraId="3455F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996" w:type="dxa"/>
                  <w:tcBorders>
                    <w:tl2br w:val="nil"/>
                    <w:tr2bl w:val="nil"/>
                  </w:tcBorders>
                  <w:vAlign w:val="center"/>
                </w:tcPr>
                <w:p w14:paraId="18C07FA3">
                  <w:pPr>
                    <w:pStyle w:val="51"/>
                    <w:bidi w:val="0"/>
                    <w:jc w:val="center"/>
                    <w:rPr>
                      <w:rFonts w:hint="default" w:eastAsia="宋体"/>
                      <w:color w:val="auto"/>
                      <w:lang w:val="en-US" w:eastAsia="zh-CN"/>
                    </w:rPr>
                  </w:pPr>
                  <w:r>
                    <w:rPr>
                      <w:rFonts w:hint="eastAsia"/>
                      <w:color w:val="auto"/>
                      <w:lang w:val="en-US" w:eastAsia="zh-CN"/>
                    </w:rPr>
                    <w:t>维修保养</w:t>
                  </w:r>
                </w:p>
              </w:tc>
              <w:tc>
                <w:tcPr>
                  <w:tcW w:w="1120" w:type="dxa"/>
                  <w:tcBorders>
                    <w:tl2br w:val="nil"/>
                    <w:tr2bl w:val="nil"/>
                  </w:tcBorders>
                  <w:vAlign w:val="center"/>
                </w:tcPr>
                <w:p w14:paraId="75724E57">
                  <w:pPr>
                    <w:pStyle w:val="51"/>
                    <w:bidi w:val="0"/>
                    <w:jc w:val="center"/>
                    <w:rPr>
                      <w:rFonts w:hint="eastAsia" w:eastAsia="宋体"/>
                      <w:color w:val="auto"/>
                      <w:lang w:val="en-US" w:eastAsia="zh-CN"/>
                    </w:rPr>
                  </w:pPr>
                  <w:r>
                    <w:rPr>
                      <w:rFonts w:hint="eastAsia"/>
                      <w:color w:val="auto"/>
                      <w:lang w:val="en-US" w:eastAsia="zh-CN"/>
                    </w:rPr>
                    <w:t>废矿物哟</w:t>
                  </w:r>
                </w:p>
              </w:tc>
              <w:tc>
                <w:tcPr>
                  <w:tcW w:w="1005" w:type="dxa"/>
                  <w:tcBorders>
                    <w:tl2br w:val="nil"/>
                    <w:tr2bl w:val="nil"/>
                  </w:tcBorders>
                  <w:vAlign w:val="center"/>
                </w:tcPr>
                <w:p w14:paraId="115B786C">
                  <w:pPr>
                    <w:pStyle w:val="51"/>
                    <w:bidi w:val="0"/>
                    <w:jc w:val="center"/>
                    <w:rPr>
                      <w:rFonts w:hint="eastAsia" w:eastAsia="宋体"/>
                      <w:color w:val="auto"/>
                      <w:lang w:val="en-US" w:eastAsia="zh-CN"/>
                    </w:rPr>
                  </w:pPr>
                  <w:r>
                    <w:rPr>
                      <w:rFonts w:hint="eastAsia"/>
                      <w:color w:val="auto"/>
                      <w:lang w:val="en-US" w:eastAsia="zh-CN"/>
                    </w:rPr>
                    <w:t>危废</w:t>
                  </w:r>
                </w:p>
              </w:tc>
              <w:tc>
                <w:tcPr>
                  <w:tcW w:w="899" w:type="dxa"/>
                  <w:tcBorders>
                    <w:tl2br w:val="nil"/>
                    <w:tr2bl w:val="nil"/>
                  </w:tcBorders>
                  <w:vAlign w:val="center"/>
                </w:tcPr>
                <w:p w14:paraId="2466D181">
                  <w:pPr>
                    <w:pStyle w:val="51"/>
                    <w:bidi w:val="0"/>
                    <w:jc w:val="center"/>
                    <w:rPr>
                      <w:color w:val="auto"/>
                    </w:rPr>
                  </w:pPr>
                  <w:r>
                    <w:t>HW08</w:t>
                  </w:r>
                </w:p>
              </w:tc>
              <w:tc>
                <w:tcPr>
                  <w:tcW w:w="1249" w:type="dxa"/>
                  <w:tcBorders>
                    <w:tl2br w:val="nil"/>
                    <w:tr2bl w:val="nil"/>
                  </w:tcBorders>
                  <w:vAlign w:val="center"/>
                </w:tcPr>
                <w:p w14:paraId="09338285">
                  <w:pPr>
                    <w:pStyle w:val="51"/>
                    <w:bidi w:val="0"/>
                    <w:jc w:val="center"/>
                    <w:rPr>
                      <w:color w:val="auto"/>
                    </w:rPr>
                  </w:pPr>
                  <w:r>
                    <w:t>900-214-08</w:t>
                  </w:r>
                </w:p>
              </w:tc>
              <w:tc>
                <w:tcPr>
                  <w:tcW w:w="791" w:type="dxa"/>
                  <w:tcBorders>
                    <w:tl2br w:val="nil"/>
                    <w:tr2bl w:val="nil"/>
                  </w:tcBorders>
                  <w:vAlign w:val="center"/>
                </w:tcPr>
                <w:p w14:paraId="216DC76F">
                  <w:pPr>
                    <w:pStyle w:val="51"/>
                    <w:bidi w:val="0"/>
                    <w:jc w:val="center"/>
                    <w:rPr>
                      <w:rFonts w:hint="default"/>
                      <w:color w:val="auto"/>
                      <w:lang w:val="en-US" w:eastAsia="zh-CN"/>
                    </w:rPr>
                  </w:pPr>
                  <w:r>
                    <w:rPr>
                      <w:rFonts w:hint="eastAsia"/>
                      <w:color w:val="auto"/>
                      <w:lang w:val="en-US" w:eastAsia="zh-CN"/>
                    </w:rPr>
                    <w:t>0.1</w:t>
                  </w:r>
                </w:p>
              </w:tc>
              <w:tc>
                <w:tcPr>
                  <w:tcW w:w="664" w:type="dxa"/>
                  <w:tcBorders>
                    <w:tl2br w:val="nil"/>
                    <w:tr2bl w:val="nil"/>
                  </w:tcBorders>
                  <w:vAlign w:val="center"/>
                </w:tcPr>
                <w:p w14:paraId="714CDB9C">
                  <w:pPr>
                    <w:pStyle w:val="51"/>
                    <w:bidi w:val="0"/>
                    <w:jc w:val="center"/>
                    <w:rPr>
                      <w:rFonts w:hint="eastAsia" w:eastAsia="宋体"/>
                      <w:color w:val="auto"/>
                      <w:lang w:val="en-US" w:eastAsia="zh-CN"/>
                    </w:rPr>
                  </w:pPr>
                  <w:r>
                    <w:rPr>
                      <w:rFonts w:hint="eastAsia"/>
                      <w:color w:val="auto"/>
                      <w:lang w:val="en-US" w:eastAsia="zh-CN"/>
                    </w:rPr>
                    <w:t>桶装</w:t>
                  </w:r>
                </w:p>
              </w:tc>
              <w:tc>
                <w:tcPr>
                  <w:tcW w:w="1213" w:type="dxa"/>
                  <w:vMerge w:val="restart"/>
                  <w:tcBorders>
                    <w:tl2br w:val="nil"/>
                    <w:tr2bl w:val="nil"/>
                  </w:tcBorders>
                  <w:vAlign w:val="center"/>
                </w:tcPr>
                <w:p w14:paraId="4480EE30">
                  <w:pPr>
                    <w:pStyle w:val="51"/>
                    <w:bidi w:val="0"/>
                    <w:jc w:val="center"/>
                    <w:rPr>
                      <w:color w:val="auto"/>
                    </w:rPr>
                  </w:pPr>
                  <w:r>
                    <w:rPr>
                      <w:rFonts w:hint="eastAsia"/>
                      <w:color w:val="auto"/>
                    </w:rPr>
                    <w:t>暂存于危废暂存库，定期委托有资质的单位进行处置</w:t>
                  </w:r>
                </w:p>
              </w:tc>
            </w:tr>
            <w:tr w14:paraId="482DB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996" w:type="dxa"/>
                  <w:tcBorders>
                    <w:tl2br w:val="nil"/>
                    <w:tr2bl w:val="nil"/>
                  </w:tcBorders>
                  <w:vAlign w:val="center"/>
                </w:tcPr>
                <w:p w14:paraId="1CB92E30">
                  <w:pPr>
                    <w:pStyle w:val="51"/>
                    <w:bidi w:val="0"/>
                    <w:jc w:val="center"/>
                    <w:rPr>
                      <w:rFonts w:hint="eastAsia" w:eastAsia="宋体"/>
                      <w:color w:val="auto"/>
                      <w:lang w:val="en-US" w:eastAsia="zh-CN"/>
                    </w:rPr>
                  </w:pPr>
                  <w:r>
                    <w:rPr>
                      <w:rFonts w:hint="eastAsia"/>
                      <w:color w:val="auto"/>
                      <w:lang w:val="en-US" w:eastAsia="zh-CN"/>
                    </w:rPr>
                    <w:t>漂浮</w:t>
                  </w:r>
                </w:p>
              </w:tc>
              <w:tc>
                <w:tcPr>
                  <w:tcW w:w="1120" w:type="dxa"/>
                  <w:tcBorders>
                    <w:tl2br w:val="nil"/>
                    <w:tr2bl w:val="nil"/>
                  </w:tcBorders>
                  <w:vAlign w:val="center"/>
                </w:tcPr>
                <w:p w14:paraId="753D8DB4">
                  <w:pPr>
                    <w:pStyle w:val="51"/>
                    <w:bidi w:val="0"/>
                    <w:jc w:val="center"/>
                    <w:rPr>
                      <w:rFonts w:hint="eastAsia" w:eastAsia="宋体"/>
                      <w:color w:val="auto"/>
                      <w:lang w:val="en-US" w:eastAsia="zh-CN"/>
                    </w:rPr>
                  </w:pPr>
                  <w:r>
                    <w:rPr>
                      <w:rFonts w:hint="eastAsia"/>
                      <w:color w:val="auto"/>
                      <w:lang w:val="en-US" w:eastAsia="zh-CN"/>
                    </w:rPr>
                    <w:t>浮油</w:t>
                  </w:r>
                </w:p>
              </w:tc>
              <w:tc>
                <w:tcPr>
                  <w:tcW w:w="1005" w:type="dxa"/>
                  <w:tcBorders>
                    <w:tl2br w:val="nil"/>
                    <w:tr2bl w:val="nil"/>
                  </w:tcBorders>
                  <w:vAlign w:val="center"/>
                </w:tcPr>
                <w:p w14:paraId="35DF9B59">
                  <w:pPr>
                    <w:pStyle w:val="51"/>
                    <w:bidi w:val="0"/>
                    <w:jc w:val="center"/>
                    <w:rPr>
                      <w:rFonts w:hint="eastAsia" w:eastAsia="宋体"/>
                      <w:color w:val="auto"/>
                      <w:lang w:val="en-US" w:eastAsia="zh-CN"/>
                    </w:rPr>
                  </w:pPr>
                  <w:r>
                    <w:rPr>
                      <w:rFonts w:hint="eastAsia"/>
                      <w:color w:val="auto"/>
                      <w:lang w:val="en-US" w:eastAsia="zh-CN"/>
                    </w:rPr>
                    <w:t>危废</w:t>
                  </w:r>
                </w:p>
              </w:tc>
              <w:tc>
                <w:tcPr>
                  <w:tcW w:w="899" w:type="dxa"/>
                  <w:tcBorders>
                    <w:tl2br w:val="nil"/>
                    <w:tr2bl w:val="nil"/>
                  </w:tcBorders>
                  <w:vAlign w:val="center"/>
                </w:tcPr>
                <w:p w14:paraId="46AEB6FD">
                  <w:pPr>
                    <w:pStyle w:val="51"/>
                    <w:bidi w:val="0"/>
                    <w:jc w:val="center"/>
                    <w:rPr>
                      <w:rFonts w:hint="eastAsia" w:eastAsia="宋体"/>
                      <w:color w:val="auto"/>
                      <w:lang w:val="en-US" w:eastAsia="zh-CN"/>
                    </w:rPr>
                  </w:pPr>
                  <w:r>
                    <w:rPr>
                      <w:rFonts w:hint="eastAsia"/>
                      <w:color w:val="auto"/>
                    </w:rPr>
                    <w:t>HW08</w:t>
                  </w:r>
                </w:p>
              </w:tc>
              <w:tc>
                <w:tcPr>
                  <w:tcW w:w="1249" w:type="dxa"/>
                  <w:tcBorders>
                    <w:tl2br w:val="nil"/>
                    <w:tr2bl w:val="nil"/>
                  </w:tcBorders>
                  <w:vAlign w:val="center"/>
                </w:tcPr>
                <w:p w14:paraId="02FF81C3">
                  <w:pPr>
                    <w:pStyle w:val="51"/>
                    <w:bidi w:val="0"/>
                    <w:jc w:val="center"/>
                    <w:rPr>
                      <w:color w:val="auto"/>
                    </w:rPr>
                  </w:pPr>
                  <w:r>
                    <w:rPr>
                      <w:rFonts w:hint="eastAsia"/>
                      <w:color w:val="auto"/>
                    </w:rPr>
                    <w:t>900-199-08</w:t>
                  </w:r>
                </w:p>
              </w:tc>
              <w:tc>
                <w:tcPr>
                  <w:tcW w:w="791" w:type="dxa"/>
                  <w:tcBorders>
                    <w:tl2br w:val="nil"/>
                    <w:tr2bl w:val="nil"/>
                  </w:tcBorders>
                  <w:vAlign w:val="center"/>
                </w:tcPr>
                <w:p w14:paraId="3721961A">
                  <w:pPr>
                    <w:pStyle w:val="51"/>
                    <w:bidi w:val="0"/>
                    <w:jc w:val="center"/>
                    <w:rPr>
                      <w:rFonts w:hint="default" w:eastAsia="宋体"/>
                      <w:color w:val="auto"/>
                      <w:lang w:val="en-US" w:eastAsia="zh-CN"/>
                    </w:rPr>
                  </w:pPr>
                  <w:r>
                    <w:rPr>
                      <w:rFonts w:hint="eastAsia"/>
                      <w:color w:val="auto"/>
                      <w:lang w:val="en-US" w:eastAsia="zh-CN"/>
                    </w:rPr>
                    <w:t>0.01</w:t>
                  </w:r>
                </w:p>
              </w:tc>
              <w:tc>
                <w:tcPr>
                  <w:tcW w:w="664" w:type="dxa"/>
                  <w:tcBorders>
                    <w:tl2br w:val="nil"/>
                    <w:tr2bl w:val="nil"/>
                  </w:tcBorders>
                  <w:vAlign w:val="center"/>
                </w:tcPr>
                <w:p w14:paraId="6BF77250">
                  <w:pPr>
                    <w:pStyle w:val="51"/>
                    <w:bidi w:val="0"/>
                    <w:jc w:val="center"/>
                    <w:rPr>
                      <w:rFonts w:hint="eastAsia" w:eastAsia="宋体"/>
                      <w:color w:val="auto"/>
                      <w:lang w:val="en-US" w:eastAsia="zh-CN"/>
                    </w:rPr>
                  </w:pPr>
                  <w:r>
                    <w:rPr>
                      <w:rFonts w:hint="eastAsia"/>
                      <w:color w:val="auto"/>
                      <w:lang w:val="en-US" w:eastAsia="zh-CN"/>
                    </w:rPr>
                    <w:t>桶装</w:t>
                  </w:r>
                </w:p>
              </w:tc>
              <w:tc>
                <w:tcPr>
                  <w:tcW w:w="1213" w:type="dxa"/>
                  <w:vMerge w:val="continue"/>
                  <w:tcBorders>
                    <w:tl2br w:val="nil"/>
                    <w:tr2bl w:val="nil"/>
                  </w:tcBorders>
                  <w:vAlign w:val="center"/>
                </w:tcPr>
                <w:p w14:paraId="3883B345">
                  <w:pPr>
                    <w:pStyle w:val="51"/>
                    <w:bidi w:val="0"/>
                    <w:jc w:val="center"/>
                    <w:rPr>
                      <w:color w:val="auto"/>
                    </w:rPr>
                  </w:pPr>
                </w:p>
              </w:tc>
            </w:tr>
            <w:tr w14:paraId="143AB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996" w:type="dxa"/>
                  <w:tcBorders>
                    <w:tl2br w:val="nil"/>
                    <w:tr2bl w:val="nil"/>
                  </w:tcBorders>
                  <w:vAlign w:val="center"/>
                </w:tcPr>
                <w:p w14:paraId="781A44BF">
                  <w:pPr>
                    <w:pStyle w:val="51"/>
                    <w:bidi w:val="0"/>
                    <w:jc w:val="center"/>
                    <w:rPr>
                      <w:rFonts w:hint="default" w:eastAsia="宋体"/>
                      <w:color w:val="auto"/>
                      <w:lang w:val="en-US" w:eastAsia="zh-CN"/>
                    </w:rPr>
                  </w:pPr>
                  <w:r>
                    <w:rPr>
                      <w:rFonts w:hint="eastAsia"/>
                      <w:color w:val="auto"/>
                      <w:lang w:val="en-US" w:eastAsia="zh-CN"/>
                    </w:rPr>
                    <w:t>杂金属分选</w:t>
                  </w:r>
                </w:p>
              </w:tc>
              <w:tc>
                <w:tcPr>
                  <w:tcW w:w="1120" w:type="dxa"/>
                  <w:tcBorders>
                    <w:tl2br w:val="nil"/>
                    <w:tr2bl w:val="nil"/>
                  </w:tcBorders>
                  <w:vAlign w:val="center"/>
                </w:tcPr>
                <w:p w14:paraId="46D204B7">
                  <w:pPr>
                    <w:pStyle w:val="51"/>
                    <w:bidi w:val="0"/>
                    <w:jc w:val="center"/>
                    <w:rPr>
                      <w:rFonts w:hint="default" w:eastAsia="宋体"/>
                      <w:color w:val="auto"/>
                      <w:lang w:val="en-US" w:eastAsia="zh-CN"/>
                    </w:rPr>
                  </w:pPr>
                  <w:r>
                    <w:rPr>
                      <w:rFonts w:hint="eastAsia"/>
                      <w:color w:val="auto"/>
                      <w:lang w:val="en-US" w:eastAsia="zh-CN"/>
                    </w:rPr>
                    <w:t>污泥</w:t>
                  </w:r>
                </w:p>
              </w:tc>
              <w:tc>
                <w:tcPr>
                  <w:tcW w:w="1005" w:type="dxa"/>
                  <w:tcBorders>
                    <w:tl2br w:val="nil"/>
                    <w:tr2bl w:val="nil"/>
                  </w:tcBorders>
                  <w:vAlign w:val="center"/>
                </w:tcPr>
                <w:p w14:paraId="24090E8D">
                  <w:pPr>
                    <w:pStyle w:val="51"/>
                    <w:bidi w:val="0"/>
                    <w:jc w:val="center"/>
                    <w:rPr>
                      <w:rFonts w:hint="default" w:eastAsia="宋体"/>
                      <w:color w:val="auto"/>
                      <w:lang w:val="en-US" w:eastAsia="zh-CN"/>
                    </w:rPr>
                  </w:pPr>
                  <w:r>
                    <w:rPr>
                      <w:rFonts w:hint="eastAsia"/>
                      <w:color w:val="auto"/>
                      <w:lang w:val="en-US" w:eastAsia="zh-CN"/>
                    </w:rPr>
                    <w:t>/</w:t>
                  </w:r>
                </w:p>
              </w:tc>
              <w:tc>
                <w:tcPr>
                  <w:tcW w:w="899" w:type="dxa"/>
                  <w:tcBorders>
                    <w:tl2br w:val="nil"/>
                    <w:tr2bl w:val="nil"/>
                  </w:tcBorders>
                  <w:vAlign w:val="center"/>
                </w:tcPr>
                <w:p w14:paraId="49263067">
                  <w:pPr>
                    <w:pStyle w:val="51"/>
                    <w:bidi w:val="0"/>
                    <w:jc w:val="center"/>
                    <w:rPr>
                      <w:rFonts w:hint="default" w:eastAsia="宋体"/>
                      <w:color w:val="auto"/>
                      <w:lang w:val="en-US" w:eastAsia="zh-CN"/>
                    </w:rPr>
                  </w:pPr>
                  <w:r>
                    <w:rPr>
                      <w:rFonts w:hint="eastAsia"/>
                      <w:color w:val="auto"/>
                      <w:lang w:val="en-US" w:eastAsia="zh-CN"/>
                    </w:rPr>
                    <w:t>/</w:t>
                  </w:r>
                </w:p>
              </w:tc>
              <w:tc>
                <w:tcPr>
                  <w:tcW w:w="1249" w:type="dxa"/>
                  <w:tcBorders>
                    <w:tl2br w:val="nil"/>
                    <w:tr2bl w:val="nil"/>
                  </w:tcBorders>
                  <w:vAlign w:val="center"/>
                </w:tcPr>
                <w:p w14:paraId="2E4299CC">
                  <w:pPr>
                    <w:pStyle w:val="51"/>
                    <w:bidi w:val="0"/>
                    <w:jc w:val="center"/>
                    <w:rPr>
                      <w:rFonts w:hint="eastAsia" w:eastAsia="宋体"/>
                      <w:color w:val="auto"/>
                      <w:lang w:val="en-US" w:eastAsia="zh-CN"/>
                    </w:rPr>
                  </w:pPr>
                  <w:r>
                    <w:rPr>
                      <w:rFonts w:hint="eastAsia"/>
                      <w:color w:val="auto"/>
                      <w:lang w:val="en-US" w:eastAsia="zh-CN"/>
                    </w:rPr>
                    <w:t>/</w:t>
                  </w:r>
                </w:p>
              </w:tc>
              <w:tc>
                <w:tcPr>
                  <w:tcW w:w="791" w:type="dxa"/>
                  <w:tcBorders>
                    <w:tl2br w:val="nil"/>
                    <w:tr2bl w:val="nil"/>
                  </w:tcBorders>
                  <w:vAlign w:val="center"/>
                </w:tcPr>
                <w:p w14:paraId="3261E336">
                  <w:pPr>
                    <w:pStyle w:val="51"/>
                    <w:bidi w:val="0"/>
                    <w:rPr>
                      <w:rFonts w:hint="default"/>
                      <w:lang w:val="en-US" w:eastAsia="zh-CN"/>
                    </w:rPr>
                  </w:pPr>
                  <w:r>
                    <w:rPr>
                      <w:rFonts w:hint="eastAsia"/>
                      <w:lang w:val="en-US" w:eastAsia="zh-CN"/>
                    </w:rPr>
                    <w:t>295.727</w:t>
                  </w:r>
                </w:p>
              </w:tc>
              <w:tc>
                <w:tcPr>
                  <w:tcW w:w="1877" w:type="dxa"/>
                  <w:gridSpan w:val="2"/>
                  <w:tcBorders>
                    <w:tl2br w:val="nil"/>
                    <w:tr2bl w:val="nil"/>
                  </w:tcBorders>
                  <w:vAlign w:val="center"/>
                </w:tcPr>
                <w:p w14:paraId="0F5C39C1">
                  <w:pPr>
                    <w:pStyle w:val="51"/>
                    <w:bidi w:val="0"/>
                    <w:rPr>
                      <w:rFonts w:hint="default"/>
                      <w:lang w:val="en-US" w:eastAsia="zh-CN"/>
                    </w:rPr>
                  </w:pPr>
                  <w:r>
                    <w:rPr>
                      <w:rFonts w:hint="eastAsia"/>
                      <w:lang w:val="en-US" w:eastAsia="zh-CN"/>
                    </w:rPr>
                    <w:t>一般固废填埋场</w:t>
                  </w:r>
                </w:p>
              </w:tc>
            </w:tr>
          </w:tbl>
          <w:p w14:paraId="40BA24AC">
            <w:pPr>
              <w:pStyle w:val="38"/>
              <w:bidi w:val="0"/>
              <w:rPr>
                <w:rFonts w:hint="eastAsia"/>
                <w:color w:val="auto"/>
                <w:lang w:val="en-US" w:eastAsia="zh-CN"/>
              </w:rPr>
            </w:pPr>
            <w:r>
              <w:rPr>
                <w:rFonts w:hint="eastAsia"/>
                <w:color w:val="auto"/>
                <w:lang w:val="en-US" w:eastAsia="zh-CN"/>
              </w:rPr>
              <w:t>2、环境管理要求</w:t>
            </w:r>
          </w:p>
          <w:p w14:paraId="32BEBF32">
            <w:pPr>
              <w:pStyle w:val="38"/>
              <w:bidi w:val="0"/>
              <w:rPr>
                <w:rFonts w:hint="eastAsia"/>
                <w:color w:val="auto"/>
                <w:lang w:val="en-US" w:eastAsia="zh-CN"/>
              </w:rPr>
            </w:pPr>
            <w:r>
              <w:rPr>
                <w:rFonts w:hint="eastAsia"/>
                <w:color w:val="auto"/>
                <w:lang w:val="en-US" w:eastAsia="zh-CN"/>
              </w:rPr>
              <w:t>（1）一般工业固废环境管理要求</w:t>
            </w:r>
          </w:p>
          <w:p w14:paraId="68BF4B97">
            <w:pPr>
              <w:pStyle w:val="38"/>
              <w:bidi w:val="0"/>
              <w:rPr>
                <w:rFonts w:hint="eastAsia"/>
                <w:color w:val="auto"/>
                <w:lang w:val="en-US" w:eastAsia="zh-CN"/>
              </w:rPr>
            </w:pPr>
            <w:r>
              <w:rPr>
                <w:rFonts w:hint="eastAsia"/>
                <w:color w:val="auto"/>
                <w:lang w:val="en-US" w:eastAsia="zh-CN"/>
              </w:rPr>
              <w:t>项目生产过程中产生的废包装、废除尘袋均为一般固废，需按照有关要求进行收集、储存，并按有关规定落实工业固体废物申报登记制度。建设单位还应对产生的固废做好申报等规范化管理，具体如下：</w:t>
            </w:r>
          </w:p>
          <w:p w14:paraId="2389C3DE">
            <w:pPr>
              <w:pStyle w:val="38"/>
              <w:bidi w:val="0"/>
              <w:rPr>
                <w:rFonts w:hint="eastAsia"/>
                <w:color w:val="auto"/>
                <w:lang w:val="en-US" w:eastAsia="zh-CN"/>
              </w:rPr>
            </w:pPr>
            <w:r>
              <w:rPr>
                <w:rFonts w:hint="eastAsia"/>
                <w:color w:val="auto"/>
                <w:lang w:val="en-US" w:eastAsia="zh-CN"/>
              </w:rPr>
              <w:t>项目一般工业固体申报管理应认真落实《中华人民共和国固体废物污染环境防治法》第三十二条：国家实行工业固体废物申报登记制度。产生工业固体废物的单位必须按照国务院环境保护行政主管部门的规定，向所在地县级以上人民政府环境保护行政主管部门提供工业固体废物的种类、产生量、流向、贮存、处置等有关资料。</w:t>
            </w:r>
          </w:p>
          <w:p w14:paraId="61423C9A">
            <w:pPr>
              <w:pStyle w:val="38"/>
              <w:bidi w:val="0"/>
              <w:rPr>
                <w:rFonts w:hint="eastAsia"/>
                <w:color w:val="auto"/>
                <w:lang w:val="en-US" w:eastAsia="zh-CN"/>
              </w:rPr>
            </w:pPr>
            <w:r>
              <w:rPr>
                <w:rFonts w:hint="eastAsia"/>
                <w:color w:val="auto"/>
                <w:lang w:val="en-US" w:eastAsia="zh-CN"/>
              </w:rPr>
              <w:t>同时，企业需自觉履行固体废物申报登记制度。一般工业固体申报管理应认真落实《中华人民共和国固体废物污染环境防治法》（2020年4月29日修订）的相关规定，其中第三十六条规定；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禁止向生活垃圾收集设施中投放工业固体废物。第三十七条规定：第三十七条产生工业固体废物的单位委托他人运输、利用、处置工业固体废物的，应当对受托方的主体资格和技术能力进行核实，依法签订书面合同，在合同中约定污染防治要求。受托方运输、利用、处置工业固体废物，应当依照有关法律法规的规定和合同约定履行污染防治要求，并将运输、利用、处置情况告知产生工业固体废物的单位。产生工业固体废物的单位违反本条第一款规定的，除依照有关法律法规的规定予以处罚外，还应当与造成环境污染和生态破坏的受托方承担连带责任。</w:t>
            </w:r>
          </w:p>
          <w:p w14:paraId="083F095F">
            <w:pPr>
              <w:pStyle w:val="38"/>
              <w:bidi w:val="0"/>
              <w:rPr>
                <w:rFonts w:hint="eastAsia"/>
                <w:color w:val="auto"/>
                <w:lang w:val="en-US" w:eastAsia="zh-CN"/>
              </w:rPr>
            </w:pPr>
            <w:r>
              <w:rPr>
                <w:rFonts w:hint="eastAsia"/>
                <w:color w:val="auto"/>
                <w:lang w:val="en-US" w:eastAsia="zh-CN"/>
              </w:rPr>
              <w:t>一般工业固体废物的贮存设施、场所必须采取防扬散、防流失、防渗漏或者其他防止污染环境的措施，必须符合国家环境保护标准，并对未处理的固体废物做出妥善处理，安全存放。对暂时不利用或者不能回收利用的一般工业固体废物，必须配套建设防雨淋、防渗漏、易识别等符合环境保护标准和管理要求的贮存设施或场所，以及足够的流转空间，按照国家环境保护的技术和管理要求，有专人看管，建立便于核查的进、出物料的台账记录和固体废物明细表。</w:t>
            </w:r>
          </w:p>
          <w:p w14:paraId="67789783">
            <w:pPr>
              <w:pStyle w:val="39"/>
              <w:rPr>
                <w:rFonts w:hint="eastAsia"/>
                <w:color w:val="auto"/>
                <w:lang w:val="en-US" w:eastAsia="zh-CN"/>
              </w:rPr>
            </w:pPr>
            <w:r>
              <w:rPr>
                <w:rFonts w:hint="eastAsia"/>
                <w:color w:val="auto"/>
                <w:lang w:val="en-US" w:eastAsia="zh-CN"/>
              </w:rPr>
              <w:t>（2）危险废物</w:t>
            </w:r>
          </w:p>
          <w:p w14:paraId="4C4075A2">
            <w:pPr>
              <w:pStyle w:val="39"/>
              <w:rPr>
                <w:rFonts w:hint="eastAsia"/>
                <w:color w:val="auto"/>
                <w:lang w:val="en-US" w:eastAsia="zh-CN"/>
              </w:rPr>
            </w:pPr>
            <w:r>
              <w:rPr>
                <w:rFonts w:hint="eastAsia"/>
                <w:color w:val="auto"/>
                <w:lang w:val="en-US" w:eastAsia="zh-CN"/>
              </w:rPr>
              <w:t>项目产生的废机油、浮油属于危险废物，经集中收集后交有危险废物经营许可证的单位处理，并执行危险废物转移联单制度。</w:t>
            </w:r>
          </w:p>
          <w:p w14:paraId="34805EED">
            <w:pPr>
              <w:pStyle w:val="39"/>
              <w:rPr>
                <w:rFonts w:hint="eastAsia"/>
                <w:color w:val="auto"/>
                <w:lang w:val="en-US" w:eastAsia="zh-CN"/>
              </w:rPr>
            </w:pPr>
            <w:r>
              <w:rPr>
                <w:rFonts w:hint="eastAsia"/>
                <w:color w:val="auto"/>
                <w:lang w:val="en-US" w:eastAsia="zh-CN"/>
              </w:rPr>
              <w:t>危险废物须严格按《危险废物贮存污染控制标准》（GB18597-2023）中的有关要求管理。加强对危险废物的管理，对危险废物的产生、利用、收集、运输、贮存、处置等环节建立追踪性的帐目和手续，并纳入环保部门的监督管理。</w:t>
            </w:r>
          </w:p>
          <w:p w14:paraId="0ACE27A1">
            <w:pPr>
              <w:pStyle w:val="39"/>
              <w:rPr>
                <w:rFonts w:hint="eastAsia"/>
                <w:color w:val="auto"/>
                <w:lang w:val="en-US" w:eastAsia="zh-CN"/>
              </w:rPr>
            </w:pPr>
            <w:r>
              <w:rPr>
                <w:rFonts w:hint="eastAsia"/>
                <w:color w:val="auto"/>
                <w:lang w:val="en-US" w:eastAsia="zh-CN"/>
              </w:rPr>
              <w:t>危险废物的贮存和运输注意事项如下：</w:t>
            </w:r>
          </w:p>
          <w:p w14:paraId="58BEBA8B">
            <w:pPr>
              <w:pStyle w:val="39"/>
              <w:rPr>
                <w:rFonts w:hint="eastAsia"/>
                <w:color w:val="auto"/>
                <w:lang w:val="en-US" w:eastAsia="zh-CN"/>
              </w:rPr>
            </w:pPr>
            <w:r>
              <w:rPr>
                <w:rFonts w:hint="eastAsia"/>
                <w:color w:val="auto"/>
                <w:lang w:val="en-US" w:eastAsia="zh-CN"/>
              </w:rPr>
              <w:t>1）危险废物的收集要求</w:t>
            </w:r>
          </w:p>
          <w:p w14:paraId="19F98053">
            <w:pPr>
              <w:pStyle w:val="39"/>
              <w:rPr>
                <w:rFonts w:hint="eastAsia"/>
                <w:color w:val="auto"/>
                <w:lang w:val="en-US" w:eastAsia="zh-CN"/>
              </w:rPr>
            </w:pPr>
            <w:r>
              <w:rPr>
                <w:rFonts w:hint="eastAsia"/>
                <w:color w:val="auto"/>
                <w:lang w:val="en-US" w:eastAsia="zh-CN"/>
              </w:rPr>
              <w:t>①性质类似的废物可收集到同一容器中、性质不相容的危险废物不应混合包装；</w:t>
            </w:r>
          </w:p>
          <w:p w14:paraId="29818309">
            <w:pPr>
              <w:pStyle w:val="39"/>
              <w:rPr>
                <w:rFonts w:hint="eastAsia"/>
                <w:color w:val="auto"/>
                <w:lang w:val="en-US" w:eastAsia="zh-CN"/>
              </w:rPr>
            </w:pPr>
            <w:r>
              <w:rPr>
                <w:rFonts w:hint="eastAsia"/>
                <w:color w:val="auto"/>
                <w:lang w:val="en-US" w:eastAsia="zh-CN"/>
              </w:rPr>
              <w:t>②危险废物包装应能有效隔断危险废物迁移扩散途径，并达到防渗、防漏要求；</w:t>
            </w:r>
          </w:p>
          <w:p w14:paraId="46DD091A">
            <w:pPr>
              <w:pStyle w:val="39"/>
              <w:rPr>
                <w:rFonts w:hint="eastAsia"/>
                <w:color w:val="auto"/>
                <w:lang w:val="en-US" w:eastAsia="zh-CN"/>
              </w:rPr>
            </w:pPr>
            <w:r>
              <w:rPr>
                <w:rFonts w:hint="eastAsia"/>
                <w:color w:val="auto"/>
                <w:lang w:val="en-US" w:eastAsia="zh-CN"/>
              </w:rPr>
              <w:t>③在危险废物的收集和转运过程中，应采取相应的安全防护和污染防治措施，包括防爆、防火、防泄漏、防风、防雨或其它防止污染环境的措施；</w:t>
            </w:r>
          </w:p>
          <w:p w14:paraId="50A3EA4E">
            <w:pPr>
              <w:pStyle w:val="39"/>
              <w:rPr>
                <w:rFonts w:hint="eastAsia"/>
                <w:color w:val="auto"/>
                <w:lang w:val="en-US" w:eastAsia="zh-CN"/>
              </w:rPr>
            </w:pPr>
            <w:r>
              <w:rPr>
                <w:rFonts w:hint="eastAsia"/>
                <w:color w:val="auto"/>
                <w:lang w:val="en-US" w:eastAsia="zh-CN"/>
              </w:rPr>
              <w:t>④危险废物内部转运应综合考虑厂区的实际情况确定转运路线，尽量避开办公区和生活区；</w:t>
            </w:r>
          </w:p>
          <w:p w14:paraId="5B469342">
            <w:pPr>
              <w:pStyle w:val="39"/>
              <w:rPr>
                <w:rFonts w:hint="eastAsia"/>
                <w:color w:val="auto"/>
                <w:lang w:val="en-US" w:eastAsia="zh-CN"/>
              </w:rPr>
            </w:pPr>
            <w:r>
              <w:rPr>
                <w:rFonts w:hint="eastAsia"/>
                <w:color w:val="auto"/>
                <w:lang w:val="en-US" w:eastAsia="zh-CN"/>
              </w:rPr>
              <w:t>⑤危险废物内部转运结束后，应对转运路线进行检查和清理，确保无危险废物遗失在转运路线上，并对转运工具进行清洗；</w:t>
            </w:r>
          </w:p>
          <w:p w14:paraId="187F35E5">
            <w:pPr>
              <w:pStyle w:val="39"/>
              <w:rPr>
                <w:rFonts w:hint="eastAsia"/>
                <w:color w:val="auto"/>
                <w:lang w:val="en-US" w:eastAsia="zh-CN"/>
              </w:rPr>
            </w:pPr>
            <w:r>
              <w:rPr>
                <w:rFonts w:hint="eastAsia"/>
                <w:color w:val="auto"/>
                <w:lang w:val="en-US" w:eastAsia="zh-CN"/>
              </w:rPr>
              <w:t>⑥收集过危险废物的容器、设备、设施、场所及其他物品转作他用时，应消除污染，确保其使用安全。</w:t>
            </w:r>
          </w:p>
          <w:p w14:paraId="2086D59B">
            <w:pPr>
              <w:pStyle w:val="39"/>
              <w:rPr>
                <w:rFonts w:hint="eastAsia"/>
                <w:color w:val="auto"/>
                <w:lang w:val="en-US" w:eastAsia="zh-CN"/>
              </w:rPr>
            </w:pPr>
            <w:r>
              <w:rPr>
                <w:rFonts w:hint="eastAsia"/>
                <w:color w:val="auto"/>
                <w:lang w:val="en-US" w:eastAsia="zh-CN"/>
              </w:rPr>
              <w:t>2）危废贮存场所的要求</w:t>
            </w:r>
          </w:p>
          <w:p w14:paraId="1662D64A">
            <w:pPr>
              <w:pStyle w:val="39"/>
              <w:rPr>
                <w:rFonts w:hint="eastAsia"/>
                <w:color w:val="auto"/>
                <w:lang w:val="en-US" w:eastAsia="zh-CN"/>
              </w:rPr>
            </w:pPr>
            <w:r>
              <w:rPr>
                <w:rFonts w:hint="eastAsia"/>
                <w:color w:val="auto"/>
                <w:lang w:val="en-US" w:eastAsia="zh-CN"/>
              </w:rPr>
              <w:t>项目运营期产生的危险废物应委托具有危险废物经营资质的单位统一收集并妥善处置；同时，项目需设置专门的危险固废收集设施，与普通的城市生活垃圾区别开来。危险废物临时贮存设施要符合《危险废物贮存污染控制标准》（GB18597-2023）的有关规定。且严格按环发《国家危险废物名录（2021年版）》中的有关要求实施。</w:t>
            </w:r>
          </w:p>
          <w:p w14:paraId="66809DF2">
            <w:pPr>
              <w:pStyle w:val="39"/>
              <w:rPr>
                <w:rFonts w:hint="eastAsia"/>
                <w:color w:val="auto"/>
                <w:lang w:val="en-US" w:eastAsia="zh-CN"/>
              </w:rPr>
            </w:pPr>
            <w:r>
              <w:rPr>
                <w:rFonts w:hint="eastAsia"/>
                <w:color w:val="auto"/>
                <w:lang w:val="en-US" w:eastAsia="zh-CN"/>
              </w:rPr>
              <w:t>项目危险废物均采用防渗容器盛装，在贮存过程中不会产生浸出液， 因此无需设置浸出液收集系统。盛装危险废物的容器上必须粘贴标签，标签内容应包括物类别、行业来源、废物代码、危险废物和危险特性。为降低危废渗漏的影响，建设单位拟在危废暂存点设置防水、防腐特殊保护层， 危险废物在厂区内收集后，暂存于防风、防雨、防晒、防渗的危废暂存场所。</w:t>
            </w:r>
          </w:p>
          <w:p w14:paraId="4CD5E596">
            <w:pPr>
              <w:pStyle w:val="39"/>
              <w:rPr>
                <w:rFonts w:hint="eastAsia"/>
                <w:color w:val="auto"/>
                <w:lang w:val="en-US" w:eastAsia="zh-CN"/>
              </w:rPr>
            </w:pPr>
            <w:r>
              <w:rPr>
                <w:rFonts w:hint="eastAsia"/>
                <w:color w:val="auto"/>
                <w:lang w:val="en-US" w:eastAsia="zh-CN"/>
              </w:rPr>
              <w:t>危险废物在堆放时若管理不当容易发生扩散和泄漏，进而对环境造成污染，甚至损害人们的健康。因此，根据《危险废物贮存污染控制标准》（GB18958-2023）的相关要求，本评价建议项目落实以下措施：</w:t>
            </w:r>
          </w:p>
          <w:p w14:paraId="6E4A0E71">
            <w:pPr>
              <w:pStyle w:val="39"/>
              <w:rPr>
                <w:rFonts w:hint="eastAsia"/>
                <w:color w:val="auto"/>
                <w:lang w:val="en-US" w:eastAsia="zh-CN"/>
              </w:rPr>
            </w:pPr>
            <w:r>
              <w:rPr>
                <w:rFonts w:hint="eastAsia"/>
                <w:color w:val="auto"/>
                <w:lang w:val="en-US" w:eastAsia="zh-CN"/>
              </w:rPr>
              <w:t>①危险废物集中贮存场所的选址位于项目生产车间内，贮存设施底部高于地下水最高水位。</w:t>
            </w:r>
          </w:p>
          <w:p w14:paraId="5F1D9E2B">
            <w:pPr>
              <w:pStyle w:val="39"/>
              <w:rPr>
                <w:rFonts w:hint="eastAsia"/>
                <w:color w:val="auto"/>
                <w:lang w:val="en-US" w:eastAsia="zh-CN"/>
              </w:rPr>
            </w:pPr>
            <w:r>
              <w:rPr>
                <w:rFonts w:hint="eastAsia"/>
                <w:color w:val="auto"/>
                <w:lang w:val="en-US" w:eastAsia="zh-CN"/>
              </w:rPr>
              <w:t>②危险废物贮存设施要用坚固、防渗的材料建造，建筑材料必须与危险废物相容。</w:t>
            </w:r>
          </w:p>
          <w:p w14:paraId="011F09EA">
            <w:pPr>
              <w:pStyle w:val="39"/>
              <w:rPr>
                <w:rFonts w:hint="eastAsia"/>
                <w:color w:val="auto"/>
                <w:lang w:val="en-US" w:eastAsia="zh-CN"/>
              </w:rPr>
            </w:pPr>
            <w:r>
              <w:rPr>
                <w:rFonts w:hint="eastAsia"/>
                <w:color w:val="auto"/>
                <w:lang w:val="en-US" w:eastAsia="zh-CN"/>
              </w:rPr>
              <w:t>③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w:t>
            </w:r>
            <w:r>
              <w:rPr>
                <w:rFonts w:hint="eastAsia"/>
                <w:color w:val="auto"/>
                <w:vertAlign w:val="superscript"/>
                <w:lang w:val="en-US" w:eastAsia="zh-CN"/>
              </w:rPr>
              <w:t>-7</w:t>
            </w:r>
            <w:r>
              <w:rPr>
                <w:rFonts w:hint="eastAsia"/>
                <w:color w:val="auto"/>
                <w:lang w:val="en-US" w:eastAsia="zh-CN"/>
              </w:rPr>
              <w:t>cm/s），或至少2mm厚高密度聚乙烯膜等人工防渗材料（渗透系数不大于10</w:t>
            </w:r>
            <w:r>
              <w:rPr>
                <w:rFonts w:hint="eastAsia"/>
                <w:color w:val="auto"/>
                <w:vertAlign w:val="superscript"/>
                <w:lang w:val="en-US" w:eastAsia="zh-CN"/>
              </w:rPr>
              <w:t>-10</w:t>
            </w:r>
            <w:r>
              <w:rPr>
                <w:rFonts w:hint="eastAsia"/>
                <w:color w:val="auto"/>
                <w:lang w:val="en-US" w:eastAsia="zh-CN"/>
              </w:rPr>
              <w:t>cm/s），或其他防渗性能等效的材料。</w:t>
            </w:r>
          </w:p>
          <w:p w14:paraId="13A81417">
            <w:pPr>
              <w:pStyle w:val="39"/>
              <w:rPr>
                <w:rFonts w:hint="eastAsia"/>
                <w:color w:val="auto"/>
                <w:lang w:val="en-US" w:eastAsia="zh-CN"/>
              </w:rPr>
            </w:pPr>
            <w:r>
              <w:rPr>
                <w:rFonts w:hint="eastAsia"/>
                <w:color w:val="auto"/>
                <w:lang w:val="en-US" w:eastAsia="zh-CN"/>
              </w:rPr>
              <w:t>④危险废物堆放要防风、防雨、防晒。</w:t>
            </w:r>
          </w:p>
          <w:p w14:paraId="653B9ECE">
            <w:pPr>
              <w:pStyle w:val="39"/>
              <w:rPr>
                <w:rFonts w:hint="eastAsia"/>
                <w:color w:val="auto"/>
                <w:lang w:val="en-US" w:eastAsia="zh-CN"/>
              </w:rPr>
            </w:pPr>
            <w:r>
              <w:rPr>
                <w:rFonts w:hint="eastAsia"/>
                <w:color w:val="auto"/>
                <w:lang w:val="en-US" w:eastAsia="zh-CN"/>
              </w:rPr>
              <w:t>3）危险废物的运输要求</w:t>
            </w:r>
          </w:p>
          <w:p w14:paraId="25352A96">
            <w:pPr>
              <w:pStyle w:val="39"/>
              <w:rPr>
                <w:rFonts w:hint="eastAsia"/>
                <w:color w:val="auto"/>
                <w:lang w:val="en-US" w:eastAsia="zh-CN"/>
              </w:rPr>
            </w:pPr>
            <w:r>
              <w:rPr>
                <w:rFonts w:hint="eastAsia"/>
                <w:color w:val="auto"/>
                <w:lang w:val="en-US" w:eastAsia="zh-CN"/>
              </w:rPr>
              <w:t>按照《危险废物收集贮存运输技术规范》（HJ2025-2012），本项目危险废物的运输由持有危险废物经营许可证的单位按照其许可证的经营范围组织，并由获得交通运输部门颁发的危险货物运输资质的单位承担运输。危险废物运输时的中转、装卸过程应遵守规范技术要求：</w:t>
            </w:r>
          </w:p>
          <w:p w14:paraId="1F169878">
            <w:pPr>
              <w:pStyle w:val="39"/>
              <w:rPr>
                <w:rFonts w:hint="eastAsia"/>
                <w:color w:val="auto"/>
                <w:lang w:val="en-US" w:eastAsia="zh-CN"/>
              </w:rPr>
            </w:pPr>
            <w:r>
              <w:rPr>
                <w:rFonts w:hint="eastAsia"/>
                <w:color w:val="auto"/>
                <w:lang w:val="en-US" w:eastAsia="zh-CN"/>
              </w:rPr>
              <w:t>①装卸区的工作人员应熟悉废物的危险特性并配备适当的个人防护装备；</w:t>
            </w:r>
          </w:p>
          <w:p w14:paraId="433C902C">
            <w:pPr>
              <w:pStyle w:val="39"/>
              <w:rPr>
                <w:rFonts w:hint="eastAsia"/>
                <w:color w:val="auto"/>
                <w:lang w:val="en-US" w:eastAsia="zh-CN"/>
              </w:rPr>
            </w:pPr>
            <w:r>
              <w:rPr>
                <w:rFonts w:hint="eastAsia"/>
                <w:color w:val="auto"/>
                <w:lang w:val="en-US" w:eastAsia="zh-CN"/>
              </w:rPr>
              <w:t>②装卸区应配备必要的消防设备和设施，并设置明显的指示标志；</w:t>
            </w:r>
          </w:p>
          <w:p w14:paraId="46FB355F">
            <w:pPr>
              <w:pStyle w:val="39"/>
              <w:rPr>
                <w:rFonts w:hint="eastAsia"/>
                <w:color w:val="auto"/>
                <w:lang w:val="en-US" w:eastAsia="zh-CN"/>
              </w:rPr>
            </w:pPr>
            <w:r>
              <w:rPr>
                <w:rFonts w:hint="eastAsia"/>
                <w:color w:val="auto"/>
                <w:lang w:val="en-US" w:eastAsia="zh-CN"/>
              </w:rPr>
              <w:t>③危险废物装卸区应设置隔离设施。</w:t>
            </w:r>
          </w:p>
          <w:p w14:paraId="77DE9FF0">
            <w:pPr>
              <w:pStyle w:val="39"/>
              <w:rPr>
                <w:rFonts w:hint="eastAsia"/>
                <w:color w:val="auto"/>
                <w:lang w:val="en-US" w:eastAsia="zh-CN"/>
              </w:rPr>
            </w:pPr>
            <w:r>
              <w:rPr>
                <w:rFonts w:hint="eastAsia"/>
                <w:color w:val="auto"/>
                <w:lang w:val="en-US" w:eastAsia="zh-CN"/>
              </w:rPr>
              <w:t>项目产生的危险废物严格按照危险废物运输的管理规定进行运输，减少运输过程中的二次污染和可能造成的环境风险，因此采取的污染防治措施可行。</w:t>
            </w:r>
          </w:p>
          <w:p w14:paraId="6BCA7C78">
            <w:pPr>
              <w:pStyle w:val="38"/>
              <w:bidi w:val="0"/>
              <w:rPr>
                <w:rFonts w:hint="eastAsia"/>
                <w:color w:val="auto"/>
                <w:lang w:val="en-US" w:eastAsia="zh-CN"/>
              </w:rPr>
            </w:pPr>
            <w:r>
              <w:rPr>
                <w:color w:val="auto"/>
              </w:rPr>
              <w:t>3、环境影响评价结论</w:t>
            </w:r>
          </w:p>
          <w:p w14:paraId="1008B50F">
            <w:pPr>
              <w:pStyle w:val="38"/>
              <w:bidi w:val="0"/>
              <w:rPr>
                <w:color w:val="auto"/>
              </w:rPr>
            </w:pPr>
            <w:r>
              <w:rPr>
                <w:color w:val="auto"/>
              </w:rPr>
              <w:t>项目运营后产生的固体废物种类明确，各类固体废物处置去向明确，切实可行，不会造成二次污染。因此，采取上述措施后一般工业固体废物在场内采用库房或包装工具贮存，贮存过程满足相应防渗漏、防雨、防扬尘等环境保护要求。危险废物的处理措施和处置方案满足《危险废物贮存污染控制标准》(GB18597-2023)要求，对周围环境影响较小。</w:t>
            </w:r>
          </w:p>
          <w:p w14:paraId="6445B771">
            <w:pPr>
              <w:pStyle w:val="4"/>
              <w:bidi w:val="0"/>
              <w:rPr>
                <w:color w:val="auto"/>
              </w:rPr>
            </w:pPr>
            <w:r>
              <w:rPr>
                <w:rFonts w:hint="eastAsia"/>
                <w:color w:val="auto"/>
                <w:lang w:val="en-US" w:eastAsia="zh-CN"/>
              </w:rPr>
              <w:t>4.2.5</w:t>
            </w:r>
            <w:r>
              <w:rPr>
                <w:color w:val="auto"/>
              </w:rPr>
              <w:t>地下水、土壤</w:t>
            </w:r>
          </w:p>
          <w:p w14:paraId="040CAD3F">
            <w:pPr>
              <w:pStyle w:val="38"/>
              <w:bidi w:val="0"/>
              <w:rPr>
                <w:color w:val="auto"/>
              </w:rPr>
            </w:pPr>
            <w:r>
              <w:rPr>
                <w:color w:val="auto"/>
              </w:rPr>
              <w:t>1、地下水</w:t>
            </w:r>
          </w:p>
          <w:p w14:paraId="32BEE60C">
            <w:pPr>
              <w:pStyle w:val="38"/>
              <w:bidi w:val="0"/>
              <w:rPr>
                <w:color w:val="auto"/>
              </w:rPr>
            </w:pPr>
            <w:r>
              <w:rPr>
                <w:color w:val="auto"/>
              </w:rPr>
              <w:t>本项目生产废水中不涉及重金属和持久性有机污染物，循环使用不外排。</w:t>
            </w:r>
          </w:p>
          <w:p w14:paraId="5987B6C0">
            <w:pPr>
              <w:pStyle w:val="38"/>
              <w:bidi w:val="0"/>
              <w:rPr>
                <w:color w:val="auto"/>
              </w:rPr>
            </w:pPr>
            <w:r>
              <w:rPr>
                <w:color w:val="auto"/>
              </w:rPr>
              <w:t>正常情况下，项目运营期生活污水不会发生渗漏从而污染地下水。事故情况下，主要是循环水池体构筑物底部防渗层或污水管道破裂，导致废水泄露污染地下水及土壤。因此要求建设单位需做好污水处理区的防渗措施以阻断废水下渗的污染途径，并加强污水管道及设备的日常检查和维护管理， 确保管道及设备不出现跑、冒、滴、漏的现象出现，可减小事故情况下对项目所在区域地下水及土壤环境的影响。</w:t>
            </w:r>
          </w:p>
          <w:p w14:paraId="6708C062">
            <w:pPr>
              <w:pStyle w:val="38"/>
              <w:bidi w:val="0"/>
              <w:rPr>
                <w:color w:val="auto"/>
              </w:rPr>
            </w:pPr>
            <w:r>
              <w:rPr>
                <w:color w:val="auto"/>
              </w:rPr>
              <w:t>根据《环境影响评价技术导则•地下水环境》（HJ610-2016）规定，将厂区实施分区防渗，划分为重点防渗区、一般污染防治区和简单防渗区进行防渗处理。重点防渗区铺设2.0mmHDPE防渗膜，渗透系数不大于1.0×10</w:t>
            </w:r>
            <w:r>
              <w:rPr>
                <w:color w:val="auto"/>
                <w:vertAlign w:val="superscript"/>
              </w:rPr>
              <w:t>-10</w:t>
            </w:r>
            <w:r>
              <w:rPr>
                <w:color w:val="auto"/>
              </w:rPr>
              <w:t>cm/s；一般污染防治区防渗要求为等效黏土防渗层不低于1.5m，渗透系数1.0×10</w:t>
            </w:r>
            <w:r>
              <w:rPr>
                <w:color w:val="auto"/>
                <w:vertAlign w:val="superscript"/>
              </w:rPr>
              <w:t>-7</w:t>
            </w:r>
            <w:r>
              <w:rPr>
                <w:color w:val="auto"/>
              </w:rPr>
              <w:t>cm/s；简单防渗区按一般地面硬化处理。具体要求见下表。</w:t>
            </w:r>
          </w:p>
          <w:p w14:paraId="6732983B">
            <w:pPr>
              <w:pStyle w:val="46"/>
              <w:bidi w:val="0"/>
              <w:rPr>
                <w:color w:val="auto"/>
              </w:rPr>
            </w:pPr>
            <w:r>
              <w:rPr>
                <w:color w:val="auto"/>
              </w:rPr>
              <w:t>表4-1</w:t>
            </w:r>
            <w:r>
              <w:rPr>
                <w:rFonts w:hint="eastAsia"/>
                <w:color w:val="auto"/>
                <w:lang w:val="en-US" w:eastAsia="zh-CN"/>
              </w:rPr>
              <w:t>2</w:t>
            </w:r>
            <w:r>
              <w:rPr>
                <w:color w:val="auto"/>
              </w:rPr>
              <w:t xml:space="preserve"> </w:t>
            </w:r>
            <w:r>
              <w:rPr>
                <w:rFonts w:hint="eastAsia"/>
                <w:color w:val="auto"/>
                <w:lang w:val="en-US" w:eastAsia="zh-CN"/>
              </w:rPr>
              <w:t xml:space="preserve"> </w:t>
            </w:r>
            <w:r>
              <w:rPr>
                <w:color w:val="auto"/>
              </w:rPr>
              <w:t xml:space="preserve"> 项目分区保护措施</w:t>
            </w:r>
          </w:p>
          <w:tbl>
            <w:tblPr>
              <w:tblStyle w:val="114"/>
              <w:tblW w:w="79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9"/>
              <w:gridCol w:w="1186"/>
              <w:gridCol w:w="1301"/>
              <w:gridCol w:w="1451"/>
              <w:gridCol w:w="1981"/>
              <w:gridCol w:w="1199"/>
            </w:tblGrid>
            <w:tr w14:paraId="13C86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819" w:type="dxa"/>
                  <w:tcBorders>
                    <w:tl2br w:val="nil"/>
                    <w:tr2bl w:val="nil"/>
                  </w:tcBorders>
                  <w:vAlign w:val="center"/>
                </w:tcPr>
                <w:p w14:paraId="1631F4FE">
                  <w:pPr>
                    <w:pStyle w:val="51"/>
                    <w:bidi w:val="0"/>
                    <w:jc w:val="center"/>
                    <w:rPr>
                      <w:color w:val="auto"/>
                    </w:rPr>
                  </w:pPr>
                  <w:r>
                    <w:rPr>
                      <w:color w:val="auto"/>
                    </w:rPr>
                    <w:t>防渗分区</w:t>
                  </w:r>
                </w:p>
              </w:tc>
              <w:tc>
                <w:tcPr>
                  <w:tcW w:w="1186" w:type="dxa"/>
                  <w:tcBorders>
                    <w:tl2br w:val="nil"/>
                    <w:tr2bl w:val="nil"/>
                  </w:tcBorders>
                  <w:vAlign w:val="center"/>
                </w:tcPr>
                <w:p w14:paraId="43BDD9E9">
                  <w:pPr>
                    <w:pStyle w:val="51"/>
                    <w:bidi w:val="0"/>
                    <w:jc w:val="center"/>
                    <w:rPr>
                      <w:color w:val="auto"/>
                    </w:rPr>
                  </w:pPr>
                  <w:r>
                    <w:rPr>
                      <w:color w:val="auto"/>
                    </w:rPr>
                    <w:t>天然包气带防污性能</w:t>
                  </w:r>
                </w:p>
              </w:tc>
              <w:tc>
                <w:tcPr>
                  <w:tcW w:w="1301" w:type="dxa"/>
                  <w:tcBorders>
                    <w:tl2br w:val="nil"/>
                    <w:tr2bl w:val="nil"/>
                  </w:tcBorders>
                  <w:vAlign w:val="center"/>
                </w:tcPr>
                <w:p w14:paraId="0B54C136">
                  <w:pPr>
                    <w:pStyle w:val="51"/>
                    <w:bidi w:val="0"/>
                    <w:jc w:val="center"/>
                    <w:rPr>
                      <w:color w:val="auto"/>
                    </w:rPr>
                  </w:pPr>
                  <w:r>
                    <w:rPr>
                      <w:rFonts w:hint="eastAsia"/>
                      <w:color w:val="auto"/>
                      <w:lang w:val="en-US" w:eastAsia="zh-CN"/>
                    </w:rPr>
                    <w:t>污染</w:t>
                  </w:r>
                  <w:r>
                    <w:rPr>
                      <w:color w:val="auto"/>
                    </w:rPr>
                    <w:t>控制难易程度</w:t>
                  </w:r>
                </w:p>
              </w:tc>
              <w:tc>
                <w:tcPr>
                  <w:tcW w:w="1451" w:type="dxa"/>
                  <w:tcBorders>
                    <w:tl2br w:val="nil"/>
                    <w:tr2bl w:val="nil"/>
                  </w:tcBorders>
                  <w:vAlign w:val="center"/>
                </w:tcPr>
                <w:p w14:paraId="1A605EB9">
                  <w:pPr>
                    <w:pStyle w:val="51"/>
                    <w:bidi w:val="0"/>
                    <w:jc w:val="center"/>
                    <w:rPr>
                      <w:color w:val="auto"/>
                    </w:rPr>
                  </w:pPr>
                  <w:r>
                    <w:rPr>
                      <w:color w:val="auto"/>
                    </w:rPr>
                    <w:t>污染物类型</w:t>
                  </w:r>
                </w:p>
              </w:tc>
              <w:tc>
                <w:tcPr>
                  <w:tcW w:w="1981" w:type="dxa"/>
                  <w:tcBorders>
                    <w:tl2br w:val="nil"/>
                    <w:tr2bl w:val="nil"/>
                  </w:tcBorders>
                  <w:vAlign w:val="center"/>
                </w:tcPr>
                <w:p w14:paraId="7714F6E3">
                  <w:pPr>
                    <w:pStyle w:val="51"/>
                    <w:bidi w:val="0"/>
                    <w:jc w:val="center"/>
                    <w:rPr>
                      <w:color w:val="auto"/>
                    </w:rPr>
                  </w:pPr>
                  <w:r>
                    <w:rPr>
                      <w:color w:val="auto"/>
                    </w:rPr>
                    <w:t>防渗技术要求</w:t>
                  </w:r>
                </w:p>
              </w:tc>
              <w:tc>
                <w:tcPr>
                  <w:tcW w:w="1199" w:type="dxa"/>
                  <w:tcBorders>
                    <w:tl2br w:val="nil"/>
                    <w:tr2bl w:val="nil"/>
                  </w:tcBorders>
                  <w:vAlign w:val="center"/>
                </w:tcPr>
                <w:p w14:paraId="6166B312">
                  <w:pPr>
                    <w:pStyle w:val="51"/>
                    <w:bidi w:val="0"/>
                    <w:jc w:val="center"/>
                    <w:rPr>
                      <w:color w:val="auto"/>
                    </w:rPr>
                  </w:pPr>
                  <w:r>
                    <w:rPr>
                      <w:color w:val="auto"/>
                    </w:rPr>
                    <w:t>防渗区域</w:t>
                  </w:r>
                </w:p>
              </w:tc>
            </w:tr>
            <w:tr w14:paraId="1D702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jc w:val="center"/>
              </w:trPr>
              <w:tc>
                <w:tcPr>
                  <w:tcW w:w="819" w:type="dxa"/>
                  <w:vMerge w:val="restart"/>
                  <w:tcBorders>
                    <w:tl2br w:val="nil"/>
                    <w:tr2bl w:val="nil"/>
                  </w:tcBorders>
                  <w:vAlign w:val="center"/>
                </w:tcPr>
                <w:p w14:paraId="02254952">
                  <w:pPr>
                    <w:pStyle w:val="51"/>
                    <w:bidi w:val="0"/>
                    <w:jc w:val="center"/>
                    <w:rPr>
                      <w:color w:val="auto"/>
                    </w:rPr>
                  </w:pPr>
                  <w:r>
                    <w:rPr>
                      <w:color w:val="auto"/>
                    </w:rPr>
                    <w:t>重点防渗区</w:t>
                  </w:r>
                </w:p>
              </w:tc>
              <w:tc>
                <w:tcPr>
                  <w:tcW w:w="1186" w:type="dxa"/>
                  <w:tcBorders>
                    <w:tl2br w:val="nil"/>
                    <w:tr2bl w:val="nil"/>
                  </w:tcBorders>
                  <w:vAlign w:val="center"/>
                </w:tcPr>
                <w:p w14:paraId="5D20A578">
                  <w:pPr>
                    <w:pStyle w:val="51"/>
                    <w:bidi w:val="0"/>
                    <w:jc w:val="center"/>
                    <w:rPr>
                      <w:color w:val="auto"/>
                    </w:rPr>
                  </w:pPr>
                  <w:r>
                    <w:rPr>
                      <w:color w:val="auto"/>
                    </w:rPr>
                    <w:t>弱</w:t>
                  </w:r>
                </w:p>
              </w:tc>
              <w:tc>
                <w:tcPr>
                  <w:tcW w:w="1301" w:type="dxa"/>
                  <w:tcBorders>
                    <w:tl2br w:val="nil"/>
                    <w:tr2bl w:val="nil"/>
                  </w:tcBorders>
                  <w:vAlign w:val="center"/>
                </w:tcPr>
                <w:p w14:paraId="415A780B">
                  <w:pPr>
                    <w:pStyle w:val="51"/>
                    <w:bidi w:val="0"/>
                    <w:jc w:val="center"/>
                    <w:rPr>
                      <w:color w:val="auto"/>
                    </w:rPr>
                  </w:pPr>
                  <w:r>
                    <w:rPr>
                      <w:color w:val="auto"/>
                    </w:rPr>
                    <w:t>难</w:t>
                  </w:r>
                </w:p>
              </w:tc>
              <w:tc>
                <w:tcPr>
                  <w:tcW w:w="1451" w:type="dxa"/>
                  <w:vMerge w:val="restart"/>
                  <w:tcBorders>
                    <w:tl2br w:val="nil"/>
                    <w:tr2bl w:val="nil"/>
                  </w:tcBorders>
                  <w:vAlign w:val="center"/>
                </w:tcPr>
                <w:p w14:paraId="772D6D3C">
                  <w:pPr>
                    <w:pStyle w:val="51"/>
                    <w:bidi w:val="0"/>
                    <w:jc w:val="center"/>
                    <w:rPr>
                      <w:color w:val="auto"/>
                    </w:rPr>
                  </w:pPr>
                  <w:r>
                    <w:rPr>
                      <w:color w:val="auto"/>
                    </w:rPr>
                    <w:t>重金属、持久性有机物污染物</w:t>
                  </w:r>
                </w:p>
              </w:tc>
              <w:tc>
                <w:tcPr>
                  <w:tcW w:w="1981" w:type="dxa"/>
                  <w:vMerge w:val="restart"/>
                  <w:tcBorders>
                    <w:tl2br w:val="nil"/>
                    <w:tr2bl w:val="nil"/>
                  </w:tcBorders>
                  <w:vAlign w:val="center"/>
                </w:tcPr>
                <w:p w14:paraId="27A9E1B8">
                  <w:pPr>
                    <w:pStyle w:val="51"/>
                    <w:bidi w:val="0"/>
                    <w:jc w:val="center"/>
                    <w:rPr>
                      <w:color w:val="auto"/>
                    </w:rPr>
                  </w:pPr>
                  <w:r>
                    <w:rPr>
                      <w:color w:val="auto"/>
                    </w:rPr>
                    <w:t>等效黏土防渗层≥6.0m，K≤1×10</w:t>
                  </w:r>
                  <w:r>
                    <w:rPr>
                      <w:color w:val="auto"/>
                      <w:vertAlign w:val="superscript"/>
                    </w:rPr>
                    <w:t>-7</w:t>
                  </w:r>
                  <w:r>
                    <w:rPr>
                      <w:color w:val="auto"/>
                    </w:rPr>
                    <w:t>cm/s；或参照GB18598执行</w:t>
                  </w:r>
                </w:p>
              </w:tc>
              <w:tc>
                <w:tcPr>
                  <w:tcW w:w="1199" w:type="dxa"/>
                  <w:vMerge w:val="restart"/>
                  <w:tcBorders>
                    <w:tl2br w:val="nil"/>
                    <w:tr2bl w:val="nil"/>
                  </w:tcBorders>
                  <w:vAlign w:val="center"/>
                </w:tcPr>
                <w:p w14:paraId="4BAD4D7A">
                  <w:pPr>
                    <w:pStyle w:val="51"/>
                    <w:bidi w:val="0"/>
                    <w:jc w:val="center"/>
                    <w:rPr>
                      <w:rFonts w:hint="eastAsia" w:eastAsia="宋体"/>
                      <w:color w:val="auto"/>
                      <w:lang w:val="en-US" w:eastAsia="zh-CN"/>
                    </w:rPr>
                  </w:pPr>
                  <w:r>
                    <w:rPr>
                      <w:color w:val="auto"/>
                    </w:rPr>
                    <w:t>危险废物暂存间</w:t>
                  </w:r>
                  <w:r>
                    <w:rPr>
                      <w:spacing w:val="-13"/>
                    </w:rPr>
                    <w:t>、循环沉</w:t>
                  </w:r>
                  <w:r>
                    <w:rPr>
                      <w:spacing w:val="2"/>
                    </w:rPr>
                    <w:t xml:space="preserve"> </w:t>
                  </w:r>
                  <w:r>
                    <w:rPr>
                      <w:spacing w:val="-13"/>
                    </w:rPr>
                    <w:t>淀池、事故水池、漂浮槽</w:t>
                  </w:r>
                </w:p>
              </w:tc>
            </w:tr>
            <w:tr w14:paraId="1F1AD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jc w:val="center"/>
              </w:trPr>
              <w:tc>
                <w:tcPr>
                  <w:tcW w:w="819" w:type="dxa"/>
                  <w:vMerge w:val="continue"/>
                  <w:tcBorders>
                    <w:tl2br w:val="nil"/>
                    <w:tr2bl w:val="nil"/>
                  </w:tcBorders>
                  <w:vAlign w:val="center"/>
                </w:tcPr>
                <w:p w14:paraId="01A1B5C7">
                  <w:pPr>
                    <w:pStyle w:val="51"/>
                    <w:bidi w:val="0"/>
                    <w:jc w:val="center"/>
                    <w:rPr>
                      <w:color w:val="auto"/>
                    </w:rPr>
                  </w:pPr>
                </w:p>
              </w:tc>
              <w:tc>
                <w:tcPr>
                  <w:tcW w:w="1186" w:type="dxa"/>
                  <w:tcBorders>
                    <w:tl2br w:val="nil"/>
                    <w:tr2bl w:val="nil"/>
                  </w:tcBorders>
                  <w:vAlign w:val="center"/>
                </w:tcPr>
                <w:p w14:paraId="31FA3647">
                  <w:pPr>
                    <w:pStyle w:val="51"/>
                    <w:bidi w:val="0"/>
                    <w:jc w:val="center"/>
                    <w:rPr>
                      <w:color w:val="auto"/>
                    </w:rPr>
                  </w:pPr>
                  <w:r>
                    <w:rPr>
                      <w:color w:val="auto"/>
                    </w:rPr>
                    <w:t>中-强</w:t>
                  </w:r>
                </w:p>
              </w:tc>
              <w:tc>
                <w:tcPr>
                  <w:tcW w:w="1301" w:type="dxa"/>
                  <w:tcBorders>
                    <w:tl2br w:val="nil"/>
                    <w:tr2bl w:val="nil"/>
                  </w:tcBorders>
                  <w:vAlign w:val="center"/>
                </w:tcPr>
                <w:p w14:paraId="1F051FF3">
                  <w:pPr>
                    <w:pStyle w:val="51"/>
                    <w:bidi w:val="0"/>
                    <w:jc w:val="center"/>
                    <w:rPr>
                      <w:color w:val="auto"/>
                    </w:rPr>
                  </w:pPr>
                  <w:r>
                    <w:rPr>
                      <w:color w:val="auto"/>
                    </w:rPr>
                    <w:t>难</w:t>
                  </w:r>
                </w:p>
              </w:tc>
              <w:tc>
                <w:tcPr>
                  <w:tcW w:w="1451" w:type="dxa"/>
                  <w:vMerge w:val="continue"/>
                  <w:tcBorders>
                    <w:tl2br w:val="nil"/>
                    <w:tr2bl w:val="nil"/>
                  </w:tcBorders>
                  <w:vAlign w:val="center"/>
                </w:tcPr>
                <w:p w14:paraId="22462B04">
                  <w:pPr>
                    <w:pStyle w:val="51"/>
                    <w:bidi w:val="0"/>
                    <w:jc w:val="center"/>
                    <w:rPr>
                      <w:color w:val="auto"/>
                    </w:rPr>
                  </w:pPr>
                </w:p>
              </w:tc>
              <w:tc>
                <w:tcPr>
                  <w:tcW w:w="1981" w:type="dxa"/>
                  <w:vMerge w:val="continue"/>
                  <w:tcBorders>
                    <w:tl2br w:val="nil"/>
                    <w:tr2bl w:val="nil"/>
                  </w:tcBorders>
                  <w:vAlign w:val="center"/>
                </w:tcPr>
                <w:p w14:paraId="7AC30047">
                  <w:pPr>
                    <w:pStyle w:val="51"/>
                    <w:bidi w:val="0"/>
                    <w:jc w:val="center"/>
                    <w:rPr>
                      <w:color w:val="auto"/>
                    </w:rPr>
                  </w:pPr>
                </w:p>
              </w:tc>
              <w:tc>
                <w:tcPr>
                  <w:tcW w:w="1199" w:type="dxa"/>
                  <w:vMerge w:val="continue"/>
                  <w:tcBorders>
                    <w:tl2br w:val="nil"/>
                    <w:tr2bl w:val="nil"/>
                  </w:tcBorders>
                  <w:vAlign w:val="center"/>
                </w:tcPr>
                <w:p w14:paraId="3D9F8B24">
                  <w:pPr>
                    <w:pStyle w:val="51"/>
                    <w:bidi w:val="0"/>
                    <w:jc w:val="center"/>
                    <w:rPr>
                      <w:color w:val="auto"/>
                    </w:rPr>
                  </w:pPr>
                </w:p>
              </w:tc>
            </w:tr>
            <w:tr w14:paraId="7C59A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jc w:val="center"/>
              </w:trPr>
              <w:tc>
                <w:tcPr>
                  <w:tcW w:w="819" w:type="dxa"/>
                  <w:vMerge w:val="continue"/>
                  <w:tcBorders>
                    <w:tl2br w:val="nil"/>
                    <w:tr2bl w:val="nil"/>
                  </w:tcBorders>
                  <w:vAlign w:val="center"/>
                </w:tcPr>
                <w:p w14:paraId="232AB9D5">
                  <w:pPr>
                    <w:pStyle w:val="51"/>
                    <w:bidi w:val="0"/>
                    <w:jc w:val="center"/>
                    <w:rPr>
                      <w:color w:val="auto"/>
                    </w:rPr>
                  </w:pPr>
                </w:p>
              </w:tc>
              <w:tc>
                <w:tcPr>
                  <w:tcW w:w="1186" w:type="dxa"/>
                  <w:tcBorders>
                    <w:tl2br w:val="nil"/>
                    <w:tr2bl w:val="nil"/>
                  </w:tcBorders>
                  <w:vAlign w:val="center"/>
                </w:tcPr>
                <w:p w14:paraId="6F57BE0F">
                  <w:pPr>
                    <w:pStyle w:val="51"/>
                    <w:bidi w:val="0"/>
                    <w:jc w:val="center"/>
                    <w:rPr>
                      <w:color w:val="auto"/>
                    </w:rPr>
                  </w:pPr>
                  <w:r>
                    <w:rPr>
                      <w:color w:val="auto"/>
                    </w:rPr>
                    <w:t>弱</w:t>
                  </w:r>
                </w:p>
              </w:tc>
              <w:tc>
                <w:tcPr>
                  <w:tcW w:w="1301" w:type="dxa"/>
                  <w:tcBorders>
                    <w:tl2br w:val="nil"/>
                    <w:tr2bl w:val="nil"/>
                  </w:tcBorders>
                  <w:vAlign w:val="center"/>
                </w:tcPr>
                <w:p w14:paraId="161416C6">
                  <w:pPr>
                    <w:pStyle w:val="51"/>
                    <w:bidi w:val="0"/>
                    <w:jc w:val="center"/>
                    <w:rPr>
                      <w:color w:val="auto"/>
                    </w:rPr>
                  </w:pPr>
                  <w:r>
                    <w:rPr>
                      <w:color w:val="auto"/>
                    </w:rPr>
                    <w:t>易</w:t>
                  </w:r>
                </w:p>
              </w:tc>
              <w:tc>
                <w:tcPr>
                  <w:tcW w:w="1451" w:type="dxa"/>
                  <w:vMerge w:val="continue"/>
                  <w:tcBorders>
                    <w:tl2br w:val="nil"/>
                    <w:tr2bl w:val="nil"/>
                  </w:tcBorders>
                  <w:vAlign w:val="center"/>
                </w:tcPr>
                <w:p w14:paraId="4F0487CC">
                  <w:pPr>
                    <w:pStyle w:val="51"/>
                    <w:bidi w:val="0"/>
                    <w:jc w:val="center"/>
                    <w:rPr>
                      <w:color w:val="auto"/>
                    </w:rPr>
                  </w:pPr>
                </w:p>
              </w:tc>
              <w:tc>
                <w:tcPr>
                  <w:tcW w:w="1981" w:type="dxa"/>
                  <w:vMerge w:val="continue"/>
                  <w:tcBorders>
                    <w:tl2br w:val="nil"/>
                    <w:tr2bl w:val="nil"/>
                  </w:tcBorders>
                  <w:vAlign w:val="center"/>
                </w:tcPr>
                <w:p w14:paraId="12D6CCDB">
                  <w:pPr>
                    <w:pStyle w:val="51"/>
                    <w:bidi w:val="0"/>
                    <w:jc w:val="center"/>
                    <w:rPr>
                      <w:color w:val="auto"/>
                    </w:rPr>
                  </w:pPr>
                </w:p>
              </w:tc>
              <w:tc>
                <w:tcPr>
                  <w:tcW w:w="1199" w:type="dxa"/>
                  <w:vMerge w:val="continue"/>
                  <w:tcBorders>
                    <w:tl2br w:val="nil"/>
                    <w:tr2bl w:val="nil"/>
                  </w:tcBorders>
                  <w:vAlign w:val="center"/>
                </w:tcPr>
                <w:p w14:paraId="02423CA9">
                  <w:pPr>
                    <w:pStyle w:val="51"/>
                    <w:bidi w:val="0"/>
                    <w:jc w:val="center"/>
                    <w:rPr>
                      <w:color w:val="auto"/>
                    </w:rPr>
                  </w:pPr>
                </w:p>
              </w:tc>
            </w:tr>
            <w:tr w14:paraId="23A7E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jc w:val="center"/>
              </w:trPr>
              <w:tc>
                <w:tcPr>
                  <w:tcW w:w="819" w:type="dxa"/>
                  <w:vMerge w:val="restart"/>
                  <w:tcBorders>
                    <w:tl2br w:val="nil"/>
                    <w:tr2bl w:val="nil"/>
                  </w:tcBorders>
                  <w:vAlign w:val="center"/>
                </w:tcPr>
                <w:p w14:paraId="7248F78D">
                  <w:pPr>
                    <w:pStyle w:val="51"/>
                    <w:bidi w:val="0"/>
                    <w:jc w:val="center"/>
                    <w:rPr>
                      <w:color w:val="auto"/>
                    </w:rPr>
                  </w:pPr>
                  <w:r>
                    <w:rPr>
                      <w:color w:val="auto"/>
                    </w:rPr>
                    <w:t>一般防渗区</w:t>
                  </w:r>
                </w:p>
              </w:tc>
              <w:tc>
                <w:tcPr>
                  <w:tcW w:w="1186" w:type="dxa"/>
                  <w:tcBorders>
                    <w:tl2br w:val="nil"/>
                    <w:tr2bl w:val="nil"/>
                  </w:tcBorders>
                  <w:vAlign w:val="center"/>
                </w:tcPr>
                <w:p w14:paraId="0D32CC86">
                  <w:pPr>
                    <w:pStyle w:val="51"/>
                    <w:bidi w:val="0"/>
                    <w:jc w:val="center"/>
                    <w:rPr>
                      <w:color w:val="auto"/>
                    </w:rPr>
                  </w:pPr>
                  <w:r>
                    <w:rPr>
                      <w:color w:val="auto"/>
                    </w:rPr>
                    <w:t>弱</w:t>
                  </w:r>
                </w:p>
              </w:tc>
              <w:tc>
                <w:tcPr>
                  <w:tcW w:w="1301" w:type="dxa"/>
                  <w:tcBorders>
                    <w:tl2br w:val="nil"/>
                    <w:tr2bl w:val="nil"/>
                  </w:tcBorders>
                  <w:vAlign w:val="center"/>
                </w:tcPr>
                <w:p w14:paraId="0598E13D">
                  <w:pPr>
                    <w:pStyle w:val="51"/>
                    <w:bidi w:val="0"/>
                    <w:jc w:val="center"/>
                    <w:rPr>
                      <w:color w:val="auto"/>
                    </w:rPr>
                  </w:pPr>
                  <w:r>
                    <w:rPr>
                      <w:color w:val="auto"/>
                    </w:rPr>
                    <w:t>易-难</w:t>
                  </w:r>
                </w:p>
              </w:tc>
              <w:tc>
                <w:tcPr>
                  <w:tcW w:w="1451" w:type="dxa"/>
                  <w:vMerge w:val="restart"/>
                  <w:tcBorders>
                    <w:tl2br w:val="nil"/>
                    <w:tr2bl w:val="nil"/>
                  </w:tcBorders>
                  <w:vAlign w:val="center"/>
                </w:tcPr>
                <w:p w14:paraId="4904DA32">
                  <w:pPr>
                    <w:pStyle w:val="51"/>
                    <w:bidi w:val="0"/>
                    <w:jc w:val="center"/>
                    <w:rPr>
                      <w:color w:val="auto"/>
                    </w:rPr>
                  </w:pPr>
                  <w:r>
                    <w:rPr>
                      <w:color w:val="auto"/>
                    </w:rPr>
                    <w:t>其他类型</w:t>
                  </w:r>
                </w:p>
              </w:tc>
              <w:tc>
                <w:tcPr>
                  <w:tcW w:w="1981" w:type="dxa"/>
                  <w:vMerge w:val="restart"/>
                  <w:tcBorders>
                    <w:tl2br w:val="nil"/>
                    <w:tr2bl w:val="nil"/>
                  </w:tcBorders>
                  <w:vAlign w:val="center"/>
                </w:tcPr>
                <w:p w14:paraId="42B2F5B3">
                  <w:pPr>
                    <w:pStyle w:val="51"/>
                    <w:bidi w:val="0"/>
                    <w:jc w:val="center"/>
                    <w:rPr>
                      <w:color w:val="auto"/>
                    </w:rPr>
                  </w:pPr>
                  <w:r>
                    <w:rPr>
                      <w:color w:val="auto"/>
                    </w:rPr>
                    <w:t>等效黏土防渗层≥1.5m，K≤1×10</w:t>
                  </w:r>
                  <w:r>
                    <w:rPr>
                      <w:color w:val="auto"/>
                      <w:vertAlign w:val="superscript"/>
                    </w:rPr>
                    <w:t>-7</w:t>
                  </w:r>
                  <w:r>
                    <w:rPr>
                      <w:color w:val="auto"/>
                    </w:rPr>
                    <w:t>cm/s；或参照GB18598执行</w:t>
                  </w:r>
                </w:p>
              </w:tc>
              <w:tc>
                <w:tcPr>
                  <w:tcW w:w="1199" w:type="dxa"/>
                  <w:vMerge w:val="restart"/>
                  <w:tcBorders>
                    <w:tl2br w:val="nil"/>
                    <w:tr2bl w:val="nil"/>
                  </w:tcBorders>
                  <w:vAlign w:val="center"/>
                </w:tcPr>
                <w:p w14:paraId="76DB9BE2">
                  <w:pPr>
                    <w:pStyle w:val="51"/>
                    <w:bidi w:val="0"/>
                    <w:jc w:val="center"/>
                    <w:rPr>
                      <w:color w:val="auto"/>
                    </w:rPr>
                  </w:pPr>
                  <w:r>
                    <w:rPr>
                      <w:color w:val="auto"/>
                    </w:rPr>
                    <w:t>生产车间、</w:t>
                  </w:r>
                  <w:r>
                    <w:rPr>
                      <w:rFonts w:hint="eastAsia"/>
                      <w:color w:val="auto"/>
                      <w:lang w:val="en-US" w:eastAsia="zh-CN"/>
                    </w:rPr>
                    <w:t>库房、</w:t>
                  </w:r>
                  <w:r>
                    <w:rPr>
                      <w:color w:val="auto"/>
                    </w:rPr>
                    <w:t>一般固废暂存间</w:t>
                  </w:r>
                </w:p>
              </w:tc>
            </w:tr>
            <w:tr w14:paraId="08E4F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jc w:val="center"/>
              </w:trPr>
              <w:tc>
                <w:tcPr>
                  <w:tcW w:w="819" w:type="dxa"/>
                  <w:vMerge w:val="continue"/>
                  <w:tcBorders>
                    <w:tl2br w:val="nil"/>
                    <w:tr2bl w:val="nil"/>
                  </w:tcBorders>
                  <w:vAlign w:val="center"/>
                </w:tcPr>
                <w:p w14:paraId="0836E077">
                  <w:pPr>
                    <w:pStyle w:val="51"/>
                    <w:bidi w:val="0"/>
                    <w:jc w:val="center"/>
                    <w:rPr>
                      <w:color w:val="auto"/>
                    </w:rPr>
                  </w:pPr>
                </w:p>
              </w:tc>
              <w:tc>
                <w:tcPr>
                  <w:tcW w:w="1186" w:type="dxa"/>
                  <w:tcBorders>
                    <w:tl2br w:val="nil"/>
                    <w:tr2bl w:val="nil"/>
                  </w:tcBorders>
                  <w:vAlign w:val="center"/>
                </w:tcPr>
                <w:p w14:paraId="759ACA19">
                  <w:pPr>
                    <w:pStyle w:val="51"/>
                    <w:bidi w:val="0"/>
                    <w:jc w:val="center"/>
                    <w:rPr>
                      <w:color w:val="auto"/>
                    </w:rPr>
                  </w:pPr>
                  <w:r>
                    <w:rPr>
                      <w:color w:val="auto"/>
                    </w:rPr>
                    <w:t>中-强</w:t>
                  </w:r>
                </w:p>
              </w:tc>
              <w:tc>
                <w:tcPr>
                  <w:tcW w:w="1301" w:type="dxa"/>
                  <w:tcBorders>
                    <w:tl2br w:val="nil"/>
                    <w:tr2bl w:val="nil"/>
                  </w:tcBorders>
                  <w:vAlign w:val="center"/>
                </w:tcPr>
                <w:p w14:paraId="5C45038A">
                  <w:pPr>
                    <w:pStyle w:val="51"/>
                    <w:bidi w:val="0"/>
                    <w:jc w:val="center"/>
                    <w:rPr>
                      <w:color w:val="auto"/>
                    </w:rPr>
                  </w:pPr>
                  <w:r>
                    <w:rPr>
                      <w:color w:val="auto"/>
                    </w:rPr>
                    <w:t>难</w:t>
                  </w:r>
                </w:p>
              </w:tc>
              <w:tc>
                <w:tcPr>
                  <w:tcW w:w="1451" w:type="dxa"/>
                  <w:vMerge w:val="continue"/>
                  <w:tcBorders>
                    <w:tl2br w:val="nil"/>
                    <w:tr2bl w:val="nil"/>
                  </w:tcBorders>
                  <w:vAlign w:val="center"/>
                </w:tcPr>
                <w:p w14:paraId="70B169F1">
                  <w:pPr>
                    <w:pStyle w:val="51"/>
                    <w:bidi w:val="0"/>
                    <w:jc w:val="center"/>
                    <w:rPr>
                      <w:color w:val="auto"/>
                    </w:rPr>
                  </w:pPr>
                </w:p>
              </w:tc>
              <w:tc>
                <w:tcPr>
                  <w:tcW w:w="1981" w:type="dxa"/>
                  <w:vMerge w:val="continue"/>
                  <w:tcBorders>
                    <w:tl2br w:val="nil"/>
                    <w:tr2bl w:val="nil"/>
                  </w:tcBorders>
                  <w:vAlign w:val="center"/>
                </w:tcPr>
                <w:p w14:paraId="6D8E47F3">
                  <w:pPr>
                    <w:pStyle w:val="51"/>
                    <w:bidi w:val="0"/>
                    <w:jc w:val="center"/>
                    <w:rPr>
                      <w:color w:val="auto"/>
                    </w:rPr>
                  </w:pPr>
                </w:p>
              </w:tc>
              <w:tc>
                <w:tcPr>
                  <w:tcW w:w="1199" w:type="dxa"/>
                  <w:vMerge w:val="continue"/>
                  <w:tcBorders>
                    <w:tl2br w:val="nil"/>
                    <w:tr2bl w:val="nil"/>
                  </w:tcBorders>
                  <w:vAlign w:val="center"/>
                </w:tcPr>
                <w:p w14:paraId="4636BD1C">
                  <w:pPr>
                    <w:pStyle w:val="51"/>
                    <w:bidi w:val="0"/>
                    <w:jc w:val="center"/>
                    <w:rPr>
                      <w:color w:val="auto"/>
                    </w:rPr>
                  </w:pPr>
                </w:p>
              </w:tc>
            </w:tr>
            <w:tr w14:paraId="2C95D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jc w:val="center"/>
              </w:trPr>
              <w:tc>
                <w:tcPr>
                  <w:tcW w:w="819" w:type="dxa"/>
                  <w:vMerge w:val="continue"/>
                  <w:tcBorders>
                    <w:tl2br w:val="nil"/>
                    <w:tr2bl w:val="nil"/>
                  </w:tcBorders>
                  <w:vAlign w:val="center"/>
                </w:tcPr>
                <w:p w14:paraId="441D73A3">
                  <w:pPr>
                    <w:pStyle w:val="51"/>
                    <w:bidi w:val="0"/>
                    <w:jc w:val="center"/>
                    <w:rPr>
                      <w:color w:val="auto"/>
                    </w:rPr>
                  </w:pPr>
                </w:p>
              </w:tc>
              <w:tc>
                <w:tcPr>
                  <w:tcW w:w="1186" w:type="dxa"/>
                  <w:tcBorders>
                    <w:tl2br w:val="nil"/>
                    <w:tr2bl w:val="nil"/>
                  </w:tcBorders>
                  <w:vAlign w:val="center"/>
                </w:tcPr>
                <w:p w14:paraId="1F318684">
                  <w:pPr>
                    <w:pStyle w:val="51"/>
                    <w:bidi w:val="0"/>
                    <w:jc w:val="center"/>
                    <w:rPr>
                      <w:color w:val="auto"/>
                    </w:rPr>
                  </w:pPr>
                  <w:r>
                    <w:rPr>
                      <w:color w:val="auto"/>
                    </w:rPr>
                    <w:t>中</w:t>
                  </w:r>
                </w:p>
              </w:tc>
              <w:tc>
                <w:tcPr>
                  <w:tcW w:w="1301" w:type="dxa"/>
                  <w:tcBorders>
                    <w:tl2br w:val="nil"/>
                    <w:tr2bl w:val="nil"/>
                  </w:tcBorders>
                  <w:vAlign w:val="center"/>
                </w:tcPr>
                <w:p w14:paraId="766DECAB">
                  <w:pPr>
                    <w:pStyle w:val="51"/>
                    <w:bidi w:val="0"/>
                    <w:jc w:val="center"/>
                    <w:rPr>
                      <w:color w:val="auto"/>
                    </w:rPr>
                  </w:pPr>
                  <w:r>
                    <w:rPr>
                      <w:color w:val="auto"/>
                    </w:rPr>
                    <w:t>易</w:t>
                  </w:r>
                </w:p>
              </w:tc>
              <w:tc>
                <w:tcPr>
                  <w:tcW w:w="1451" w:type="dxa"/>
                  <w:vMerge w:val="restart"/>
                  <w:tcBorders>
                    <w:tl2br w:val="nil"/>
                    <w:tr2bl w:val="nil"/>
                  </w:tcBorders>
                  <w:vAlign w:val="center"/>
                </w:tcPr>
                <w:p w14:paraId="24678ECF">
                  <w:pPr>
                    <w:pStyle w:val="51"/>
                    <w:bidi w:val="0"/>
                    <w:jc w:val="center"/>
                    <w:rPr>
                      <w:color w:val="auto"/>
                    </w:rPr>
                  </w:pPr>
                  <w:r>
                    <w:rPr>
                      <w:color w:val="auto"/>
                    </w:rPr>
                    <w:t>重金属、持久性有机物污染物</w:t>
                  </w:r>
                </w:p>
              </w:tc>
              <w:tc>
                <w:tcPr>
                  <w:tcW w:w="1981" w:type="dxa"/>
                  <w:vMerge w:val="continue"/>
                  <w:tcBorders>
                    <w:tl2br w:val="nil"/>
                    <w:tr2bl w:val="nil"/>
                  </w:tcBorders>
                  <w:vAlign w:val="center"/>
                </w:tcPr>
                <w:p w14:paraId="2BD5C3B5">
                  <w:pPr>
                    <w:pStyle w:val="51"/>
                    <w:bidi w:val="0"/>
                    <w:jc w:val="center"/>
                    <w:rPr>
                      <w:color w:val="auto"/>
                    </w:rPr>
                  </w:pPr>
                </w:p>
              </w:tc>
              <w:tc>
                <w:tcPr>
                  <w:tcW w:w="1199" w:type="dxa"/>
                  <w:vMerge w:val="continue"/>
                  <w:tcBorders>
                    <w:tl2br w:val="nil"/>
                    <w:tr2bl w:val="nil"/>
                  </w:tcBorders>
                  <w:vAlign w:val="center"/>
                </w:tcPr>
                <w:p w14:paraId="4DE823D5">
                  <w:pPr>
                    <w:pStyle w:val="51"/>
                    <w:bidi w:val="0"/>
                    <w:jc w:val="center"/>
                    <w:rPr>
                      <w:color w:val="auto"/>
                    </w:rPr>
                  </w:pPr>
                </w:p>
              </w:tc>
            </w:tr>
            <w:tr w14:paraId="31BAA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819" w:type="dxa"/>
                  <w:vMerge w:val="continue"/>
                  <w:tcBorders>
                    <w:tl2br w:val="nil"/>
                    <w:tr2bl w:val="nil"/>
                  </w:tcBorders>
                  <w:vAlign w:val="center"/>
                </w:tcPr>
                <w:p w14:paraId="0B6B6612">
                  <w:pPr>
                    <w:pStyle w:val="51"/>
                    <w:bidi w:val="0"/>
                    <w:jc w:val="center"/>
                    <w:rPr>
                      <w:color w:val="auto"/>
                    </w:rPr>
                  </w:pPr>
                </w:p>
              </w:tc>
              <w:tc>
                <w:tcPr>
                  <w:tcW w:w="1186" w:type="dxa"/>
                  <w:tcBorders>
                    <w:tl2br w:val="nil"/>
                    <w:tr2bl w:val="nil"/>
                  </w:tcBorders>
                  <w:vAlign w:val="center"/>
                </w:tcPr>
                <w:p w14:paraId="653DD9FD">
                  <w:pPr>
                    <w:pStyle w:val="51"/>
                    <w:bidi w:val="0"/>
                    <w:jc w:val="center"/>
                    <w:rPr>
                      <w:color w:val="auto"/>
                    </w:rPr>
                  </w:pPr>
                  <w:r>
                    <w:rPr>
                      <w:color w:val="auto"/>
                    </w:rPr>
                    <w:t>强</w:t>
                  </w:r>
                </w:p>
              </w:tc>
              <w:tc>
                <w:tcPr>
                  <w:tcW w:w="1301" w:type="dxa"/>
                  <w:tcBorders>
                    <w:tl2br w:val="nil"/>
                    <w:tr2bl w:val="nil"/>
                  </w:tcBorders>
                  <w:vAlign w:val="center"/>
                </w:tcPr>
                <w:p w14:paraId="30DEAECA">
                  <w:pPr>
                    <w:pStyle w:val="51"/>
                    <w:bidi w:val="0"/>
                    <w:jc w:val="center"/>
                    <w:rPr>
                      <w:color w:val="auto"/>
                    </w:rPr>
                  </w:pPr>
                  <w:r>
                    <w:rPr>
                      <w:color w:val="auto"/>
                    </w:rPr>
                    <w:t>易</w:t>
                  </w:r>
                </w:p>
              </w:tc>
              <w:tc>
                <w:tcPr>
                  <w:tcW w:w="1451" w:type="dxa"/>
                  <w:vMerge w:val="continue"/>
                  <w:tcBorders>
                    <w:tl2br w:val="nil"/>
                    <w:tr2bl w:val="nil"/>
                  </w:tcBorders>
                  <w:vAlign w:val="center"/>
                </w:tcPr>
                <w:p w14:paraId="1F1CE3F6">
                  <w:pPr>
                    <w:pStyle w:val="51"/>
                    <w:bidi w:val="0"/>
                    <w:jc w:val="center"/>
                    <w:rPr>
                      <w:color w:val="auto"/>
                    </w:rPr>
                  </w:pPr>
                </w:p>
              </w:tc>
              <w:tc>
                <w:tcPr>
                  <w:tcW w:w="1981" w:type="dxa"/>
                  <w:vMerge w:val="continue"/>
                  <w:tcBorders>
                    <w:tl2br w:val="nil"/>
                    <w:tr2bl w:val="nil"/>
                  </w:tcBorders>
                  <w:vAlign w:val="center"/>
                </w:tcPr>
                <w:p w14:paraId="3AA696B4">
                  <w:pPr>
                    <w:pStyle w:val="51"/>
                    <w:bidi w:val="0"/>
                    <w:jc w:val="center"/>
                    <w:rPr>
                      <w:color w:val="auto"/>
                    </w:rPr>
                  </w:pPr>
                </w:p>
              </w:tc>
              <w:tc>
                <w:tcPr>
                  <w:tcW w:w="1199" w:type="dxa"/>
                  <w:vMerge w:val="continue"/>
                  <w:tcBorders>
                    <w:tl2br w:val="nil"/>
                    <w:tr2bl w:val="nil"/>
                  </w:tcBorders>
                  <w:vAlign w:val="center"/>
                </w:tcPr>
                <w:p w14:paraId="20B5BB6F">
                  <w:pPr>
                    <w:pStyle w:val="51"/>
                    <w:bidi w:val="0"/>
                    <w:jc w:val="center"/>
                    <w:rPr>
                      <w:color w:val="auto"/>
                    </w:rPr>
                  </w:pPr>
                </w:p>
              </w:tc>
            </w:tr>
            <w:tr w14:paraId="7530E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819" w:type="dxa"/>
                  <w:tcBorders>
                    <w:tl2br w:val="nil"/>
                    <w:tr2bl w:val="nil"/>
                  </w:tcBorders>
                  <w:vAlign w:val="center"/>
                </w:tcPr>
                <w:p w14:paraId="721CACF9">
                  <w:pPr>
                    <w:pStyle w:val="51"/>
                    <w:bidi w:val="0"/>
                    <w:jc w:val="center"/>
                    <w:rPr>
                      <w:color w:val="auto"/>
                    </w:rPr>
                  </w:pPr>
                  <w:r>
                    <w:rPr>
                      <w:color w:val="auto"/>
                    </w:rPr>
                    <w:t>简单防渗区</w:t>
                  </w:r>
                </w:p>
              </w:tc>
              <w:tc>
                <w:tcPr>
                  <w:tcW w:w="1186" w:type="dxa"/>
                  <w:tcBorders>
                    <w:tl2br w:val="nil"/>
                    <w:tr2bl w:val="nil"/>
                  </w:tcBorders>
                  <w:vAlign w:val="center"/>
                </w:tcPr>
                <w:p w14:paraId="5F2819FE">
                  <w:pPr>
                    <w:pStyle w:val="51"/>
                    <w:bidi w:val="0"/>
                    <w:jc w:val="center"/>
                    <w:rPr>
                      <w:color w:val="auto"/>
                    </w:rPr>
                  </w:pPr>
                  <w:r>
                    <w:rPr>
                      <w:color w:val="auto"/>
                    </w:rPr>
                    <w:t>中-强</w:t>
                  </w:r>
                </w:p>
              </w:tc>
              <w:tc>
                <w:tcPr>
                  <w:tcW w:w="1301" w:type="dxa"/>
                  <w:tcBorders>
                    <w:tl2br w:val="nil"/>
                    <w:tr2bl w:val="nil"/>
                  </w:tcBorders>
                  <w:vAlign w:val="center"/>
                </w:tcPr>
                <w:p w14:paraId="6EB4E492">
                  <w:pPr>
                    <w:pStyle w:val="51"/>
                    <w:bidi w:val="0"/>
                    <w:jc w:val="center"/>
                    <w:rPr>
                      <w:color w:val="auto"/>
                    </w:rPr>
                  </w:pPr>
                  <w:r>
                    <w:rPr>
                      <w:color w:val="auto"/>
                    </w:rPr>
                    <w:t>易</w:t>
                  </w:r>
                </w:p>
              </w:tc>
              <w:tc>
                <w:tcPr>
                  <w:tcW w:w="1451" w:type="dxa"/>
                  <w:tcBorders>
                    <w:tl2br w:val="nil"/>
                    <w:tr2bl w:val="nil"/>
                  </w:tcBorders>
                  <w:vAlign w:val="center"/>
                </w:tcPr>
                <w:p w14:paraId="4AE52EA2">
                  <w:pPr>
                    <w:pStyle w:val="51"/>
                    <w:bidi w:val="0"/>
                    <w:jc w:val="center"/>
                    <w:rPr>
                      <w:color w:val="auto"/>
                    </w:rPr>
                  </w:pPr>
                  <w:r>
                    <w:rPr>
                      <w:color w:val="auto"/>
                    </w:rPr>
                    <w:t>其他类型</w:t>
                  </w:r>
                </w:p>
              </w:tc>
              <w:tc>
                <w:tcPr>
                  <w:tcW w:w="1981" w:type="dxa"/>
                  <w:tcBorders>
                    <w:tl2br w:val="nil"/>
                    <w:tr2bl w:val="nil"/>
                  </w:tcBorders>
                  <w:vAlign w:val="center"/>
                </w:tcPr>
                <w:p w14:paraId="753363CF">
                  <w:pPr>
                    <w:pStyle w:val="51"/>
                    <w:bidi w:val="0"/>
                    <w:jc w:val="center"/>
                    <w:rPr>
                      <w:color w:val="auto"/>
                    </w:rPr>
                  </w:pPr>
                  <w:r>
                    <w:rPr>
                      <w:color w:val="auto"/>
                    </w:rPr>
                    <w:t>一般地面硬化</w:t>
                  </w:r>
                </w:p>
              </w:tc>
              <w:tc>
                <w:tcPr>
                  <w:tcW w:w="1199" w:type="dxa"/>
                  <w:tcBorders>
                    <w:tl2br w:val="nil"/>
                    <w:tr2bl w:val="nil"/>
                  </w:tcBorders>
                  <w:vAlign w:val="center"/>
                </w:tcPr>
                <w:p w14:paraId="0C7E68A8">
                  <w:pPr>
                    <w:pStyle w:val="51"/>
                    <w:bidi w:val="0"/>
                    <w:jc w:val="center"/>
                    <w:rPr>
                      <w:color w:val="auto"/>
                    </w:rPr>
                  </w:pPr>
                  <w:r>
                    <w:rPr>
                      <w:rFonts w:hint="eastAsia"/>
                      <w:color w:val="auto"/>
                      <w:lang w:val="en-US" w:eastAsia="zh-CN"/>
                    </w:rPr>
                    <w:t>生活区及</w:t>
                  </w:r>
                  <w:r>
                    <w:rPr>
                      <w:color w:val="auto"/>
                    </w:rPr>
                    <w:t>地面</w:t>
                  </w:r>
                </w:p>
              </w:tc>
            </w:tr>
          </w:tbl>
          <w:p w14:paraId="62A6F9AA">
            <w:pPr>
              <w:pStyle w:val="38"/>
              <w:bidi w:val="0"/>
              <w:rPr>
                <w:rFonts w:hint="eastAsia"/>
                <w:color w:val="auto"/>
                <w:lang w:val="en-US" w:eastAsia="zh-CN"/>
              </w:rPr>
            </w:pPr>
            <w:r>
              <w:rPr>
                <w:color w:val="auto"/>
              </w:rPr>
              <w:t>2、土壤</w:t>
            </w:r>
          </w:p>
          <w:p w14:paraId="545C830F">
            <w:pPr>
              <w:pStyle w:val="38"/>
              <w:bidi w:val="0"/>
              <w:rPr>
                <w:rFonts w:hint="eastAsia"/>
                <w:color w:val="auto"/>
                <w:lang w:val="en-US" w:eastAsia="zh-CN"/>
              </w:rPr>
            </w:pPr>
            <w:r>
              <w:rPr>
                <w:color w:val="auto"/>
              </w:rPr>
              <w:t>针对本项目情况，要求建设单位应采取以下污染防治措施</w:t>
            </w:r>
            <w:r>
              <w:rPr>
                <w:rFonts w:hint="eastAsia"/>
                <w:color w:val="auto"/>
                <w:lang w:eastAsia="zh-CN"/>
              </w:rPr>
              <w:t>：</w:t>
            </w:r>
          </w:p>
          <w:p w14:paraId="0BD1CBBC">
            <w:pPr>
              <w:pStyle w:val="38"/>
              <w:bidi w:val="0"/>
              <w:rPr>
                <w:rFonts w:hint="eastAsia"/>
                <w:color w:val="auto"/>
                <w:lang w:val="en-US" w:eastAsia="zh-CN"/>
              </w:rPr>
            </w:pPr>
            <w:r>
              <w:rPr>
                <w:rFonts w:hint="eastAsia"/>
                <w:color w:val="auto"/>
                <w:lang w:val="en-US" w:eastAsia="zh-CN"/>
              </w:rPr>
              <w:t>①按照要求对厂区进行分区防渗措施，正常情况下不会有物料或废水泄漏到地面、影响土壤环境。</w:t>
            </w:r>
          </w:p>
          <w:p w14:paraId="2A370D9B">
            <w:pPr>
              <w:pStyle w:val="38"/>
              <w:bidi w:val="0"/>
              <w:rPr>
                <w:rFonts w:hint="eastAsia"/>
                <w:color w:val="auto"/>
                <w:lang w:val="en-US" w:eastAsia="zh-CN"/>
              </w:rPr>
            </w:pPr>
            <w:r>
              <w:rPr>
                <w:rFonts w:hint="eastAsia"/>
                <w:color w:val="auto"/>
                <w:lang w:val="en-US" w:eastAsia="zh-CN"/>
              </w:rPr>
              <w:t>②加强环保管理，确保废气污染物达标排放。全场固废分类收集，储存期间严格按照相应储存要求，设置专用的储存场所，在固废的收集运输等过程，注意防止洒落并及时清扫。</w:t>
            </w:r>
          </w:p>
          <w:p w14:paraId="3CAB66C7">
            <w:pPr>
              <w:pStyle w:val="38"/>
              <w:bidi w:val="0"/>
              <w:rPr>
                <w:rFonts w:hint="eastAsia"/>
                <w:color w:val="auto"/>
                <w:lang w:val="en-US" w:eastAsia="zh-CN"/>
              </w:rPr>
            </w:pPr>
            <w:r>
              <w:rPr>
                <w:rFonts w:hint="eastAsia"/>
                <w:color w:val="auto"/>
                <w:lang w:val="en-US" w:eastAsia="zh-CN"/>
              </w:rPr>
              <w:t>③好对设备的维护、检修，切实杜绝“跑、冒、滴、漏"现象发生，同时，应加强关键部位的安全防护、报警措施，以便及时发现事故隐患，采取有效的应对措施以防事故的发生。</w:t>
            </w:r>
          </w:p>
          <w:p w14:paraId="1121AC7E">
            <w:pPr>
              <w:pStyle w:val="38"/>
              <w:bidi w:val="0"/>
              <w:rPr>
                <w:rFonts w:hint="eastAsia"/>
                <w:color w:val="auto"/>
                <w:lang w:val="en-US" w:eastAsia="zh-CN"/>
              </w:rPr>
            </w:pPr>
            <w:r>
              <w:rPr>
                <w:rFonts w:hint="eastAsia"/>
                <w:color w:val="auto"/>
                <w:lang w:val="en-US" w:eastAsia="zh-CN"/>
              </w:rPr>
              <w:t>综上，本项目对可能产生地下水、土壤影响的各项途径均进行有效预防，在确保各项防渗措施得以落实，并加强维护和环境管理的前提下，可有效控制项目区内的污染物下渗现象，避免污染地下水和土壤，因此，项目不会对区域地下水和土壤环境产生明显影响。</w:t>
            </w:r>
          </w:p>
          <w:p w14:paraId="2D2D9945">
            <w:pPr>
              <w:pStyle w:val="4"/>
              <w:bidi w:val="0"/>
              <w:rPr>
                <w:rFonts w:hint="eastAsia"/>
                <w:color w:val="auto"/>
                <w:lang w:val="en-US" w:eastAsia="zh-CN"/>
              </w:rPr>
            </w:pPr>
            <w:r>
              <w:rPr>
                <w:rFonts w:hint="eastAsia"/>
                <w:color w:val="auto"/>
                <w:lang w:val="en-US" w:eastAsia="zh-CN"/>
              </w:rPr>
              <w:t>4.2.6运营期风险环境影响和保护措施</w:t>
            </w:r>
          </w:p>
          <w:p w14:paraId="61DC1EB0">
            <w:pPr>
              <w:pStyle w:val="39"/>
              <w:bidi w:val="0"/>
              <w:rPr>
                <w:rFonts w:hint="eastAsia"/>
                <w:lang w:val="en-US" w:eastAsia="zh-CN"/>
              </w:rPr>
            </w:pPr>
            <w:r>
              <w:rPr>
                <w:rFonts w:hint="eastAsia"/>
                <w:lang w:val="en-US" w:eastAsia="zh-CN"/>
              </w:rPr>
              <w:t>按《建设项目环境风险评价技术导则》（HJ169-2018）对本项目环境风 险影响进行分析。</w:t>
            </w:r>
          </w:p>
          <w:p w14:paraId="052F61DE">
            <w:pPr>
              <w:pStyle w:val="39"/>
              <w:bidi w:val="0"/>
              <w:rPr>
                <w:rFonts w:hint="eastAsia"/>
                <w:lang w:val="en-US" w:eastAsia="zh-CN"/>
              </w:rPr>
            </w:pPr>
            <w:r>
              <w:rPr>
                <w:rFonts w:hint="eastAsia"/>
                <w:lang w:val="en-US" w:eastAsia="zh-CN"/>
              </w:rPr>
              <w:t>1、风险识别</w:t>
            </w:r>
          </w:p>
          <w:p w14:paraId="7947755C">
            <w:pPr>
              <w:pStyle w:val="39"/>
              <w:bidi w:val="0"/>
            </w:pPr>
            <w:r>
              <w:t>（1）物质危险性识别</w:t>
            </w:r>
          </w:p>
          <w:p w14:paraId="088D9367">
            <w:pPr>
              <w:pStyle w:val="39"/>
              <w:bidi w:val="0"/>
            </w:pPr>
            <w:r>
              <w:t>本项目机械设备需要用到机油，属于易燃物质或危险化学品，如果管理或存储不当，会发生火灾事故甚至爆炸事故。</w:t>
            </w:r>
          </w:p>
          <w:p w14:paraId="77875364">
            <w:pPr>
              <w:pStyle w:val="39"/>
              <w:bidi w:val="0"/>
            </w:pPr>
            <w:r>
              <w:t>（2）生产工艺风险识别</w:t>
            </w:r>
          </w:p>
          <w:p w14:paraId="68A34B29">
            <w:pPr>
              <w:pStyle w:val="39"/>
              <w:bidi w:val="0"/>
            </w:pPr>
            <w:r>
              <w:t>根据国家安全监管总局《关于公布首批重点监管的危险化工工艺目录的通知》【安监总管三[2009]116号】进行辨识，本项目不涉及国家重点监管的危险工艺。</w:t>
            </w:r>
          </w:p>
          <w:p w14:paraId="59EEB4FD">
            <w:pPr>
              <w:pStyle w:val="39"/>
              <w:bidi w:val="0"/>
            </w:pPr>
            <w:r>
              <w:t>（3）生产设施风险识别</w:t>
            </w:r>
          </w:p>
          <w:p w14:paraId="1BB921C6">
            <w:pPr>
              <w:pStyle w:val="39"/>
              <w:bidi w:val="0"/>
            </w:pPr>
            <w:r>
              <w:t>项目生产装置出现故障时可能会引发火灾事故，另外生产人员操作不当 会发生机械击伤及触电事故；储存的原辅材料管理不善也可能会引发火灾事 故。</w:t>
            </w:r>
          </w:p>
          <w:p w14:paraId="23B28B8E">
            <w:pPr>
              <w:pStyle w:val="39"/>
              <w:bidi w:val="0"/>
            </w:pPr>
            <w:r>
              <w:t>2、风险物质及分布情况</w:t>
            </w:r>
          </w:p>
          <w:p w14:paraId="41953C35">
            <w:pPr>
              <w:pStyle w:val="39"/>
              <w:bidi w:val="0"/>
            </w:pPr>
            <w:r>
              <w:t>拟建项目建成后，全厂主要包括的风险物质为机油，风险物质存在量与 临界量情况见下表。</w:t>
            </w:r>
          </w:p>
          <w:p w14:paraId="715E858C">
            <w:pPr>
              <w:pStyle w:val="46"/>
              <w:bidi w:val="0"/>
            </w:pPr>
            <w:r>
              <w:t xml:space="preserve">表4-13 </w:t>
            </w:r>
            <w:r>
              <w:rPr>
                <w:rFonts w:hint="eastAsia"/>
                <w:lang w:val="en-US" w:eastAsia="zh-CN"/>
              </w:rPr>
              <w:t xml:space="preserve">  </w:t>
            </w:r>
            <w:r>
              <w:t>拟建项目建成后全厂风险物质储存及分布情况</w:t>
            </w:r>
          </w:p>
          <w:tbl>
            <w:tblPr>
              <w:tblStyle w:val="114"/>
              <w:tblW w:w="79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7"/>
              <w:gridCol w:w="1665"/>
              <w:gridCol w:w="1631"/>
              <w:gridCol w:w="2793"/>
              <w:gridCol w:w="1151"/>
            </w:tblGrid>
            <w:tr w14:paraId="6179C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697" w:type="dxa"/>
                  <w:tcBorders>
                    <w:tl2br w:val="nil"/>
                    <w:tr2bl w:val="nil"/>
                  </w:tcBorders>
                  <w:noWrap w:val="0"/>
                  <w:vAlign w:val="top"/>
                </w:tcPr>
                <w:p w14:paraId="75CC341B">
                  <w:pPr>
                    <w:pStyle w:val="51"/>
                    <w:bidi w:val="0"/>
                  </w:pPr>
                  <w:r>
                    <w:t>序号</w:t>
                  </w:r>
                </w:p>
              </w:tc>
              <w:tc>
                <w:tcPr>
                  <w:tcW w:w="1665" w:type="dxa"/>
                  <w:tcBorders>
                    <w:tl2br w:val="nil"/>
                    <w:tr2bl w:val="nil"/>
                  </w:tcBorders>
                  <w:noWrap w:val="0"/>
                  <w:vAlign w:val="top"/>
                </w:tcPr>
                <w:p w14:paraId="78EFBA4E">
                  <w:pPr>
                    <w:pStyle w:val="51"/>
                    <w:bidi w:val="0"/>
                  </w:pPr>
                  <w:r>
                    <w:t>危险物质名称</w:t>
                  </w:r>
                </w:p>
              </w:tc>
              <w:tc>
                <w:tcPr>
                  <w:tcW w:w="1631" w:type="dxa"/>
                  <w:tcBorders>
                    <w:tl2br w:val="nil"/>
                    <w:tr2bl w:val="nil"/>
                  </w:tcBorders>
                  <w:noWrap w:val="0"/>
                  <w:vAlign w:val="top"/>
                </w:tcPr>
                <w:p w14:paraId="0D2637D1">
                  <w:pPr>
                    <w:pStyle w:val="51"/>
                    <w:bidi w:val="0"/>
                  </w:pPr>
                  <w:r>
                    <w:t>最大存在量(t)</w:t>
                  </w:r>
                </w:p>
              </w:tc>
              <w:tc>
                <w:tcPr>
                  <w:tcW w:w="2793" w:type="dxa"/>
                  <w:tcBorders>
                    <w:tl2br w:val="nil"/>
                    <w:tr2bl w:val="nil"/>
                  </w:tcBorders>
                  <w:noWrap w:val="0"/>
                  <w:vAlign w:val="top"/>
                </w:tcPr>
                <w:p w14:paraId="71C3BC15">
                  <w:pPr>
                    <w:pStyle w:val="51"/>
                    <w:bidi w:val="0"/>
                  </w:pPr>
                  <w:r>
                    <w:t>分布情况</w:t>
                  </w:r>
                </w:p>
              </w:tc>
              <w:tc>
                <w:tcPr>
                  <w:tcW w:w="1151" w:type="dxa"/>
                  <w:tcBorders>
                    <w:tl2br w:val="nil"/>
                    <w:tr2bl w:val="nil"/>
                  </w:tcBorders>
                  <w:noWrap w:val="0"/>
                  <w:vAlign w:val="top"/>
                </w:tcPr>
                <w:p w14:paraId="7F018B54">
                  <w:pPr>
                    <w:pStyle w:val="51"/>
                    <w:bidi w:val="0"/>
                  </w:pPr>
                  <w:r>
                    <w:t>临界量(t)</w:t>
                  </w:r>
                </w:p>
              </w:tc>
            </w:tr>
            <w:tr w14:paraId="5FBB7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697" w:type="dxa"/>
                  <w:tcBorders>
                    <w:tl2br w:val="nil"/>
                    <w:tr2bl w:val="nil"/>
                  </w:tcBorders>
                  <w:noWrap w:val="0"/>
                  <w:vAlign w:val="top"/>
                </w:tcPr>
                <w:p w14:paraId="4AF542B2">
                  <w:pPr>
                    <w:pStyle w:val="51"/>
                    <w:bidi w:val="0"/>
                  </w:pPr>
                  <w:r>
                    <w:t>1</w:t>
                  </w:r>
                </w:p>
              </w:tc>
              <w:tc>
                <w:tcPr>
                  <w:tcW w:w="1665" w:type="dxa"/>
                  <w:tcBorders>
                    <w:tl2br w:val="nil"/>
                    <w:tr2bl w:val="nil"/>
                  </w:tcBorders>
                  <w:noWrap w:val="0"/>
                  <w:vAlign w:val="top"/>
                </w:tcPr>
                <w:p w14:paraId="276F9ED0">
                  <w:pPr>
                    <w:pStyle w:val="51"/>
                    <w:bidi w:val="0"/>
                  </w:pPr>
                  <w:r>
                    <w:t>机油</w:t>
                  </w:r>
                </w:p>
              </w:tc>
              <w:tc>
                <w:tcPr>
                  <w:tcW w:w="1631" w:type="dxa"/>
                  <w:tcBorders>
                    <w:tl2br w:val="nil"/>
                    <w:tr2bl w:val="nil"/>
                  </w:tcBorders>
                  <w:noWrap w:val="0"/>
                  <w:vAlign w:val="top"/>
                </w:tcPr>
                <w:p w14:paraId="5E288FA3">
                  <w:pPr>
                    <w:pStyle w:val="51"/>
                    <w:bidi w:val="0"/>
                  </w:pPr>
                  <w:r>
                    <w:t>0.5</w:t>
                  </w:r>
                </w:p>
              </w:tc>
              <w:tc>
                <w:tcPr>
                  <w:tcW w:w="2793" w:type="dxa"/>
                  <w:tcBorders>
                    <w:tl2br w:val="nil"/>
                    <w:tr2bl w:val="nil"/>
                  </w:tcBorders>
                  <w:noWrap w:val="0"/>
                  <w:vAlign w:val="top"/>
                </w:tcPr>
                <w:p w14:paraId="5E6F50C0">
                  <w:pPr>
                    <w:pStyle w:val="51"/>
                    <w:bidi w:val="0"/>
                  </w:pPr>
                  <w:r>
                    <w:t>危险化学品暂存仓库</w:t>
                  </w:r>
                </w:p>
              </w:tc>
              <w:tc>
                <w:tcPr>
                  <w:tcW w:w="1151" w:type="dxa"/>
                  <w:tcBorders>
                    <w:tl2br w:val="nil"/>
                    <w:tr2bl w:val="nil"/>
                  </w:tcBorders>
                  <w:noWrap w:val="0"/>
                  <w:vAlign w:val="top"/>
                </w:tcPr>
                <w:p w14:paraId="2110638F">
                  <w:pPr>
                    <w:pStyle w:val="51"/>
                    <w:bidi w:val="0"/>
                  </w:pPr>
                  <w:r>
                    <w:t>2500</w:t>
                  </w:r>
                </w:p>
              </w:tc>
            </w:tr>
          </w:tbl>
          <w:p w14:paraId="1954D7D3">
            <w:pPr>
              <w:pStyle w:val="39"/>
              <w:rPr>
                <w:rFonts w:hint="eastAsia"/>
                <w:color w:val="auto"/>
                <w:lang w:val="en-US" w:eastAsia="zh-CN"/>
              </w:rPr>
            </w:pPr>
            <w:r>
              <w:rPr>
                <w:rFonts w:hint="eastAsia"/>
                <w:color w:val="auto"/>
                <w:lang w:val="en-US" w:eastAsia="zh-CN"/>
              </w:rPr>
              <w:t>计算建设项目所涉及每种危险物质在厂界内的最大存在总量与其在《建设项目环境风险评价技术导则》(HJ169-2018)附录B分中对应的临界量的比值Q。在不同厂区的同一种物质，按其在厂界内的最大存在总量计算。</w:t>
            </w:r>
          </w:p>
          <w:p w14:paraId="0F912156">
            <w:pPr>
              <w:pStyle w:val="39"/>
              <w:rPr>
                <w:rFonts w:hint="eastAsia"/>
                <w:color w:val="auto"/>
                <w:lang w:val="en-US" w:eastAsia="zh-CN"/>
              </w:rPr>
            </w:pPr>
            <w:r>
              <w:rPr>
                <w:rFonts w:hint="eastAsia"/>
                <w:color w:val="auto"/>
                <w:lang w:val="en-US" w:eastAsia="zh-CN"/>
              </w:rPr>
              <w:t>项目参考《企业突发环境事件风险分级方法》（HJ941-2018）附录A第八部分，危险物质数量与临界量比值(Q)计算公式如下：</w:t>
            </w:r>
          </w:p>
          <w:p w14:paraId="199E0BA1">
            <w:pPr>
              <w:pStyle w:val="39"/>
              <w:rPr>
                <w:rFonts w:hint="eastAsia"/>
                <w:color w:val="auto"/>
                <w:lang w:val="en-US" w:eastAsia="zh-CN"/>
              </w:rPr>
            </w:pPr>
            <w:r>
              <w:rPr>
                <w:rFonts w:hint="eastAsia"/>
                <w:color w:val="auto"/>
                <w:lang w:val="en-US" w:eastAsia="zh-CN"/>
              </w:rPr>
              <w:t>Q=q1/Q1+q2/Q2……＋qn/Qn</w:t>
            </w:r>
          </w:p>
          <w:p w14:paraId="4D240169">
            <w:pPr>
              <w:pStyle w:val="39"/>
              <w:rPr>
                <w:rFonts w:hint="eastAsia"/>
                <w:color w:val="auto"/>
                <w:lang w:val="en-US" w:eastAsia="zh-CN"/>
              </w:rPr>
            </w:pPr>
            <w:r>
              <w:rPr>
                <w:rFonts w:hint="eastAsia"/>
                <w:color w:val="auto"/>
                <w:lang w:val="en-US" w:eastAsia="zh-CN"/>
              </w:rPr>
              <w:t>式中：q1，q2…，qn为每种危险物质的最大存在总量，t。</w:t>
            </w:r>
          </w:p>
          <w:p w14:paraId="2F99786B">
            <w:pPr>
              <w:pStyle w:val="39"/>
              <w:rPr>
                <w:rFonts w:hint="eastAsia"/>
                <w:color w:val="auto"/>
                <w:lang w:val="en-US" w:eastAsia="zh-CN"/>
              </w:rPr>
            </w:pPr>
            <w:r>
              <w:rPr>
                <w:rFonts w:hint="eastAsia"/>
                <w:color w:val="auto"/>
                <w:lang w:val="en-US" w:eastAsia="zh-CN"/>
              </w:rPr>
              <w:t>Q1,Q2…Qn为每种危险物质的临界量，t。</w:t>
            </w:r>
          </w:p>
          <w:p w14:paraId="6C789728">
            <w:pPr>
              <w:pStyle w:val="39"/>
              <w:bidi w:val="0"/>
              <w:rPr>
                <w:rFonts w:hint="default" w:eastAsia="宋体"/>
                <w:lang w:val="en-US" w:eastAsia="zh-CN"/>
              </w:rPr>
            </w:pPr>
            <w:r>
              <w:rPr>
                <w:rFonts w:hint="eastAsia"/>
                <w:color w:val="auto"/>
                <w:lang w:val="en-US" w:eastAsia="zh-CN"/>
              </w:rPr>
              <w:t>根据计算，</w:t>
            </w:r>
            <w:r>
              <w:rPr>
                <w:color w:val="auto"/>
              </w:rPr>
              <w:t>本项目Q=</w:t>
            </w:r>
            <w:r>
              <w:rPr>
                <w:rFonts w:hint="eastAsia"/>
                <w:color w:val="auto"/>
                <w:lang w:val="en-US" w:eastAsia="zh-CN"/>
              </w:rPr>
              <w:t>0.0002</w:t>
            </w:r>
            <w:r>
              <w:rPr>
                <w:color w:val="auto"/>
              </w:rPr>
              <w:t>，</w:t>
            </w:r>
            <w:r>
              <w:rPr>
                <w:rFonts w:hint="eastAsia"/>
                <w:color w:val="auto"/>
                <w:lang w:val="en-US" w:eastAsia="zh-CN"/>
              </w:rPr>
              <w:t>Q值＜1，为简单分析。</w:t>
            </w:r>
          </w:p>
          <w:p w14:paraId="71FD3681">
            <w:pPr>
              <w:pStyle w:val="39"/>
              <w:bidi w:val="0"/>
            </w:pPr>
            <w:r>
              <w:t>3、环境风险分析</w:t>
            </w:r>
          </w:p>
          <w:p w14:paraId="54E667C2">
            <w:pPr>
              <w:pStyle w:val="39"/>
              <w:bidi w:val="0"/>
            </w:pPr>
            <w:r>
              <w:t>（1）对环境空气及人群健康的影响</w:t>
            </w:r>
          </w:p>
          <w:p w14:paraId="28611CB4">
            <w:pPr>
              <w:pStyle w:val="39"/>
              <w:bidi w:val="0"/>
              <w:rPr>
                <w:rFonts w:hint="eastAsia"/>
                <w:lang w:val="en-US" w:eastAsia="zh-CN"/>
              </w:rPr>
            </w:pPr>
            <w:r>
              <w:t>本项目发生火灾事故情况下，主要危害因子为CO，属于有毒气体。根据CO的危害特性，CO中毒后，轻度中毒者出现头痛、头晕、耳鸣、心悸、恶心、呕吐、无力。中度中毒者除上述症状外，还有面色潮红、口唇樱红、脉快、烦躁、步态不稳、意识模糊，可有昏迷。重度患者昏迷不醒、瞳孔缩小、肌张力增加，频繁抽搐、大小便失禁等。深度中毒可致死。慢性影响：长期反复吸入一定量的一氧化碳可致神经和心血管系统损害。本项目建成后</w:t>
            </w:r>
            <w:r>
              <w:rPr>
                <w:rFonts w:hint="eastAsia"/>
                <w:lang w:val="en-US" w:eastAsia="zh-CN"/>
              </w:rPr>
              <w:t>应注意借鉴相关企业生产实践经验，严控事故发生，尽可能的减小事故排放源强，加强本项目事故应急处理，并落实好相应的安全防范措施和建议。</w:t>
            </w:r>
          </w:p>
          <w:p w14:paraId="357EBAEF">
            <w:pPr>
              <w:pStyle w:val="39"/>
              <w:bidi w:val="0"/>
              <w:rPr>
                <w:rFonts w:hint="eastAsia"/>
                <w:lang w:val="en-US" w:eastAsia="zh-CN"/>
              </w:rPr>
            </w:pPr>
            <w:r>
              <w:rPr>
                <w:rFonts w:hint="eastAsia"/>
                <w:lang w:val="en-US" w:eastAsia="zh-CN"/>
              </w:rPr>
              <w:t>（2）对土壤和水环境的影响</w:t>
            </w:r>
          </w:p>
          <w:p w14:paraId="29ED4018">
            <w:pPr>
              <w:pStyle w:val="39"/>
              <w:bidi w:val="0"/>
              <w:rPr>
                <w:rFonts w:hint="eastAsia"/>
                <w:lang w:val="en-US" w:eastAsia="zh-CN"/>
              </w:rPr>
            </w:pPr>
            <w:r>
              <w:rPr>
                <w:rFonts w:hint="eastAsia"/>
                <w:lang w:val="en-US" w:eastAsia="zh-CN"/>
              </w:rPr>
              <w:t>本项目发生火灾等情况下，主要废水为消防废水，事故废水一旦未能得到有效控制，则极有可能进入厂区雨水收集系统，从而通过厂区雨水管网排入地表水体。本项目设消防水收集系统收集消防废水，消防水虽为较清洁水，但由于冲刷地面，含有有害物质。通过采取严格的防渗措施后，可有效控制渗漏环节，从而避免跑、冒、滴、漏现象的发生，以最大程度的减少项目建设对附近土壤和地下水环境的污染。经采取以上措施后，可避免在各事故状态下的废水、消防水排入地表水环境，从而对周围地表水及地下水产生不利影响。</w:t>
            </w:r>
          </w:p>
          <w:p w14:paraId="16D9B4CE">
            <w:pPr>
              <w:pStyle w:val="39"/>
              <w:bidi w:val="0"/>
              <w:rPr>
                <w:rFonts w:hint="eastAsia"/>
                <w:lang w:val="en-US" w:eastAsia="zh-CN"/>
              </w:rPr>
            </w:pPr>
            <w:r>
              <w:rPr>
                <w:rFonts w:hint="eastAsia"/>
                <w:lang w:val="en-US" w:eastAsia="zh-CN"/>
              </w:rPr>
              <w:t>4、环境风险防范措施</w:t>
            </w:r>
          </w:p>
          <w:p w14:paraId="7A8AA74D">
            <w:pPr>
              <w:pStyle w:val="39"/>
              <w:bidi w:val="0"/>
              <w:rPr>
                <w:rFonts w:hint="eastAsia"/>
                <w:lang w:val="en-US" w:eastAsia="zh-CN"/>
              </w:rPr>
            </w:pPr>
            <w:r>
              <w:rPr>
                <w:rFonts w:hint="eastAsia"/>
                <w:lang w:val="en-US" w:eastAsia="zh-CN"/>
              </w:rPr>
              <w:t>（1）三级防控体系</w:t>
            </w:r>
          </w:p>
          <w:p w14:paraId="328BBD24">
            <w:pPr>
              <w:pStyle w:val="39"/>
              <w:bidi w:val="0"/>
              <w:rPr>
                <w:rFonts w:hint="eastAsia"/>
                <w:lang w:val="en-US" w:eastAsia="zh-CN"/>
              </w:rPr>
            </w:pPr>
            <w:r>
              <w:rPr>
                <w:rFonts w:hint="eastAsia"/>
                <w:lang w:val="en-US" w:eastAsia="zh-CN"/>
              </w:rPr>
              <w:t>参照《中国石油天然气集团公司石油化工企业水污染应急防控技术要点》要求，针对项目污染物来源及其特性，以实现达标排放和满足应急处置为原则，建立污染源头、处理过程和最终排放的“三级防控”机制。</w:t>
            </w:r>
          </w:p>
          <w:p w14:paraId="0BF6B111">
            <w:pPr>
              <w:pStyle w:val="39"/>
              <w:bidi w:val="0"/>
              <w:rPr>
                <w:rFonts w:hint="eastAsia"/>
                <w:lang w:val="en-US" w:eastAsia="zh-CN"/>
              </w:rPr>
            </w:pPr>
            <w:r>
              <w:rPr>
                <w:rFonts w:hint="eastAsia"/>
                <w:lang w:val="en-US" w:eastAsia="zh-CN"/>
              </w:rPr>
              <w:t>a.第一级防控措施是车间地面硬化、防渗，构筑生产过程中环境安全的第一层防控网。</w:t>
            </w:r>
          </w:p>
          <w:p w14:paraId="50E49285">
            <w:pPr>
              <w:pStyle w:val="39"/>
              <w:bidi w:val="0"/>
              <w:rPr>
                <w:rFonts w:hint="eastAsia"/>
                <w:lang w:val="en-US" w:eastAsia="zh-CN"/>
              </w:rPr>
            </w:pPr>
            <w:r>
              <w:rPr>
                <w:rFonts w:hint="eastAsia"/>
                <w:lang w:val="en-US" w:eastAsia="zh-CN"/>
              </w:rPr>
              <w:t>b.第二级防控措施是在厂区内设置事故池，产生的事故废水均依靠地势(即非动力自流方式)收集入区域内的事故水池中，待事故结束后委托有关单位处理，将事故废水和消防废水控制在消防事故水池内，防止造成的环境污染；</w:t>
            </w:r>
          </w:p>
          <w:p w14:paraId="660C0AEF">
            <w:pPr>
              <w:pStyle w:val="39"/>
              <w:bidi w:val="0"/>
              <w:rPr>
                <w:rFonts w:hint="eastAsia"/>
                <w:lang w:val="en-US" w:eastAsia="zh-CN"/>
              </w:rPr>
            </w:pPr>
            <w:r>
              <w:rPr>
                <w:rFonts w:hint="eastAsia"/>
                <w:lang w:val="en-US" w:eastAsia="zh-CN"/>
              </w:rPr>
              <w:t>消防事故水池的设置</w:t>
            </w:r>
          </w:p>
          <w:p w14:paraId="3D8CC10B">
            <w:pPr>
              <w:pStyle w:val="39"/>
              <w:bidi w:val="0"/>
              <w:rPr>
                <w:rFonts w:hint="eastAsia"/>
                <w:lang w:val="en-US" w:eastAsia="zh-CN"/>
              </w:rPr>
            </w:pPr>
            <w:r>
              <w:rPr>
                <w:rFonts w:hint="eastAsia"/>
                <w:lang w:val="en-US" w:eastAsia="zh-CN"/>
              </w:rPr>
              <w:t>风险事故水池的大小与最大单罐容积、污水产生量、消防水用量有关。参照《化工建设项目环境保护工程设计标准》（GB/T50483-2019），事故池有效容积参照下式确定：</w:t>
            </w:r>
          </w:p>
          <w:p w14:paraId="658194A5">
            <w:pPr>
              <w:pStyle w:val="39"/>
              <w:bidi w:val="0"/>
              <w:rPr>
                <w:rFonts w:hint="eastAsia"/>
                <w:lang w:val="en-US" w:eastAsia="zh-CN"/>
              </w:rPr>
            </w:pPr>
            <w:r>
              <w:rPr>
                <w:rFonts w:hint="eastAsia"/>
                <w:lang w:val="en-US" w:eastAsia="zh-CN"/>
              </w:rPr>
              <w:t>V总=（V1+V2-V3）+V4+V5</w:t>
            </w:r>
          </w:p>
          <w:p w14:paraId="79E3AEF1">
            <w:pPr>
              <w:pStyle w:val="39"/>
              <w:bidi w:val="0"/>
              <w:rPr>
                <w:rFonts w:hint="eastAsia"/>
                <w:lang w:val="en-US" w:eastAsia="zh-CN"/>
              </w:rPr>
            </w:pPr>
            <w:r>
              <w:rPr>
                <w:rFonts w:hint="eastAsia"/>
                <w:lang w:val="en-US" w:eastAsia="zh-CN"/>
              </w:rPr>
              <w:t>V1：收集系统范围内发生事故的一个罐或一套装置的物料量，本项目无物料罐等，取V1=0m</w:t>
            </w:r>
            <w:r>
              <w:rPr>
                <w:rFonts w:hint="eastAsia"/>
                <w:vertAlign w:val="superscript"/>
                <w:lang w:val="en-US" w:eastAsia="zh-CN"/>
              </w:rPr>
              <w:t>3</w:t>
            </w:r>
            <w:r>
              <w:rPr>
                <w:rFonts w:hint="eastAsia"/>
                <w:lang w:val="en-US" w:eastAsia="zh-CN"/>
              </w:rPr>
              <w:t>；</w:t>
            </w:r>
          </w:p>
          <w:p w14:paraId="516EF4EA">
            <w:pPr>
              <w:pStyle w:val="39"/>
              <w:bidi w:val="0"/>
              <w:rPr>
                <w:rFonts w:hint="eastAsia"/>
                <w:lang w:val="en-US" w:eastAsia="zh-CN"/>
              </w:rPr>
            </w:pPr>
            <w:r>
              <w:rPr>
                <w:rFonts w:hint="eastAsia"/>
                <w:lang w:val="en-US" w:eastAsia="zh-CN"/>
              </w:rPr>
              <w:t>V2：发生事故的同时使用的消防设施给水量；</w:t>
            </w:r>
          </w:p>
          <w:p w14:paraId="00350F94">
            <w:pPr>
              <w:pStyle w:val="39"/>
              <w:bidi w:val="0"/>
              <w:rPr>
                <w:rFonts w:hint="eastAsia"/>
                <w:lang w:val="en-US" w:eastAsia="zh-CN"/>
              </w:rPr>
            </w:pPr>
            <w:r>
              <w:rPr>
                <w:rFonts w:hint="eastAsia"/>
                <w:lang w:val="en-US" w:eastAsia="zh-CN"/>
              </w:rPr>
              <w:t>根据《消防给水及消火栓系统技术规范》（GB50974-2014），本项目为丁类厂房；占地面积小于100hm</w:t>
            </w:r>
            <w:r>
              <w:rPr>
                <w:rFonts w:hint="eastAsia"/>
                <w:vertAlign w:val="superscript"/>
                <w:lang w:val="en-US" w:eastAsia="zh-CN"/>
              </w:rPr>
              <w:t>2</w:t>
            </w:r>
            <w:r>
              <w:rPr>
                <w:rFonts w:hint="eastAsia"/>
                <w:lang w:val="en-US" w:eastAsia="zh-CN"/>
              </w:rPr>
              <w:t>，且附近居住区人数小于1.5万人，火灾发生次数为1次；建筑物消火栓设计流量为15L/s，火灾持续时间以2h计，经计算V2=108m</w:t>
            </w:r>
            <w:r>
              <w:rPr>
                <w:rFonts w:hint="eastAsia"/>
                <w:vertAlign w:val="superscript"/>
                <w:lang w:val="en-US" w:eastAsia="zh-CN"/>
              </w:rPr>
              <w:t>3</w:t>
            </w:r>
            <w:r>
              <w:rPr>
                <w:rFonts w:hint="eastAsia"/>
                <w:lang w:val="en-US" w:eastAsia="zh-CN"/>
              </w:rPr>
              <w:t>。</w:t>
            </w:r>
          </w:p>
          <w:p w14:paraId="3E85BE89">
            <w:pPr>
              <w:pStyle w:val="39"/>
              <w:bidi w:val="0"/>
              <w:rPr>
                <w:rFonts w:hint="eastAsia"/>
                <w:lang w:val="en-US" w:eastAsia="zh-CN"/>
              </w:rPr>
            </w:pPr>
            <w:r>
              <w:rPr>
                <w:rFonts w:hint="eastAsia"/>
                <w:lang w:val="en-US" w:eastAsia="zh-CN"/>
              </w:rPr>
              <w:t>V3：发生事故时可以转输到其他设施的物料量（包括罐区围堤内净空容量）；V3=0m</w:t>
            </w:r>
            <w:r>
              <w:rPr>
                <w:rFonts w:hint="eastAsia"/>
                <w:vertAlign w:val="superscript"/>
                <w:lang w:val="en-US" w:eastAsia="zh-CN"/>
              </w:rPr>
              <w:t>3</w:t>
            </w:r>
            <w:r>
              <w:rPr>
                <w:rFonts w:hint="eastAsia"/>
                <w:lang w:val="en-US" w:eastAsia="zh-CN"/>
              </w:rPr>
              <w:t>。</w:t>
            </w:r>
          </w:p>
          <w:p w14:paraId="072D659E">
            <w:pPr>
              <w:pStyle w:val="39"/>
              <w:bidi w:val="0"/>
              <w:rPr>
                <w:rFonts w:hint="eastAsia"/>
                <w:lang w:val="en-US" w:eastAsia="zh-CN"/>
              </w:rPr>
            </w:pPr>
            <w:r>
              <w:rPr>
                <w:rFonts w:hint="eastAsia"/>
                <w:lang w:val="en-US" w:eastAsia="zh-CN"/>
              </w:rPr>
              <w:t>V4：发生事故时必须进入该收集系统的生产废水量（本次无生产废水排 放）V4=0m</w:t>
            </w:r>
            <w:r>
              <w:rPr>
                <w:rFonts w:hint="eastAsia"/>
                <w:vertAlign w:val="superscript"/>
                <w:lang w:val="en-US" w:eastAsia="zh-CN"/>
              </w:rPr>
              <w:t>3</w:t>
            </w:r>
            <w:r>
              <w:rPr>
                <w:rFonts w:hint="eastAsia"/>
                <w:lang w:val="en-US" w:eastAsia="zh-CN"/>
              </w:rPr>
              <w:t>。</w:t>
            </w:r>
          </w:p>
          <w:p w14:paraId="1CB7CA88">
            <w:pPr>
              <w:pStyle w:val="39"/>
              <w:bidi w:val="0"/>
              <w:rPr>
                <w:rFonts w:hint="eastAsia"/>
                <w:lang w:val="en-US" w:eastAsia="zh-CN"/>
              </w:rPr>
            </w:pPr>
            <w:r>
              <w:rPr>
                <w:rFonts w:hint="eastAsia"/>
                <w:lang w:val="en-US" w:eastAsia="zh-CN"/>
              </w:rPr>
              <w:t>V5：发生事故时可能进入该收集系统的降雨量；本项目所有生产单元均设置于车间内部，不考虑降雨因素，故V5=0m</w:t>
            </w:r>
            <w:r>
              <w:rPr>
                <w:rFonts w:hint="eastAsia"/>
                <w:vertAlign w:val="superscript"/>
                <w:lang w:val="en-US" w:eastAsia="zh-CN"/>
              </w:rPr>
              <w:t>3</w:t>
            </w:r>
            <w:r>
              <w:rPr>
                <w:rFonts w:hint="eastAsia"/>
                <w:lang w:val="en-US" w:eastAsia="zh-CN"/>
              </w:rPr>
              <w:t>。</w:t>
            </w:r>
          </w:p>
          <w:p w14:paraId="78C7A65F">
            <w:pPr>
              <w:pStyle w:val="39"/>
              <w:bidi w:val="0"/>
              <w:rPr>
                <w:rFonts w:hint="eastAsia"/>
                <w:lang w:val="en-US" w:eastAsia="zh-CN"/>
              </w:rPr>
            </w:pPr>
            <w:r>
              <w:rPr>
                <w:rFonts w:hint="eastAsia"/>
                <w:lang w:val="en-US" w:eastAsia="zh-CN"/>
              </w:rPr>
              <w:t>经计算，本项目事故废水量108m</w:t>
            </w:r>
            <w:r>
              <w:rPr>
                <w:rFonts w:hint="eastAsia"/>
                <w:vertAlign w:val="superscript"/>
                <w:lang w:val="en-US" w:eastAsia="zh-CN"/>
              </w:rPr>
              <w:t>3</w:t>
            </w:r>
            <w:r>
              <w:rPr>
                <w:rFonts w:hint="eastAsia"/>
                <w:lang w:val="en-US" w:eastAsia="zh-CN"/>
              </w:rPr>
              <w:t>，则事故水收集设施的有效容积应大于108m</w:t>
            </w:r>
            <w:r>
              <w:rPr>
                <w:rFonts w:hint="eastAsia"/>
                <w:vertAlign w:val="superscript"/>
                <w:lang w:val="en-US" w:eastAsia="zh-CN"/>
              </w:rPr>
              <w:t>3</w:t>
            </w:r>
            <w:r>
              <w:rPr>
                <w:rFonts w:hint="eastAsia"/>
                <w:lang w:val="en-US" w:eastAsia="zh-CN"/>
              </w:rPr>
              <w:t>，项目设置容积120m</w:t>
            </w:r>
            <w:r>
              <w:rPr>
                <w:rFonts w:hint="eastAsia"/>
                <w:vertAlign w:val="superscript"/>
                <w:lang w:val="en-US" w:eastAsia="zh-CN"/>
              </w:rPr>
              <w:t>3</w:t>
            </w:r>
            <w:r>
              <w:rPr>
                <w:rFonts w:hint="eastAsia"/>
                <w:lang w:val="en-US" w:eastAsia="zh-CN"/>
              </w:rPr>
              <w:t>的事故池可以满足本项目需求。</w:t>
            </w:r>
          </w:p>
          <w:p w14:paraId="6D6A368A">
            <w:pPr>
              <w:pStyle w:val="39"/>
              <w:bidi w:val="0"/>
              <w:rPr>
                <w:rFonts w:hint="eastAsia"/>
                <w:lang w:val="en-US" w:eastAsia="zh-CN"/>
              </w:rPr>
            </w:pPr>
            <w:r>
              <w:rPr>
                <w:rFonts w:hint="eastAsia"/>
                <w:lang w:val="en-US" w:eastAsia="zh-CN"/>
              </w:rPr>
              <w:t>c.第三级防控措施是对厂区雨水总排放口和污水总排放口设置切断措施，将污染物控制在区内，防止重大事故泄漏物料和污染消防水造成的环境污染。</w:t>
            </w:r>
          </w:p>
          <w:p w14:paraId="640D03E9">
            <w:pPr>
              <w:pStyle w:val="39"/>
              <w:bidi w:val="0"/>
              <w:rPr>
                <w:rFonts w:hint="eastAsia"/>
                <w:lang w:val="en-US" w:eastAsia="zh-CN"/>
              </w:rPr>
            </w:pPr>
            <w:r>
              <w:rPr>
                <w:rFonts w:hint="eastAsia"/>
                <w:lang w:val="en-US" w:eastAsia="zh-CN"/>
              </w:rPr>
              <w:t>5、应急预案</w:t>
            </w:r>
          </w:p>
          <w:p w14:paraId="2576B490">
            <w:pPr>
              <w:pStyle w:val="39"/>
              <w:bidi w:val="0"/>
              <w:rPr>
                <w:rFonts w:hint="eastAsia"/>
                <w:lang w:val="en-US" w:eastAsia="zh-CN"/>
              </w:rPr>
            </w:pPr>
            <w:r>
              <w:rPr>
                <w:rFonts w:hint="eastAsia"/>
                <w:lang w:val="en-US" w:eastAsia="zh-CN"/>
              </w:rPr>
              <w:t>本次评价以《建设项目环境风险评估技术导则》(HJ169-2018)为指导，结合《国家突发环境事件应急预案》和《环境污染事故应急预案编制技术指南》相关规定，制定出本项目环境风险应急预案，建设单位必须在此基础上制定更为详细的突发环境事件应急预案，同时本项目的环境应急预案应与项目区的环境应急预案相衔接。该项目风险应急预案基本内容见下表。</w:t>
            </w:r>
          </w:p>
          <w:p w14:paraId="601EC0C8">
            <w:pPr>
              <w:pStyle w:val="46"/>
              <w:bidi w:val="0"/>
            </w:pPr>
            <w:r>
              <w:t>表4-14   事故应急预案</w:t>
            </w:r>
          </w:p>
          <w:tbl>
            <w:tblPr>
              <w:tblStyle w:val="114"/>
              <w:tblW w:w="79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3"/>
              <w:gridCol w:w="2199"/>
              <w:gridCol w:w="5105"/>
            </w:tblGrid>
            <w:tr w14:paraId="1E9F1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33" w:type="dxa"/>
                  <w:noWrap w:val="0"/>
                  <w:vAlign w:val="top"/>
                </w:tcPr>
                <w:p w14:paraId="35CE8614">
                  <w:pPr>
                    <w:pStyle w:val="51"/>
                    <w:bidi w:val="0"/>
                  </w:pPr>
                  <w:r>
                    <w:t>序号</w:t>
                  </w:r>
                </w:p>
              </w:tc>
              <w:tc>
                <w:tcPr>
                  <w:tcW w:w="2199" w:type="dxa"/>
                  <w:noWrap w:val="0"/>
                  <w:vAlign w:val="top"/>
                </w:tcPr>
                <w:p w14:paraId="0FD5C5F9">
                  <w:pPr>
                    <w:pStyle w:val="51"/>
                    <w:bidi w:val="0"/>
                  </w:pPr>
                  <w:r>
                    <w:t>项目</w:t>
                  </w:r>
                </w:p>
              </w:tc>
              <w:tc>
                <w:tcPr>
                  <w:tcW w:w="5105" w:type="dxa"/>
                  <w:noWrap w:val="0"/>
                  <w:vAlign w:val="top"/>
                </w:tcPr>
                <w:p w14:paraId="26384EFB">
                  <w:pPr>
                    <w:pStyle w:val="51"/>
                    <w:bidi w:val="0"/>
                  </w:pPr>
                  <w:r>
                    <w:t>内容及要求</w:t>
                  </w:r>
                </w:p>
              </w:tc>
            </w:tr>
            <w:tr w14:paraId="34DA2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33" w:type="dxa"/>
                  <w:noWrap w:val="0"/>
                  <w:vAlign w:val="top"/>
                </w:tcPr>
                <w:p w14:paraId="0D2CE5D3">
                  <w:pPr>
                    <w:pStyle w:val="51"/>
                    <w:bidi w:val="0"/>
                  </w:pPr>
                  <w:r>
                    <w:t>1</w:t>
                  </w:r>
                </w:p>
              </w:tc>
              <w:tc>
                <w:tcPr>
                  <w:tcW w:w="2199" w:type="dxa"/>
                  <w:noWrap w:val="0"/>
                  <w:vAlign w:val="top"/>
                </w:tcPr>
                <w:p w14:paraId="7280C1CB">
                  <w:pPr>
                    <w:pStyle w:val="51"/>
                    <w:bidi w:val="0"/>
                  </w:pPr>
                  <w:r>
                    <w:t>应急计划区</w:t>
                  </w:r>
                </w:p>
              </w:tc>
              <w:tc>
                <w:tcPr>
                  <w:tcW w:w="5105" w:type="dxa"/>
                  <w:noWrap w:val="0"/>
                  <w:vAlign w:val="top"/>
                </w:tcPr>
                <w:p w14:paraId="4E0565D6">
                  <w:pPr>
                    <w:pStyle w:val="51"/>
                    <w:bidi w:val="0"/>
                  </w:pPr>
                  <w:r>
                    <w:t>确定生产区、原料成品暂存处为重点防护单元。</w:t>
                  </w:r>
                </w:p>
              </w:tc>
            </w:tr>
            <w:tr w14:paraId="1E1A0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33" w:type="dxa"/>
                  <w:noWrap w:val="0"/>
                  <w:vAlign w:val="top"/>
                </w:tcPr>
                <w:p w14:paraId="116FE829">
                  <w:pPr>
                    <w:pStyle w:val="51"/>
                    <w:bidi w:val="0"/>
                  </w:pPr>
                  <w:r>
                    <w:t>2</w:t>
                  </w:r>
                </w:p>
              </w:tc>
              <w:tc>
                <w:tcPr>
                  <w:tcW w:w="2199" w:type="dxa"/>
                  <w:noWrap w:val="0"/>
                  <w:vAlign w:val="top"/>
                </w:tcPr>
                <w:p w14:paraId="78EB179E">
                  <w:pPr>
                    <w:pStyle w:val="51"/>
                    <w:bidi w:val="0"/>
                  </w:pPr>
                  <w:r>
                    <w:t>应急组织机构、人员</w:t>
                  </w:r>
                </w:p>
              </w:tc>
              <w:tc>
                <w:tcPr>
                  <w:tcW w:w="5105" w:type="dxa"/>
                  <w:noWrap w:val="0"/>
                  <w:vAlign w:val="top"/>
                </w:tcPr>
                <w:p w14:paraId="19BA7ECA">
                  <w:pPr>
                    <w:pStyle w:val="51"/>
                    <w:bidi w:val="0"/>
                  </w:pPr>
                  <w:r>
                    <w:t>设立应急救援指挥部，并明确职责。</w:t>
                  </w:r>
                </w:p>
              </w:tc>
            </w:tr>
            <w:tr w14:paraId="58F4A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33" w:type="dxa"/>
                  <w:noWrap w:val="0"/>
                  <w:vAlign w:val="top"/>
                </w:tcPr>
                <w:p w14:paraId="76E575B1">
                  <w:pPr>
                    <w:pStyle w:val="51"/>
                    <w:bidi w:val="0"/>
                  </w:pPr>
                  <w:r>
                    <w:t>3</w:t>
                  </w:r>
                </w:p>
              </w:tc>
              <w:tc>
                <w:tcPr>
                  <w:tcW w:w="2199" w:type="dxa"/>
                  <w:noWrap w:val="0"/>
                  <w:vAlign w:val="top"/>
                </w:tcPr>
                <w:p w14:paraId="2F396011">
                  <w:pPr>
                    <w:pStyle w:val="51"/>
                    <w:bidi w:val="0"/>
                  </w:pPr>
                  <w:r>
                    <w:t>预案分级响应条件</w:t>
                  </w:r>
                </w:p>
              </w:tc>
              <w:tc>
                <w:tcPr>
                  <w:tcW w:w="5105" w:type="dxa"/>
                  <w:noWrap w:val="0"/>
                  <w:vAlign w:val="top"/>
                </w:tcPr>
                <w:p w14:paraId="0033F401">
                  <w:pPr>
                    <w:pStyle w:val="51"/>
                    <w:bidi w:val="0"/>
                  </w:pPr>
                  <w:r>
                    <w:t>规定事故的级别及相应的应急分类响应程序。</w:t>
                  </w:r>
                </w:p>
              </w:tc>
            </w:tr>
            <w:tr w14:paraId="4FF15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33" w:type="dxa"/>
                  <w:noWrap w:val="0"/>
                  <w:vAlign w:val="top"/>
                </w:tcPr>
                <w:p w14:paraId="2F3083EF">
                  <w:pPr>
                    <w:pStyle w:val="51"/>
                    <w:bidi w:val="0"/>
                  </w:pPr>
                  <w:r>
                    <w:t>4</w:t>
                  </w:r>
                </w:p>
              </w:tc>
              <w:tc>
                <w:tcPr>
                  <w:tcW w:w="2199" w:type="dxa"/>
                  <w:noWrap w:val="0"/>
                  <w:vAlign w:val="top"/>
                </w:tcPr>
                <w:p w14:paraId="5DC2028D">
                  <w:pPr>
                    <w:pStyle w:val="51"/>
                    <w:bidi w:val="0"/>
                  </w:pPr>
                  <w:r>
                    <w:t>应急救援保障</w:t>
                  </w:r>
                </w:p>
              </w:tc>
              <w:tc>
                <w:tcPr>
                  <w:tcW w:w="5105" w:type="dxa"/>
                  <w:noWrap w:val="0"/>
                  <w:vAlign w:val="top"/>
                </w:tcPr>
                <w:p w14:paraId="1E25EB38">
                  <w:pPr>
                    <w:pStyle w:val="51"/>
                    <w:bidi w:val="0"/>
                  </w:pPr>
                  <w:r>
                    <w:t>备有抢修装备、个人防护装备、灭火装备等，分别布置 在各岗位。</w:t>
                  </w:r>
                </w:p>
              </w:tc>
            </w:tr>
            <w:tr w14:paraId="1DFA3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33" w:type="dxa"/>
                  <w:noWrap w:val="0"/>
                  <w:vAlign w:val="top"/>
                </w:tcPr>
                <w:p w14:paraId="7A84151A">
                  <w:pPr>
                    <w:pStyle w:val="51"/>
                    <w:bidi w:val="0"/>
                  </w:pPr>
                  <w:r>
                    <w:t>5</w:t>
                  </w:r>
                </w:p>
              </w:tc>
              <w:tc>
                <w:tcPr>
                  <w:tcW w:w="2199" w:type="dxa"/>
                  <w:noWrap w:val="0"/>
                  <w:vAlign w:val="top"/>
                </w:tcPr>
                <w:p w14:paraId="3477E8D8">
                  <w:pPr>
                    <w:pStyle w:val="51"/>
                    <w:bidi w:val="0"/>
                  </w:pPr>
                  <w:r>
                    <w:t>报警、通讯联络方式</w:t>
                  </w:r>
                </w:p>
              </w:tc>
              <w:tc>
                <w:tcPr>
                  <w:tcW w:w="5105" w:type="dxa"/>
                  <w:noWrap w:val="0"/>
                  <w:vAlign w:val="top"/>
                </w:tcPr>
                <w:p w14:paraId="4192B82B">
                  <w:pPr>
                    <w:pStyle w:val="51"/>
                    <w:bidi w:val="0"/>
                  </w:pPr>
                  <w:r>
                    <w:t>企业救援信号主要通过电话报警联络，应保证应急通讯</w:t>
                  </w:r>
                </w:p>
                <w:p w14:paraId="4685D902">
                  <w:pPr>
                    <w:pStyle w:val="51"/>
                    <w:bidi w:val="0"/>
                  </w:pPr>
                  <w:r>
                    <w:t>系统24小时畅通。常用应急电话号码：急救中心 20， 消防大队 119。</w:t>
                  </w:r>
                </w:p>
              </w:tc>
            </w:tr>
            <w:tr w14:paraId="307D5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33" w:type="dxa"/>
                  <w:noWrap w:val="0"/>
                  <w:vAlign w:val="top"/>
                </w:tcPr>
                <w:p w14:paraId="6853D268">
                  <w:pPr>
                    <w:pStyle w:val="51"/>
                    <w:bidi w:val="0"/>
                  </w:pPr>
                  <w:r>
                    <w:t>6</w:t>
                  </w:r>
                </w:p>
              </w:tc>
              <w:tc>
                <w:tcPr>
                  <w:tcW w:w="2199" w:type="dxa"/>
                  <w:noWrap w:val="0"/>
                  <w:vAlign w:val="top"/>
                </w:tcPr>
                <w:p w14:paraId="5091B782">
                  <w:pPr>
                    <w:pStyle w:val="51"/>
                    <w:bidi w:val="0"/>
                  </w:pPr>
                  <w:r>
                    <w:t>应急环境监测、抢险、 救援及控制措施</w:t>
                  </w:r>
                </w:p>
              </w:tc>
              <w:tc>
                <w:tcPr>
                  <w:tcW w:w="5105" w:type="dxa"/>
                  <w:noWrap w:val="0"/>
                  <w:vAlign w:val="top"/>
                </w:tcPr>
                <w:p w14:paraId="22E12B83">
                  <w:pPr>
                    <w:pStyle w:val="51"/>
                    <w:bidi w:val="0"/>
                  </w:pPr>
                  <w:r>
                    <w:t>公司成立应急救援指挥部指挥抢险、救援，委托当地环 保监测站帮助进行应急监测。</w:t>
                  </w:r>
                </w:p>
              </w:tc>
            </w:tr>
            <w:tr w14:paraId="7BB58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33" w:type="dxa"/>
                  <w:noWrap w:val="0"/>
                  <w:vAlign w:val="top"/>
                </w:tcPr>
                <w:p w14:paraId="3BF0476D">
                  <w:pPr>
                    <w:pStyle w:val="51"/>
                    <w:bidi w:val="0"/>
                  </w:pPr>
                  <w:r>
                    <w:t>7</w:t>
                  </w:r>
                </w:p>
              </w:tc>
              <w:tc>
                <w:tcPr>
                  <w:tcW w:w="2199" w:type="dxa"/>
                  <w:noWrap w:val="0"/>
                  <w:vAlign w:val="top"/>
                </w:tcPr>
                <w:p w14:paraId="46053B66">
                  <w:pPr>
                    <w:pStyle w:val="51"/>
                    <w:bidi w:val="0"/>
                  </w:pPr>
                  <w:r>
                    <w:t>人员紧急撤离、疏散， 应急剂量控制、撤离组</w:t>
                  </w:r>
                </w:p>
                <w:p w14:paraId="36A59EEF">
                  <w:pPr>
                    <w:pStyle w:val="51"/>
                    <w:bidi w:val="0"/>
                  </w:pPr>
                  <w:r>
                    <w:t>织计划</w:t>
                  </w:r>
                </w:p>
              </w:tc>
              <w:tc>
                <w:tcPr>
                  <w:tcW w:w="5105" w:type="dxa"/>
                  <w:noWrap w:val="0"/>
                  <w:vAlign w:val="top"/>
                </w:tcPr>
                <w:p w14:paraId="5DAC835E">
                  <w:pPr>
                    <w:pStyle w:val="51"/>
                    <w:bidi w:val="0"/>
                  </w:pPr>
                  <w:r>
                    <w:t>在事故现场周围建立警戒区域，实施交通管制，维护现</w:t>
                  </w:r>
                </w:p>
                <w:p w14:paraId="7F6086BF">
                  <w:pPr>
                    <w:pStyle w:val="51"/>
                    <w:bidi w:val="0"/>
                  </w:pPr>
                  <w:r>
                    <w:t>场秩序；根据事故大小、强度、持续时间及后果严重程 度等，将受威胁人群及时疏散。</w:t>
                  </w:r>
                </w:p>
              </w:tc>
            </w:tr>
            <w:tr w14:paraId="6B719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33" w:type="dxa"/>
                  <w:noWrap w:val="0"/>
                  <w:vAlign w:val="top"/>
                </w:tcPr>
                <w:p w14:paraId="2E8059E6">
                  <w:pPr>
                    <w:pStyle w:val="51"/>
                    <w:bidi w:val="0"/>
                  </w:pPr>
                  <w:r>
                    <w:t>8</w:t>
                  </w:r>
                </w:p>
              </w:tc>
              <w:tc>
                <w:tcPr>
                  <w:tcW w:w="2199" w:type="dxa"/>
                  <w:noWrap w:val="0"/>
                  <w:vAlign w:val="top"/>
                </w:tcPr>
                <w:p w14:paraId="4EA71187">
                  <w:pPr>
                    <w:pStyle w:val="51"/>
                    <w:bidi w:val="0"/>
                  </w:pPr>
                </w:p>
                <w:p w14:paraId="688A24CC">
                  <w:pPr>
                    <w:pStyle w:val="51"/>
                    <w:bidi w:val="0"/>
                  </w:pPr>
                  <w:r>
                    <w:t>事故应急救援关闭程 序与恢复措施</w:t>
                  </w:r>
                </w:p>
              </w:tc>
              <w:tc>
                <w:tcPr>
                  <w:tcW w:w="5105" w:type="dxa"/>
                  <w:noWrap w:val="0"/>
                  <w:vAlign w:val="top"/>
                </w:tcPr>
                <w:p w14:paraId="536BD966">
                  <w:pPr>
                    <w:pStyle w:val="51"/>
                    <w:bidi w:val="0"/>
                  </w:pPr>
                  <w:r>
                    <w:t>制定事故应急救援关闭程序。应急状态终止后，对事故</w:t>
                  </w:r>
                </w:p>
                <w:p w14:paraId="6850471B">
                  <w:pPr>
                    <w:pStyle w:val="51"/>
                    <w:bidi w:val="0"/>
                  </w:pPr>
                  <w:r>
                    <w:t>原因、防范措施等进行调查，妥善处理好事故中伤亡人</w:t>
                  </w:r>
                </w:p>
                <w:p w14:paraId="386FF93E">
                  <w:pPr>
                    <w:pStyle w:val="51"/>
                    <w:bidi w:val="0"/>
                  </w:pPr>
                  <w:r>
                    <w:t>员的善后工作，尽快组织恢复生产。对应急预案作出总 结，完善预案中的不足。</w:t>
                  </w:r>
                </w:p>
              </w:tc>
            </w:tr>
            <w:tr w14:paraId="1DB67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33" w:type="dxa"/>
                  <w:noWrap w:val="0"/>
                  <w:vAlign w:val="top"/>
                </w:tcPr>
                <w:p w14:paraId="0AB20673">
                  <w:pPr>
                    <w:pStyle w:val="51"/>
                    <w:bidi w:val="0"/>
                  </w:pPr>
                  <w:r>
                    <w:t>9</w:t>
                  </w:r>
                </w:p>
              </w:tc>
              <w:tc>
                <w:tcPr>
                  <w:tcW w:w="2199" w:type="dxa"/>
                  <w:noWrap w:val="0"/>
                  <w:vAlign w:val="top"/>
                </w:tcPr>
                <w:p w14:paraId="5810C3C2">
                  <w:pPr>
                    <w:pStyle w:val="51"/>
                    <w:bidi w:val="0"/>
                  </w:pPr>
                  <w:r>
                    <w:t>应急培训计划</w:t>
                  </w:r>
                </w:p>
              </w:tc>
              <w:tc>
                <w:tcPr>
                  <w:tcW w:w="5105" w:type="dxa"/>
                  <w:noWrap w:val="0"/>
                  <w:vAlign w:val="top"/>
                </w:tcPr>
                <w:p w14:paraId="7011F010">
                  <w:pPr>
                    <w:pStyle w:val="51"/>
                    <w:bidi w:val="0"/>
                  </w:pPr>
                  <w:r>
                    <w:t>应急计划制定后，平时安排人员培训与演练。</w:t>
                  </w:r>
                </w:p>
              </w:tc>
            </w:tr>
            <w:tr w14:paraId="3E94C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33" w:type="dxa"/>
                  <w:noWrap w:val="0"/>
                  <w:vAlign w:val="top"/>
                </w:tcPr>
                <w:p w14:paraId="6DD9BBE7">
                  <w:pPr>
                    <w:pStyle w:val="51"/>
                    <w:bidi w:val="0"/>
                  </w:pPr>
                  <w:r>
                    <w:t>10</w:t>
                  </w:r>
                </w:p>
              </w:tc>
              <w:tc>
                <w:tcPr>
                  <w:tcW w:w="2199" w:type="dxa"/>
                  <w:noWrap w:val="0"/>
                  <w:vAlign w:val="top"/>
                </w:tcPr>
                <w:p w14:paraId="25919AC2">
                  <w:pPr>
                    <w:pStyle w:val="51"/>
                    <w:bidi w:val="0"/>
                  </w:pPr>
                  <w:r>
                    <w:t>公众教育和信息</w:t>
                  </w:r>
                </w:p>
              </w:tc>
              <w:tc>
                <w:tcPr>
                  <w:tcW w:w="5105" w:type="dxa"/>
                  <w:noWrap w:val="0"/>
                  <w:vAlign w:val="top"/>
                </w:tcPr>
                <w:p w14:paraId="26A97EC6">
                  <w:pPr>
                    <w:pStyle w:val="51"/>
                    <w:bidi w:val="0"/>
                  </w:pPr>
                  <w:r>
                    <w:t>对企业邻近地区开展公众教育、培训和发布有关信息。</w:t>
                  </w:r>
                </w:p>
              </w:tc>
            </w:tr>
          </w:tbl>
          <w:p w14:paraId="0E23AEE0">
            <w:pPr>
              <w:pStyle w:val="39"/>
              <w:bidi w:val="0"/>
            </w:pPr>
            <w:r>
              <w:t>综上所述，项目不存在重大风险源，运行期间的环境风险很小，在落实本报告提出的各项环境风险防范措施，加强安全生产管理，明确岗位责任制，提高环境风险意识，加强环境管理，可有效降低项目运营期的环境风险，项目运营期的环境风险处在可接受的水平。</w:t>
            </w:r>
          </w:p>
          <w:p w14:paraId="5AC14C4B">
            <w:pPr>
              <w:pStyle w:val="46"/>
              <w:bidi w:val="0"/>
              <w:rPr>
                <w:rFonts w:hint="eastAsia"/>
                <w:color w:val="auto"/>
              </w:rPr>
            </w:pPr>
            <w:r>
              <w:rPr>
                <w:rFonts w:hint="eastAsia"/>
                <w:color w:val="auto"/>
              </w:rPr>
              <w:t>表</w:t>
            </w:r>
            <w:r>
              <w:rPr>
                <w:rFonts w:hint="eastAsia"/>
                <w:color w:val="auto"/>
                <w:lang w:val="en-US" w:eastAsia="zh-CN"/>
              </w:rPr>
              <w:t xml:space="preserve">4-15   </w:t>
            </w:r>
            <w:r>
              <w:rPr>
                <w:rFonts w:hint="eastAsia"/>
                <w:color w:val="auto"/>
              </w:rPr>
              <w:t>建设项目环境风险简单分析内容表</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5919"/>
            </w:tblGrid>
            <w:tr w14:paraId="18557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9" w:type="pct"/>
                  <w:tcBorders>
                    <w:tl2br w:val="nil"/>
                    <w:tr2bl w:val="nil"/>
                  </w:tcBorders>
                  <w:noWrap w:val="0"/>
                  <w:vAlign w:val="center"/>
                </w:tcPr>
                <w:p w14:paraId="47FAEA0F">
                  <w:pPr>
                    <w:pStyle w:val="51"/>
                    <w:bidi w:val="0"/>
                    <w:rPr>
                      <w:rFonts w:hint="default"/>
                      <w:color w:val="auto"/>
                    </w:rPr>
                  </w:pPr>
                  <w:r>
                    <w:rPr>
                      <w:rFonts w:hint="default"/>
                      <w:color w:val="auto"/>
                    </w:rPr>
                    <w:t>建设项目名称</w:t>
                  </w:r>
                </w:p>
              </w:tc>
              <w:tc>
                <w:tcPr>
                  <w:tcW w:w="3730" w:type="pct"/>
                  <w:tcBorders>
                    <w:tl2br w:val="nil"/>
                    <w:tr2bl w:val="nil"/>
                  </w:tcBorders>
                  <w:noWrap w:val="0"/>
                  <w:vAlign w:val="center"/>
                </w:tcPr>
                <w:p w14:paraId="32195375">
                  <w:pPr>
                    <w:pStyle w:val="51"/>
                    <w:bidi w:val="0"/>
                    <w:rPr>
                      <w:rFonts w:hint="default"/>
                      <w:color w:val="auto"/>
                    </w:rPr>
                  </w:pPr>
                  <w:r>
                    <w:rPr>
                      <w:rFonts w:hint="default"/>
                      <w:color w:val="auto"/>
                      <w:lang w:val="en-US"/>
                    </w:rPr>
                    <w:t>鄯善县强盛再生资源回收利用项目</w:t>
                  </w:r>
                </w:p>
              </w:tc>
            </w:tr>
            <w:tr w14:paraId="3FF16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9" w:type="pct"/>
                  <w:tcBorders>
                    <w:tl2br w:val="nil"/>
                    <w:tr2bl w:val="nil"/>
                  </w:tcBorders>
                  <w:noWrap w:val="0"/>
                  <w:vAlign w:val="center"/>
                </w:tcPr>
                <w:p w14:paraId="6A4CBB65">
                  <w:pPr>
                    <w:pStyle w:val="51"/>
                    <w:bidi w:val="0"/>
                    <w:rPr>
                      <w:rFonts w:hint="default"/>
                      <w:color w:val="auto"/>
                    </w:rPr>
                  </w:pPr>
                  <w:r>
                    <w:rPr>
                      <w:rFonts w:hint="default"/>
                      <w:color w:val="auto"/>
                    </w:rPr>
                    <w:t>建设地点</w:t>
                  </w:r>
                </w:p>
              </w:tc>
              <w:tc>
                <w:tcPr>
                  <w:tcW w:w="3730" w:type="pct"/>
                  <w:tcBorders>
                    <w:tl2br w:val="nil"/>
                    <w:tr2bl w:val="nil"/>
                  </w:tcBorders>
                  <w:noWrap w:val="0"/>
                  <w:vAlign w:val="center"/>
                </w:tcPr>
                <w:p w14:paraId="1832B025">
                  <w:pPr>
                    <w:pStyle w:val="51"/>
                    <w:bidi w:val="0"/>
                    <w:rPr>
                      <w:rFonts w:hint="eastAsia"/>
                      <w:color w:val="auto"/>
                      <w:lang w:eastAsia="zh-CN"/>
                    </w:rPr>
                  </w:pPr>
                  <w:r>
                    <w:rPr>
                      <w:rFonts w:hint="eastAsia"/>
                      <w:color w:val="auto"/>
                      <w:lang w:val="en-US" w:eastAsia="zh-CN"/>
                    </w:rPr>
                    <w:t>新疆维吾尔自治区鄯善县东侧，312国道以东</w:t>
                  </w:r>
                </w:p>
              </w:tc>
            </w:tr>
            <w:tr w14:paraId="0131D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9" w:type="pct"/>
                  <w:tcBorders>
                    <w:tl2br w:val="nil"/>
                    <w:tr2bl w:val="nil"/>
                  </w:tcBorders>
                  <w:noWrap w:val="0"/>
                  <w:vAlign w:val="center"/>
                </w:tcPr>
                <w:p w14:paraId="2C149C8E">
                  <w:pPr>
                    <w:pStyle w:val="51"/>
                    <w:bidi w:val="0"/>
                    <w:rPr>
                      <w:rFonts w:hint="default"/>
                      <w:color w:val="auto"/>
                    </w:rPr>
                  </w:pPr>
                  <w:r>
                    <w:rPr>
                      <w:rFonts w:hint="default"/>
                      <w:color w:val="auto"/>
                    </w:rPr>
                    <w:t>主要危险物质及分布</w:t>
                  </w:r>
                </w:p>
              </w:tc>
              <w:tc>
                <w:tcPr>
                  <w:tcW w:w="3730" w:type="pct"/>
                  <w:tcBorders>
                    <w:tl2br w:val="nil"/>
                    <w:tr2bl w:val="nil"/>
                  </w:tcBorders>
                  <w:noWrap w:val="0"/>
                  <w:vAlign w:val="center"/>
                </w:tcPr>
                <w:p w14:paraId="6AC40247">
                  <w:pPr>
                    <w:pStyle w:val="51"/>
                    <w:bidi w:val="0"/>
                    <w:rPr>
                      <w:rFonts w:hint="default"/>
                      <w:color w:val="auto"/>
                      <w:lang w:val="en-US" w:eastAsia="zh-CN"/>
                    </w:rPr>
                  </w:pPr>
                  <w:r>
                    <w:rPr>
                      <w:rFonts w:hint="eastAsia"/>
                      <w:color w:val="auto"/>
                      <w:lang w:val="en-US" w:eastAsia="zh-CN"/>
                    </w:rPr>
                    <w:t>废机油、浮油</w:t>
                  </w:r>
                </w:p>
              </w:tc>
            </w:tr>
            <w:tr w14:paraId="402C6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9" w:type="pct"/>
                  <w:tcBorders>
                    <w:tl2br w:val="nil"/>
                    <w:tr2bl w:val="nil"/>
                  </w:tcBorders>
                  <w:noWrap w:val="0"/>
                  <w:vAlign w:val="center"/>
                </w:tcPr>
                <w:p w14:paraId="6EB80A9E">
                  <w:pPr>
                    <w:pStyle w:val="51"/>
                    <w:bidi w:val="0"/>
                    <w:rPr>
                      <w:rFonts w:hint="default"/>
                      <w:color w:val="auto"/>
                    </w:rPr>
                  </w:pPr>
                  <w:r>
                    <w:rPr>
                      <w:rFonts w:hint="default"/>
                      <w:color w:val="auto"/>
                    </w:rPr>
                    <w:t>环境影响途径及危害后果（大气、地表水、地下水）</w:t>
                  </w:r>
                </w:p>
              </w:tc>
              <w:tc>
                <w:tcPr>
                  <w:tcW w:w="3730" w:type="pct"/>
                  <w:tcBorders>
                    <w:tl2br w:val="nil"/>
                    <w:tr2bl w:val="nil"/>
                  </w:tcBorders>
                  <w:noWrap w:val="0"/>
                  <w:vAlign w:val="center"/>
                </w:tcPr>
                <w:p w14:paraId="4AE4BBF7">
                  <w:pPr>
                    <w:pStyle w:val="51"/>
                    <w:bidi w:val="0"/>
                    <w:jc w:val="left"/>
                    <w:rPr>
                      <w:color w:val="auto"/>
                    </w:rPr>
                  </w:pPr>
                  <w:r>
                    <w:rPr>
                      <w:color w:val="auto"/>
                    </w:rPr>
                    <w:t>①泄露</w:t>
                  </w:r>
                  <w:r>
                    <w:rPr>
                      <w:rFonts w:hint="eastAsia"/>
                      <w:color w:val="auto"/>
                      <w:lang w:eastAsia="zh-CN"/>
                    </w:rPr>
                    <w:t>：</w:t>
                  </w:r>
                  <w:r>
                    <w:rPr>
                      <w:color w:val="auto"/>
                    </w:rPr>
                    <w:t>设施发生泄漏时，泄露导致挥发性气体的排放量增加，影响区域的环境空气质量。</w:t>
                  </w:r>
                </w:p>
                <w:p w14:paraId="62452731">
                  <w:pPr>
                    <w:pStyle w:val="51"/>
                    <w:bidi w:val="0"/>
                    <w:jc w:val="left"/>
                    <w:rPr>
                      <w:rFonts w:hint="default"/>
                      <w:color w:val="auto"/>
                    </w:rPr>
                  </w:pPr>
                  <w:r>
                    <w:rPr>
                      <w:color w:val="auto"/>
                    </w:rPr>
                    <w:t>②火灾、爆炸</w:t>
                  </w:r>
                  <w:r>
                    <w:rPr>
                      <w:rFonts w:hint="eastAsia"/>
                      <w:color w:val="auto"/>
                      <w:lang w:eastAsia="zh-CN"/>
                    </w:rPr>
                    <w:t>：</w:t>
                  </w:r>
                  <w:r>
                    <w:rPr>
                      <w:color w:val="auto"/>
                    </w:rPr>
                    <w:t>本项目物料及产品储罐的泄漏引发的火灾爆炸事故发生原因主要为设备损坏以及人员违规操作等。正常情况下，物料及产品被控制在密闭的储罐、生产系统内。如因设备原因、人为失误、管理缺陷、环境因素等原因而失控，则使原谅废矿物油及相关产品从储罐、生产系统内泄漏、扩散到空气中，其与空气形成爆炸性混合物，发生爆炸和火灾。</w:t>
                  </w:r>
                </w:p>
              </w:tc>
            </w:tr>
            <w:tr w14:paraId="15440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9" w:type="pct"/>
                  <w:tcBorders>
                    <w:tl2br w:val="nil"/>
                    <w:tr2bl w:val="nil"/>
                  </w:tcBorders>
                  <w:noWrap w:val="0"/>
                  <w:vAlign w:val="center"/>
                </w:tcPr>
                <w:p w14:paraId="611343A5">
                  <w:pPr>
                    <w:pStyle w:val="51"/>
                    <w:bidi w:val="0"/>
                    <w:rPr>
                      <w:rFonts w:hint="default"/>
                      <w:color w:val="auto"/>
                    </w:rPr>
                  </w:pPr>
                  <w:r>
                    <w:rPr>
                      <w:rFonts w:hint="default"/>
                      <w:color w:val="auto"/>
                    </w:rPr>
                    <w:t>风险防范措施要求</w:t>
                  </w:r>
                </w:p>
              </w:tc>
              <w:tc>
                <w:tcPr>
                  <w:tcW w:w="3730" w:type="pct"/>
                  <w:tcBorders>
                    <w:tl2br w:val="nil"/>
                    <w:tr2bl w:val="nil"/>
                  </w:tcBorders>
                  <w:noWrap w:val="0"/>
                  <w:vAlign w:val="center"/>
                </w:tcPr>
                <w:p w14:paraId="70033E7D">
                  <w:pPr>
                    <w:pStyle w:val="51"/>
                    <w:bidi w:val="0"/>
                    <w:jc w:val="left"/>
                    <w:rPr>
                      <w:color w:val="auto"/>
                    </w:rPr>
                  </w:pPr>
                  <w:r>
                    <w:rPr>
                      <w:color w:val="auto"/>
                    </w:rPr>
                    <w:t>①强化管理及安全生产，健全的安全管理制度，如严格操作规范、制定防火制度等；</w:t>
                  </w:r>
                </w:p>
                <w:p w14:paraId="1CCA1312">
                  <w:pPr>
                    <w:pStyle w:val="51"/>
                    <w:bidi w:val="0"/>
                    <w:jc w:val="left"/>
                    <w:rPr>
                      <w:color w:val="auto"/>
                    </w:rPr>
                  </w:pPr>
                  <w:r>
                    <w:rPr>
                      <w:color w:val="auto"/>
                    </w:rPr>
                    <w:t>②生产区设置风险防范措施，例如加强生产设施的维护及检修，采用自动化的截断阀及报警装置等；</w:t>
                  </w:r>
                </w:p>
                <w:p w14:paraId="31C752D7">
                  <w:pPr>
                    <w:pStyle w:val="51"/>
                    <w:bidi w:val="0"/>
                    <w:jc w:val="left"/>
                    <w:rPr>
                      <w:color w:val="auto"/>
                    </w:rPr>
                  </w:pPr>
                  <w:r>
                    <w:rPr>
                      <w:color w:val="auto"/>
                    </w:rPr>
                    <w:t>③严禁烟火，配套必须的防护用品；</w:t>
                  </w:r>
                </w:p>
                <w:p w14:paraId="4C673D6D">
                  <w:pPr>
                    <w:pStyle w:val="51"/>
                    <w:bidi w:val="0"/>
                    <w:jc w:val="left"/>
                    <w:rPr>
                      <w:color w:val="auto"/>
                    </w:rPr>
                  </w:pPr>
                  <w:r>
                    <w:rPr>
                      <w:color w:val="auto"/>
                    </w:rPr>
                    <w:t>④加强道路运输风险防范；</w:t>
                  </w:r>
                </w:p>
                <w:p w14:paraId="124EF085">
                  <w:pPr>
                    <w:pStyle w:val="51"/>
                    <w:bidi w:val="0"/>
                    <w:jc w:val="left"/>
                    <w:rPr>
                      <w:color w:val="auto"/>
                    </w:rPr>
                  </w:pPr>
                  <w:r>
                    <w:rPr>
                      <w:color w:val="auto"/>
                    </w:rPr>
                    <w:t>⑤建立“三级防护措施”；</w:t>
                  </w:r>
                </w:p>
                <w:p w14:paraId="747B37B1">
                  <w:pPr>
                    <w:pStyle w:val="51"/>
                    <w:bidi w:val="0"/>
                    <w:jc w:val="left"/>
                    <w:rPr>
                      <w:rFonts w:hint="default"/>
                      <w:color w:val="auto"/>
                    </w:rPr>
                  </w:pPr>
                  <w:r>
                    <w:rPr>
                      <w:color w:val="auto"/>
                    </w:rPr>
                    <w:t>⑥设置应急预案并加强应急演练</w:t>
                  </w:r>
                </w:p>
              </w:tc>
            </w:tr>
            <w:tr w14:paraId="1F5D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2"/>
                  <w:tcBorders>
                    <w:tl2br w:val="nil"/>
                    <w:tr2bl w:val="nil"/>
                  </w:tcBorders>
                  <w:noWrap w:val="0"/>
                  <w:vAlign w:val="center"/>
                </w:tcPr>
                <w:p w14:paraId="595B152E">
                  <w:pPr>
                    <w:pStyle w:val="51"/>
                    <w:bidi w:val="0"/>
                    <w:rPr>
                      <w:rFonts w:hint="default"/>
                      <w:color w:val="auto"/>
                    </w:rPr>
                  </w:pPr>
                  <w:r>
                    <w:rPr>
                      <w:rFonts w:hint="default"/>
                      <w:color w:val="auto"/>
                    </w:rPr>
                    <w:t>填表说明：根据本项目污染物特性，本项目应建立独立的环境风险应急预案，并报备地环境主管部门备案。</w:t>
                  </w:r>
                </w:p>
              </w:tc>
            </w:tr>
          </w:tbl>
          <w:p w14:paraId="221DC917">
            <w:pPr>
              <w:pStyle w:val="4"/>
              <w:bidi w:val="0"/>
              <w:rPr>
                <w:rFonts w:hint="eastAsia"/>
                <w:color w:val="auto"/>
                <w:lang w:val="en-US"/>
              </w:rPr>
            </w:pPr>
            <w:r>
              <w:rPr>
                <w:rFonts w:hint="eastAsia"/>
                <w:color w:val="auto"/>
                <w:lang w:val="en-US" w:eastAsia="zh-CN"/>
              </w:rPr>
              <w:t>4.2.7</w:t>
            </w:r>
            <w:r>
              <w:rPr>
                <w:rFonts w:hint="eastAsia"/>
                <w:color w:val="auto"/>
                <w:lang w:val="en-US"/>
              </w:rPr>
              <w:t>环境管理</w:t>
            </w:r>
          </w:p>
          <w:p w14:paraId="12868ADA">
            <w:pPr>
              <w:pStyle w:val="39"/>
              <w:bidi w:val="0"/>
              <w:rPr>
                <w:rFonts w:hint="default"/>
                <w:color w:val="auto"/>
                <w:lang w:val="en-US" w:eastAsia="zh-CN"/>
              </w:rPr>
            </w:pPr>
            <w:r>
              <w:rPr>
                <w:rFonts w:hint="eastAsia"/>
                <w:color w:val="auto"/>
                <w:lang w:val="en-US" w:eastAsia="zh-CN"/>
              </w:rPr>
              <w:t>1工程排污许可</w:t>
            </w:r>
          </w:p>
          <w:p w14:paraId="6A57E419">
            <w:pPr>
              <w:pStyle w:val="39"/>
              <w:bidi w:val="0"/>
              <w:rPr>
                <w:rFonts w:hint="eastAsia"/>
                <w:color w:val="auto"/>
                <w:lang w:val="en-US" w:eastAsia="zh-CN"/>
              </w:rPr>
            </w:pPr>
            <w:r>
              <w:rPr>
                <w:rFonts w:hint="eastAsia"/>
                <w:color w:val="auto"/>
                <w:lang w:val="en-US" w:eastAsia="zh-CN"/>
              </w:rPr>
              <w:t>根据《固定污染源排污许可分类管理名录(2019年版)》(生态环境部第11号)可知，本项目属于“三十七、废气资源综合利用业42-93金属废料和碎屑加工处理”，属于简化管理，实行排污许可管理，建设单位应当在在启动生产设施或者发生实际排污之前重新申请排污许可。</w:t>
            </w:r>
          </w:p>
          <w:p w14:paraId="17AA7EB2">
            <w:pPr>
              <w:pStyle w:val="39"/>
              <w:bidi w:val="0"/>
              <w:rPr>
                <w:rFonts w:hint="eastAsia"/>
                <w:color w:val="auto"/>
                <w:lang w:val="en-US" w:eastAsia="zh-CN"/>
              </w:rPr>
            </w:pPr>
            <w:r>
              <w:rPr>
                <w:rFonts w:hint="eastAsia"/>
                <w:color w:val="auto"/>
                <w:lang w:val="en-US" w:eastAsia="zh-CN"/>
              </w:rPr>
              <w:t>排污单位在申请排污许可证前，应当将主要申请内容，包括排污单位基本信息、拟申请的许可事项、产排污环节、污染防治设施，通过国家排污许可证管理信息平台或者其他规定途径等便于公众知晓的方式向社会公开。公开时间不得少于5日。</w:t>
            </w:r>
          </w:p>
          <w:p w14:paraId="67F8AA7A">
            <w:pPr>
              <w:pStyle w:val="39"/>
              <w:bidi w:val="0"/>
              <w:rPr>
                <w:rFonts w:hint="eastAsia"/>
                <w:color w:val="auto"/>
                <w:lang w:val="en-US" w:eastAsia="zh-CN"/>
              </w:rPr>
            </w:pPr>
            <w:r>
              <w:rPr>
                <w:rFonts w:hint="eastAsia"/>
                <w:color w:val="auto"/>
                <w:lang w:val="en-US" w:eastAsia="zh-CN"/>
              </w:rPr>
              <w:t>排污单位应当在国家排污许可证管理信息平台上填报并提交排污许可证申请，同时向有核发权限的环境保护主管部门提交通过平台印制的书面申请材料。排污单位对申请材料的真实性、合法性、完整性负法律责任。申请材料应当包括：</w:t>
            </w:r>
          </w:p>
          <w:p w14:paraId="731663E8">
            <w:pPr>
              <w:pStyle w:val="39"/>
              <w:bidi w:val="0"/>
              <w:rPr>
                <w:rFonts w:hint="eastAsia"/>
                <w:color w:val="auto"/>
                <w:lang w:val="en-US" w:eastAsia="zh-CN"/>
              </w:rPr>
            </w:pPr>
            <w:r>
              <w:rPr>
                <w:rFonts w:hint="eastAsia"/>
                <w:color w:val="auto"/>
                <w:lang w:val="en-US" w:eastAsia="zh-CN"/>
              </w:rPr>
              <w:t>（一）排污许可证申请表，主要内容包括：排污单位基本信息，主要生产装置，废气、废水等产排污环节和污染防治设施，申请的排污口位置和数量、排放方式、排放去向、排放污染物种类、排放浓度和排放量、执行的排放标准。</w:t>
            </w:r>
          </w:p>
          <w:p w14:paraId="76294798">
            <w:pPr>
              <w:pStyle w:val="39"/>
              <w:bidi w:val="0"/>
              <w:rPr>
                <w:rFonts w:hint="eastAsia"/>
                <w:color w:val="auto"/>
                <w:lang w:val="en-US" w:eastAsia="zh-CN"/>
              </w:rPr>
            </w:pPr>
            <w:r>
              <w:rPr>
                <w:rFonts w:hint="eastAsia"/>
                <w:color w:val="auto"/>
                <w:lang w:val="en-US" w:eastAsia="zh-CN"/>
              </w:rPr>
              <w:t>（二）有排污单位法定代表人或者实际负责人签字或盖章的承诺书。主要承诺内容包括：对申请材料真实性、合法性、完整性负法律责任；按排污许可证的要求控制污染物排放；按照相关标准规范开展自行监测、台账记录；按时提交执行报告并及时公开相关信息等。</w:t>
            </w:r>
          </w:p>
          <w:p w14:paraId="2C0C7BD4">
            <w:pPr>
              <w:pStyle w:val="39"/>
              <w:bidi w:val="0"/>
              <w:rPr>
                <w:rFonts w:hint="eastAsia"/>
                <w:color w:val="auto"/>
                <w:lang w:val="en-US" w:eastAsia="zh-CN"/>
              </w:rPr>
            </w:pPr>
            <w:r>
              <w:rPr>
                <w:rFonts w:hint="eastAsia"/>
                <w:color w:val="auto"/>
                <w:lang w:val="en-US" w:eastAsia="zh-CN"/>
              </w:rPr>
              <w:t>（三）排污单位按照有关要求进行排污口和监测孔规范化设置的情况说明。</w:t>
            </w:r>
          </w:p>
          <w:p w14:paraId="16EF0974">
            <w:pPr>
              <w:pStyle w:val="39"/>
              <w:bidi w:val="0"/>
              <w:rPr>
                <w:rFonts w:hint="eastAsia"/>
                <w:color w:val="auto"/>
                <w:lang w:val="en-US" w:eastAsia="zh-CN"/>
              </w:rPr>
            </w:pPr>
            <w:r>
              <w:rPr>
                <w:rFonts w:hint="eastAsia"/>
                <w:color w:val="auto"/>
                <w:lang w:val="en-US" w:eastAsia="zh-CN"/>
              </w:rPr>
              <w:t>（四）建设项目环境影响评价批复文号。</w:t>
            </w:r>
          </w:p>
          <w:p w14:paraId="33E4DB80">
            <w:pPr>
              <w:pStyle w:val="39"/>
              <w:bidi w:val="0"/>
              <w:rPr>
                <w:rFonts w:hint="eastAsia"/>
                <w:color w:val="auto"/>
                <w:lang w:val="en-US" w:eastAsia="zh-CN"/>
              </w:rPr>
            </w:pPr>
            <w:r>
              <w:rPr>
                <w:rFonts w:hint="eastAsia"/>
                <w:color w:val="auto"/>
                <w:lang w:val="en-US" w:eastAsia="zh-CN"/>
              </w:rPr>
              <w:t>（五）法律法规规定的其他材料。</w:t>
            </w:r>
          </w:p>
          <w:p w14:paraId="0C1D82E8">
            <w:pPr>
              <w:pStyle w:val="39"/>
              <w:bidi w:val="0"/>
              <w:rPr>
                <w:rFonts w:hint="eastAsia"/>
                <w:color w:val="auto"/>
                <w:lang w:val="en-US" w:eastAsia="zh-CN"/>
              </w:rPr>
            </w:pPr>
            <w:r>
              <w:rPr>
                <w:rFonts w:hint="eastAsia"/>
                <w:color w:val="auto"/>
                <w:lang w:val="en-US" w:eastAsia="zh-CN"/>
              </w:rPr>
              <w:t>核发机关收到排污单位提交的申请材料后，对材料的完整性、规范性进行审查，按照下列情形分别作出处理</w:t>
            </w:r>
          </w:p>
          <w:p w14:paraId="7F447FC1">
            <w:pPr>
              <w:pStyle w:val="39"/>
              <w:bidi w:val="0"/>
              <w:rPr>
                <w:rFonts w:hint="eastAsia"/>
                <w:color w:val="auto"/>
                <w:lang w:val="en-US" w:eastAsia="zh-CN"/>
              </w:rPr>
            </w:pPr>
            <w:r>
              <w:rPr>
                <w:rFonts w:hint="eastAsia"/>
                <w:color w:val="auto"/>
                <w:lang w:val="en-US" w:eastAsia="zh-CN"/>
              </w:rPr>
              <w:t>（一）依据《排污许可证管理暂行规定》不需要取得排污许可证的， 应当即时告知排污单位不需要办理。</w:t>
            </w:r>
          </w:p>
          <w:p w14:paraId="317D7442">
            <w:pPr>
              <w:pStyle w:val="39"/>
              <w:bidi w:val="0"/>
              <w:rPr>
                <w:rFonts w:hint="eastAsia"/>
                <w:color w:val="auto"/>
                <w:lang w:val="en-US" w:eastAsia="zh-CN"/>
              </w:rPr>
            </w:pPr>
            <w:r>
              <w:rPr>
                <w:rFonts w:hint="eastAsia"/>
                <w:color w:val="auto"/>
                <w:lang w:val="en-US" w:eastAsia="zh-CN"/>
              </w:rPr>
              <w:t>（二）不属于本行政机关职权范围的，应当即时作出不予受理的决定， 并告知排污单位有核发权限的机关。</w:t>
            </w:r>
          </w:p>
          <w:p w14:paraId="7B6FD77F">
            <w:pPr>
              <w:pStyle w:val="39"/>
              <w:bidi w:val="0"/>
              <w:rPr>
                <w:rFonts w:hint="eastAsia"/>
                <w:color w:val="auto"/>
                <w:lang w:val="en-US" w:eastAsia="zh-CN"/>
              </w:rPr>
            </w:pPr>
            <w:r>
              <w:rPr>
                <w:rFonts w:hint="eastAsia"/>
                <w:color w:val="auto"/>
                <w:lang w:val="en-US" w:eastAsia="zh-CN"/>
              </w:rPr>
              <w:t>（三） 申请材料不齐全的， 应当当场或在五日内出具一次性告知单， 告知排污单位需要补充的全部材料。逾期不告知的，自收到申请材料之日起即为受理。</w:t>
            </w:r>
          </w:p>
          <w:p w14:paraId="66BC8546">
            <w:pPr>
              <w:pStyle w:val="39"/>
              <w:bidi w:val="0"/>
              <w:rPr>
                <w:rFonts w:hint="eastAsia"/>
                <w:color w:val="auto"/>
                <w:lang w:val="en-US" w:eastAsia="zh-CN"/>
              </w:rPr>
            </w:pPr>
            <w:r>
              <w:rPr>
                <w:rFonts w:hint="eastAsia"/>
                <w:color w:val="auto"/>
                <w:lang w:val="en-US" w:eastAsia="zh-CN"/>
              </w:rPr>
              <w:t>（四）申请材料不符合规定的，应当当场或在五日内出具一次性告知单，告知排污单位需要改正的全部内容。可以当场改正的， 应当允许排污单位当场改正。逾期不告知的，自收到申请材料之日起即为受理。</w:t>
            </w:r>
          </w:p>
          <w:p w14:paraId="17B20795">
            <w:pPr>
              <w:pStyle w:val="39"/>
              <w:bidi w:val="0"/>
              <w:rPr>
                <w:rFonts w:hint="eastAsia"/>
                <w:color w:val="auto"/>
                <w:lang w:val="en-US" w:eastAsia="zh-CN"/>
              </w:rPr>
            </w:pPr>
            <w:r>
              <w:rPr>
                <w:rFonts w:hint="eastAsia"/>
                <w:color w:val="auto"/>
                <w:lang w:val="en-US" w:eastAsia="zh-CN"/>
              </w:rPr>
              <w:t>（五）属于本行政机关职权范围，申请材料齐全、符合规定，或者排污单位按要求提交全部补正申请材料的，应当受理。</w:t>
            </w:r>
          </w:p>
          <w:p w14:paraId="2D7C3CB2">
            <w:pPr>
              <w:pStyle w:val="39"/>
              <w:bidi w:val="0"/>
              <w:rPr>
                <w:rFonts w:hint="eastAsia"/>
                <w:color w:val="auto"/>
                <w:lang w:val="en-US" w:eastAsia="zh-CN"/>
              </w:rPr>
            </w:pPr>
            <w:r>
              <w:rPr>
                <w:rFonts w:hint="eastAsia"/>
                <w:color w:val="auto"/>
                <w:lang w:val="en-US" w:eastAsia="zh-CN"/>
              </w:rPr>
              <w:t>核发机关应当在国家排污许可证管理信息平台上作出受理或者不予受理排污许可申请的决定，同时向排污单位出具加盖本行政机关专用印章和注明日期的受理单或不予受理告知单。</w:t>
            </w:r>
          </w:p>
          <w:p w14:paraId="5604E312">
            <w:pPr>
              <w:pStyle w:val="39"/>
              <w:bidi w:val="0"/>
              <w:rPr>
                <w:color w:val="auto"/>
              </w:rPr>
            </w:pPr>
            <w:r>
              <w:rPr>
                <w:rFonts w:hint="eastAsia"/>
                <w:color w:val="auto"/>
                <w:lang w:val="en-US" w:eastAsia="zh-CN"/>
              </w:rPr>
              <w:t>2</w:t>
            </w:r>
            <w:r>
              <w:rPr>
                <w:rFonts w:hint="eastAsia"/>
                <w:color w:val="auto"/>
              </w:rPr>
              <w:t>排污口规范化</w:t>
            </w:r>
          </w:p>
          <w:p w14:paraId="68B3AC73">
            <w:pPr>
              <w:pStyle w:val="39"/>
              <w:bidi w:val="0"/>
              <w:rPr>
                <w:color w:val="auto"/>
              </w:rPr>
            </w:pPr>
            <w:r>
              <w:rPr>
                <w:color w:val="auto"/>
              </w:rPr>
              <w:t>排污口是企业污染物进入环境、污染环境的通道，因此强化排污口的管理，既是实施污染物总量控制的基础工作之一，也是区域环境管理逐步实现污染物排放科学化、定量化的重要手段。为此，按照《排污口规范化整治技术要求》提出建设项目排污口规范化管理要求，见表</w:t>
            </w:r>
            <w:r>
              <w:rPr>
                <w:rFonts w:hint="eastAsia"/>
                <w:color w:val="auto"/>
                <w:lang w:val="en-US" w:eastAsia="zh-CN"/>
              </w:rPr>
              <w:t>4-16</w:t>
            </w:r>
            <w:r>
              <w:rPr>
                <w:color w:val="auto"/>
              </w:rPr>
              <w:t>。</w:t>
            </w:r>
          </w:p>
          <w:p w14:paraId="4B798895">
            <w:pPr>
              <w:spacing w:line="240" w:lineRule="auto"/>
              <w:ind w:firstLine="422" w:firstLineChars="200"/>
              <w:jc w:val="center"/>
              <w:rPr>
                <w:b/>
                <w:bCs/>
                <w:color w:val="auto"/>
                <w:sz w:val="21"/>
                <w:szCs w:val="21"/>
              </w:rPr>
            </w:pPr>
            <w:r>
              <w:rPr>
                <w:b/>
                <w:bCs/>
                <w:color w:val="auto"/>
                <w:sz w:val="21"/>
                <w:szCs w:val="21"/>
              </w:rPr>
              <w:t>表</w:t>
            </w:r>
            <w:r>
              <w:rPr>
                <w:rFonts w:hint="eastAsia"/>
                <w:b/>
                <w:bCs/>
                <w:color w:val="auto"/>
                <w:sz w:val="21"/>
                <w:szCs w:val="21"/>
                <w:lang w:val="en-US" w:eastAsia="zh-CN"/>
              </w:rPr>
              <w:t xml:space="preserve">4-16 </w:t>
            </w:r>
            <w:r>
              <w:rPr>
                <w:rFonts w:hint="eastAsia"/>
                <w:b/>
                <w:bCs/>
                <w:color w:val="auto"/>
                <w:sz w:val="21"/>
                <w:szCs w:val="21"/>
              </w:rPr>
              <w:t xml:space="preserve"> </w:t>
            </w:r>
            <w:r>
              <w:rPr>
                <w:b/>
                <w:bCs/>
                <w:color w:val="auto"/>
                <w:sz w:val="21"/>
                <w:szCs w:val="21"/>
              </w:rPr>
              <w:t xml:space="preserve"> 排污口规范化管理要求表</w:t>
            </w:r>
          </w:p>
          <w:tbl>
            <w:tblPr>
              <w:tblStyle w:val="31"/>
              <w:tblW w:w="7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7216"/>
            </w:tblGrid>
            <w:tr w14:paraId="348BB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83" w:type="dxa"/>
                  <w:tcBorders>
                    <w:tl2br w:val="nil"/>
                    <w:tr2bl w:val="nil"/>
                  </w:tcBorders>
                  <w:noWrap/>
                  <w:vAlign w:val="center"/>
                </w:tcPr>
                <w:p w14:paraId="21CB3B62">
                  <w:pPr>
                    <w:spacing w:line="240" w:lineRule="auto"/>
                    <w:ind w:firstLine="0" w:firstLineChars="0"/>
                    <w:jc w:val="center"/>
                    <w:rPr>
                      <w:b/>
                      <w:bCs w:val="0"/>
                      <w:color w:val="auto"/>
                      <w:sz w:val="21"/>
                      <w:szCs w:val="21"/>
                    </w:rPr>
                  </w:pPr>
                  <w:r>
                    <w:rPr>
                      <w:b/>
                      <w:bCs w:val="0"/>
                      <w:color w:val="auto"/>
                      <w:sz w:val="21"/>
                      <w:szCs w:val="21"/>
                    </w:rPr>
                    <w:t>项目</w:t>
                  </w:r>
                </w:p>
              </w:tc>
              <w:tc>
                <w:tcPr>
                  <w:tcW w:w="7216" w:type="dxa"/>
                  <w:tcBorders>
                    <w:tl2br w:val="nil"/>
                    <w:tr2bl w:val="nil"/>
                  </w:tcBorders>
                  <w:noWrap/>
                  <w:vAlign w:val="center"/>
                </w:tcPr>
                <w:p w14:paraId="45250D42">
                  <w:pPr>
                    <w:spacing w:line="240" w:lineRule="auto"/>
                    <w:ind w:firstLine="0" w:firstLineChars="0"/>
                    <w:jc w:val="center"/>
                    <w:rPr>
                      <w:b/>
                      <w:bCs w:val="0"/>
                      <w:color w:val="auto"/>
                      <w:sz w:val="21"/>
                      <w:szCs w:val="21"/>
                    </w:rPr>
                  </w:pPr>
                  <w:r>
                    <w:rPr>
                      <w:b/>
                      <w:bCs w:val="0"/>
                      <w:color w:val="auto"/>
                      <w:sz w:val="21"/>
                      <w:szCs w:val="21"/>
                    </w:rPr>
                    <w:t>主要要求内容</w:t>
                  </w:r>
                </w:p>
              </w:tc>
            </w:tr>
            <w:tr w14:paraId="46C34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83" w:type="dxa"/>
                  <w:vMerge w:val="restart"/>
                  <w:tcBorders>
                    <w:tl2br w:val="nil"/>
                    <w:tr2bl w:val="nil"/>
                  </w:tcBorders>
                  <w:noWrap/>
                  <w:vAlign w:val="center"/>
                </w:tcPr>
                <w:p w14:paraId="6CDFE775">
                  <w:pPr>
                    <w:spacing w:line="240" w:lineRule="auto"/>
                    <w:ind w:firstLine="0" w:firstLineChars="0"/>
                    <w:jc w:val="center"/>
                    <w:rPr>
                      <w:b w:val="0"/>
                      <w:bCs/>
                      <w:color w:val="auto"/>
                      <w:sz w:val="21"/>
                      <w:szCs w:val="21"/>
                    </w:rPr>
                  </w:pPr>
                  <w:r>
                    <w:rPr>
                      <w:b w:val="0"/>
                      <w:bCs/>
                      <w:color w:val="auto"/>
                      <w:sz w:val="21"/>
                      <w:szCs w:val="21"/>
                    </w:rPr>
                    <w:t>基本原则</w:t>
                  </w:r>
                </w:p>
              </w:tc>
              <w:tc>
                <w:tcPr>
                  <w:tcW w:w="7216" w:type="dxa"/>
                  <w:tcBorders>
                    <w:tl2br w:val="nil"/>
                    <w:tr2bl w:val="nil"/>
                  </w:tcBorders>
                  <w:noWrap/>
                  <w:vAlign w:val="center"/>
                </w:tcPr>
                <w:p w14:paraId="19350C79">
                  <w:pPr>
                    <w:spacing w:line="240" w:lineRule="auto"/>
                    <w:ind w:firstLine="0" w:firstLineChars="0"/>
                    <w:jc w:val="center"/>
                    <w:rPr>
                      <w:b w:val="0"/>
                      <w:bCs/>
                      <w:color w:val="auto"/>
                      <w:sz w:val="21"/>
                      <w:szCs w:val="21"/>
                    </w:rPr>
                  </w:pPr>
                  <w:r>
                    <w:rPr>
                      <w:rFonts w:hint="eastAsia"/>
                      <w:b w:val="0"/>
                      <w:bCs/>
                      <w:color w:val="auto"/>
                      <w:sz w:val="21"/>
                      <w:szCs w:val="21"/>
                    </w:rPr>
                    <w:t>①</w:t>
                  </w:r>
                  <w:r>
                    <w:rPr>
                      <w:b w:val="0"/>
                      <w:bCs/>
                      <w:color w:val="auto"/>
                      <w:sz w:val="21"/>
                      <w:szCs w:val="21"/>
                    </w:rPr>
                    <w:t>凡向环境排放污染物的一切排污口必须进行规范化管理；</w:t>
                  </w:r>
                </w:p>
              </w:tc>
            </w:tr>
            <w:tr w14:paraId="466CB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83" w:type="dxa"/>
                  <w:vMerge w:val="continue"/>
                  <w:tcBorders>
                    <w:tl2br w:val="nil"/>
                    <w:tr2bl w:val="nil"/>
                  </w:tcBorders>
                  <w:noWrap/>
                  <w:vAlign w:val="center"/>
                </w:tcPr>
                <w:p w14:paraId="74FB4940">
                  <w:pPr>
                    <w:spacing w:line="240" w:lineRule="auto"/>
                    <w:ind w:firstLine="0" w:firstLineChars="0"/>
                    <w:jc w:val="center"/>
                    <w:rPr>
                      <w:b w:val="0"/>
                      <w:bCs/>
                      <w:color w:val="auto"/>
                      <w:sz w:val="21"/>
                      <w:szCs w:val="21"/>
                    </w:rPr>
                  </w:pPr>
                </w:p>
              </w:tc>
              <w:tc>
                <w:tcPr>
                  <w:tcW w:w="7216" w:type="dxa"/>
                  <w:tcBorders>
                    <w:tl2br w:val="nil"/>
                    <w:tr2bl w:val="nil"/>
                  </w:tcBorders>
                  <w:noWrap/>
                  <w:vAlign w:val="center"/>
                </w:tcPr>
                <w:p w14:paraId="744C5FC1">
                  <w:pPr>
                    <w:spacing w:line="240" w:lineRule="auto"/>
                    <w:ind w:firstLine="0" w:firstLineChars="0"/>
                    <w:jc w:val="center"/>
                    <w:rPr>
                      <w:b w:val="0"/>
                      <w:bCs/>
                      <w:color w:val="auto"/>
                      <w:sz w:val="21"/>
                      <w:szCs w:val="21"/>
                    </w:rPr>
                  </w:pPr>
                  <w:r>
                    <w:rPr>
                      <w:rFonts w:hint="eastAsia"/>
                      <w:b w:val="0"/>
                      <w:bCs/>
                      <w:color w:val="auto"/>
                      <w:sz w:val="21"/>
                      <w:szCs w:val="21"/>
                    </w:rPr>
                    <w:t>②</w:t>
                  </w:r>
                  <w:r>
                    <w:rPr>
                      <w:b w:val="0"/>
                      <w:bCs/>
                      <w:color w:val="auto"/>
                      <w:sz w:val="21"/>
                      <w:szCs w:val="21"/>
                    </w:rPr>
                    <w:t>将总量控制的污染物排污口及行业特征污染物排放口列为管理的重点；</w:t>
                  </w:r>
                </w:p>
              </w:tc>
            </w:tr>
            <w:tr w14:paraId="0A5C2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83" w:type="dxa"/>
                  <w:vMerge w:val="continue"/>
                  <w:tcBorders>
                    <w:tl2br w:val="nil"/>
                    <w:tr2bl w:val="nil"/>
                  </w:tcBorders>
                  <w:noWrap/>
                  <w:vAlign w:val="center"/>
                </w:tcPr>
                <w:p w14:paraId="1BE40799">
                  <w:pPr>
                    <w:spacing w:line="240" w:lineRule="auto"/>
                    <w:ind w:firstLine="0" w:firstLineChars="0"/>
                    <w:jc w:val="center"/>
                    <w:rPr>
                      <w:b w:val="0"/>
                      <w:bCs/>
                      <w:color w:val="auto"/>
                      <w:sz w:val="21"/>
                      <w:szCs w:val="21"/>
                    </w:rPr>
                  </w:pPr>
                </w:p>
              </w:tc>
              <w:tc>
                <w:tcPr>
                  <w:tcW w:w="7216" w:type="dxa"/>
                  <w:tcBorders>
                    <w:tl2br w:val="nil"/>
                    <w:tr2bl w:val="nil"/>
                  </w:tcBorders>
                  <w:noWrap/>
                  <w:vAlign w:val="center"/>
                </w:tcPr>
                <w:p w14:paraId="5A5905C7">
                  <w:pPr>
                    <w:spacing w:line="240" w:lineRule="auto"/>
                    <w:ind w:firstLine="0" w:firstLineChars="0"/>
                    <w:jc w:val="center"/>
                    <w:rPr>
                      <w:b w:val="0"/>
                      <w:bCs/>
                      <w:color w:val="auto"/>
                      <w:sz w:val="21"/>
                      <w:szCs w:val="21"/>
                    </w:rPr>
                  </w:pPr>
                  <w:r>
                    <w:rPr>
                      <w:rFonts w:hint="eastAsia"/>
                      <w:b w:val="0"/>
                      <w:bCs/>
                      <w:color w:val="auto"/>
                      <w:sz w:val="21"/>
                      <w:szCs w:val="21"/>
                    </w:rPr>
                    <w:t>③</w:t>
                  </w:r>
                  <w:r>
                    <w:rPr>
                      <w:b w:val="0"/>
                      <w:bCs/>
                      <w:color w:val="auto"/>
                      <w:sz w:val="21"/>
                      <w:szCs w:val="21"/>
                    </w:rPr>
                    <w:t>排污口设置应便于采样和计量监测，便于日常现场监督和检查；</w:t>
                  </w:r>
                </w:p>
              </w:tc>
            </w:tr>
            <w:tr w14:paraId="647B2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83" w:type="dxa"/>
                  <w:vMerge w:val="continue"/>
                  <w:tcBorders>
                    <w:tl2br w:val="nil"/>
                    <w:tr2bl w:val="nil"/>
                  </w:tcBorders>
                  <w:noWrap/>
                  <w:vAlign w:val="center"/>
                </w:tcPr>
                <w:p w14:paraId="2FE9C522">
                  <w:pPr>
                    <w:spacing w:line="240" w:lineRule="auto"/>
                    <w:ind w:firstLine="0" w:firstLineChars="0"/>
                    <w:jc w:val="center"/>
                    <w:rPr>
                      <w:b w:val="0"/>
                      <w:bCs/>
                      <w:color w:val="auto"/>
                      <w:sz w:val="21"/>
                      <w:szCs w:val="21"/>
                    </w:rPr>
                  </w:pPr>
                </w:p>
              </w:tc>
              <w:tc>
                <w:tcPr>
                  <w:tcW w:w="7216" w:type="dxa"/>
                  <w:tcBorders>
                    <w:tl2br w:val="nil"/>
                    <w:tr2bl w:val="nil"/>
                  </w:tcBorders>
                  <w:noWrap/>
                  <w:vAlign w:val="center"/>
                </w:tcPr>
                <w:p w14:paraId="5C5CB806">
                  <w:pPr>
                    <w:spacing w:line="240" w:lineRule="auto"/>
                    <w:ind w:firstLine="0" w:firstLineChars="0"/>
                    <w:jc w:val="center"/>
                    <w:rPr>
                      <w:b w:val="0"/>
                      <w:bCs/>
                      <w:color w:val="auto"/>
                      <w:sz w:val="21"/>
                      <w:szCs w:val="21"/>
                    </w:rPr>
                  </w:pPr>
                  <w:r>
                    <w:rPr>
                      <w:rFonts w:hint="eastAsia"/>
                      <w:b w:val="0"/>
                      <w:bCs/>
                      <w:color w:val="auto"/>
                      <w:sz w:val="21"/>
                      <w:szCs w:val="21"/>
                    </w:rPr>
                    <w:t>④</w:t>
                  </w:r>
                  <w:r>
                    <w:rPr>
                      <w:b w:val="0"/>
                      <w:bCs/>
                      <w:color w:val="auto"/>
                      <w:sz w:val="21"/>
                      <w:szCs w:val="21"/>
                    </w:rPr>
                    <w:t>如实向环保行政主管部门申报排污口数量、位置，污染物种类排放去向等情况</w:t>
                  </w:r>
                  <w:r>
                    <w:rPr>
                      <w:rFonts w:hint="eastAsia"/>
                      <w:b w:val="0"/>
                      <w:bCs/>
                      <w:color w:val="auto"/>
                      <w:sz w:val="21"/>
                      <w:szCs w:val="21"/>
                    </w:rPr>
                    <w:t>。</w:t>
                  </w:r>
                </w:p>
              </w:tc>
            </w:tr>
            <w:tr w14:paraId="4CB4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83" w:type="dxa"/>
                  <w:tcBorders>
                    <w:tl2br w:val="nil"/>
                    <w:tr2bl w:val="nil"/>
                  </w:tcBorders>
                  <w:noWrap/>
                  <w:vAlign w:val="center"/>
                </w:tcPr>
                <w:p w14:paraId="09ECAE22">
                  <w:pPr>
                    <w:spacing w:line="240" w:lineRule="auto"/>
                    <w:ind w:firstLine="0" w:firstLineChars="0"/>
                    <w:jc w:val="center"/>
                    <w:rPr>
                      <w:b w:val="0"/>
                      <w:bCs/>
                      <w:color w:val="auto"/>
                      <w:sz w:val="21"/>
                      <w:szCs w:val="21"/>
                    </w:rPr>
                  </w:pPr>
                  <w:r>
                    <w:rPr>
                      <w:b w:val="0"/>
                      <w:bCs/>
                      <w:color w:val="auto"/>
                      <w:sz w:val="21"/>
                      <w:szCs w:val="21"/>
                    </w:rPr>
                    <w:t>技术要求</w:t>
                  </w:r>
                </w:p>
              </w:tc>
              <w:tc>
                <w:tcPr>
                  <w:tcW w:w="7216" w:type="dxa"/>
                  <w:tcBorders>
                    <w:tl2br w:val="nil"/>
                    <w:tr2bl w:val="nil"/>
                  </w:tcBorders>
                  <w:noWrap/>
                  <w:vAlign w:val="center"/>
                </w:tcPr>
                <w:p w14:paraId="62837686">
                  <w:pPr>
                    <w:spacing w:line="240" w:lineRule="auto"/>
                    <w:ind w:firstLine="0" w:firstLineChars="0"/>
                    <w:jc w:val="center"/>
                    <w:rPr>
                      <w:b w:val="0"/>
                      <w:bCs/>
                      <w:color w:val="auto"/>
                      <w:sz w:val="21"/>
                      <w:szCs w:val="21"/>
                    </w:rPr>
                  </w:pPr>
                  <w:r>
                    <w:rPr>
                      <w:rFonts w:hint="eastAsia"/>
                      <w:b w:val="0"/>
                      <w:bCs/>
                      <w:color w:val="auto"/>
                      <w:sz w:val="21"/>
                      <w:szCs w:val="21"/>
                    </w:rPr>
                    <w:t>①</w:t>
                  </w:r>
                  <w:r>
                    <w:rPr>
                      <w:b w:val="0"/>
                      <w:bCs/>
                      <w:color w:val="auto"/>
                      <w:sz w:val="21"/>
                      <w:szCs w:val="21"/>
                    </w:rPr>
                    <w:t>按照环监(1996)470号文要求，排污口位置必须合理确定，实行规范化管理</w:t>
                  </w:r>
                  <w:r>
                    <w:rPr>
                      <w:rFonts w:hint="eastAsia"/>
                      <w:b w:val="0"/>
                      <w:bCs/>
                      <w:color w:val="auto"/>
                      <w:sz w:val="21"/>
                      <w:szCs w:val="21"/>
                    </w:rPr>
                    <w:t>。</w:t>
                  </w:r>
                </w:p>
              </w:tc>
            </w:tr>
            <w:tr w14:paraId="1EADD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83" w:type="dxa"/>
                  <w:vMerge w:val="restart"/>
                  <w:tcBorders>
                    <w:tl2br w:val="nil"/>
                    <w:tr2bl w:val="nil"/>
                  </w:tcBorders>
                  <w:noWrap/>
                  <w:vAlign w:val="center"/>
                </w:tcPr>
                <w:p w14:paraId="0FE151BB">
                  <w:pPr>
                    <w:spacing w:line="240" w:lineRule="auto"/>
                    <w:ind w:firstLine="0" w:firstLineChars="0"/>
                    <w:jc w:val="center"/>
                    <w:rPr>
                      <w:b w:val="0"/>
                      <w:bCs/>
                      <w:color w:val="auto"/>
                      <w:sz w:val="21"/>
                      <w:szCs w:val="21"/>
                    </w:rPr>
                  </w:pPr>
                  <w:r>
                    <w:rPr>
                      <w:b w:val="0"/>
                      <w:bCs/>
                      <w:color w:val="auto"/>
                      <w:sz w:val="21"/>
                      <w:szCs w:val="21"/>
                    </w:rPr>
                    <w:t>立标管理</w:t>
                  </w:r>
                </w:p>
              </w:tc>
              <w:tc>
                <w:tcPr>
                  <w:tcW w:w="7216" w:type="dxa"/>
                  <w:tcBorders>
                    <w:tl2br w:val="nil"/>
                    <w:tr2bl w:val="nil"/>
                  </w:tcBorders>
                  <w:noWrap/>
                  <w:vAlign w:val="center"/>
                </w:tcPr>
                <w:p w14:paraId="7EF12593">
                  <w:pPr>
                    <w:spacing w:line="240" w:lineRule="auto"/>
                    <w:ind w:firstLine="0" w:firstLineChars="0"/>
                    <w:jc w:val="center"/>
                    <w:rPr>
                      <w:b w:val="0"/>
                      <w:bCs/>
                      <w:color w:val="auto"/>
                      <w:sz w:val="21"/>
                      <w:szCs w:val="21"/>
                    </w:rPr>
                  </w:pPr>
                  <w:r>
                    <w:rPr>
                      <w:rFonts w:hint="eastAsia"/>
                      <w:b w:val="0"/>
                      <w:bCs/>
                      <w:color w:val="auto"/>
                      <w:sz w:val="21"/>
                      <w:szCs w:val="21"/>
                    </w:rPr>
                    <w:t>①</w:t>
                  </w:r>
                  <w:r>
                    <w:rPr>
                      <w:b w:val="0"/>
                      <w:bCs/>
                      <w:color w:val="auto"/>
                      <w:sz w:val="21"/>
                      <w:szCs w:val="21"/>
                    </w:rPr>
                    <w:t>污染物排放口必须按照国家《环境保护图形标志》(GB15562.1</w:t>
                  </w:r>
                  <w:r>
                    <w:rPr>
                      <w:rFonts w:hint="eastAsia"/>
                      <w:b w:val="0"/>
                      <w:bCs/>
                      <w:color w:val="auto"/>
                      <w:sz w:val="21"/>
                      <w:szCs w:val="21"/>
                    </w:rPr>
                    <w:t>-</w:t>
                  </w:r>
                  <w:r>
                    <w:rPr>
                      <w:b w:val="0"/>
                      <w:bCs/>
                      <w:color w:val="auto"/>
                      <w:sz w:val="21"/>
                      <w:szCs w:val="21"/>
                    </w:rPr>
                    <w:t>1995)与(GB15562.2</w:t>
                  </w:r>
                  <w:r>
                    <w:rPr>
                      <w:rFonts w:hint="eastAsia"/>
                      <w:b w:val="0"/>
                      <w:bCs/>
                      <w:color w:val="auto"/>
                      <w:sz w:val="21"/>
                      <w:szCs w:val="21"/>
                    </w:rPr>
                    <w:t>-1</w:t>
                  </w:r>
                  <w:r>
                    <w:rPr>
                      <w:b w:val="0"/>
                      <w:bCs/>
                      <w:color w:val="auto"/>
                      <w:sz w:val="21"/>
                      <w:szCs w:val="21"/>
                    </w:rPr>
                    <w:t>995)规定，实行规范化整治；</w:t>
                  </w:r>
                </w:p>
              </w:tc>
            </w:tr>
            <w:tr w14:paraId="5060B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83" w:type="dxa"/>
                  <w:vMerge w:val="continue"/>
                  <w:tcBorders>
                    <w:tl2br w:val="nil"/>
                    <w:tr2bl w:val="nil"/>
                  </w:tcBorders>
                  <w:noWrap/>
                  <w:vAlign w:val="center"/>
                </w:tcPr>
                <w:p w14:paraId="7C38A3CD">
                  <w:pPr>
                    <w:spacing w:line="240" w:lineRule="auto"/>
                    <w:ind w:firstLine="0" w:firstLineChars="0"/>
                    <w:jc w:val="center"/>
                    <w:rPr>
                      <w:b w:val="0"/>
                      <w:bCs/>
                      <w:color w:val="auto"/>
                      <w:sz w:val="21"/>
                      <w:szCs w:val="21"/>
                    </w:rPr>
                  </w:pPr>
                </w:p>
              </w:tc>
              <w:tc>
                <w:tcPr>
                  <w:tcW w:w="7216" w:type="dxa"/>
                  <w:tcBorders>
                    <w:tl2br w:val="nil"/>
                    <w:tr2bl w:val="nil"/>
                  </w:tcBorders>
                  <w:noWrap/>
                  <w:vAlign w:val="center"/>
                </w:tcPr>
                <w:p w14:paraId="20835306">
                  <w:pPr>
                    <w:spacing w:line="240" w:lineRule="auto"/>
                    <w:ind w:firstLine="0" w:firstLineChars="0"/>
                    <w:jc w:val="center"/>
                    <w:rPr>
                      <w:b w:val="0"/>
                      <w:bCs/>
                      <w:color w:val="auto"/>
                      <w:sz w:val="21"/>
                      <w:szCs w:val="21"/>
                    </w:rPr>
                  </w:pPr>
                  <w:r>
                    <w:rPr>
                      <w:rFonts w:hint="eastAsia"/>
                      <w:b w:val="0"/>
                      <w:bCs/>
                      <w:color w:val="auto"/>
                      <w:sz w:val="21"/>
                      <w:szCs w:val="21"/>
                    </w:rPr>
                    <w:t>②</w:t>
                  </w:r>
                  <w:r>
                    <w:rPr>
                      <w:b w:val="0"/>
                      <w:bCs/>
                      <w:color w:val="auto"/>
                      <w:sz w:val="21"/>
                      <w:szCs w:val="21"/>
                    </w:rPr>
                    <w:t>环保图形标志牌设置位置应距污染物排放口及固体废物贮存(处置)场或采样点较近且醒目处，设置高度一般为标志牌上缘距离地面约2m；</w:t>
                  </w:r>
                </w:p>
              </w:tc>
            </w:tr>
            <w:tr w14:paraId="5D84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83" w:type="dxa"/>
                  <w:vMerge w:val="continue"/>
                  <w:tcBorders>
                    <w:tl2br w:val="nil"/>
                    <w:tr2bl w:val="nil"/>
                  </w:tcBorders>
                  <w:noWrap/>
                  <w:vAlign w:val="center"/>
                </w:tcPr>
                <w:p w14:paraId="7785E545">
                  <w:pPr>
                    <w:spacing w:line="240" w:lineRule="auto"/>
                    <w:ind w:firstLine="0" w:firstLineChars="0"/>
                    <w:jc w:val="center"/>
                    <w:rPr>
                      <w:b w:val="0"/>
                      <w:bCs/>
                      <w:color w:val="auto"/>
                      <w:sz w:val="21"/>
                      <w:szCs w:val="21"/>
                    </w:rPr>
                  </w:pPr>
                </w:p>
              </w:tc>
              <w:tc>
                <w:tcPr>
                  <w:tcW w:w="7216" w:type="dxa"/>
                  <w:tcBorders>
                    <w:tl2br w:val="nil"/>
                    <w:tr2bl w:val="nil"/>
                  </w:tcBorders>
                  <w:noWrap/>
                  <w:vAlign w:val="center"/>
                </w:tcPr>
                <w:p w14:paraId="21D29878">
                  <w:pPr>
                    <w:spacing w:line="240" w:lineRule="auto"/>
                    <w:ind w:firstLine="0" w:firstLineChars="0"/>
                    <w:jc w:val="center"/>
                    <w:rPr>
                      <w:b w:val="0"/>
                      <w:bCs/>
                      <w:color w:val="auto"/>
                      <w:sz w:val="21"/>
                      <w:szCs w:val="21"/>
                    </w:rPr>
                  </w:pPr>
                  <w:r>
                    <w:rPr>
                      <w:rFonts w:hint="eastAsia"/>
                      <w:b w:val="0"/>
                      <w:bCs/>
                      <w:color w:val="auto"/>
                      <w:sz w:val="21"/>
                      <w:szCs w:val="21"/>
                    </w:rPr>
                    <w:t>③</w:t>
                  </w:r>
                  <w:r>
                    <w:rPr>
                      <w:b w:val="0"/>
                      <w:bCs/>
                      <w:color w:val="auto"/>
                      <w:sz w:val="21"/>
                      <w:szCs w:val="21"/>
                    </w:rPr>
                    <w:t>重点排污单位(车间)污染物排放口以设置立式标志牌为主，一般排污单位污染物排放口可根据具体情况设置立式或平面固定式标志牌；</w:t>
                  </w:r>
                </w:p>
              </w:tc>
            </w:tr>
            <w:tr w14:paraId="40060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83" w:type="dxa"/>
                  <w:vMerge w:val="continue"/>
                  <w:tcBorders>
                    <w:tl2br w:val="nil"/>
                    <w:tr2bl w:val="nil"/>
                  </w:tcBorders>
                  <w:noWrap/>
                  <w:vAlign w:val="center"/>
                </w:tcPr>
                <w:p w14:paraId="1F698656">
                  <w:pPr>
                    <w:spacing w:line="240" w:lineRule="auto"/>
                    <w:ind w:firstLine="0" w:firstLineChars="0"/>
                    <w:jc w:val="center"/>
                    <w:rPr>
                      <w:b w:val="0"/>
                      <w:bCs/>
                      <w:color w:val="auto"/>
                      <w:sz w:val="21"/>
                      <w:szCs w:val="21"/>
                    </w:rPr>
                  </w:pPr>
                </w:p>
              </w:tc>
              <w:tc>
                <w:tcPr>
                  <w:tcW w:w="7216" w:type="dxa"/>
                  <w:tcBorders>
                    <w:tl2br w:val="nil"/>
                    <w:tr2bl w:val="nil"/>
                  </w:tcBorders>
                  <w:noWrap/>
                  <w:vAlign w:val="center"/>
                </w:tcPr>
                <w:p w14:paraId="318398E1">
                  <w:pPr>
                    <w:spacing w:line="240" w:lineRule="auto"/>
                    <w:ind w:firstLine="0" w:firstLineChars="0"/>
                    <w:jc w:val="center"/>
                    <w:rPr>
                      <w:b w:val="0"/>
                      <w:bCs/>
                      <w:color w:val="auto"/>
                      <w:sz w:val="21"/>
                      <w:szCs w:val="21"/>
                    </w:rPr>
                  </w:pPr>
                  <w:r>
                    <w:rPr>
                      <w:rFonts w:hint="eastAsia"/>
                      <w:b w:val="0"/>
                      <w:bCs/>
                      <w:color w:val="auto"/>
                      <w:sz w:val="21"/>
                      <w:szCs w:val="21"/>
                    </w:rPr>
                    <w:t>④</w:t>
                  </w:r>
                  <w:r>
                    <w:rPr>
                      <w:b w:val="0"/>
                      <w:bCs/>
                      <w:color w:val="auto"/>
                      <w:sz w:val="21"/>
                      <w:szCs w:val="21"/>
                    </w:rPr>
                    <w:t>对一般性污染物排放口应设置提示性环保图形标志牌</w:t>
                  </w:r>
                  <w:r>
                    <w:rPr>
                      <w:rFonts w:hint="eastAsia"/>
                      <w:b w:val="0"/>
                      <w:bCs/>
                      <w:color w:val="auto"/>
                      <w:sz w:val="21"/>
                      <w:szCs w:val="21"/>
                    </w:rPr>
                    <w:t>。</w:t>
                  </w:r>
                </w:p>
              </w:tc>
            </w:tr>
            <w:tr w14:paraId="51DBF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83" w:type="dxa"/>
                  <w:vMerge w:val="restart"/>
                  <w:tcBorders>
                    <w:tl2br w:val="nil"/>
                    <w:tr2bl w:val="nil"/>
                  </w:tcBorders>
                  <w:noWrap/>
                  <w:vAlign w:val="center"/>
                </w:tcPr>
                <w:p w14:paraId="76E55A38">
                  <w:pPr>
                    <w:spacing w:line="240" w:lineRule="auto"/>
                    <w:ind w:firstLine="0" w:firstLineChars="0"/>
                    <w:jc w:val="center"/>
                    <w:rPr>
                      <w:b w:val="0"/>
                      <w:bCs/>
                      <w:color w:val="auto"/>
                      <w:sz w:val="21"/>
                      <w:szCs w:val="21"/>
                    </w:rPr>
                  </w:pPr>
                  <w:r>
                    <w:rPr>
                      <w:b w:val="0"/>
                      <w:bCs/>
                      <w:color w:val="auto"/>
                      <w:sz w:val="21"/>
                      <w:szCs w:val="21"/>
                    </w:rPr>
                    <w:t>建档管理</w:t>
                  </w:r>
                </w:p>
              </w:tc>
              <w:tc>
                <w:tcPr>
                  <w:tcW w:w="7216" w:type="dxa"/>
                  <w:tcBorders>
                    <w:tl2br w:val="nil"/>
                    <w:tr2bl w:val="nil"/>
                  </w:tcBorders>
                  <w:noWrap/>
                  <w:vAlign w:val="center"/>
                </w:tcPr>
                <w:p w14:paraId="0EE2379F">
                  <w:pPr>
                    <w:spacing w:line="240" w:lineRule="auto"/>
                    <w:ind w:firstLine="0" w:firstLineChars="0"/>
                    <w:jc w:val="center"/>
                    <w:rPr>
                      <w:b w:val="0"/>
                      <w:bCs/>
                      <w:color w:val="auto"/>
                      <w:sz w:val="21"/>
                      <w:szCs w:val="21"/>
                    </w:rPr>
                  </w:pPr>
                  <w:r>
                    <w:rPr>
                      <w:rFonts w:hint="eastAsia"/>
                      <w:b w:val="0"/>
                      <w:bCs/>
                      <w:color w:val="auto"/>
                      <w:sz w:val="21"/>
                      <w:szCs w:val="21"/>
                    </w:rPr>
                    <w:t>①</w:t>
                  </w:r>
                  <w:r>
                    <w:rPr>
                      <w:b w:val="0"/>
                      <w:bCs/>
                      <w:color w:val="auto"/>
                      <w:sz w:val="21"/>
                      <w:szCs w:val="21"/>
                    </w:rPr>
                    <w:t>使用《中华人民共和国规范化排污口标志登记证》，并按要求填写有关内容；</w:t>
                  </w:r>
                </w:p>
              </w:tc>
            </w:tr>
            <w:tr w14:paraId="4F990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83" w:type="dxa"/>
                  <w:vMerge w:val="continue"/>
                  <w:tcBorders>
                    <w:tl2br w:val="nil"/>
                    <w:tr2bl w:val="nil"/>
                  </w:tcBorders>
                  <w:noWrap/>
                  <w:vAlign w:val="center"/>
                </w:tcPr>
                <w:p w14:paraId="44F83EB5">
                  <w:pPr>
                    <w:spacing w:line="240" w:lineRule="auto"/>
                    <w:ind w:firstLine="0" w:firstLineChars="0"/>
                    <w:jc w:val="center"/>
                    <w:rPr>
                      <w:b w:val="0"/>
                      <w:bCs/>
                      <w:color w:val="auto"/>
                      <w:sz w:val="21"/>
                      <w:szCs w:val="21"/>
                    </w:rPr>
                  </w:pPr>
                </w:p>
              </w:tc>
              <w:tc>
                <w:tcPr>
                  <w:tcW w:w="7216" w:type="dxa"/>
                  <w:tcBorders>
                    <w:tl2br w:val="nil"/>
                    <w:tr2bl w:val="nil"/>
                  </w:tcBorders>
                  <w:noWrap/>
                  <w:vAlign w:val="center"/>
                </w:tcPr>
                <w:p w14:paraId="6684E9CE">
                  <w:pPr>
                    <w:spacing w:line="240" w:lineRule="auto"/>
                    <w:ind w:firstLine="0" w:firstLineChars="0"/>
                    <w:jc w:val="center"/>
                    <w:rPr>
                      <w:b w:val="0"/>
                      <w:bCs/>
                      <w:color w:val="auto"/>
                      <w:sz w:val="21"/>
                      <w:szCs w:val="21"/>
                    </w:rPr>
                  </w:pPr>
                  <w:r>
                    <w:rPr>
                      <w:rFonts w:hint="eastAsia"/>
                      <w:b w:val="0"/>
                      <w:bCs/>
                      <w:color w:val="auto"/>
                      <w:sz w:val="21"/>
                      <w:szCs w:val="21"/>
                    </w:rPr>
                    <w:t>②</w:t>
                  </w:r>
                  <w:r>
                    <w:rPr>
                      <w:b w:val="0"/>
                      <w:bCs/>
                      <w:color w:val="auto"/>
                      <w:sz w:val="21"/>
                      <w:szCs w:val="21"/>
                    </w:rPr>
                    <w:t>严格按照制定的环境管理工作计划，根据排污口管理要求，将工程建成后后主要污染物种类、数量、浓度、排放去向，立标及环保设施运行情况记录在案；</w:t>
                  </w:r>
                </w:p>
              </w:tc>
            </w:tr>
            <w:tr w14:paraId="7FBB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83" w:type="dxa"/>
                  <w:vMerge w:val="continue"/>
                  <w:tcBorders>
                    <w:tl2br w:val="nil"/>
                    <w:tr2bl w:val="nil"/>
                  </w:tcBorders>
                  <w:noWrap/>
                  <w:vAlign w:val="center"/>
                </w:tcPr>
                <w:p w14:paraId="772BB3C0">
                  <w:pPr>
                    <w:spacing w:line="240" w:lineRule="auto"/>
                    <w:ind w:firstLine="0" w:firstLineChars="0"/>
                    <w:jc w:val="center"/>
                    <w:rPr>
                      <w:b w:val="0"/>
                      <w:bCs/>
                      <w:color w:val="auto"/>
                      <w:sz w:val="21"/>
                      <w:szCs w:val="21"/>
                    </w:rPr>
                  </w:pPr>
                </w:p>
              </w:tc>
              <w:tc>
                <w:tcPr>
                  <w:tcW w:w="7216" w:type="dxa"/>
                  <w:tcBorders>
                    <w:tl2br w:val="nil"/>
                    <w:tr2bl w:val="nil"/>
                  </w:tcBorders>
                  <w:noWrap/>
                  <w:vAlign w:val="center"/>
                </w:tcPr>
                <w:p w14:paraId="1D6C02E9">
                  <w:pPr>
                    <w:spacing w:line="240" w:lineRule="auto"/>
                    <w:ind w:firstLine="0" w:firstLineChars="0"/>
                    <w:jc w:val="center"/>
                    <w:rPr>
                      <w:b w:val="0"/>
                      <w:bCs/>
                      <w:color w:val="auto"/>
                      <w:sz w:val="21"/>
                      <w:szCs w:val="21"/>
                    </w:rPr>
                  </w:pPr>
                  <w:r>
                    <w:rPr>
                      <w:rFonts w:hint="eastAsia"/>
                      <w:b w:val="0"/>
                      <w:bCs/>
                      <w:color w:val="auto"/>
                      <w:sz w:val="21"/>
                      <w:szCs w:val="21"/>
                    </w:rPr>
                    <w:t>③</w:t>
                  </w:r>
                  <w:r>
                    <w:rPr>
                      <w:b w:val="0"/>
                      <w:bCs/>
                      <w:color w:val="auto"/>
                      <w:sz w:val="21"/>
                      <w:szCs w:val="21"/>
                    </w:rPr>
                    <w:t>选派有专业技能环保专职人员对排污口进行监督管理，做到责任明确、奖罚分明</w:t>
                  </w:r>
                  <w:r>
                    <w:rPr>
                      <w:rFonts w:hint="eastAsia"/>
                      <w:b w:val="0"/>
                      <w:bCs/>
                      <w:color w:val="auto"/>
                      <w:sz w:val="21"/>
                      <w:szCs w:val="21"/>
                    </w:rPr>
                    <w:t>。</w:t>
                  </w:r>
                </w:p>
              </w:tc>
            </w:tr>
          </w:tbl>
          <w:p w14:paraId="13E5E258">
            <w:pPr>
              <w:pStyle w:val="39"/>
              <w:bidi w:val="0"/>
              <w:rPr>
                <w:color w:val="auto"/>
              </w:rPr>
            </w:pPr>
            <w:r>
              <w:rPr>
                <w:color w:val="auto"/>
              </w:rPr>
              <w:t>根据《环境保护图形标志－排污口(源)》和《排污口规范化整治要求(试行)》的技术要求，建设单位所有排放口，包括水、气、声、固体废物，必须按照“便于计量监测、便于日常现场监督检查”的原则和规范化要求，设置与之相适应的环境保护图形标志牌，绘制排污口分布图</w:t>
            </w:r>
            <w:r>
              <w:rPr>
                <w:rFonts w:hint="eastAsia"/>
                <w:color w:val="auto"/>
              </w:rPr>
              <w:t>，排污口的规范化要符合有关要求。</w:t>
            </w:r>
          </w:p>
          <w:p w14:paraId="58DFC801">
            <w:pPr>
              <w:pStyle w:val="39"/>
              <w:bidi w:val="0"/>
              <w:rPr>
                <w:color w:val="auto"/>
              </w:rPr>
            </w:pPr>
            <w:r>
              <w:rPr>
                <w:color w:val="auto"/>
              </w:rPr>
              <w:t>环境保护图形标志具体设置图形见表</w:t>
            </w:r>
            <w:r>
              <w:rPr>
                <w:rFonts w:hint="eastAsia"/>
                <w:color w:val="auto"/>
                <w:lang w:val="en-US" w:eastAsia="zh-CN"/>
              </w:rPr>
              <w:t>4-17</w:t>
            </w:r>
            <w:r>
              <w:rPr>
                <w:color w:val="auto"/>
              </w:rPr>
              <w:t>。</w:t>
            </w:r>
          </w:p>
          <w:p w14:paraId="7160004C">
            <w:pPr>
              <w:pStyle w:val="46"/>
              <w:bidi w:val="0"/>
              <w:rPr>
                <w:rFonts w:hint="default"/>
                <w:lang w:val="en-US" w:eastAsia="zh-CN"/>
              </w:rPr>
            </w:pPr>
            <w:r>
              <w:rPr>
                <w:rFonts w:hint="eastAsia"/>
                <w:lang w:val="en-US" w:eastAsia="zh-CN"/>
              </w:rPr>
              <w:t>表17   环境保护标志具体设置图形</w:t>
            </w:r>
          </w:p>
          <w:tbl>
            <w:tblPr>
              <w:tblStyle w:val="114"/>
              <w:tblW w:w="79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4"/>
              <w:gridCol w:w="1753"/>
              <w:gridCol w:w="286"/>
              <w:gridCol w:w="2101"/>
              <w:gridCol w:w="1143"/>
              <w:gridCol w:w="2100"/>
            </w:tblGrid>
            <w:tr w14:paraId="4C342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554" w:type="dxa"/>
                  <w:noWrap w:val="0"/>
                  <w:vAlign w:val="center"/>
                </w:tcPr>
                <w:p w14:paraId="0A7C9B93">
                  <w:pPr>
                    <w:pStyle w:val="51"/>
                    <w:tabs>
                      <w:tab w:val="left" w:pos="1535"/>
                      <w:tab w:val="left" w:pos="3105"/>
                      <w:tab w:val="left" w:pos="4676"/>
                      <w:tab w:val="left" w:pos="6247"/>
                      <w:tab w:val="left" w:pos="7740"/>
                      <w:tab w:val="left" w:pos="9288"/>
                    </w:tabs>
                    <w:bidi w:val="0"/>
                    <w:jc w:val="center"/>
                  </w:pPr>
                  <w:r>
                    <w:t>序号</w:t>
                  </w:r>
                </w:p>
              </w:tc>
              <w:tc>
                <w:tcPr>
                  <w:tcW w:w="2039" w:type="dxa"/>
                  <w:gridSpan w:val="2"/>
                  <w:noWrap w:val="0"/>
                  <w:vAlign w:val="center"/>
                </w:tcPr>
                <w:p w14:paraId="77CD9513">
                  <w:pPr>
                    <w:pStyle w:val="51"/>
                    <w:tabs>
                      <w:tab w:val="left" w:pos="1535"/>
                      <w:tab w:val="left" w:pos="3105"/>
                      <w:tab w:val="left" w:pos="4676"/>
                      <w:tab w:val="left" w:pos="6247"/>
                      <w:tab w:val="left" w:pos="7740"/>
                      <w:tab w:val="left" w:pos="9288"/>
                    </w:tabs>
                    <w:bidi w:val="0"/>
                    <w:jc w:val="center"/>
                  </w:pPr>
                  <w:r>
                    <w:t>提示图形标志</w:t>
                  </w:r>
                </w:p>
              </w:tc>
              <w:tc>
                <w:tcPr>
                  <w:tcW w:w="2101" w:type="dxa"/>
                  <w:noWrap w:val="0"/>
                  <w:vAlign w:val="center"/>
                </w:tcPr>
                <w:p w14:paraId="7111C7A5">
                  <w:pPr>
                    <w:pStyle w:val="51"/>
                    <w:tabs>
                      <w:tab w:val="left" w:pos="1535"/>
                      <w:tab w:val="left" w:pos="3105"/>
                      <w:tab w:val="left" w:pos="4676"/>
                      <w:tab w:val="left" w:pos="6247"/>
                      <w:tab w:val="left" w:pos="7740"/>
                      <w:tab w:val="left" w:pos="9288"/>
                    </w:tabs>
                    <w:bidi w:val="0"/>
                    <w:jc w:val="center"/>
                  </w:pPr>
                  <w:r>
                    <w:t>警告图形符号</w:t>
                  </w:r>
                </w:p>
              </w:tc>
              <w:tc>
                <w:tcPr>
                  <w:tcW w:w="1143" w:type="dxa"/>
                  <w:noWrap w:val="0"/>
                  <w:vAlign w:val="center"/>
                </w:tcPr>
                <w:p w14:paraId="6FEDCDAE">
                  <w:pPr>
                    <w:pStyle w:val="51"/>
                    <w:tabs>
                      <w:tab w:val="left" w:pos="1535"/>
                      <w:tab w:val="left" w:pos="3105"/>
                      <w:tab w:val="left" w:pos="4676"/>
                      <w:tab w:val="left" w:pos="6247"/>
                      <w:tab w:val="left" w:pos="7740"/>
                      <w:tab w:val="left" w:pos="9288"/>
                    </w:tabs>
                    <w:bidi w:val="0"/>
                    <w:jc w:val="center"/>
                  </w:pPr>
                  <w:r>
                    <w:t>名称</w:t>
                  </w:r>
                </w:p>
              </w:tc>
              <w:tc>
                <w:tcPr>
                  <w:tcW w:w="2100" w:type="dxa"/>
                  <w:noWrap w:val="0"/>
                  <w:vAlign w:val="center"/>
                </w:tcPr>
                <w:p w14:paraId="3C50415C">
                  <w:pPr>
                    <w:pStyle w:val="51"/>
                    <w:tabs>
                      <w:tab w:val="left" w:pos="1535"/>
                      <w:tab w:val="left" w:pos="3105"/>
                      <w:tab w:val="left" w:pos="4676"/>
                      <w:tab w:val="left" w:pos="6247"/>
                      <w:tab w:val="left" w:pos="7740"/>
                      <w:tab w:val="left" w:pos="9288"/>
                    </w:tabs>
                    <w:bidi w:val="0"/>
                    <w:jc w:val="center"/>
                  </w:pPr>
                  <w:r>
                    <w:t>功能</w:t>
                  </w:r>
                </w:p>
              </w:tc>
            </w:tr>
            <w:tr w14:paraId="03111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jc w:val="center"/>
              </w:trPr>
              <w:tc>
                <w:tcPr>
                  <w:tcW w:w="554" w:type="dxa"/>
                  <w:noWrap w:val="0"/>
                  <w:vAlign w:val="center"/>
                </w:tcPr>
                <w:p w14:paraId="1AAD074F">
                  <w:pPr>
                    <w:pStyle w:val="51"/>
                    <w:tabs>
                      <w:tab w:val="left" w:pos="1535"/>
                      <w:tab w:val="left" w:pos="3105"/>
                      <w:tab w:val="left" w:pos="4676"/>
                      <w:tab w:val="left" w:pos="6247"/>
                      <w:tab w:val="left" w:pos="7740"/>
                      <w:tab w:val="left" w:pos="9288"/>
                    </w:tabs>
                    <w:bidi w:val="0"/>
                    <w:jc w:val="center"/>
                  </w:pPr>
                  <w:r>
                    <w:t>1</w:t>
                  </w:r>
                </w:p>
              </w:tc>
              <w:tc>
                <w:tcPr>
                  <w:tcW w:w="2039" w:type="dxa"/>
                  <w:gridSpan w:val="2"/>
                  <w:noWrap w:val="0"/>
                  <w:vAlign w:val="center"/>
                </w:tcPr>
                <w:p w14:paraId="240CACD7">
                  <w:pPr>
                    <w:pStyle w:val="51"/>
                    <w:tabs>
                      <w:tab w:val="left" w:pos="1535"/>
                      <w:tab w:val="left" w:pos="3105"/>
                      <w:tab w:val="left" w:pos="4676"/>
                      <w:tab w:val="left" w:pos="6247"/>
                      <w:tab w:val="left" w:pos="7740"/>
                      <w:tab w:val="left" w:pos="9288"/>
                    </w:tabs>
                    <w:bidi w:val="0"/>
                    <w:jc w:val="center"/>
                  </w:pPr>
                  <w:r>
                    <w:drawing>
                      <wp:inline distT="0" distB="0" distL="114300" distR="114300">
                        <wp:extent cx="1033780" cy="1151890"/>
                        <wp:effectExtent l="0" t="0" r="13970" b="10160"/>
                        <wp:docPr id="21" name="图片 1"/>
                        <wp:cNvGraphicFramePr/>
                        <a:graphic xmlns:a="http://schemas.openxmlformats.org/drawingml/2006/main">
                          <a:graphicData uri="http://schemas.openxmlformats.org/drawingml/2006/picture">
                            <pic:pic xmlns:pic="http://schemas.openxmlformats.org/drawingml/2006/picture">
                              <pic:nvPicPr>
                                <pic:cNvPr id="21" name="图片 1"/>
                                <pic:cNvPicPr/>
                              </pic:nvPicPr>
                              <pic:blipFill>
                                <a:blip r:embed="rId29"/>
                                <a:stretch>
                                  <a:fillRect/>
                                </a:stretch>
                              </pic:blipFill>
                              <pic:spPr>
                                <a:xfrm>
                                  <a:off x="0" y="0"/>
                                  <a:ext cx="1033780" cy="1151890"/>
                                </a:xfrm>
                                <a:prstGeom prst="rect">
                                  <a:avLst/>
                                </a:prstGeom>
                                <a:noFill/>
                                <a:ln>
                                  <a:noFill/>
                                </a:ln>
                              </pic:spPr>
                            </pic:pic>
                          </a:graphicData>
                        </a:graphic>
                      </wp:inline>
                    </w:drawing>
                  </w:r>
                </w:p>
              </w:tc>
              <w:tc>
                <w:tcPr>
                  <w:tcW w:w="2101" w:type="dxa"/>
                  <w:noWrap w:val="0"/>
                  <w:vAlign w:val="center"/>
                </w:tcPr>
                <w:p w14:paraId="6D31BDD1">
                  <w:pPr>
                    <w:pStyle w:val="51"/>
                    <w:tabs>
                      <w:tab w:val="left" w:pos="1535"/>
                      <w:tab w:val="left" w:pos="3105"/>
                      <w:tab w:val="left" w:pos="4676"/>
                      <w:tab w:val="left" w:pos="6247"/>
                      <w:tab w:val="left" w:pos="7740"/>
                      <w:tab w:val="left" w:pos="9288"/>
                    </w:tabs>
                    <w:bidi w:val="0"/>
                    <w:jc w:val="center"/>
                  </w:pPr>
                  <w:r>
                    <w:drawing>
                      <wp:inline distT="0" distB="0" distL="114300" distR="114300">
                        <wp:extent cx="1011555" cy="1151890"/>
                        <wp:effectExtent l="0" t="0" r="17145" b="10160"/>
                        <wp:docPr id="9" name="图片 2"/>
                        <wp:cNvGraphicFramePr/>
                        <a:graphic xmlns:a="http://schemas.openxmlformats.org/drawingml/2006/main">
                          <a:graphicData uri="http://schemas.openxmlformats.org/drawingml/2006/picture">
                            <pic:pic xmlns:pic="http://schemas.openxmlformats.org/drawingml/2006/picture">
                              <pic:nvPicPr>
                                <pic:cNvPr id="9" name="图片 2"/>
                                <pic:cNvPicPr/>
                              </pic:nvPicPr>
                              <pic:blipFill>
                                <a:blip r:embed="rId30"/>
                                <a:stretch>
                                  <a:fillRect/>
                                </a:stretch>
                              </pic:blipFill>
                              <pic:spPr>
                                <a:xfrm>
                                  <a:off x="0" y="0"/>
                                  <a:ext cx="1011555" cy="1151890"/>
                                </a:xfrm>
                                <a:prstGeom prst="rect">
                                  <a:avLst/>
                                </a:prstGeom>
                                <a:noFill/>
                                <a:ln>
                                  <a:noFill/>
                                </a:ln>
                              </pic:spPr>
                            </pic:pic>
                          </a:graphicData>
                        </a:graphic>
                      </wp:inline>
                    </w:drawing>
                  </w:r>
                </w:p>
              </w:tc>
              <w:tc>
                <w:tcPr>
                  <w:tcW w:w="1143" w:type="dxa"/>
                  <w:noWrap w:val="0"/>
                  <w:vAlign w:val="center"/>
                </w:tcPr>
                <w:p w14:paraId="19F70C3E">
                  <w:pPr>
                    <w:pStyle w:val="51"/>
                    <w:tabs>
                      <w:tab w:val="left" w:pos="1535"/>
                      <w:tab w:val="left" w:pos="3105"/>
                      <w:tab w:val="left" w:pos="4676"/>
                      <w:tab w:val="left" w:pos="6247"/>
                      <w:tab w:val="left" w:pos="7740"/>
                      <w:tab w:val="left" w:pos="9288"/>
                    </w:tabs>
                    <w:bidi w:val="0"/>
                    <w:jc w:val="center"/>
                  </w:pPr>
                  <w:r>
                    <w:t>废水排放口</w:t>
                  </w:r>
                </w:p>
              </w:tc>
              <w:tc>
                <w:tcPr>
                  <w:tcW w:w="2100" w:type="dxa"/>
                  <w:noWrap w:val="0"/>
                  <w:vAlign w:val="center"/>
                </w:tcPr>
                <w:p w14:paraId="6020A9AB">
                  <w:pPr>
                    <w:pStyle w:val="51"/>
                    <w:tabs>
                      <w:tab w:val="left" w:pos="1535"/>
                      <w:tab w:val="left" w:pos="3105"/>
                      <w:tab w:val="left" w:pos="4676"/>
                      <w:tab w:val="left" w:pos="6247"/>
                      <w:tab w:val="left" w:pos="7740"/>
                      <w:tab w:val="left" w:pos="9288"/>
                    </w:tabs>
                    <w:bidi w:val="0"/>
                    <w:jc w:val="center"/>
                  </w:pPr>
                  <w:r>
                    <w:t>表示废水向水体排放</w:t>
                  </w:r>
                </w:p>
              </w:tc>
            </w:tr>
            <w:tr w14:paraId="72A86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jc w:val="center"/>
              </w:trPr>
              <w:tc>
                <w:tcPr>
                  <w:tcW w:w="554" w:type="dxa"/>
                  <w:noWrap w:val="0"/>
                  <w:vAlign w:val="center"/>
                </w:tcPr>
                <w:p w14:paraId="472D00FB">
                  <w:pPr>
                    <w:pStyle w:val="51"/>
                    <w:tabs>
                      <w:tab w:val="left" w:pos="1535"/>
                      <w:tab w:val="left" w:pos="3105"/>
                      <w:tab w:val="left" w:pos="4676"/>
                      <w:tab w:val="left" w:pos="6247"/>
                      <w:tab w:val="left" w:pos="7740"/>
                      <w:tab w:val="left" w:pos="9288"/>
                    </w:tabs>
                    <w:bidi w:val="0"/>
                    <w:jc w:val="center"/>
                  </w:pPr>
                  <w:r>
                    <w:t>2</w:t>
                  </w:r>
                </w:p>
              </w:tc>
              <w:tc>
                <w:tcPr>
                  <w:tcW w:w="2039" w:type="dxa"/>
                  <w:gridSpan w:val="2"/>
                  <w:noWrap w:val="0"/>
                  <w:vAlign w:val="center"/>
                </w:tcPr>
                <w:p w14:paraId="5C13B0A2">
                  <w:pPr>
                    <w:pStyle w:val="51"/>
                    <w:tabs>
                      <w:tab w:val="left" w:pos="1535"/>
                      <w:tab w:val="left" w:pos="3105"/>
                      <w:tab w:val="left" w:pos="4676"/>
                      <w:tab w:val="left" w:pos="6247"/>
                      <w:tab w:val="left" w:pos="7740"/>
                      <w:tab w:val="left" w:pos="9288"/>
                    </w:tabs>
                    <w:bidi w:val="0"/>
                    <w:jc w:val="center"/>
                  </w:pPr>
                  <w:r>
                    <w:drawing>
                      <wp:inline distT="0" distB="0" distL="114300" distR="114300">
                        <wp:extent cx="1024890" cy="1151890"/>
                        <wp:effectExtent l="0" t="0" r="3810" b="10160"/>
                        <wp:docPr id="12" name="图片 3"/>
                        <wp:cNvGraphicFramePr/>
                        <a:graphic xmlns:a="http://schemas.openxmlformats.org/drawingml/2006/main">
                          <a:graphicData uri="http://schemas.openxmlformats.org/drawingml/2006/picture">
                            <pic:pic xmlns:pic="http://schemas.openxmlformats.org/drawingml/2006/picture">
                              <pic:nvPicPr>
                                <pic:cNvPr id="12" name="图片 3"/>
                                <pic:cNvPicPr/>
                              </pic:nvPicPr>
                              <pic:blipFill>
                                <a:blip r:embed="rId31"/>
                                <a:stretch>
                                  <a:fillRect/>
                                </a:stretch>
                              </pic:blipFill>
                              <pic:spPr>
                                <a:xfrm>
                                  <a:off x="0" y="0"/>
                                  <a:ext cx="1024890" cy="1151890"/>
                                </a:xfrm>
                                <a:prstGeom prst="rect">
                                  <a:avLst/>
                                </a:prstGeom>
                                <a:noFill/>
                                <a:ln>
                                  <a:noFill/>
                                </a:ln>
                              </pic:spPr>
                            </pic:pic>
                          </a:graphicData>
                        </a:graphic>
                      </wp:inline>
                    </w:drawing>
                  </w:r>
                </w:p>
              </w:tc>
              <w:tc>
                <w:tcPr>
                  <w:tcW w:w="2101" w:type="dxa"/>
                  <w:noWrap w:val="0"/>
                  <w:vAlign w:val="center"/>
                </w:tcPr>
                <w:p w14:paraId="701F0B1C">
                  <w:pPr>
                    <w:pStyle w:val="51"/>
                    <w:tabs>
                      <w:tab w:val="left" w:pos="1535"/>
                      <w:tab w:val="left" w:pos="3105"/>
                      <w:tab w:val="left" w:pos="4676"/>
                      <w:tab w:val="left" w:pos="6247"/>
                      <w:tab w:val="left" w:pos="7740"/>
                      <w:tab w:val="left" w:pos="9288"/>
                    </w:tabs>
                    <w:bidi w:val="0"/>
                    <w:jc w:val="center"/>
                  </w:pPr>
                  <w:r>
                    <w:drawing>
                      <wp:inline distT="0" distB="0" distL="114300" distR="114300">
                        <wp:extent cx="985520" cy="1021715"/>
                        <wp:effectExtent l="0" t="0" r="5080" b="6985"/>
                        <wp:docPr id="23" name="图片 4"/>
                        <wp:cNvGraphicFramePr/>
                        <a:graphic xmlns:a="http://schemas.openxmlformats.org/drawingml/2006/main">
                          <a:graphicData uri="http://schemas.openxmlformats.org/drawingml/2006/picture">
                            <pic:pic xmlns:pic="http://schemas.openxmlformats.org/drawingml/2006/picture">
                              <pic:nvPicPr>
                                <pic:cNvPr id="23" name="图片 4"/>
                                <pic:cNvPicPr/>
                              </pic:nvPicPr>
                              <pic:blipFill>
                                <a:blip r:embed="rId32"/>
                                <a:stretch>
                                  <a:fillRect/>
                                </a:stretch>
                              </pic:blipFill>
                              <pic:spPr>
                                <a:xfrm>
                                  <a:off x="0" y="0"/>
                                  <a:ext cx="985520" cy="1021715"/>
                                </a:xfrm>
                                <a:prstGeom prst="rect">
                                  <a:avLst/>
                                </a:prstGeom>
                                <a:noFill/>
                                <a:ln>
                                  <a:noFill/>
                                </a:ln>
                              </pic:spPr>
                            </pic:pic>
                          </a:graphicData>
                        </a:graphic>
                      </wp:inline>
                    </w:drawing>
                  </w:r>
                </w:p>
              </w:tc>
              <w:tc>
                <w:tcPr>
                  <w:tcW w:w="1143" w:type="dxa"/>
                  <w:noWrap w:val="0"/>
                  <w:vAlign w:val="center"/>
                </w:tcPr>
                <w:p w14:paraId="2444DE4C">
                  <w:pPr>
                    <w:pStyle w:val="51"/>
                    <w:tabs>
                      <w:tab w:val="left" w:pos="1535"/>
                      <w:tab w:val="left" w:pos="3105"/>
                      <w:tab w:val="left" w:pos="4676"/>
                      <w:tab w:val="left" w:pos="6247"/>
                      <w:tab w:val="left" w:pos="7740"/>
                      <w:tab w:val="left" w:pos="9288"/>
                    </w:tabs>
                    <w:bidi w:val="0"/>
                    <w:jc w:val="center"/>
                  </w:pPr>
                  <w:r>
                    <w:t>废气排放口</w:t>
                  </w:r>
                </w:p>
              </w:tc>
              <w:tc>
                <w:tcPr>
                  <w:tcW w:w="2100" w:type="dxa"/>
                  <w:noWrap w:val="0"/>
                  <w:vAlign w:val="center"/>
                </w:tcPr>
                <w:p w14:paraId="137309A1">
                  <w:pPr>
                    <w:pStyle w:val="51"/>
                    <w:tabs>
                      <w:tab w:val="left" w:pos="1535"/>
                      <w:tab w:val="left" w:pos="3105"/>
                      <w:tab w:val="left" w:pos="4676"/>
                      <w:tab w:val="left" w:pos="6247"/>
                      <w:tab w:val="left" w:pos="7740"/>
                      <w:tab w:val="left" w:pos="9288"/>
                    </w:tabs>
                    <w:bidi w:val="0"/>
                    <w:jc w:val="center"/>
                  </w:pPr>
                  <w:r>
                    <w:t>表示废气向大气环境排放</w:t>
                  </w:r>
                </w:p>
              </w:tc>
            </w:tr>
            <w:tr w14:paraId="2D8A5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jc w:val="center"/>
              </w:trPr>
              <w:tc>
                <w:tcPr>
                  <w:tcW w:w="554" w:type="dxa"/>
                  <w:noWrap w:val="0"/>
                  <w:vAlign w:val="center"/>
                </w:tcPr>
                <w:p w14:paraId="7B85317A">
                  <w:pPr>
                    <w:pStyle w:val="51"/>
                    <w:tabs>
                      <w:tab w:val="left" w:pos="1535"/>
                      <w:tab w:val="left" w:pos="3105"/>
                      <w:tab w:val="left" w:pos="4676"/>
                      <w:tab w:val="left" w:pos="6247"/>
                      <w:tab w:val="left" w:pos="7740"/>
                      <w:tab w:val="left" w:pos="9288"/>
                    </w:tabs>
                    <w:bidi w:val="0"/>
                    <w:jc w:val="center"/>
                  </w:pPr>
                </w:p>
                <w:p w14:paraId="2E2AB881">
                  <w:pPr>
                    <w:pStyle w:val="51"/>
                    <w:tabs>
                      <w:tab w:val="left" w:pos="1535"/>
                      <w:tab w:val="left" w:pos="3105"/>
                      <w:tab w:val="left" w:pos="4676"/>
                      <w:tab w:val="left" w:pos="6247"/>
                      <w:tab w:val="left" w:pos="7740"/>
                      <w:tab w:val="left" w:pos="9288"/>
                    </w:tabs>
                    <w:bidi w:val="0"/>
                    <w:jc w:val="center"/>
                  </w:pPr>
                  <w:r>
                    <w:t>3</w:t>
                  </w:r>
                </w:p>
              </w:tc>
              <w:tc>
                <w:tcPr>
                  <w:tcW w:w="2039" w:type="dxa"/>
                  <w:gridSpan w:val="2"/>
                  <w:noWrap w:val="0"/>
                  <w:vAlign w:val="center"/>
                </w:tcPr>
                <w:p w14:paraId="39319D74">
                  <w:pPr>
                    <w:pStyle w:val="51"/>
                    <w:tabs>
                      <w:tab w:val="left" w:pos="1535"/>
                      <w:tab w:val="left" w:pos="3105"/>
                      <w:tab w:val="left" w:pos="4676"/>
                      <w:tab w:val="left" w:pos="6247"/>
                      <w:tab w:val="left" w:pos="7740"/>
                      <w:tab w:val="left" w:pos="9288"/>
                    </w:tabs>
                    <w:bidi w:val="0"/>
                    <w:jc w:val="center"/>
                  </w:pPr>
                  <w:r>
                    <w:drawing>
                      <wp:inline distT="0" distB="0" distL="114300" distR="114300">
                        <wp:extent cx="998220" cy="1172845"/>
                        <wp:effectExtent l="0" t="0" r="11430" b="8255"/>
                        <wp:docPr id="24" name="图片 5"/>
                        <wp:cNvGraphicFramePr/>
                        <a:graphic xmlns:a="http://schemas.openxmlformats.org/drawingml/2006/main">
                          <a:graphicData uri="http://schemas.openxmlformats.org/drawingml/2006/picture">
                            <pic:pic xmlns:pic="http://schemas.openxmlformats.org/drawingml/2006/picture">
                              <pic:nvPicPr>
                                <pic:cNvPr id="24" name="图片 5"/>
                                <pic:cNvPicPr/>
                              </pic:nvPicPr>
                              <pic:blipFill>
                                <a:blip r:embed="rId33"/>
                                <a:stretch>
                                  <a:fillRect/>
                                </a:stretch>
                              </pic:blipFill>
                              <pic:spPr>
                                <a:xfrm>
                                  <a:off x="0" y="0"/>
                                  <a:ext cx="998220" cy="1172845"/>
                                </a:xfrm>
                                <a:prstGeom prst="rect">
                                  <a:avLst/>
                                </a:prstGeom>
                                <a:noFill/>
                                <a:ln>
                                  <a:noFill/>
                                </a:ln>
                              </pic:spPr>
                            </pic:pic>
                          </a:graphicData>
                        </a:graphic>
                      </wp:inline>
                    </w:drawing>
                  </w:r>
                </w:p>
              </w:tc>
              <w:tc>
                <w:tcPr>
                  <w:tcW w:w="2101" w:type="dxa"/>
                  <w:noWrap w:val="0"/>
                  <w:vAlign w:val="center"/>
                </w:tcPr>
                <w:p w14:paraId="373A9711">
                  <w:pPr>
                    <w:pStyle w:val="51"/>
                    <w:tabs>
                      <w:tab w:val="left" w:pos="1535"/>
                      <w:tab w:val="left" w:pos="3105"/>
                      <w:tab w:val="left" w:pos="4676"/>
                      <w:tab w:val="left" w:pos="6247"/>
                      <w:tab w:val="left" w:pos="7740"/>
                      <w:tab w:val="left" w:pos="9288"/>
                    </w:tabs>
                    <w:bidi w:val="0"/>
                    <w:jc w:val="center"/>
                  </w:pPr>
                  <w:r>
                    <w:drawing>
                      <wp:inline distT="0" distB="0" distL="114300" distR="114300">
                        <wp:extent cx="1026160" cy="1099820"/>
                        <wp:effectExtent l="0" t="0" r="2540" b="5080"/>
                        <wp:docPr id="25" name="图片 6"/>
                        <wp:cNvGraphicFramePr/>
                        <a:graphic xmlns:a="http://schemas.openxmlformats.org/drawingml/2006/main">
                          <a:graphicData uri="http://schemas.openxmlformats.org/drawingml/2006/picture">
                            <pic:pic xmlns:pic="http://schemas.openxmlformats.org/drawingml/2006/picture">
                              <pic:nvPicPr>
                                <pic:cNvPr id="25" name="图片 6"/>
                                <pic:cNvPicPr/>
                              </pic:nvPicPr>
                              <pic:blipFill>
                                <a:blip r:embed="rId34"/>
                                <a:stretch>
                                  <a:fillRect/>
                                </a:stretch>
                              </pic:blipFill>
                              <pic:spPr>
                                <a:xfrm>
                                  <a:off x="0" y="0"/>
                                  <a:ext cx="1026160" cy="1099820"/>
                                </a:xfrm>
                                <a:prstGeom prst="rect">
                                  <a:avLst/>
                                </a:prstGeom>
                                <a:noFill/>
                                <a:ln>
                                  <a:noFill/>
                                </a:ln>
                              </pic:spPr>
                            </pic:pic>
                          </a:graphicData>
                        </a:graphic>
                      </wp:inline>
                    </w:drawing>
                  </w:r>
                </w:p>
              </w:tc>
              <w:tc>
                <w:tcPr>
                  <w:tcW w:w="1143" w:type="dxa"/>
                  <w:noWrap w:val="0"/>
                  <w:vAlign w:val="center"/>
                </w:tcPr>
                <w:p w14:paraId="28CFA958">
                  <w:pPr>
                    <w:pStyle w:val="51"/>
                    <w:tabs>
                      <w:tab w:val="left" w:pos="1535"/>
                      <w:tab w:val="left" w:pos="3105"/>
                      <w:tab w:val="left" w:pos="4676"/>
                      <w:tab w:val="left" w:pos="6247"/>
                      <w:tab w:val="left" w:pos="7740"/>
                      <w:tab w:val="left" w:pos="9288"/>
                    </w:tabs>
                    <w:bidi w:val="0"/>
                    <w:jc w:val="center"/>
                  </w:pPr>
                  <w:r>
                    <w:t>噪声排放源</w:t>
                  </w:r>
                </w:p>
              </w:tc>
              <w:tc>
                <w:tcPr>
                  <w:tcW w:w="2100" w:type="dxa"/>
                  <w:noWrap w:val="0"/>
                  <w:vAlign w:val="center"/>
                </w:tcPr>
                <w:p w14:paraId="42C48B78">
                  <w:pPr>
                    <w:pStyle w:val="51"/>
                    <w:tabs>
                      <w:tab w:val="left" w:pos="1535"/>
                      <w:tab w:val="left" w:pos="3105"/>
                      <w:tab w:val="left" w:pos="4676"/>
                      <w:tab w:val="left" w:pos="6247"/>
                      <w:tab w:val="left" w:pos="7740"/>
                      <w:tab w:val="left" w:pos="9288"/>
                    </w:tabs>
                    <w:bidi w:val="0"/>
                    <w:jc w:val="center"/>
                  </w:pPr>
                  <w:r>
                    <w:t>表示噪声向外环境排放</w:t>
                  </w:r>
                </w:p>
              </w:tc>
            </w:tr>
            <w:tr w14:paraId="22138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0" w:hRule="atLeast"/>
                <w:jc w:val="center"/>
              </w:trPr>
              <w:tc>
                <w:tcPr>
                  <w:tcW w:w="554" w:type="dxa"/>
                  <w:noWrap w:val="0"/>
                  <w:vAlign w:val="center"/>
                </w:tcPr>
                <w:p w14:paraId="057EEF1C">
                  <w:pPr>
                    <w:pStyle w:val="51"/>
                    <w:tabs>
                      <w:tab w:val="left" w:pos="1535"/>
                      <w:tab w:val="left" w:pos="3105"/>
                      <w:tab w:val="left" w:pos="4676"/>
                      <w:tab w:val="left" w:pos="6247"/>
                      <w:tab w:val="left" w:pos="7740"/>
                      <w:tab w:val="left" w:pos="9288"/>
                    </w:tabs>
                    <w:bidi w:val="0"/>
                    <w:jc w:val="center"/>
                  </w:pPr>
                  <w:r>
                    <w:t>4</w:t>
                  </w:r>
                </w:p>
              </w:tc>
              <w:tc>
                <w:tcPr>
                  <w:tcW w:w="2039" w:type="dxa"/>
                  <w:gridSpan w:val="2"/>
                  <w:noWrap w:val="0"/>
                  <w:vAlign w:val="center"/>
                </w:tcPr>
                <w:p w14:paraId="1CAC5FAD">
                  <w:pPr>
                    <w:pStyle w:val="51"/>
                    <w:tabs>
                      <w:tab w:val="left" w:pos="1535"/>
                      <w:tab w:val="left" w:pos="3105"/>
                      <w:tab w:val="left" w:pos="4676"/>
                      <w:tab w:val="left" w:pos="6247"/>
                      <w:tab w:val="left" w:pos="7740"/>
                      <w:tab w:val="left" w:pos="9288"/>
                    </w:tabs>
                    <w:bidi w:val="0"/>
                    <w:jc w:val="center"/>
                  </w:pPr>
                  <w:r>
                    <w:drawing>
                      <wp:inline distT="0" distB="0" distL="114300" distR="114300">
                        <wp:extent cx="946785" cy="1146810"/>
                        <wp:effectExtent l="0" t="0" r="5715" b="15240"/>
                        <wp:docPr id="11" name="图片 7"/>
                        <wp:cNvGraphicFramePr/>
                        <a:graphic xmlns:a="http://schemas.openxmlformats.org/drawingml/2006/main">
                          <a:graphicData uri="http://schemas.openxmlformats.org/drawingml/2006/picture">
                            <pic:pic xmlns:pic="http://schemas.openxmlformats.org/drawingml/2006/picture">
                              <pic:nvPicPr>
                                <pic:cNvPr id="11" name="图片 7"/>
                                <pic:cNvPicPr/>
                              </pic:nvPicPr>
                              <pic:blipFill>
                                <a:blip r:embed="rId35"/>
                                <a:stretch>
                                  <a:fillRect/>
                                </a:stretch>
                              </pic:blipFill>
                              <pic:spPr>
                                <a:xfrm>
                                  <a:off x="0" y="0"/>
                                  <a:ext cx="946785" cy="1146810"/>
                                </a:xfrm>
                                <a:prstGeom prst="rect">
                                  <a:avLst/>
                                </a:prstGeom>
                                <a:noFill/>
                                <a:ln>
                                  <a:noFill/>
                                </a:ln>
                              </pic:spPr>
                            </pic:pic>
                          </a:graphicData>
                        </a:graphic>
                      </wp:inline>
                    </w:drawing>
                  </w:r>
                </w:p>
              </w:tc>
              <w:tc>
                <w:tcPr>
                  <w:tcW w:w="2101" w:type="dxa"/>
                  <w:noWrap w:val="0"/>
                  <w:vAlign w:val="center"/>
                </w:tcPr>
                <w:p w14:paraId="63A13709">
                  <w:pPr>
                    <w:pStyle w:val="51"/>
                    <w:tabs>
                      <w:tab w:val="left" w:pos="1535"/>
                      <w:tab w:val="left" w:pos="3105"/>
                      <w:tab w:val="left" w:pos="4676"/>
                      <w:tab w:val="left" w:pos="6247"/>
                      <w:tab w:val="left" w:pos="7740"/>
                      <w:tab w:val="left" w:pos="9288"/>
                    </w:tabs>
                    <w:bidi w:val="0"/>
                    <w:jc w:val="center"/>
                  </w:pPr>
                  <w:r>
                    <w:drawing>
                      <wp:inline distT="0" distB="0" distL="114300" distR="114300">
                        <wp:extent cx="1002030" cy="1031240"/>
                        <wp:effectExtent l="0" t="0" r="7620" b="16510"/>
                        <wp:docPr id="13" name="图片 8"/>
                        <wp:cNvGraphicFramePr/>
                        <a:graphic xmlns:a="http://schemas.openxmlformats.org/drawingml/2006/main">
                          <a:graphicData uri="http://schemas.openxmlformats.org/drawingml/2006/picture">
                            <pic:pic xmlns:pic="http://schemas.openxmlformats.org/drawingml/2006/picture">
                              <pic:nvPicPr>
                                <pic:cNvPr id="13" name="图片 8"/>
                                <pic:cNvPicPr/>
                              </pic:nvPicPr>
                              <pic:blipFill>
                                <a:blip r:embed="rId36"/>
                                <a:stretch>
                                  <a:fillRect/>
                                </a:stretch>
                              </pic:blipFill>
                              <pic:spPr>
                                <a:xfrm>
                                  <a:off x="0" y="0"/>
                                  <a:ext cx="1002030" cy="1031240"/>
                                </a:xfrm>
                                <a:prstGeom prst="rect">
                                  <a:avLst/>
                                </a:prstGeom>
                                <a:noFill/>
                                <a:ln>
                                  <a:noFill/>
                                </a:ln>
                              </pic:spPr>
                            </pic:pic>
                          </a:graphicData>
                        </a:graphic>
                      </wp:inline>
                    </w:drawing>
                  </w:r>
                </w:p>
              </w:tc>
              <w:tc>
                <w:tcPr>
                  <w:tcW w:w="1143" w:type="dxa"/>
                  <w:noWrap w:val="0"/>
                  <w:vAlign w:val="center"/>
                </w:tcPr>
                <w:p w14:paraId="1578B6EA">
                  <w:pPr>
                    <w:pStyle w:val="51"/>
                    <w:tabs>
                      <w:tab w:val="left" w:pos="1535"/>
                      <w:tab w:val="left" w:pos="3105"/>
                      <w:tab w:val="left" w:pos="4676"/>
                      <w:tab w:val="left" w:pos="6247"/>
                      <w:tab w:val="left" w:pos="7740"/>
                      <w:tab w:val="left" w:pos="9288"/>
                    </w:tabs>
                    <w:bidi w:val="0"/>
                    <w:jc w:val="center"/>
                  </w:pPr>
                  <w:r>
                    <w:t>一般固体废物</w:t>
                  </w:r>
                </w:p>
              </w:tc>
              <w:tc>
                <w:tcPr>
                  <w:tcW w:w="2100" w:type="dxa"/>
                  <w:noWrap w:val="0"/>
                  <w:vAlign w:val="center"/>
                </w:tcPr>
                <w:p w14:paraId="270A90DC">
                  <w:pPr>
                    <w:pStyle w:val="51"/>
                    <w:tabs>
                      <w:tab w:val="left" w:pos="1535"/>
                      <w:tab w:val="left" w:pos="3105"/>
                      <w:tab w:val="left" w:pos="4676"/>
                      <w:tab w:val="left" w:pos="6247"/>
                      <w:tab w:val="left" w:pos="7740"/>
                      <w:tab w:val="left" w:pos="9288"/>
                    </w:tabs>
                    <w:bidi w:val="0"/>
                    <w:jc w:val="center"/>
                  </w:pPr>
                  <w:r>
                    <w:t>表示一般固体废物贮存、处置场</w:t>
                  </w:r>
                </w:p>
              </w:tc>
            </w:tr>
            <w:tr w14:paraId="4F635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5" w:hRule="atLeast"/>
                <w:jc w:val="center"/>
              </w:trPr>
              <w:tc>
                <w:tcPr>
                  <w:tcW w:w="554" w:type="dxa"/>
                  <w:noWrap w:val="0"/>
                  <w:vAlign w:val="center"/>
                </w:tcPr>
                <w:p w14:paraId="6DAD5AD9">
                  <w:pPr>
                    <w:pStyle w:val="51"/>
                    <w:tabs>
                      <w:tab w:val="left" w:pos="1535"/>
                      <w:tab w:val="left" w:pos="3105"/>
                      <w:tab w:val="left" w:pos="4676"/>
                      <w:tab w:val="left" w:pos="6247"/>
                      <w:tab w:val="left" w:pos="7740"/>
                      <w:tab w:val="left" w:pos="9288"/>
                    </w:tabs>
                    <w:bidi w:val="0"/>
                    <w:jc w:val="center"/>
                  </w:pPr>
                  <w:r>
                    <w:t>5</w:t>
                  </w:r>
                </w:p>
              </w:tc>
              <w:tc>
                <w:tcPr>
                  <w:tcW w:w="1753" w:type="dxa"/>
                  <w:noWrap w:val="0"/>
                  <w:vAlign w:val="center"/>
                </w:tcPr>
                <w:p w14:paraId="5A23CDD0">
                  <w:pPr>
                    <w:pStyle w:val="51"/>
                    <w:tabs>
                      <w:tab w:val="left" w:pos="1535"/>
                      <w:tab w:val="left" w:pos="3105"/>
                      <w:tab w:val="left" w:pos="4676"/>
                      <w:tab w:val="left" w:pos="6247"/>
                      <w:tab w:val="left" w:pos="7740"/>
                      <w:tab w:val="left" w:pos="9288"/>
                    </w:tabs>
                    <w:bidi w:val="0"/>
                    <w:jc w:val="center"/>
                  </w:pPr>
                  <w:r>
                    <w:drawing>
                      <wp:inline distT="0" distB="0" distL="114300" distR="114300">
                        <wp:extent cx="1219200" cy="1219200"/>
                        <wp:effectExtent l="0" t="0" r="0" b="0"/>
                        <wp:docPr id="26" name="图片 9"/>
                        <wp:cNvGraphicFramePr/>
                        <a:graphic xmlns:a="http://schemas.openxmlformats.org/drawingml/2006/main">
                          <a:graphicData uri="http://schemas.openxmlformats.org/drawingml/2006/picture">
                            <pic:pic xmlns:pic="http://schemas.openxmlformats.org/drawingml/2006/picture">
                              <pic:nvPicPr>
                                <pic:cNvPr id="26" name="图片 9"/>
                                <pic:cNvPicPr/>
                              </pic:nvPicPr>
                              <pic:blipFill>
                                <a:blip r:embed="rId37"/>
                                <a:stretch>
                                  <a:fillRect/>
                                </a:stretch>
                              </pic:blipFill>
                              <pic:spPr>
                                <a:xfrm>
                                  <a:off x="0" y="0"/>
                                  <a:ext cx="1219200" cy="1219200"/>
                                </a:xfrm>
                                <a:prstGeom prst="rect">
                                  <a:avLst/>
                                </a:prstGeom>
                                <a:noFill/>
                                <a:ln>
                                  <a:noFill/>
                                </a:ln>
                              </pic:spPr>
                            </pic:pic>
                          </a:graphicData>
                        </a:graphic>
                      </wp:inline>
                    </w:drawing>
                  </w:r>
                </w:p>
              </w:tc>
              <w:tc>
                <w:tcPr>
                  <w:tcW w:w="2387" w:type="dxa"/>
                  <w:gridSpan w:val="2"/>
                  <w:noWrap w:val="0"/>
                  <w:vAlign w:val="center"/>
                </w:tcPr>
                <w:p w14:paraId="529CF235">
                  <w:pPr>
                    <w:pStyle w:val="51"/>
                    <w:tabs>
                      <w:tab w:val="left" w:pos="1535"/>
                      <w:tab w:val="left" w:pos="3105"/>
                      <w:tab w:val="left" w:pos="4676"/>
                      <w:tab w:val="left" w:pos="6247"/>
                      <w:tab w:val="left" w:pos="7740"/>
                      <w:tab w:val="left" w:pos="9288"/>
                    </w:tabs>
                    <w:bidi w:val="0"/>
                    <w:jc w:val="center"/>
                  </w:pPr>
                  <w:r>
                    <w:drawing>
                      <wp:inline distT="0" distB="0" distL="114300" distR="114300">
                        <wp:extent cx="1023620" cy="1775460"/>
                        <wp:effectExtent l="0" t="0" r="5080" b="15240"/>
                        <wp:docPr id="27" name="图片 10"/>
                        <wp:cNvGraphicFramePr/>
                        <a:graphic xmlns:a="http://schemas.openxmlformats.org/drawingml/2006/main">
                          <a:graphicData uri="http://schemas.openxmlformats.org/drawingml/2006/picture">
                            <pic:pic xmlns:pic="http://schemas.openxmlformats.org/drawingml/2006/picture">
                              <pic:nvPicPr>
                                <pic:cNvPr id="27" name="图片 10"/>
                                <pic:cNvPicPr/>
                              </pic:nvPicPr>
                              <pic:blipFill>
                                <a:blip r:embed="rId38"/>
                                <a:stretch>
                                  <a:fillRect/>
                                </a:stretch>
                              </pic:blipFill>
                              <pic:spPr>
                                <a:xfrm>
                                  <a:off x="0" y="0"/>
                                  <a:ext cx="1023620" cy="1775460"/>
                                </a:xfrm>
                                <a:prstGeom prst="rect">
                                  <a:avLst/>
                                </a:prstGeom>
                                <a:noFill/>
                                <a:ln>
                                  <a:noFill/>
                                </a:ln>
                              </pic:spPr>
                            </pic:pic>
                          </a:graphicData>
                        </a:graphic>
                      </wp:inline>
                    </w:drawing>
                  </w:r>
                </w:p>
              </w:tc>
              <w:tc>
                <w:tcPr>
                  <w:tcW w:w="1143" w:type="dxa"/>
                  <w:noWrap w:val="0"/>
                  <w:vAlign w:val="center"/>
                </w:tcPr>
                <w:p w14:paraId="7E5D3230">
                  <w:pPr>
                    <w:pStyle w:val="51"/>
                    <w:tabs>
                      <w:tab w:val="left" w:pos="1535"/>
                      <w:tab w:val="left" w:pos="3105"/>
                      <w:tab w:val="left" w:pos="4676"/>
                      <w:tab w:val="left" w:pos="6247"/>
                      <w:tab w:val="left" w:pos="7740"/>
                      <w:tab w:val="left" w:pos="9288"/>
                    </w:tabs>
                    <w:bidi w:val="0"/>
                    <w:jc w:val="center"/>
                  </w:pPr>
                  <w:r>
                    <w:t>危险废物</w:t>
                  </w:r>
                </w:p>
              </w:tc>
              <w:tc>
                <w:tcPr>
                  <w:tcW w:w="2100" w:type="dxa"/>
                  <w:noWrap w:val="0"/>
                  <w:vAlign w:val="center"/>
                </w:tcPr>
                <w:p w14:paraId="2E2A8EFE">
                  <w:pPr>
                    <w:pStyle w:val="51"/>
                    <w:tabs>
                      <w:tab w:val="left" w:pos="1535"/>
                      <w:tab w:val="left" w:pos="3105"/>
                      <w:tab w:val="left" w:pos="4676"/>
                      <w:tab w:val="left" w:pos="6247"/>
                      <w:tab w:val="left" w:pos="7740"/>
                      <w:tab w:val="left" w:pos="9288"/>
                    </w:tabs>
                    <w:bidi w:val="0"/>
                    <w:jc w:val="center"/>
                  </w:pPr>
                  <w:r>
                    <w:t>表示危险废物贮存设施</w:t>
                  </w:r>
                </w:p>
              </w:tc>
            </w:tr>
          </w:tbl>
          <w:p w14:paraId="55776F01">
            <w:pPr>
              <w:pStyle w:val="39"/>
              <w:bidi w:val="0"/>
              <w:rPr>
                <w:rFonts w:hint="default"/>
                <w:color w:val="auto"/>
                <w:lang w:val="en-US" w:eastAsia="zh-CN"/>
              </w:rPr>
            </w:pPr>
            <w:r>
              <w:rPr>
                <w:rFonts w:hint="eastAsia"/>
                <w:color w:val="auto"/>
                <w:lang w:val="en-US" w:eastAsia="zh-CN"/>
              </w:rPr>
              <w:t>3环境管理</w:t>
            </w:r>
          </w:p>
          <w:p w14:paraId="527E22F4">
            <w:pPr>
              <w:pStyle w:val="39"/>
              <w:bidi w:val="0"/>
              <w:rPr>
                <w:color w:val="auto"/>
              </w:rPr>
            </w:pPr>
            <w:r>
              <w:rPr>
                <w:rFonts w:hint="eastAsia"/>
                <w:color w:val="auto"/>
              </w:rPr>
              <w:t>建设</w:t>
            </w:r>
            <w:r>
              <w:rPr>
                <w:color w:val="auto"/>
              </w:rPr>
              <w:t>单位应加强环境管理，设置环境管理机构，制定环境管理制度，具体如下：</w:t>
            </w:r>
          </w:p>
          <w:p w14:paraId="74C6BFC9">
            <w:pPr>
              <w:pStyle w:val="39"/>
              <w:bidi w:val="0"/>
              <w:rPr>
                <w:rFonts w:hint="eastAsia"/>
                <w:color w:val="auto"/>
              </w:rPr>
            </w:pPr>
            <w:r>
              <w:rPr>
                <w:rFonts w:hint="eastAsia"/>
                <w:color w:val="auto"/>
              </w:rPr>
              <w:t>（1）环境保护档案管理</w:t>
            </w:r>
          </w:p>
          <w:p w14:paraId="42C16483">
            <w:pPr>
              <w:pStyle w:val="39"/>
              <w:bidi w:val="0"/>
              <w:rPr>
                <w:color w:val="auto"/>
              </w:rPr>
            </w:pPr>
            <w:r>
              <w:rPr>
                <w:rFonts w:hint="eastAsia"/>
                <w:color w:val="auto"/>
              </w:rPr>
              <w:t>公司设专人负责项目的环境保护档案管理工作，环保档案实行专人管理责任到人。企业的所有环保资料应分类别整理、分类存档、科学管理，便于统计、查阅。在环境保护档案管理中，应建立如下文件档案：与本项目有关的法规、标准、规范和区域规划等；项目建设的有关环境保护的报告、设计方案及审查、审批文件；项目环保工程设施的设计、施工、安装的基础资料及验收资料；公司内部的环境保护管理制度、人员环保培训和考核记录；生态恢复工程、污染治理设施运行管理文件；环境监测记录技术文件；建立台账，如实记录生产原料、辅料的使用量、废弃量、去向以及挥发性有机物含量，台账保存期限不得少于三年；所有导致污染事件的分析报告和检测数据资料等。</w:t>
            </w:r>
          </w:p>
          <w:p w14:paraId="414D4F7F">
            <w:pPr>
              <w:pStyle w:val="39"/>
              <w:bidi w:val="0"/>
              <w:rPr>
                <w:color w:val="auto"/>
              </w:rPr>
            </w:pPr>
            <w:r>
              <w:rPr>
                <w:rFonts w:hint="eastAsia"/>
                <w:color w:val="auto"/>
              </w:rPr>
              <w:t>（2）</w:t>
            </w:r>
            <w:r>
              <w:rPr>
                <w:color w:val="auto"/>
              </w:rPr>
              <w:t>控制和预防污染，加强生产设备的管理与维护，严防非正常工况事故的发生，确保环保设施正常运行，并指定专人负责对环保设备的大、中修的质量验收。</w:t>
            </w:r>
          </w:p>
          <w:p w14:paraId="7D0F5876">
            <w:pPr>
              <w:pStyle w:val="39"/>
              <w:bidi w:val="0"/>
              <w:rPr>
                <w:color w:val="auto"/>
              </w:rPr>
            </w:pPr>
            <w:r>
              <w:rPr>
                <w:rFonts w:hint="eastAsia"/>
                <w:color w:val="auto"/>
              </w:rPr>
              <w:t>（3）</w:t>
            </w:r>
            <w:r>
              <w:rPr>
                <w:color w:val="auto"/>
              </w:rPr>
              <w:t>认真对待和组织突发性污染事故的善后处理，追查事故原因，杜绝事故遗留隐患，并参照企业管理规章，提出对事故责任人的处理意见，上报公司管理层。</w:t>
            </w:r>
          </w:p>
          <w:p w14:paraId="7C47F336">
            <w:pPr>
              <w:pStyle w:val="39"/>
              <w:bidi w:val="0"/>
              <w:rPr>
                <w:color w:val="auto"/>
              </w:rPr>
            </w:pPr>
            <w:r>
              <w:rPr>
                <w:rFonts w:hint="eastAsia"/>
                <w:color w:val="auto"/>
              </w:rPr>
              <w:t>（4）</w:t>
            </w:r>
            <w:r>
              <w:rPr>
                <w:color w:val="auto"/>
              </w:rPr>
              <w:t>定期对工作人员进行环境保护知识的教育，加强环保知识宣传，明确环境保护的重要性，严格执行各种环境保护规章制度。</w:t>
            </w:r>
          </w:p>
          <w:p w14:paraId="7BF58A8E">
            <w:pPr>
              <w:pStyle w:val="4"/>
              <w:bidi w:val="0"/>
              <w:rPr>
                <w:rFonts w:hint="eastAsia"/>
                <w:color w:val="auto"/>
                <w:lang w:val="en-US" w:eastAsia="zh-CN"/>
              </w:rPr>
            </w:pPr>
            <w:r>
              <w:rPr>
                <w:rFonts w:hint="eastAsia"/>
                <w:color w:val="auto"/>
                <w:lang w:val="en-US" w:eastAsia="zh-CN"/>
              </w:rPr>
              <w:t>4.2.8环保设施安全运行要求</w:t>
            </w:r>
          </w:p>
          <w:p w14:paraId="1ADB9A09">
            <w:pPr>
              <w:pStyle w:val="39"/>
              <w:bidi w:val="0"/>
              <w:rPr>
                <w:rFonts w:hint="eastAsia"/>
                <w:color w:val="auto"/>
                <w:lang w:val="en-US" w:eastAsia="zh-CN"/>
              </w:rPr>
            </w:pPr>
            <w:r>
              <w:rPr>
                <w:rFonts w:hint="eastAsia"/>
                <w:color w:val="auto"/>
                <w:lang w:val="en-US" w:eastAsia="zh-CN"/>
              </w:rPr>
              <w:t>根据国务院安委会办公室 生态环境部 应急管理部《关于进一步加强环保设备设施安全生产工作的通知》安委办明电〔2022〕17号要求：</w:t>
            </w:r>
          </w:p>
          <w:p w14:paraId="05EA8934">
            <w:pPr>
              <w:pStyle w:val="39"/>
              <w:bidi w:val="0"/>
              <w:rPr>
                <w:rFonts w:hint="eastAsia"/>
                <w:color w:val="auto"/>
                <w:lang w:val="en-US" w:eastAsia="zh-CN"/>
              </w:rPr>
            </w:pPr>
            <w:r>
              <w:rPr>
                <w:rFonts w:hint="eastAsia"/>
                <w:color w:val="auto"/>
                <w:lang w:val="en-US" w:eastAsia="zh-CN"/>
              </w:rPr>
              <w:t>严格落实涉环保设备设施新、改、扩建项目环保和安全“三同时有关要求，委托有资质的设计单位进行正规设计，在选用污染防治技术时要充分考虑安全因素；在环保设备设施改造中必须依法开展安全风险评估，按要求设置安全监测监控系统和联锁保护装置，做好安全防范。</w:t>
            </w:r>
          </w:p>
          <w:p w14:paraId="080D91F5">
            <w:pPr>
              <w:pStyle w:val="39"/>
              <w:bidi w:val="0"/>
              <w:rPr>
                <w:rFonts w:hint="eastAsia"/>
                <w:color w:val="auto"/>
                <w:lang w:val="en-US" w:eastAsia="zh-CN"/>
              </w:rPr>
            </w:pPr>
            <w:r>
              <w:rPr>
                <w:rFonts w:hint="eastAsia"/>
                <w:color w:val="auto"/>
                <w:lang w:val="en-US" w:eastAsia="zh-CN"/>
              </w:rPr>
              <w:t>（1）项目采用的环保治理设施应与主体工程同时设计、同时施工建设，与产生废气的生产工艺设备同步运行。</w:t>
            </w:r>
          </w:p>
          <w:p w14:paraId="492041D8">
            <w:pPr>
              <w:pStyle w:val="39"/>
              <w:bidi w:val="0"/>
              <w:rPr>
                <w:rFonts w:hint="eastAsia"/>
                <w:color w:val="auto"/>
                <w:lang w:val="en-US" w:eastAsia="zh-CN"/>
              </w:rPr>
            </w:pPr>
            <w:r>
              <w:rPr>
                <w:rFonts w:hint="eastAsia"/>
                <w:color w:val="auto"/>
                <w:lang w:val="en-US" w:eastAsia="zh-CN"/>
              </w:rPr>
              <w:t>（2）由于事故或设备维修等原因造成治理设施停止运行时，应立即停产，并立即报告当地环境保护行政主管部门。</w:t>
            </w:r>
          </w:p>
          <w:p w14:paraId="1D4428B7">
            <w:pPr>
              <w:pStyle w:val="39"/>
              <w:bidi w:val="0"/>
              <w:rPr>
                <w:rFonts w:hint="eastAsia"/>
                <w:color w:val="auto"/>
                <w:lang w:val="en-US" w:eastAsia="zh-CN"/>
              </w:rPr>
            </w:pPr>
            <w:r>
              <w:rPr>
                <w:rFonts w:hint="eastAsia"/>
                <w:color w:val="auto"/>
                <w:lang w:val="en-US" w:eastAsia="zh-CN"/>
              </w:rPr>
              <w:t>（3）除尘配器套设施系统管道和除尘设备本体合理设计，保持系统通畅。</w:t>
            </w:r>
          </w:p>
          <w:p w14:paraId="057E1FC9">
            <w:pPr>
              <w:pStyle w:val="39"/>
              <w:bidi w:val="0"/>
              <w:rPr>
                <w:rFonts w:hint="eastAsia"/>
                <w:color w:val="auto"/>
                <w:lang w:val="en-US" w:eastAsia="zh-CN"/>
              </w:rPr>
            </w:pPr>
            <w:r>
              <w:rPr>
                <w:rFonts w:hint="eastAsia"/>
                <w:color w:val="auto"/>
                <w:lang w:val="en-US" w:eastAsia="zh-CN"/>
              </w:rPr>
              <w:t>（4）设置专业环保管理工作人员，在环保治理设施启用前，建设单位对管理和运行人员进行培训，使管理和运行人员掌握环保治理设施及其它附属设施的具体操作和应急情况下的处理措施。培训内容包括但不限于：①基本原理和工艺流程；②启动前的检查的启动应满足的条件；③正常运行工况下的设备控制、报警、指示系统的状态和检查，良好的运行条件以及必要时的纠正操作；④设备运行故障的发现、检查和排除；⑤事故或紧急状态下人工操作和事故排除方法；⑥设备日常和定期维护；⑦设备运行和维护记录；⑧其它事件的记录和报告。</w:t>
            </w:r>
          </w:p>
          <w:p w14:paraId="648983FE">
            <w:pPr>
              <w:pStyle w:val="39"/>
              <w:bidi w:val="0"/>
              <w:rPr>
                <w:rFonts w:hint="eastAsia"/>
                <w:color w:val="auto"/>
                <w:lang w:val="en-US" w:eastAsia="zh-CN"/>
              </w:rPr>
            </w:pPr>
            <w:r>
              <w:rPr>
                <w:rFonts w:hint="eastAsia"/>
                <w:color w:val="auto"/>
                <w:lang w:val="en-US" w:eastAsia="zh-CN"/>
              </w:rPr>
              <w:t>（5）建设单位应建立健全与治理设施相关的各项规章制度，以及运行、维护和操作规程，建立主要设备运行状况的台账制度。</w:t>
            </w:r>
          </w:p>
          <w:p w14:paraId="3105EA87">
            <w:pPr>
              <w:pStyle w:val="39"/>
              <w:bidi w:val="0"/>
              <w:rPr>
                <w:rFonts w:hint="default" w:eastAsia="宋体"/>
                <w:color w:val="auto"/>
                <w:lang w:val="en-US" w:eastAsia="zh-CN"/>
              </w:rPr>
            </w:pPr>
            <w:r>
              <w:rPr>
                <w:rFonts w:hint="eastAsia"/>
                <w:color w:val="auto"/>
                <w:lang w:val="en-US" w:eastAsia="zh-CN"/>
              </w:rPr>
              <w:t>（6）环保管理人员及操作人员应按企业规定做好巡视制度和交接班制度。</w:t>
            </w:r>
          </w:p>
          <w:p w14:paraId="7D155B71">
            <w:pPr>
              <w:pStyle w:val="4"/>
              <w:bidi w:val="0"/>
              <w:rPr>
                <w:rFonts w:hint="default"/>
                <w:color w:val="auto"/>
                <w:lang w:val="en-US" w:eastAsia="zh-CN"/>
              </w:rPr>
            </w:pPr>
            <w:r>
              <w:rPr>
                <w:rFonts w:hint="eastAsia"/>
                <w:color w:val="auto"/>
                <w:lang w:val="en-US" w:eastAsia="zh-CN"/>
              </w:rPr>
              <w:t>4.2.9</w:t>
            </w:r>
            <w:r>
              <w:rPr>
                <w:color w:val="auto"/>
              </w:rPr>
              <w:t>竣工环保验收</w:t>
            </w:r>
          </w:p>
          <w:p w14:paraId="6CD14EAA">
            <w:pPr>
              <w:pStyle w:val="39"/>
              <w:bidi w:val="0"/>
              <w:rPr>
                <w:rFonts w:hint="eastAsia"/>
                <w:color w:val="auto"/>
              </w:rPr>
            </w:pPr>
            <w:r>
              <w:rPr>
                <w:rFonts w:hint="eastAsia"/>
                <w:color w:val="auto"/>
              </w:rPr>
              <w:t>2017年7月16日国务院颁布《建设项目环境保护管理条例》(国务院令第682号)，条例中明确:编制环境影响报告书、环境影响报告表的建设项目竣工后，建设单位应当按照国务院环境保护行政主管部门规定的标准和程序，对配套建设的环境保护设施进行验收，编制验收报告。为贯彻落实新修改的《建设项目环境保护管理条例》，规范建设项目竣工后建设单位自主开展环境保护验收的程序和标准，环保部2017年11月20日发布了《建设项目竣工环境保护验收暂行办法》(国环规环评[2017]4号)。</w:t>
            </w:r>
          </w:p>
          <w:p w14:paraId="67EF274C">
            <w:pPr>
              <w:pStyle w:val="39"/>
              <w:bidi w:val="0"/>
              <w:rPr>
                <w:rFonts w:hint="eastAsia"/>
                <w:color w:val="auto"/>
              </w:rPr>
            </w:pPr>
            <w:r>
              <w:rPr>
                <w:rFonts w:hint="eastAsia"/>
                <w:color w:val="auto"/>
              </w:rPr>
              <w:t>《建设项目竣工环境保护验收暂行办法》中第四条规定：建设单位是建设项目竣工环境保护验收的责任主体，应当按照本办法规定的程序和标准，组织对配套建设的环境 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环境保护设施是指</w:t>
            </w:r>
          </w:p>
          <w:p w14:paraId="77B22489">
            <w:pPr>
              <w:pStyle w:val="39"/>
              <w:bidi w:val="0"/>
              <w:rPr>
                <w:rFonts w:hint="eastAsia"/>
                <w:color w:val="auto"/>
              </w:rPr>
            </w:pPr>
            <w:r>
              <w:rPr>
                <w:rFonts w:hint="eastAsia"/>
                <w:color w:val="auto"/>
              </w:rPr>
              <w:t>防治环境污染和生态破坏以及开展环境监测所需的装置、设备和工程设施等。验收报告分为验收监测(调查)报告、验收意见和其他需要说明的事项等三项内容。</w:t>
            </w:r>
          </w:p>
          <w:p w14:paraId="68C18AC4">
            <w:pPr>
              <w:pStyle w:val="39"/>
              <w:bidi w:val="0"/>
              <w:rPr>
                <w:rFonts w:hint="eastAsia"/>
                <w:color w:val="auto"/>
              </w:rPr>
            </w:pPr>
            <w:r>
              <w:rPr>
                <w:rFonts w:hint="eastAsia"/>
                <w:color w:val="auto"/>
              </w:rPr>
              <w:t>《建设项目竣工环境保护验收暂行办法》中第八条规定， 建设项目环境保护设施存在下列情形之一的，建设单位不得提出验收合格的意见：</w:t>
            </w:r>
          </w:p>
          <w:p w14:paraId="04B27728">
            <w:pPr>
              <w:pStyle w:val="39"/>
              <w:bidi w:val="0"/>
              <w:rPr>
                <w:rFonts w:hint="eastAsia"/>
                <w:color w:val="auto"/>
              </w:rPr>
            </w:pPr>
            <w:r>
              <w:rPr>
                <w:rFonts w:hint="eastAsia"/>
                <w:color w:val="auto"/>
              </w:rPr>
              <w:t>(1)未按环境影响报告书(表)及其审批部门审批决定要求建成环境保护设施，或者环境保护设施不能与主体工程同时投产或者使用的；</w:t>
            </w:r>
          </w:p>
          <w:p w14:paraId="26DEE2A2">
            <w:pPr>
              <w:pStyle w:val="39"/>
              <w:bidi w:val="0"/>
              <w:rPr>
                <w:rFonts w:hint="eastAsia"/>
                <w:color w:val="auto"/>
              </w:rPr>
            </w:pPr>
            <w:r>
              <w:rPr>
                <w:rFonts w:hint="eastAsia"/>
                <w:color w:val="auto"/>
              </w:rPr>
              <w:t>(2)污染物排放不符合国家和地方相关标准、环境影响报告书(表)及其审批部门审批决定或者重点污染物排放总量控制指标要求的；</w:t>
            </w:r>
          </w:p>
          <w:p w14:paraId="5B47E064">
            <w:pPr>
              <w:pStyle w:val="39"/>
              <w:bidi w:val="0"/>
              <w:rPr>
                <w:rFonts w:hint="eastAsia"/>
                <w:color w:val="auto"/>
              </w:rPr>
            </w:pPr>
            <w:r>
              <w:rPr>
                <w:rFonts w:hint="eastAsia"/>
                <w:color w:val="auto"/>
              </w:rPr>
              <w:t>(3)环境影响报告书(表)经批准后，该建设项目的性质、规模、地点、采用的生产工艺或者防治污染、防止生态破坏的措施发生重大变动，建设单位未重新报批环境影响报告书(表)或者环境影响报告书(表)未经批准的；</w:t>
            </w:r>
          </w:p>
          <w:p w14:paraId="3577BE15">
            <w:pPr>
              <w:pStyle w:val="39"/>
              <w:bidi w:val="0"/>
              <w:rPr>
                <w:rFonts w:hint="eastAsia"/>
                <w:color w:val="auto"/>
              </w:rPr>
            </w:pPr>
            <w:r>
              <w:rPr>
                <w:rFonts w:hint="eastAsia"/>
                <w:color w:val="auto"/>
              </w:rPr>
              <w:t>(4)建设过程中造成重大环境污染未治理完成，或者造成重大生态破坏未恢复的；</w:t>
            </w:r>
          </w:p>
          <w:p w14:paraId="2ABFDB35">
            <w:pPr>
              <w:pStyle w:val="39"/>
              <w:bidi w:val="0"/>
              <w:rPr>
                <w:rFonts w:hint="eastAsia"/>
                <w:color w:val="auto"/>
              </w:rPr>
            </w:pPr>
            <w:r>
              <w:rPr>
                <w:rFonts w:hint="eastAsia"/>
                <w:color w:val="auto"/>
              </w:rPr>
              <w:t>(5)纳入排污许可管理的建设项目，无证排污或者不按证排污的；</w:t>
            </w:r>
          </w:p>
          <w:p w14:paraId="5383F5BB">
            <w:pPr>
              <w:pStyle w:val="39"/>
              <w:bidi w:val="0"/>
              <w:rPr>
                <w:rFonts w:hint="eastAsia"/>
                <w:color w:val="auto"/>
              </w:rPr>
            </w:pPr>
            <w:r>
              <w:rPr>
                <w:rFonts w:hint="eastAsia"/>
                <w:color w:val="auto"/>
              </w:rPr>
              <w:t>(6)分期建设、分期投入生产或者使用依法应当分期验收的建设项目，其分期建设、分期投入生产或者使用的环境保护设施防治环境污染和生态破坏的能力不能满足其相应主体工程需要的；</w:t>
            </w:r>
          </w:p>
          <w:p w14:paraId="7D416FBD">
            <w:pPr>
              <w:pStyle w:val="39"/>
              <w:bidi w:val="0"/>
              <w:rPr>
                <w:rFonts w:hint="eastAsia"/>
                <w:color w:val="auto"/>
              </w:rPr>
            </w:pPr>
            <w:r>
              <w:rPr>
                <w:rFonts w:hint="eastAsia"/>
                <w:color w:val="auto"/>
              </w:rPr>
              <w:t>(7)建设单位因该建设项目违反国家和地方环境保护法律法规受到处罚，被责令改正，尚未改正完成的；</w:t>
            </w:r>
          </w:p>
          <w:p w14:paraId="361D3B44">
            <w:pPr>
              <w:pStyle w:val="39"/>
              <w:bidi w:val="0"/>
              <w:rPr>
                <w:rFonts w:hint="eastAsia"/>
                <w:color w:val="auto"/>
              </w:rPr>
            </w:pPr>
            <w:r>
              <w:rPr>
                <w:rFonts w:hint="eastAsia"/>
                <w:color w:val="auto"/>
              </w:rPr>
              <w:t>(8)验收报告的基础资料数据明显不实，内容存在重大缺项、遗漏，或者验收结论不明确、不合理的；</w:t>
            </w:r>
          </w:p>
          <w:p w14:paraId="2B3E0290">
            <w:pPr>
              <w:pStyle w:val="39"/>
              <w:bidi w:val="0"/>
              <w:rPr>
                <w:rFonts w:hint="eastAsia"/>
                <w:color w:val="auto"/>
              </w:rPr>
            </w:pPr>
            <w:r>
              <w:rPr>
                <w:rFonts w:hint="eastAsia"/>
                <w:color w:val="auto"/>
              </w:rPr>
              <w:t>(9)其他环境保护法律法规规章等规定不得通过环境保护验收的。</w:t>
            </w:r>
          </w:p>
          <w:p w14:paraId="3A60392C">
            <w:pPr>
              <w:pStyle w:val="39"/>
              <w:bidi w:val="0"/>
              <w:rPr>
                <w:color w:val="auto"/>
              </w:rPr>
            </w:pPr>
            <w:r>
              <w:rPr>
                <w:rFonts w:hint="eastAsia"/>
                <w:color w:val="auto"/>
              </w:rPr>
              <w:t>建设单位应该根据《建设项目竣工环境保护验收暂行办法》(国环规环评[2017]4号)的相关规定，做好竣工验收前的相关准备工作，保证本工程的环境保护措施及污染防治措施与主体工程同时设计、同时施工、同时投产使用，确保污染物达标排放并满足总量控制的要求，及时办理排污许可证。为本工程顺利通过竣工环境保护验收创造条件。</w:t>
            </w:r>
          </w:p>
          <w:p w14:paraId="480861A9">
            <w:pPr>
              <w:pStyle w:val="39"/>
              <w:bidi w:val="0"/>
              <w:rPr>
                <w:rFonts w:hint="eastAsia"/>
                <w:color w:val="auto"/>
                <w:lang w:val="en-US" w:eastAsia="zh-CN"/>
              </w:rPr>
            </w:pPr>
            <w:r>
              <w:rPr>
                <w:rFonts w:hint="eastAsia"/>
                <w:color w:val="auto"/>
              </w:rPr>
              <w:t>“三同时”验收内容，见表</w:t>
            </w:r>
            <w:r>
              <w:rPr>
                <w:rFonts w:hint="eastAsia"/>
                <w:color w:val="auto"/>
                <w:lang w:val="en-US" w:eastAsia="zh-CN"/>
              </w:rPr>
              <w:t>4-18。</w:t>
            </w:r>
          </w:p>
          <w:p w14:paraId="5F275538">
            <w:pPr>
              <w:pStyle w:val="46"/>
              <w:bidi w:val="0"/>
              <w:rPr>
                <w:color w:val="auto"/>
              </w:rPr>
            </w:pPr>
            <w:r>
              <w:rPr>
                <w:rFonts w:hint="eastAsia"/>
                <w:color w:val="auto"/>
                <w:lang w:val="en-US" w:eastAsia="zh-CN"/>
              </w:rPr>
              <w:t xml:space="preserve">表4-18   </w:t>
            </w:r>
            <w:r>
              <w:rPr>
                <w:color w:val="auto"/>
              </w:rPr>
              <w:t>主要环保设备及“三同时”验收清单</w:t>
            </w:r>
          </w:p>
          <w:tbl>
            <w:tblPr>
              <w:tblStyle w:val="114"/>
              <w:tblW w:w="79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5"/>
              <w:gridCol w:w="1462"/>
              <w:gridCol w:w="2509"/>
              <w:gridCol w:w="1632"/>
              <w:gridCol w:w="1869"/>
            </w:tblGrid>
            <w:tr w14:paraId="3A449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927" w:type="dxa"/>
                  <w:gridSpan w:val="2"/>
                  <w:tcBorders>
                    <w:tl2br w:val="nil"/>
                    <w:tr2bl w:val="nil"/>
                  </w:tcBorders>
                  <w:vAlign w:val="center"/>
                </w:tcPr>
                <w:p w14:paraId="77BD6FF6">
                  <w:pPr>
                    <w:pStyle w:val="51"/>
                    <w:tabs>
                      <w:tab w:val="left" w:pos="1535"/>
                      <w:tab w:val="left" w:pos="3105"/>
                      <w:tab w:val="left" w:pos="4676"/>
                      <w:tab w:val="left" w:pos="6247"/>
                      <w:tab w:val="left" w:pos="7740"/>
                      <w:tab w:val="left" w:pos="9288"/>
                    </w:tabs>
                    <w:bidi w:val="0"/>
                    <w:rPr>
                      <w:color w:val="auto"/>
                    </w:rPr>
                  </w:pPr>
                  <w:r>
                    <w:rPr>
                      <w:color w:val="auto"/>
                    </w:rPr>
                    <w:t>类别</w:t>
                  </w:r>
                </w:p>
              </w:tc>
              <w:tc>
                <w:tcPr>
                  <w:tcW w:w="2509" w:type="dxa"/>
                  <w:tcBorders>
                    <w:tl2br w:val="nil"/>
                    <w:tr2bl w:val="nil"/>
                  </w:tcBorders>
                  <w:vAlign w:val="center"/>
                </w:tcPr>
                <w:p w14:paraId="181B88D0">
                  <w:pPr>
                    <w:pStyle w:val="51"/>
                    <w:tabs>
                      <w:tab w:val="left" w:pos="1535"/>
                      <w:tab w:val="left" w:pos="3105"/>
                      <w:tab w:val="left" w:pos="4676"/>
                      <w:tab w:val="left" w:pos="6247"/>
                      <w:tab w:val="left" w:pos="7740"/>
                      <w:tab w:val="left" w:pos="9288"/>
                    </w:tabs>
                    <w:bidi w:val="0"/>
                    <w:rPr>
                      <w:color w:val="auto"/>
                    </w:rPr>
                  </w:pPr>
                  <w:r>
                    <w:rPr>
                      <w:color w:val="auto"/>
                    </w:rPr>
                    <w:t>环保措施</w:t>
                  </w:r>
                </w:p>
              </w:tc>
              <w:tc>
                <w:tcPr>
                  <w:tcW w:w="1632" w:type="dxa"/>
                  <w:tcBorders>
                    <w:tl2br w:val="nil"/>
                    <w:tr2bl w:val="nil"/>
                  </w:tcBorders>
                  <w:vAlign w:val="center"/>
                </w:tcPr>
                <w:p w14:paraId="3C85567E">
                  <w:pPr>
                    <w:pStyle w:val="51"/>
                    <w:tabs>
                      <w:tab w:val="left" w:pos="1535"/>
                      <w:tab w:val="left" w:pos="3105"/>
                      <w:tab w:val="left" w:pos="4676"/>
                      <w:tab w:val="left" w:pos="6247"/>
                      <w:tab w:val="left" w:pos="7740"/>
                      <w:tab w:val="left" w:pos="9288"/>
                    </w:tabs>
                    <w:bidi w:val="0"/>
                    <w:rPr>
                      <w:color w:val="auto"/>
                    </w:rPr>
                  </w:pPr>
                  <w:r>
                    <w:rPr>
                      <w:color w:val="auto"/>
                    </w:rPr>
                    <w:t>污染因子</w:t>
                  </w:r>
                </w:p>
              </w:tc>
              <w:tc>
                <w:tcPr>
                  <w:tcW w:w="1869" w:type="dxa"/>
                  <w:tcBorders>
                    <w:tl2br w:val="nil"/>
                    <w:tr2bl w:val="nil"/>
                  </w:tcBorders>
                  <w:vAlign w:val="center"/>
                </w:tcPr>
                <w:p w14:paraId="335E9BA4">
                  <w:pPr>
                    <w:pStyle w:val="51"/>
                    <w:tabs>
                      <w:tab w:val="left" w:pos="1535"/>
                      <w:tab w:val="left" w:pos="3105"/>
                      <w:tab w:val="left" w:pos="4676"/>
                      <w:tab w:val="left" w:pos="6247"/>
                      <w:tab w:val="left" w:pos="7740"/>
                      <w:tab w:val="left" w:pos="9288"/>
                    </w:tabs>
                    <w:bidi w:val="0"/>
                    <w:rPr>
                      <w:color w:val="auto"/>
                    </w:rPr>
                  </w:pPr>
                  <w:r>
                    <w:rPr>
                      <w:color w:val="auto"/>
                    </w:rPr>
                    <w:t>排放标准</w:t>
                  </w:r>
                </w:p>
              </w:tc>
            </w:tr>
            <w:tr w14:paraId="3F20C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 w:hRule="atLeast"/>
                <w:jc w:val="center"/>
              </w:trPr>
              <w:tc>
                <w:tcPr>
                  <w:tcW w:w="465" w:type="dxa"/>
                  <w:vMerge w:val="restart"/>
                  <w:tcBorders>
                    <w:tl2br w:val="nil"/>
                    <w:tr2bl w:val="nil"/>
                  </w:tcBorders>
                  <w:vAlign w:val="center"/>
                </w:tcPr>
                <w:p w14:paraId="00358ECB">
                  <w:pPr>
                    <w:pStyle w:val="51"/>
                    <w:tabs>
                      <w:tab w:val="left" w:pos="1535"/>
                      <w:tab w:val="left" w:pos="3105"/>
                      <w:tab w:val="left" w:pos="4676"/>
                      <w:tab w:val="left" w:pos="6247"/>
                      <w:tab w:val="left" w:pos="7740"/>
                      <w:tab w:val="left" w:pos="9288"/>
                    </w:tabs>
                    <w:bidi w:val="0"/>
                    <w:rPr>
                      <w:color w:val="auto"/>
                    </w:rPr>
                  </w:pPr>
                  <w:r>
                    <w:rPr>
                      <w:color w:val="auto"/>
                    </w:rPr>
                    <w:t>废气</w:t>
                  </w:r>
                </w:p>
              </w:tc>
              <w:tc>
                <w:tcPr>
                  <w:tcW w:w="1462" w:type="dxa"/>
                  <w:tcBorders>
                    <w:tl2br w:val="nil"/>
                    <w:tr2bl w:val="nil"/>
                  </w:tcBorders>
                  <w:vAlign w:val="center"/>
                </w:tcPr>
                <w:p w14:paraId="18F2B6DA">
                  <w:pPr>
                    <w:pStyle w:val="51"/>
                    <w:tabs>
                      <w:tab w:val="left" w:pos="1535"/>
                      <w:tab w:val="left" w:pos="3105"/>
                      <w:tab w:val="left" w:pos="4676"/>
                      <w:tab w:val="left" w:pos="6247"/>
                      <w:tab w:val="left" w:pos="7740"/>
                      <w:tab w:val="left" w:pos="9288"/>
                    </w:tabs>
                    <w:bidi w:val="0"/>
                    <w:rPr>
                      <w:rFonts w:hint="default" w:eastAsia="宋体"/>
                      <w:color w:val="auto"/>
                      <w:lang w:val="en-US" w:eastAsia="zh-CN"/>
                    </w:rPr>
                  </w:pPr>
                  <w:r>
                    <w:rPr>
                      <w:rFonts w:hint="eastAsia"/>
                      <w:color w:val="auto"/>
                      <w:lang w:val="en-US" w:eastAsia="zh-CN"/>
                    </w:rPr>
                    <w:t>DA001</w:t>
                  </w:r>
                </w:p>
              </w:tc>
              <w:tc>
                <w:tcPr>
                  <w:tcW w:w="2509" w:type="dxa"/>
                  <w:tcBorders>
                    <w:tl2br w:val="nil"/>
                    <w:tr2bl w:val="nil"/>
                  </w:tcBorders>
                  <w:vAlign w:val="center"/>
                </w:tcPr>
                <w:p w14:paraId="2881F355">
                  <w:pPr>
                    <w:pStyle w:val="51"/>
                    <w:bidi w:val="0"/>
                    <w:ind w:firstLine="0" w:firstLineChars="0"/>
                    <w:jc w:val="center"/>
                    <w:rPr>
                      <w:rFonts w:hint="default"/>
                      <w:color w:val="auto"/>
                      <w:lang w:val="en-US"/>
                    </w:rPr>
                  </w:pPr>
                  <w:r>
                    <w:rPr>
                      <w:rFonts w:hint="eastAsia"/>
                      <w:color w:val="auto"/>
                      <w:lang w:val="en-US" w:eastAsia="zh-CN"/>
                    </w:rPr>
                    <w:t>布袋除尘+15m排气筒</w:t>
                  </w:r>
                </w:p>
              </w:tc>
              <w:tc>
                <w:tcPr>
                  <w:tcW w:w="1632" w:type="dxa"/>
                  <w:tcBorders>
                    <w:tl2br w:val="nil"/>
                    <w:tr2bl w:val="nil"/>
                  </w:tcBorders>
                  <w:vAlign w:val="center"/>
                </w:tcPr>
                <w:p w14:paraId="66719C56">
                  <w:pPr>
                    <w:pStyle w:val="51"/>
                    <w:bidi w:val="0"/>
                    <w:ind w:firstLine="0" w:firstLineChars="0"/>
                    <w:jc w:val="center"/>
                    <w:rPr>
                      <w:color w:val="auto"/>
                    </w:rPr>
                  </w:pPr>
                  <w:r>
                    <w:rPr>
                      <w:color w:val="auto"/>
                    </w:rPr>
                    <w:t>颗粒物</w:t>
                  </w:r>
                </w:p>
              </w:tc>
              <w:tc>
                <w:tcPr>
                  <w:tcW w:w="1869" w:type="dxa"/>
                  <w:tcBorders>
                    <w:tl2br w:val="nil"/>
                    <w:tr2bl w:val="nil"/>
                  </w:tcBorders>
                  <w:vAlign w:val="center"/>
                </w:tcPr>
                <w:p w14:paraId="3E17710F">
                  <w:pPr>
                    <w:pStyle w:val="51"/>
                    <w:bidi w:val="0"/>
                    <w:ind w:firstLine="0" w:firstLineChars="0"/>
                    <w:jc w:val="center"/>
                    <w:rPr>
                      <w:color w:val="auto"/>
                    </w:rPr>
                  </w:pPr>
                  <w:r>
                    <w:t>GB16297-1996</w:t>
                  </w:r>
                  <w:r>
                    <w:rPr>
                      <w:rFonts w:hint="eastAsia"/>
                      <w:color w:val="auto"/>
                      <w:lang w:val="en-US" w:eastAsia="zh-CN"/>
                    </w:rPr>
                    <w:t>表2</w:t>
                  </w:r>
                </w:p>
              </w:tc>
            </w:tr>
            <w:tr w14:paraId="1A09B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jc w:val="center"/>
              </w:trPr>
              <w:tc>
                <w:tcPr>
                  <w:tcW w:w="465" w:type="dxa"/>
                  <w:vMerge w:val="continue"/>
                  <w:tcBorders>
                    <w:tl2br w:val="nil"/>
                    <w:tr2bl w:val="nil"/>
                  </w:tcBorders>
                  <w:textDirection w:val="tbRlV"/>
                  <w:vAlign w:val="center"/>
                </w:tcPr>
                <w:p w14:paraId="7B5B0A1B">
                  <w:pPr>
                    <w:pStyle w:val="51"/>
                    <w:tabs>
                      <w:tab w:val="left" w:pos="1535"/>
                      <w:tab w:val="left" w:pos="3105"/>
                      <w:tab w:val="left" w:pos="4676"/>
                      <w:tab w:val="left" w:pos="6247"/>
                      <w:tab w:val="left" w:pos="7740"/>
                      <w:tab w:val="left" w:pos="9288"/>
                    </w:tabs>
                    <w:bidi w:val="0"/>
                    <w:rPr>
                      <w:color w:val="auto"/>
                    </w:rPr>
                  </w:pPr>
                </w:p>
              </w:tc>
              <w:tc>
                <w:tcPr>
                  <w:tcW w:w="1462" w:type="dxa"/>
                  <w:tcBorders>
                    <w:tl2br w:val="nil"/>
                    <w:tr2bl w:val="nil"/>
                  </w:tcBorders>
                  <w:vAlign w:val="center"/>
                </w:tcPr>
                <w:p w14:paraId="2DF72069">
                  <w:pPr>
                    <w:pStyle w:val="51"/>
                    <w:tabs>
                      <w:tab w:val="left" w:pos="1535"/>
                      <w:tab w:val="left" w:pos="3105"/>
                      <w:tab w:val="left" w:pos="4676"/>
                      <w:tab w:val="left" w:pos="6247"/>
                      <w:tab w:val="left" w:pos="7740"/>
                      <w:tab w:val="left" w:pos="9288"/>
                    </w:tabs>
                    <w:bidi w:val="0"/>
                    <w:rPr>
                      <w:rFonts w:hint="default"/>
                      <w:color w:val="auto"/>
                      <w:lang w:val="en-US" w:eastAsia="zh-CN"/>
                    </w:rPr>
                  </w:pPr>
                  <w:r>
                    <w:rPr>
                      <w:rFonts w:hint="eastAsia"/>
                      <w:color w:val="auto"/>
                      <w:lang w:val="en-US" w:eastAsia="zh-CN"/>
                    </w:rPr>
                    <w:t>厂界</w:t>
                  </w:r>
                </w:p>
              </w:tc>
              <w:tc>
                <w:tcPr>
                  <w:tcW w:w="2509" w:type="dxa"/>
                  <w:tcBorders>
                    <w:tl2br w:val="nil"/>
                    <w:tr2bl w:val="nil"/>
                  </w:tcBorders>
                  <w:vAlign w:val="center"/>
                </w:tcPr>
                <w:p w14:paraId="6BD48F68">
                  <w:pPr>
                    <w:pStyle w:val="51"/>
                    <w:tabs>
                      <w:tab w:val="left" w:pos="1535"/>
                      <w:tab w:val="left" w:pos="3105"/>
                      <w:tab w:val="left" w:pos="4676"/>
                      <w:tab w:val="left" w:pos="6247"/>
                      <w:tab w:val="left" w:pos="7740"/>
                      <w:tab w:val="left" w:pos="9288"/>
                    </w:tabs>
                    <w:bidi w:val="0"/>
                    <w:rPr>
                      <w:rFonts w:hint="default"/>
                      <w:color w:val="auto"/>
                      <w:lang w:val="en-US" w:eastAsia="zh-CN"/>
                    </w:rPr>
                  </w:pPr>
                  <w:r>
                    <w:rPr>
                      <w:rFonts w:hint="eastAsia"/>
                      <w:color w:val="auto"/>
                      <w:lang w:val="en-US" w:eastAsia="zh-CN"/>
                    </w:rPr>
                    <w:t>料仓全封闭</w:t>
                  </w:r>
                </w:p>
              </w:tc>
              <w:tc>
                <w:tcPr>
                  <w:tcW w:w="1632" w:type="dxa"/>
                  <w:tcBorders>
                    <w:tl2br w:val="nil"/>
                    <w:tr2bl w:val="nil"/>
                  </w:tcBorders>
                  <w:vAlign w:val="center"/>
                </w:tcPr>
                <w:p w14:paraId="4C3E4E8C">
                  <w:pPr>
                    <w:pStyle w:val="51"/>
                    <w:tabs>
                      <w:tab w:val="left" w:pos="1535"/>
                      <w:tab w:val="left" w:pos="3105"/>
                      <w:tab w:val="left" w:pos="4676"/>
                      <w:tab w:val="left" w:pos="6247"/>
                      <w:tab w:val="left" w:pos="7740"/>
                      <w:tab w:val="left" w:pos="9288"/>
                    </w:tabs>
                    <w:bidi w:val="0"/>
                    <w:rPr>
                      <w:rFonts w:hint="default"/>
                      <w:color w:val="auto"/>
                      <w:lang w:val="en-US" w:eastAsia="zh-CN"/>
                    </w:rPr>
                  </w:pPr>
                  <w:r>
                    <w:rPr>
                      <w:color w:val="auto"/>
                    </w:rPr>
                    <w:t>颗粒物</w:t>
                  </w:r>
                </w:p>
              </w:tc>
              <w:tc>
                <w:tcPr>
                  <w:tcW w:w="1869" w:type="dxa"/>
                  <w:tcBorders>
                    <w:tl2br w:val="nil"/>
                    <w:tr2bl w:val="nil"/>
                  </w:tcBorders>
                  <w:vAlign w:val="center"/>
                </w:tcPr>
                <w:p w14:paraId="0E0D54DE">
                  <w:pPr>
                    <w:pStyle w:val="51"/>
                    <w:tabs>
                      <w:tab w:val="left" w:pos="1535"/>
                      <w:tab w:val="left" w:pos="3105"/>
                      <w:tab w:val="left" w:pos="4676"/>
                      <w:tab w:val="left" w:pos="6247"/>
                      <w:tab w:val="left" w:pos="7740"/>
                      <w:tab w:val="left" w:pos="9288"/>
                    </w:tabs>
                    <w:bidi w:val="0"/>
                    <w:rPr>
                      <w:rFonts w:hint="default" w:eastAsia="宋体"/>
                      <w:color w:val="auto"/>
                      <w:lang w:val="en-US" w:eastAsia="zh-CN"/>
                    </w:rPr>
                  </w:pPr>
                  <w:r>
                    <w:t>GB16297-1996</w:t>
                  </w:r>
                  <w:r>
                    <w:rPr>
                      <w:rFonts w:hint="eastAsia"/>
                      <w:color w:val="auto"/>
                      <w:lang w:val="en-US" w:eastAsia="zh-CN"/>
                    </w:rPr>
                    <w:t>表2</w:t>
                  </w:r>
                </w:p>
              </w:tc>
            </w:tr>
            <w:tr w14:paraId="7FF2A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465" w:type="dxa"/>
                  <w:tcBorders>
                    <w:tl2br w:val="nil"/>
                    <w:tr2bl w:val="nil"/>
                  </w:tcBorders>
                  <w:vAlign w:val="center"/>
                </w:tcPr>
                <w:p w14:paraId="2DB92970">
                  <w:pPr>
                    <w:pStyle w:val="51"/>
                    <w:tabs>
                      <w:tab w:val="left" w:pos="1535"/>
                      <w:tab w:val="left" w:pos="3105"/>
                      <w:tab w:val="left" w:pos="4676"/>
                      <w:tab w:val="left" w:pos="6247"/>
                      <w:tab w:val="left" w:pos="7740"/>
                      <w:tab w:val="left" w:pos="9288"/>
                    </w:tabs>
                    <w:bidi w:val="0"/>
                    <w:rPr>
                      <w:color w:val="auto"/>
                    </w:rPr>
                  </w:pPr>
                  <w:r>
                    <w:rPr>
                      <w:color w:val="auto"/>
                    </w:rPr>
                    <w:t>废水</w:t>
                  </w:r>
                </w:p>
              </w:tc>
              <w:tc>
                <w:tcPr>
                  <w:tcW w:w="1462" w:type="dxa"/>
                  <w:tcBorders>
                    <w:tl2br w:val="nil"/>
                    <w:tr2bl w:val="nil"/>
                  </w:tcBorders>
                  <w:vAlign w:val="center"/>
                </w:tcPr>
                <w:p w14:paraId="65B2A238">
                  <w:pPr>
                    <w:pStyle w:val="51"/>
                    <w:tabs>
                      <w:tab w:val="left" w:pos="1535"/>
                      <w:tab w:val="left" w:pos="3105"/>
                      <w:tab w:val="left" w:pos="4676"/>
                      <w:tab w:val="left" w:pos="6247"/>
                      <w:tab w:val="left" w:pos="7740"/>
                      <w:tab w:val="left" w:pos="9288"/>
                    </w:tabs>
                    <w:bidi w:val="0"/>
                    <w:rPr>
                      <w:rFonts w:hint="default" w:eastAsia="宋体"/>
                      <w:color w:val="auto"/>
                      <w:lang w:val="en-US" w:eastAsia="zh-CN"/>
                    </w:rPr>
                  </w:pPr>
                  <w:r>
                    <w:rPr>
                      <w:rFonts w:hint="eastAsia"/>
                      <w:color w:val="auto"/>
                      <w:lang w:val="en-US" w:eastAsia="zh-CN"/>
                    </w:rPr>
                    <w:t>生活污水</w:t>
                  </w:r>
                </w:p>
              </w:tc>
              <w:tc>
                <w:tcPr>
                  <w:tcW w:w="2509" w:type="dxa"/>
                  <w:tcBorders>
                    <w:tl2br w:val="nil"/>
                    <w:tr2bl w:val="nil"/>
                  </w:tcBorders>
                  <w:vAlign w:val="center"/>
                </w:tcPr>
                <w:p w14:paraId="001F44E8">
                  <w:pPr>
                    <w:pStyle w:val="51"/>
                    <w:tabs>
                      <w:tab w:val="left" w:pos="1535"/>
                      <w:tab w:val="left" w:pos="3105"/>
                      <w:tab w:val="left" w:pos="4676"/>
                      <w:tab w:val="left" w:pos="6247"/>
                      <w:tab w:val="left" w:pos="7740"/>
                      <w:tab w:val="left" w:pos="9288"/>
                    </w:tabs>
                    <w:bidi w:val="0"/>
                    <w:rPr>
                      <w:rFonts w:hint="default" w:eastAsia="宋体"/>
                      <w:color w:val="auto"/>
                      <w:lang w:val="en-US" w:eastAsia="zh-CN"/>
                    </w:rPr>
                  </w:pPr>
                  <w:r>
                    <w:rPr>
                      <w:rFonts w:hint="eastAsia"/>
                      <w:color w:val="auto"/>
                      <w:lang w:val="en-US" w:eastAsia="zh-CN"/>
                    </w:rPr>
                    <w:t>项目无生产废水，生活污水排入鄯善县污水处理厂。</w:t>
                  </w:r>
                </w:p>
              </w:tc>
              <w:tc>
                <w:tcPr>
                  <w:tcW w:w="1632" w:type="dxa"/>
                  <w:tcBorders>
                    <w:tl2br w:val="nil"/>
                    <w:tr2bl w:val="nil"/>
                  </w:tcBorders>
                  <w:vAlign w:val="center"/>
                </w:tcPr>
                <w:p w14:paraId="1B7CB368">
                  <w:pPr>
                    <w:pStyle w:val="51"/>
                    <w:tabs>
                      <w:tab w:val="left" w:pos="1535"/>
                      <w:tab w:val="left" w:pos="3105"/>
                      <w:tab w:val="left" w:pos="4676"/>
                      <w:tab w:val="left" w:pos="6247"/>
                      <w:tab w:val="left" w:pos="7740"/>
                      <w:tab w:val="left" w:pos="9288"/>
                    </w:tabs>
                    <w:bidi w:val="0"/>
                    <w:rPr>
                      <w:color w:val="auto"/>
                    </w:rPr>
                  </w:pPr>
                  <w:r>
                    <w:rPr>
                      <w:rFonts w:hint="eastAsia"/>
                      <w:color w:val="auto"/>
                    </w:rPr>
                    <w:t>pH、COD、BOD</w:t>
                  </w:r>
                  <w:r>
                    <w:rPr>
                      <w:rFonts w:hint="eastAsia"/>
                      <w:color w:val="auto"/>
                      <w:vertAlign w:val="subscript"/>
                    </w:rPr>
                    <w:t>5</w:t>
                  </w:r>
                  <w:r>
                    <w:rPr>
                      <w:rFonts w:hint="eastAsia"/>
                      <w:color w:val="auto"/>
                    </w:rPr>
                    <w:t>、氨氮、SS</w:t>
                  </w:r>
                </w:p>
              </w:tc>
              <w:tc>
                <w:tcPr>
                  <w:tcW w:w="1869" w:type="dxa"/>
                  <w:tcBorders>
                    <w:tl2br w:val="nil"/>
                    <w:tr2bl w:val="nil"/>
                  </w:tcBorders>
                  <w:vAlign w:val="center"/>
                </w:tcPr>
                <w:p w14:paraId="5595FD6A">
                  <w:pPr>
                    <w:pStyle w:val="51"/>
                    <w:tabs>
                      <w:tab w:val="left" w:pos="1535"/>
                      <w:tab w:val="left" w:pos="3105"/>
                      <w:tab w:val="left" w:pos="4676"/>
                      <w:tab w:val="left" w:pos="6247"/>
                      <w:tab w:val="left" w:pos="7740"/>
                      <w:tab w:val="left" w:pos="9288"/>
                    </w:tabs>
                    <w:bidi w:val="0"/>
                    <w:rPr>
                      <w:rFonts w:hint="default" w:eastAsia="宋体"/>
                      <w:color w:val="auto"/>
                      <w:lang w:val="en-US" w:eastAsia="zh-CN"/>
                    </w:rPr>
                  </w:pPr>
                  <w:r>
                    <w:rPr>
                      <w:rFonts w:hint="eastAsia"/>
                      <w:color w:val="auto"/>
                    </w:rPr>
                    <w:t>GB8978-1996</w:t>
                  </w:r>
                  <w:r>
                    <w:rPr>
                      <w:rFonts w:hint="eastAsia"/>
                      <w:color w:val="auto"/>
                      <w:lang w:val="en-US" w:eastAsia="zh-CN"/>
                    </w:rPr>
                    <w:t>中三级标准</w:t>
                  </w:r>
                </w:p>
              </w:tc>
            </w:tr>
            <w:tr w14:paraId="0D61A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465" w:type="dxa"/>
                  <w:tcBorders>
                    <w:tl2br w:val="nil"/>
                    <w:tr2bl w:val="nil"/>
                  </w:tcBorders>
                  <w:vAlign w:val="center"/>
                </w:tcPr>
                <w:p w14:paraId="36EC8A23">
                  <w:pPr>
                    <w:pStyle w:val="51"/>
                    <w:tabs>
                      <w:tab w:val="left" w:pos="1535"/>
                      <w:tab w:val="left" w:pos="3105"/>
                      <w:tab w:val="left" w:pos="4676"/>
                      <w:tab w:val="left" w:pos="6247"/>
                      <w:tab w:val="left" w:pos="7740"/>
                      <w:tab w:val="left" w:pos="9288"/>
                    </w:tabs>
                    <w:bidi w:val="0"/>
                    <w:rPr>
                      <w:color w:val="auto"/>
                    </w:rPr>
                  </w:pPr>
                  <w:r>
                    <w:rPr>
                      <w:color w:val="auto"/>
                    </w:rPr>
                    <w:t>噪声</w:t>
                  </w:r>
                </w:p>
              </w:tc>
              <w:tc>
                <w:tcPr>
                  <w:tcW w:w="1462" w:type="dxa"/>
                  <w:tcBorders>
                    <w:tl2br w:val="nil"/>
                    <w:tr2bl w:val="nil"/>
                  </w:tcBorders>
                  <w:vAlign w:val="center"/>
                </w:tcPr>
                <w:p w14:paraId="5D9A1C45">
                  <w:pPr>
                    <w:pStyle w:val="51"/>
                    <w:tabs>
                      <w:tab w:val="left" w:pos="1535"/>
                      <w:tab w:val="left" w:pos="3105"/>
                      <w:tab w:val="left" w:pos="4676"/>
                      <w:tab w:val="left" w:pos="6247"/>
                      <w:tab w:val="left" w:pos="7740"/>
                      <w:tab w:val="left" w:pos="9288"/>
                    </w:tabs>
                    <w:bidi w:val="0"/>
                    <w:rPr>
                      <w:rFonts w:hint="default" w:eastAsia="宋体"/>
                      <w:color w:val="auto"/>
                      <w:lang w:val="en-US" w:eastAsia="zh-CN"/>
                    </w:rPr>
                  </w:pPr>
                  <w:r>
                    <w:rPr>
                      <w:rFonts w:hint="eastAsia"/>
                      <w:color w:val="auto"/>
                      <w:lang w:val="en-US" w:eastAsia="zh-CN"/>
                    </w:rPr>
                    <w:t>机械噪声</w:t>
                  </w:r>
                </w:p>
              </w:tc>
              <w:tc>
                <w:tcPr>
                  <w:tcW w:w="2509" w:type="dxa"/>
                  <w:tcBorders>
                    <w:tl2br w:val="nil"/>
                    <w:tr2bl w:val="nil"/>
                  </w:tcBorders>
                  <w:vAlign w:val="center"/>
                </w:tcPr>
                <w:p w14:paraId="76D7BB68">
                  <w:pPr>
                    <w:pStyle w:val="51"/>
                    <w:tabs>
                      <w:tab w:val="left" w:pos="1535"/>
                      <w:tab w:val="left" w:pos="3105"/>
                      <w:tab w:val="left" w:pos="4676"/>
                      <w:tab w:val="left" w:pos="6247"/>
                      <w:tab w:val="left" w:pos="7740"/>
                      <w:tab w:val="left" w:pos="9288"/>
                    </w:tabs>
                    <w:bidi w:val="0"/>
                    <w:rPr>
                      <w:color w:val="auto"/>
                    </w:rPr>
                  </w:pPr>
                  <w:r>
                    <w:rPr>
                      <w:rFonts w:hint="eastAsia"/>
                      <w:color w:val="auto"/>
                    </w:rPr>
                    <w:t>选用低噪声设备、加装减震垫、设置隔声消声、定期进行设备检查维修、生产时关 闭厂房门窗</w:t>
                  </w:r>
                </w:p>
              </w:tc>
              <w:tc>
                <w:tcPr>
                  <w:tcW w:w="1632" w:type="dxa"/>
                  <w:tcBorders>
                    <w:tl2br w:val="nil"/>
                    <w:tr2bl w:val="nil"/>
                  </w:tcBorders>
                  <w:vAlign w:val="center"/>
                </w:tcPr>
                <w:p w14:paraId="190A493B">
                  <w:pPr>
                    <w:pStyle w:val="51"/>
                    <w:tabs>
                      <w:tab w:val="left" w:pos="1535"/>
                      <w:tab w:val="left" w:pos="3105"/>
                      <w:tab w:val="left" w:pos="4676"/>
                      <w:tab w:val="left" w:pos="6247"/>
                      <w:tab w:val="left" w:pos="7740"/>
                      <w:tab w:val="left" w:pos="9288"/>
                    </w:tabs>
                    <w:bidi w:val="0"/>
                    <w:rPr>
                      <w:rFonts w:hint="eastAsia" w:eastAsia="宋体"/>
                      <w:color w:val="auto"/>
                      <w:lang w:val="en-US" w:eastAsia="zh-CN"/>
                    </w:rPr>
                  </w:pPr>
                  <w:r>
                    <w:rPr>
                      <w:rFonts w:hint="eastAsia"/>
                      <w:color w:val="auto"/>
                      <w:lang w:val="en-US" w:eastAsia="zh-CN"/>
                    </w:rPr>
                    <w:t>噪声</w:t>
                  </w:r>
                </w:p>
              </w:tc>
              <w:tc>
                <w:tcPr>
                  <w:tcW w:w="1869" w:type="dxa"/>
                  <w:tcBorders>
                    <w:tl2br w:val="nil"/>
                    <w:tr2bl w:val="nil"/>
                  </w:tcBorders>
                  <w:vAlign w:val="center"/>
                </w:tcPr>
                <w:p w14:paraId="030A8DB2">
                  <w:pPr>
                    <w:pStyle w:val="51"/>
                    <w:tabs>
                      <w:tab w:val="left" w:pos="1535"/>
                      <w:tab w:val="left" w:pos="3105"/>
                      <w:tab w:val="left" w:pos="4676"/>
                      <w:tab w:val="left" w:pos="6247"/>
                      <w:tab w:val="left" w:pos="7740"/>
                      <w:tab w:val="left" w:pos="9288"/>
                    </w:tabs>
                    <w:bidi w:val="0"/>
                    <w:rPr>
                      <w:color w:val="auto"/>
                    </w:rPr>
                  </w:pPr>
                  <w:r>
                    <w:rPr>
                      <w:rFonts w:hint="eastAsia"/>
                      <w:color w:val="auto"/>
                    </w:rPr>
                    <w:t>（GB12348-2008）3 类标准</w:t>
                  </w:r>
                </w:p>
              </w:tc>
            </w:tr>
            <w:tr w14:paraId="5B339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jc w:val="center"/>
              </w:trPr>
              <w:tc>
                <w:tcPr>
                  <w:tcW w:w="465" w:type="dxa"/>
                  <w:vMerge w:val="restart"/>
                  <w:tcBorders>
                    <w:tl2br w:val="nil"/>
                    <w:tr2bl w:val="nil"/>
                  </w:tcBorders>
                  <w:vAlign w:val="center"/>
                </w:tcPr>
                <w:p w14:paraId="542D87F3">
                  <w:pPr>
                    <w:pStyle w:val="51"/>
                    <w:tabs>
                      <w:tab w:val="left" w:pos="1535"/>
                      <w:tab w:val="left" w:pos="3105"/>
                      <w:tab w:val="left" w:pos="4676"/>
                      <w:tab w:val="left" w:pos="6247"/>
                      <w:tab w:val="left" w:pos="7740"/>
                      <w:tab w:val="left" w:pos="9288"/>
                    </w:tabs>
                    <w:bidi w:val="0"/>
                    <w:rPr>
                      <w:color w:val="auto"/>
                    </w:rPr>
                  </w:pPr>
                  <w:r>
                    <w:rPr>
                      <w:color w:val="auto"/>
                    </w:rPr>
                    <w:t>固体废物治理</w:t>
                  </w:r>
                </w:p>
              </w:tc>
              <w:tc>
                <w:tcPr>
                  <w:tcW w:w="1462" w:type="dxa"/>
                  <w:tcBorders>
                    <w:tl2br w:val="nil"/>
                    <w:tr2bl w:val="nil"/>
                  </w:tcBorders>
                  <w:vAlign w:val="center"/>
                </w:tcPr>
                <w:p w14:paraId="4F916C29">
                  <w:pPr>
                    <w:pStyle w:val="51"/>
                    <w:bidi w:val="0"/>
                    <w:ind w:firstLine="0" w:firstLineChars="0"/>
                    <w:jc w:val="center"/>
                    <w:rPr>
                      <w:rFonts w:hint="default" w:eastAsia="宋体"/>
                      <w:color w:val="auto"/>
                      <w:lang w:val="en-US" w:eastAsia="zh-CN"/>
                    </w:rPr>
                  </w:pPr>
                  <w:r>
                    <w:rPr>
                      <w:color w:val="auto"/>
                    </w:rPr>
                    <w:t>废机油</w:t>
                  </w:r>
                  <w:r>
                    <w:rPr>
                      <w:rFonts w:hint="eastAsia"/>
                      <w:color w:val="auto"/>
                      <w:lang w:eastAsia="zh-CN"/>
                    </w:rPr>
                    <w:t>、</w:t>
                  </w:r>
                  <w:r>
                    <w:rPr>
                      <w:rFonts w:hint="eastAsia"/>
                      <w:color w:val="auto"/>
                      <w:lang w:val="en-US" w:eastAsia="zh-CN"/>
                    </w:rPr>
                    <w:t>浮油</w:t>
                  </w:r>
                </w:p>
              </w:tc>
              <w:tc>
                <w:tcPr>
                  <w:tcW w:w="2509" w:type="dxa"/>
                  <w:tcBorders>
                    <w:tl2br w:val="nil"/>
                    <w:tr2bl w:val="nil"/>
                  </w:tcBorders>
                  <w:vAlign w:val="center"/>
                </w:tcPr>
                <w:p w14:paraId="0577EFE7">
                  <w:pPr>
                    <w:pStyle w:val="51"/>
                    <w:bidi w:val="0"/>
                    <w:ind w:firstLine="0" w:firstLineChars="0"/>
                    <w:jc w:val="center"/>
                    <w:rPr>
                      <w:rFonts w:hint="eastAsia" w:eastAsia="宋体"/>
                      <w:color w:val="auto"/>
                      <w:lang w:val="en-US" w:eastAsia="zh-CN"/>
                    </w:rPr>
                  </w:pPr>
                  <w:r>
                    <w:rPr>
                      <w:color w:val="auto"/>
                    </w:rPr>
                    <w:t>收集后交有危废资质单位处理</w:t>
                  </w:r>
                </w:p>
              </w:tc>
              <w:tc>
                <w:tcPr>
                  <w:tcW w:w="1632" w:type="dxa"/>
                  <w:tcBorders>
                    <w:tl2br w:val="nil"/>
                    <w:tr2bl w:val="nil"/>
                  </w:tcBorders>
                  <w:vAlign w:val="center"/>
                </w:tcPr>
                <w:p w14:paraId="096637AA">
                  <w:pPr>
                    <w:pStyle w:val="51"/>
                    <w:bidi w:val="0"/>
                    <w:ind w:firstLine="0" w:firstLineChars="0"/>
                    <w:jc w:val="center"/>
                    <w:rPr>
                      <w:rFonts w:hint="eastAsia" w:eastAsia="宋体"/>
                      <w:color w:val="auto"/>
                      <w:lang w:val="en-US" w:eastAsia="zh-CN"/>
                    </w:rPr>
                  </w:pPr>
                  <w:r>
                    <w:rPr>
                      <w:color w:val="auto"/>
                    </w:rPr>
                    <w:t>危险废物</w:t>
                  </w:r>
                </w:p>
              </w:tc>
              <w:tc>
                <w:tcPr>
                  <w:tcW w:w="1869" w:type="dxa"/>
                  <w:tcBorders>
                    <w:tl2br w:val="nil"/>
                    <w:tr2bl w:val="nil"/>
                  </w:tcBorders>
                  <w:vAlign w:val="center"/>
                </w:tcPr>
                <w:p w14:paraId="048E7B9A">
                  <w:pPr>
                    <w:pStyle w:val="51"/>
                    <w:tabs>
                      <w:tab w:val="left" w:pos="1535"/>
                      <w:tab w:val="left" w:pos="3105"/>
                      <w:tab w:val="left" w:pos="4676"/>
                      <w:tab w:val="left" w:pos="6247"/>
                      <w:tab w:val="left" w:pos="7740"/>
                      <w:tab w:val="left" w:pos="9288"/>
                    </w:tabs>
                    <w:bidi w:val="0"/>
                    <w:rPr>
                      <w:rFonts w:hint="eastAsia" w:eastAsia="宋体"/>
                      <w:color w:val="auto"/>
                      <w:lang w:val="en-US" w:eastAsia="zh-CN"/>
                    </w:rPr>
                  </w:pPr>
                  <w:r>
                    <w:rPr>
                      <w:rFonts w:hint="eastAsia"/>
                      <w:color w:val="auto"/>
                      <w:lang w:val="en-US" w:eastAsia="zh-CN"/>
                    </w:rPr>
                    <w:t>/</w:t>
                  </w:r>
                </w:p>
              </w:tc>
            </w:tr>
            <w:tr w14:paraId="5D487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jc w:val="center"/>
              </w:trPr>
              <w:tc>
                <w:tcPr>
                  <w:tcW w:w="465" w:type="dxa"/>
                  <w:vMerge w:val="continue"/>
                  <w:tcBorders>
                    <w:tl2br w:val="nil"/>
                    <w:tr2bl w:val="nil"/>
                  </w:tcBorders>
                  <w:vAlign w:val="center"/>
                </w:tcPr>
                <w:p w14:paraId="423CB911">
                  <w:pPr>
                    <w:pStyle w:val="51"/>
                    <w:tabs>
                      <w:tab w:val="left" w:pos="1535"/>
                      <w:tab w:val="left" w:pos="3105"/>
                      <w:tab w:val="left" w:pos="4676"/>
                      <w:tab w:val="left" w:pos="6247"/>
                      <w:tab w:val="left" w:pos="7740"/>
                      <w:tab w:val="left" w:pos="9288"/>
                    </w:tabs>
                    <w:bidi w:val="0"/>
                  </w:pPr>
                </w:p>
              </w:tc>
              <w:tc>
                <w:tcPr>
                  <w:tcW w:w="1462" w:type="dxa"/>
                  <w:tcBorders>
                    <w:tl2br w:val="nil"/>
                    <w:tr2bl w:val="nil"/>
                  </w:tcBorders>
                  <w:vAlign w:val="center"/>
                </w:tcPr>
                <w:p w14:paraId="27D20FD5">
                  <w:pPr>
                    <w:pStyle w:val="51"/>
                    <w:tabs>
                      <w:tab w:val="left" w:pos="1535"/>
                      <w:tab w:val="left" w:pos="3105"/>
                      <w:tab w:val="left" w:pos="4676"/>
                      <w:tab w:val="left" w:pos="6247"/>
                      <w:tab w:val="left" w:pos="7740"/>
                      <w:tab w:val="left" w:pos="9288"/>
                    </w:tabs>
                    <w:bidi w:val="0"/>
                    <w:rPr>
                      <w:rFonts w:hint="eastAsia" w:eastAsia="宋体"/>
                      <w:color w:val="auto"/>
                      <w:lang w:val="en-US" w:eastAsia="zh-CN"/>
                    </w:rPr>
                  </w:pPr>
                  <w:r>
                    <w:rPr>
                      <w:rFonts w:hint="eastAsia"/>
                      <w:color w:val="auto"/>
                      <w:lang w:val="en-US" w:eastAsia="zh-CN"/>
                    </w:rPr>
                    <w:t>污泥</w:t>
                  </w:r>
                </w:p>
              </w:tc>
              <w:tc>
                <w:tcPr>
                  <w:tcW w:w="2509" w:type="dxa"/>
                  <w:tcBorders>
                    <w:tl2br w:val="nil"/>
                    <w:tr2bl w:val="nil"/>
                  </w:tcBorders>
                  <w:vAlign w:val="center"/>
                </w:tcPr>
                <w:p w14:paraId="5940BC19">
                  <w:pPr>
                    <w:pStyle w:val="51"/>
                    <w:tabs>
                      <w:tab w:val="left" w:pos="1535"/>
                      <w:tab w:val="left" w:pos="3105"/>
                      <w:tab w:val="left" w:pos="4676"/>
                      <w:tab w:val="left" w:pos="6247"/>
                      <w:tab w:val="left" w:pos="7740"/>
                      <w:tab w:val="left" w:pos="9288"/>
                    </w:tabs>
                    <w:bidi w:val="0"/>
                    <w:rPr>
                      <w:rFonts w:hint="default" w:eastAsia="宋体"/>
                      <w:color w:val="auto"/>
                      <w:lang w:val="en-US" w:eastAsia="zh-CN"/>
                    </w:rPr>
                  </w:pPr>
                  <w:r>
                    <w:rPr>
                      <w:rFonts w:hint="eastAsia"/>
                      <w:color w:val="auto"/>
                      <w:lang w:val="en-US" w:eastAsia="zh-CN"/>
                    </w:rPr>
                    <w:t>一般固废填埋场</w:t>
                  </w:r>
                </w:p>
              </w:tc>
              <w:tc>
                <w:tcPr>
                  <w:tcW w:w="1632" w:type="dxa"/>
                  <w:tcBorders>
                    <w:tl2br w:val="nil"/>
                    <w:tr2bl w:val="nil"/>
                  </w:tcBorders>
                  <w:vAlign w:val="center"/>
                </w:tcPr>
                <w:p w14:paraId="5E9F8D69">
                  <w:pPr>
                    <w:pStyle w:val="51"/>
                    <w:tabs>
                      <w:tab w:val="left" w:pos="1535"/>
                      <w:tab w:val="left" w:pos="3105"/>
                      <w:tab w:val="left" w:pos="4676"/>
                      <w:tab w:val="left" w:pos="6247"/>
                      <w:tab w:val="left" w:pos="7740"/>
                      <w:tab w:val="left" w:pos="9288"/>
                    </w:tabs>
                    <w:bidi w:val="0"/>
                    <w:rPr>
                      <w:rFonts w:hint="eastAsia" w:eastAsia="宋体"/>
                      <w:color w:val="auto"/>
                      <w:lang w:val="en-US" w:eastAsia="zh-CN"/>
                    </w:rPr>
                  </w:pPr>
                  <w:r>
                    <w:rPr>
                      <w:rFonts w:hint="eastAsia"/>
                      <w:color w:val="auto"/>
                      <w:lang w:val="en-US" w:eastAsia="zh-CN"/>
                    </w:rPr>
                    <w:t>/</w:t>
                  </w:r>
                </w:p>
              </w:tc>
              <w:tc>
                <w:tcPr>
                  <w:tcW w:w="1869" w:type="dxa"/>
                  <w:tcBorders>
                    <w:tl2br w:val="nil"/>
                    <w:tr2bl w:val="nil"/>
                  </w:tcBorders>
                  <w:vAlign w:val="center"/>
                </w:tcPr>
                <w:p w14:paraId="6ED2F00B">
                  <w:pPr>
                    <w:pStyle w:val="51"/>
                    <w:tabs>
                      <w:tab w:val="left" w:pos="1535"/>
                      <w:tab w:val="left" w:pos="3105"/>
                      <w:tab w:val="left" w:pos="4676"/>
                      <w:tab w:val="left" w:pos="6247"/>
                      <w:tab w:val="left" w:pos="7740"/>
                      <w:tab w:val="left" w:pos="9288"/>
                    </w:tabs>
                    <w:bidi w:val="0"/>
                    <w:rPr>
                      <w:rFonts w:hint="eastAsia" w:eastAsia="宋体"/>
                      <w:color w:val="auto"/>
                      <w:lang w:val="en-US" w:eastAsia="zh-CN"/>
                    </w:rPr>
                  </w:pPr>
                  <w:r>
                    <w:rPr>
                      <w:rFonts w:hint="eastAsia"/>
                      <w:color w:val="auto"/>
                      <w:lang w:val="en-US" w:eastAsia="zh-CN"/>
                    </w:rPr>
                    <w:t>/</w:t>
                  </w:r>
                </w:p>
              </w:tc>
            </w:tr>
            <w:tr w14:paraId="16646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jc w:val="center"/>
              </w:trPr>
              <w:tc>
                <w:tcPr>
                  <w:tcW w:w="465" w:type="dxa"/>
                  <w:vMerge w:val="continue"/>
                  <w:tcBorders>
                    <w:tl2br w:val="nil"/>
                    <w:tr2bl w:val="nil"/>
                  </w:tcBorders>
                  <w:vAlign w:val="center"/>
                </w:tcPr>
                <w:p w14:paraId="2DF0FE05">
                  <w:pPr>
                    <w:pStyle w:val="51"/>
                    <w:tabs>
                      <w:tab w:val="left" w:pos="1535"/>
                      <w:tab w:val="left" w:pos="3105"/>
                      <w:tab w:val="left" w:pos="4676"/>
                      <w:tab w:val="left" w:pos="6247"/>
                      <w:tab w:val="left" w:pos="7740"/>
                      <w:tab w:val="left" w:pos="9288"/>
                    </w:tabs>
                    <w:bidi w:val="0"/>
                    <w:rPr>
                      <w:color w:val="auto"/>
                    </w:rPr>
                  </w:pPr>
                </w:p>
              </w:tc>
              <w:tc>
                <w:tcPr>
                  <w:tcW w:w="1462" w:type="dxa"/>
                  <w:tcBorders>
                    <w:tl2br w:val="nil"/>
                    <w:tr2bl w:val="nil"/>
                  </w:tcBorders>
                  <w:vAlign w:val="center"/>
                </w:tcPr>
                <w:p w14:paraId="6B71269E">
                  <w:pPr>
                    <w:pStyle w:val="51"/>
                    <w:tabs>
                      <w:tab w:val="left" w:pos="1535"/>
                      <w:tab w:val="left" w:pos="3105"/>
                      <w:tab w:val="left" w:pos="4676"/>
                      <w:tab w:val="left" w:pos="6247"/>
                      <w:tab w:val="left" w:pos="7740"/>
                      <w:tab w:val="left" w:pos="9288"/>
                    </w:tabs>
                    <w:bidi w:val="0"/>
                    <w:rPr>
                      <w:rFonts w:hint="default" w:eastAsia="宋体"/>
                      <w:color w:val="auto"/>
                      <w:lang w:val="en-US" w:eastAsia="zh-CN"/>
                    </w:rPr>
                  </w:pPr>
                  <w:r>
                    <w:rPr>
                      <w:rFonts w:hint="eastAsia"/>
                      <w:color w:val="auto"/>
                      <w:lang w:val="en-US" w:eastAsia="zh-CN"/>
                    </w:rPr>
                    <w:t>废除尘袋</w:t>
                  </w:r>
                </w:p>
              </w:tc>
              <w:tc>
                <w:tcPr>
                  <w:tcW w:w="2509" w:type="dxa"/>
                  <w:tcBorders>
                    <w:tl2br w:val="nil"/>
                    <w:tr2bl w:val="nil"/>
                  </w:tcBorders>
                  <w:vAlign w:val="center"/>
                </w:tcPr>
                <w:p w14:paraId="73BC6960">
                  <w:pPr>
                    <w:pStyle w:val="51"/>
                    <w:tabs>
                      <w:tab w:val="left" w:pos="1535"/>
                      <w:tab w:val="left" w:pos="3105"/>
                      <w:tab w:val="left" w:pos="4676"/>
                      <w:tab w:val="left" w:pos="6247"/>
                      <w:tab w:val="left" w:pos="7740"/>
                      <w:tab w:val="left" w:pos="9288"/>
                    </w:tabs>
                    <w:bidi w:val="0"/>
                    <w:rPr>
                      <w:rFonts w:hint="eastAsia" w:eastAsia="宋体"/>
                      <w:color w:val="auto"/>
                      <w:lang w:val="en-US" w:eastAsia="zh-CN"/>
                    </w:rPr>
                  </w:pPr>
                  <w:r>
                    <w:rPr>
                      <w:rFonts w:hint="eastAsia"/>
                      <w:color w:val="auto"/>
                      <w:lang w:val="en-US" w:eastAsia="zh-CN"/>
                    </w:rPr>
                    <w:t>外售</w:t>
                  </w:r>
                </w:p>
              </w:tc>
              <w:tc>
                <w:tcPr>
                  <w:tcW w:w="1632" w:type="dxa"/>
                  <w:tcBorders>
                    <w:tl2br w:val="nil"/>
                    <w:tr2bl w:val="nil"/>
                  </w:tcBorders>
                  <w:vAlign w:val="center"/>
                </w:tcPr>
                <w:p w14:paraId="0F75FA54">
                  <w:pPr>
                    <w:pStyle w:val="51"/>
                    <w:tabs>
                      <w:tab w:val="left" w:pos="1535"/>
                      <w:tab w:val="left" w:pos="3105"/>
                      <w:tab w:val="left" w:pos="4676"/>
                      <w:tab w:val="left" w:pos="6247"/>
                      <w:tab w:val="left" w:pos="7740"/>
                      <w:tab w:val="left" w:pos="9288"/>
                    </w:tabs>
                    <w:bidi w:val="0"/>
                    <w:rPr>
                      <w:rFonts w:hint="default" w:eastAsia="宋体"/>
                      <w:color w:val="auto"/>
                      <w:lang w:val="en-US" w:eastAsia="zh-CN"/>
                    </w:rPr>
                  </w:pPr>
                  <w:r>
                    <w:rPr>
                      <w:rFonts w:hint="eastAsia"/>
                      <w:color w:val="auto"/>
                      <w:lang w:val="en-US" w:eastAsia="zh-CN"/>
                    </w:rPr>
                    <w:t>一般固废</w:t>
                  </w:r>
                </w:p>
              </w:tc>
              <w:tc>
                <w:tcPr>
                  <w:tcW w:w="1869" w:type="dxa"/>
                  <w:tcBorders>
                    <w:tl2br w:val="nil"/>
                    <w:tr2bl w:val="nil"/>
                  </w:tcBorders>
                  <w:vAlign w:val="center"/>
                </w:tcPr>
                <w:p w14:paraId="51EE1627">
                  <w:pPr>
                    <w:pStyle w:val="51"/>
                    <w:tabs>
                      <w:tab w:val="left" w:pos="1535"/>
                      <w:tab w:val="left" w:pos="3105"/>
                      <w:tab w:val="left" w:pos="4676"/>
                      <w:tab w:val="left" w:pos="6247"/>
                      <w:tab w:val="left" w:pos="7740"/>
                      <w:tab w:val="left" w:pos="9288"/>
                    </w:tabs>
                    <w:bidi w:val="0"/>
                    <w:rPr>
                      <w:color w:val="auto"/>
                    </w:rPr>
                  </w:pPr>
                </w:p>
              </w:tc>
            </w:tr>
            <w:tr w14:paraId="772B3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465" w:type="dxa"/>
                  <w:vMerge w:val="continue"/>
                  <w:tcBorders>
                    <w:tl2br w:val="nil"/>
                    <w:tr2bl w:val="nil"/>
                  </w:tcBorders>
                  <w:vAlign w:val="center"/>
                </w:tcPr>
                <w:p w14:paraId="63704776">
                  <w:pPr>
                    <w:pStyle w:val="51"/>
                    <w:tabs>
                      <w:tab w:val="left" w:pos="1535"/>
                      <w:tab w:val="left" w:pos="3105"/>
                      <w:tab w:val="left" w:pos="4676"/>
                      <w:tab w:val="left" w:pos="6247"/>
                      <w:tab w:val="left" w:pos="7740"/>
                      <w:tab w:val="left" w:pos="9288"/>
                    </w:tabs>
                    <w:bidi w:val="0"/>
                    <w:rPr>
                      <w:color w:val="auto"/>
                    </w:rPr>
                  </w:pPr>
                </w:p>
              </w:tc>
              <w:tc>
                <w:tcPr>
                  <w:tcW w:w="1462" w:type="dxa"/>
                  <w:tcBorders>
                    <w:tl2br w:val="nil"/>
                    <w:tr2bl w:val="nil"/>
                  </w:tcBorders>
                  <w:vAlign w:val="center"/>
                </w:tcPr>
                <w:p w14:paraId="184A3F48">
                  <w:pPr>
                    <w:pStyle w:val="51"/>
                    <w:bidi w:val="0"/>
                    <w:ind w:firstLine="0" w:firstLineChars="0"/>
                    <w:jc w:val="center"/>
                    <w:rPr>
                      <w:rFonts w:hint="eastAsia"/>
                      <w:color w:val="auto"/>
                      <w:lang w:val="en-US" w:eastAsia="zh-CN"/>
                    </w:rPr>
                  </w:pPr>
                  <w:r>
                    <w:rPr>
                      <w:color w:val="auto"/>
                    </w:rPr>
                    <w:t>布袋除尘器收尘</w:t>
                  </w:r>
                </w:p>
              </w:tc>
              <w:tc>
                <w:tcPr>
                  <w:tcW w:w="2509" w:type="dxa"/>
                  <w:tcBorders>
                    <w:tl2br w:val="nil"/>
                    <w:tr2bl w:val="nil"/>
                  </w:tcBorders>
                  <w:vAlign w:val="center"/>
                </w:tcPr>
                <w:p w14:paraId="5D6F788B">
                  <w:pPr>
                    <w:pStyle w:val="51"/>
                    <w:bidi w:val="0"/>
                    <w:ind w:firstLine="0" w:firstLineChars="0"/>
                    <w:jc w:val="center"/>
                    <w:rPr>
                      <w:rFonts w:hint="eastAsia"/>
                      <w:color w:val="auto"/>
                      <w:lang w:val="en-US" w:eastAsia="zh-CN"/>
                    </w:rPr>
                  </w:pPr>
                  <w:r>
                    <w:rPr>
                      <w:color w:val="auto"/>
                    </w:rPr>
                    <w:t>回用于生产</w:t>
                  </w:r>
                </w:p>
              </w:tc>
              <w:tc>
                <w:tcPr>
                  <w:tcW w:w="1632" w:type="dxa"/>
                  <w:tcBorders>
                    <w:tl2br w:val="nil"/>
                    <w:tr2bl w:val="nil"/>
                  </w:tcBorders>
                  <w:vAlign w:val="center"/>
                </w:tcPr>
                <w:p w14:paraId="4C40ACDA">
                  <w:pPr>
                    <w:pStyle w:val="51"/>
                    <w:bidi w:val="0"/>
                    <w:ind w:firstLine="0" w:firstLineChars="0"/>
                    <w:jc w:val="center"/>
                    <w:rPr>
                      <w:rFonts w:hint="default"/>
                      <w:color w:val="auto"/>
                      <w:lang w:val="en-US" w:eastAsia="zh-CN"/>
                    </w:rPr>
                  </w:pPr>
                  <w:r>
                    <w:rPr>
                      <w:color w:val="auto"/>
                    </w:rPr>
                    <w:t>一般固体</w:t>
                  </w:r>
                </w:p>
              </w:tc>
              <w:tc>
                <w:tcPr>
                  <w:tcW w:w="1869" w:type="dxa"/>
                  <w:tcBorders>
                    <w:tl2br w:val="nil"/>
                    <w:tr2bl w:val="nil"/>
                  </w:tcBorders>
                  <w:vAlign w:val="center"/>
                </w:tcPr>
                <w:p w14:paraId="3DA064D2">
                  <w:pPr>
                    <w:pStyle w:val="51"/>
                    <w:tabs>
                      <w:tab w:val="left" w:pos="1535"/>
                      <w:tab w:val="left" w:pos="3105"/>
                      <w:tab w:val="left" w:pos="4676"/>
                      <w:tab w:val="left" w:pos="6247"/>
                      <w:tab w:val="left" w:pos="7740"/>
                      <w:tab w:val="left" w:pos="9288"/>
                    </w:tabs>
                    <w:bidi w:val="0"/>
                    <w:rPr>
                      <w:rFonts w:hint="default"/>
                      <w:color w:val="auto"/>
                      <w:lang w:val="en-US" w:eastAsia="zh-CN"/>
                    </w:rPr>
                  </w:pPr>
                  <w:r>
                    <w:rPr>
                      <w:rFonts w:hint="eastAsia"/>
                      <w:color w:val="auto"/>
                      <w:lang w:val="en-US" w:eastAsia="zh-CN"/>
                    </w:rPr>
                    <w:t>/</w:t>
                  </w:r>
                </w:p>
              </w:tc>
            </w:tr>
            <w:tr w14:paraId="07A78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 w:hRule="atLeast"/>
                <w:jc w:val="center"/>
              </w:trPr>
              <w:tc>
                <w:tcPr>
                  <w:tcW w:w="465" w:type="dxa"/>
                  <w:vMerge w:val="continue"/>
                  <w:tcBorders>
                    <w:tl2br w:val="nil"/>
                    <w:tr2bl w:val="nil"/>
                  </w:tcBorders>
                  <w:vAlign w:val="center"/>
                </w:tcPr>
                <w:p w14:paraId="6F91B060">
                  <w:pPr>
                    <w:pStyle w:val="51"/>
                    <w:tabs>
                      <w:tab w:val="left" w:pos="1535"/>
                      <w:tab w:val="left" w:pos="3105"/>
                      <w:tab w:val="left" w:pos="4676"/>
                      <w:tab w:val="left" w:pos="6247"/>
                      <w:tab w:val="left" w:pos="7740"/>
                      <w:tab w:val="left" w:pos="9288"/>
                    </w:tabs>
                    <w:bidi w:val="0"/>
                    <w:rPr>
                      <w:color w:val="auto"/>
                    </w:rPr>
                  </w:pPr>
                </w:p>
              </w:tc>
              <w:tc>
                <w:tcPr>
                  <w:tcW w:w="1462" w:type="dxa"/>
                  <w:tcBorders>
                    <w:tl2br w:val="nil"/>
                    <w:tr2bl w:val="nil"/>
                  </w:tcBorders>
                  <w:vAlign w:val="center"/>
                </w:tcPr>
                <w:p w14:paraId="6275DAB6">
                  <w:pPr>
                    <w:pStyle w:val="51"/>
                    <w:bidi w:val="0"/>
                    <w:ind w:firstLine="0" w:firstLineChars="0"/>
                    <w:jc w:val="center"/>
                    <w:rPr>
                      <w:rFonts w:hint="default" w:eastAsia="宋体"/>
                      <w:color w:val="auto"/>
                      <w:lang w:val="en-US" w:eastAsia="zh-CN"/>
                    </w:rPr>
                  </w:pPr>
                  <w:r>
                    <w:rPr>
                      <w:rFonts w:hint="eastAsia"/>
                      <w:color w:val="auto"/>
                      <w:lang w:val="en-US" w:eastAsia="zh-CN"/>
                    </w:rPr>
                    <w:t>废包装</w:t>
                  </w:r>
                </w:p>
              </w:tc>
              <w:tc>
                <w:tcPr>
                  <w:tcW w:w="2509" w:type="dxa"/>
                  <w:tcBorders>
                    <w:tl2br w:val="nil"/>
                    <w:tr2bl w:val="nil"/>
                  </w:tcBorders>
                  <w:vAlign w:val="center"/>
                </w:tcPr>
                <w:p w14:paraId="3A4D7A44">
                  <w:pPr>
                    <w:pStyle w:val="51"/>
                    <w:bidi w:val="0"/>
                    <w:ind w:firstLine="0" w:firstLineChars="0"/>
                    <w:jc w:val="center"/>
                    <w:rPr>
                      <w:rFonts w:hint="default" w:eastAsia="宋体"/>
                      <w:color w:val="auto"/>
                      <w:lang w:val="en-US" w:eastAsia="zh-CN"/>
                    </w:rPr>
                  </w:pPr>
                  <w:r>
                    <w:rPr>
                      <w:rFonts w:hint="eastAsia"/>
                      <w:color w:val="auto"/>
                      <w:lang w:val="en-US" w:eastAsia="zh-CN"/>
                    </w:rPr>
                    <w:t>外售</w:t>
                  </w:r>
                </w:p>
              </w:tc>
              <w:tc>
                <w:tcPr>
                  <w:tcW w:w="1632" w:type="dxa"/>
                  <w:tcBorders>
                    <w:tl2br w:val="nil"/>
                    <w:tr2bl w:val="nil"/>
                  </w:tcBorders>
                  <w:vAlign w:val="center"/>
                </w:tcPr>
                <w:p w14:paraId="6DD5C867">
                  <w:pPr>
                    <w:pStyle w:val="51"/>
                    <w:bidi w:val="0"/>
                    <w:ind w:firstLine="0" w:firstLineChars="0"/>
                    <w:jc w:val="center"/>
                    <w:rPr>
                      <w:rFonts w:hint="eastAsia" w:eastAsia="宋体"/>
                      <w:color w:val="auto"/>
                      <w:lang w:val="en-US" w:eastAsia="zh-CN"/>
                    </w:rPr>
                  </w:pPr>
                  <w:r>
                    <w:rPr>
                      <w:color w:val="auto"/>
                    </w:rPr>
                    <w:t>一般固体</w:t>
                  </w:r>
                </w:p>
              </w:tc>
              <w:tc>
                <w:tcPr>
                  <w:tcW w:w="1869" w:type="dxa"/>
                  <w:tcBorders>
                    <w:tl2br w:val="nil"/>
                    <w:tr2bl w:val="nil"/>
                  </w:tcBorders>
                  <w:vAlign w:val="center"/>
                </w:tcPr>
                <w:p w14:paraId="59896A67">
                  <w:pPr>
                    <w:pStyle w:val="51"/>
                    <w:tabs>
                      <w:tab w:val="left" w:pos="1535"/>
                      <w:tab w:val="left" w:pos="3105"/>
                      <w:tab w:val="left" w:pos="4676"/>
                      <w:tab w:val="left" w:pos="6247"/>
                      <w:tab w:val="left" w:pos="7740"/>
                      <w:tab w:val="left" w:pos="9288"/>
                    </w:tabs>
                    <w:bidi w:val="0"/>
                    <w:rPr>
                      <w:rFonts w:hint="eastAsia" w:eastAsia="宋体"/>
                      <w:color w:val="auto"/>
                      <w:lang w:val="en-US" w:eastAsia="zh-CN"/>
                    </w:rPr>
                  </w:pPr>
                  <w:r>
                    <w:rPr>
                      <w:rFonts w:hint="eastAsia"/>
                      <w:color w:val="auto"/>
                      <w:lang w:val="en-US" w:eastAsia="zh-CN"/>
                    </w:rPr>
                    <w:t>/</w:t>
                  </w:r>
                </w:p>
              </w:tc>
            </w:tr>
            <w:tr w14:paraId="6316A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 w:hRule="atLeast"/>
                <w:jc w:val="center"/>
              </w:trPr>
              <w:tc>
                <w:tcPr>
                  <w:tcW w:w="465" w:type="dxa"/>
                  <w:vMerge w:val="continue"/>
                  <w:tcBorders>
                    <w:tl2br w:val="nil"/>
                    <w:tr2bl w:val="nil"/>
                  </w:tcBorders>
                  <w:vAlign w:val="center"/>
                </w:tcPr>
                <w:p w14:paraId="01FDD221">
                  <w:pPr>
                    <w:pStyle w:val="51"/>
                    <w:tabs>
                      <w:tab w:val="left" w:pos="1535"/>
                      <w:tab w:val="left" w:pos="3105"/>
                      <w:tab w:val="left" w:pos="4676"/>
                      <w:tab w:val="left" w:pos="6247"/>
                      <w:tab w:val="left" w:pos="7740"/>
                      <w:tab w:val="left" w:pos="9288"/>
                    </w:tabs>
                    <w:bidi w:val="0"/>
                  </w:pPr>
                </w:p>
              </w:tc>
              <w:tc>
                <w:tcPr>
                  <w:tcW w:w="1462" w:type="dxa"/>
                  <w:tcBorders>
                    <w:tl2br w:val="nil"/>
                    <w:tr2bl w:val="nil"/>
                  </w:tcBorders>
                  <w:vAlign w:val="center"/>
                </w:tcPr>
                <w:p w14:paraId="7E4147BF">
                  <w:pPr>
                    <w:pStyle w:val="51"/>
                    <w:tabs>
                      <w:tab w:val="left" w:pos="1535"/>
                      <w:tab w:val="left" w:pos="3105"/>
                      <w:tab w:val="left" w:pos="4676"/>
                      <w:tab w:val="left" w:pos="6247"/>
                      <w:tab w:val="left" w:pos="7740"/>
                      <w:tab w:val="left" w:pos="9288"/>
                    </w:tabs>
                    <w:bidi w:val="0"/>
                    <w:rPr>
                      <w:rFonts w:hint="default"/>
                      <w:color w:val="auto"/>
                      <w:lang w:val="en-US" w:eastAsia="zh-CN"/>
                    </w:rPr>
                  </w:pPr>
                  <w:r>
                    <w:rPr>
                      <w:rFonts w:hint="eastAsia"/>
                      <w:color w:val="auto"/>
                      <w:lang w:val="en-US" w:eastAsia="zh-CN"/>
                    </w:rPr>
                    <w:t>生活垃圾</w:t>
                  </w:r>
                </w:p>
              </w:tc>
              <w:tc>
                <w:tcPr>
                  <w:tcW w:w="2509" w:type="dxa"/>
                  <w:tcBorders>
                    <w:tl2br w:val="nil"/>
                    <w:tr2bl w:val="nil"/>
                  </w:tcBorders>
                  <w:vAlign w:val="center"/>
                </w:tcPr>
                <w:p w14:paraId="56993CE3">
                  <w:pPr>
                    <w:pStyle w:val="51"/>
                    <w:tabs>
                      <w:tab w:val="left" w:pos="1535"/>
                      <w:tab w:val="left" w:pos="3105"/>
                      <w:tab w:val="left" w:pos="4676"/>
                      <w:tab w:val="left" w:pos="6247"/>
                      <w:tab w:val="left" w:pos="7740"/>
                      <w:tab w:val="left" w:pos="9288"/>
                    </w:tabs>
                    <w:bidi w:val="0"/>
                    <w:rPr>
                      <w:rFonts w:hint="default"/>
                      <w:color w:val="auto"/>
                      <w:lang w:val="en-US" w:eastAsia="zh-CN"/>
                    </w:rPr>
                  </w:pPr>
                  <w:r>
                    <w:rPr>
                      <w:rFonts w:hint="eastAsia"/>
                      <w:color w:val="auto"/>
                      <w:lang w:val="en-US" w:eastAsia="zh-CN"/>
                    </w:rPr>
                    <w:t>由环卫部门定期清运</w:t>
                  </w:r>
                </w:p>
              </w:tc>
              <w:tc>
                <w:tcPr>
                  <w:tcW w:w="1632" w:type="dxa"/>
                  <w:tcBorders>
                    <w:tl2br w:val="nil"/>
                    <w:tr2bl w:val="nil"/>
                  </w:tcBorders>
                  <w:vAlign w:val="center"/>
                </w:tcPr>
                <w:p w14:paraId="31299816">
                  <w:pPr>
                    <w:pStyle w:val="51"/>
                    <w:tabs>
                      <w:tab w:val="left" w:pos="1535"/>
                      <w:tab w:val="left" w:pos="3105"/>
                      <w:tab w:val="left" w:pos="4676"/>
                      <w:tab w:val="left" w:pos="6247"/>
                      <w:tab w:val="left" w:pos="7740"/>
                      <w:tab w:val="left" w:pos="9288"/>
                    </w:tabs>
                    <w:bidi w:val="0"/>
                    <w:rPr>
                      <w:rFonts w:hint="default"/>
                      <w:color w:val="auto"/>
                      <w:lang w:val="en-US" w:eastAsia="zh-CN"/>
                    </w:rPr>
                  </w:pPr>
                  <w:r>
                    <w:rPr>
                      <w:rFonts w:hint="eastAsia"/>
                      <w:color w:val="auto"/>
                      <w:lang w:val="en-US" w:eastAsia="zh-CN"/>
                    </w:rPr>
                    <w:t>/</w:t>
                  </w:r>
                </w:p>
              </w:tc>
              <w:tc>
                <w:tcPr>
                  <w:tcW w:w="1869" w:type="dxa"/>
                  <w:tcBorders>
                    <w:tl2br w:val="nil"/>
                    <w:tr2bl w:val="nil"/>
                  </w:tcBorders>
                  <w:vAlign w:val="center"/>
                </w:tcPr>
                <w:p w14:paraId="782BA779">
                  <w:pPr>
                    <w:pStyle w:val="51"/>
                    <w:tabs>
                      <w:tab w:val="left" w:pos="1535"/>
                      <w:tab w:val="left" w:pos="3105"/>
                      <w:tab w:val="left" w:pos="4676"/>
                      <w:tab w:val="left" w:pos="6247"/>
                      <w:tab w:val="left" w:pos="7740"/>
                      <w:tab w:val="left" w:pos="9288"/>
                    </w:tabs>
                    <w:bidi w:val="0"/>
                    <w:rPr>
                      <w:rFonts w:hint="default"/>
                      <w:color w:val="auto"/>
                      <w:lang w:val="en-US" w:eastAsia="zh-CN"/>
                    </w:rPr>
                  </w:pPr>
                  <w:r>
                    <w:rPr>
                      <w:rFonts w:hint="eastAsia"/>
                      <w:color w:val="auto"/>
                      <w:lang w:val="en-US" w:eastAsia="zh-CN"/>
                    </w:rPr>
                    <w:t>/</w:t>
                  </w:r>
                </w:p>
              </w:tc>
            </w:tr>
          </w:tbl>
          <w:p w14:paraId="23F30242">
            <w:pPr>
              <w:pStyle w:val="39"/>
              <w:bidi w:val="0"/>
              <w:ind w:left="0" w:leftChars="0" w:firstLine="0" w:firstLineChars="0"/>
              <w:rPr>
                <w:rFonts w:hint="eastAsia"/>
                <w:color w:val="auto"/>
              </w:rPr>
            </w:pPr>
          </w:p>
          <w:p w14:paraId="71189885">
            <w:pPr>
              <w:pStyle w:val="39"/>
              <w:bidi w:val="0"/>
              <w:ind w:left="0" w:leftChars="0" w:firstLine="0" w:firstLineChars="0"/>
              <w:rPr>
                <w:rFonts w:hint="eastAsia"/>
                <w:color w:val="auto"/>
              </w:rPr>
            </w:pPr>
          </w:p>
        </w:tc>
      </w:tr>
    </w:tbl>
    <w:p w14:paraId="2349392D">
      <w:pPr>
        <w:adjustRightInd w:val="0"/>
        <w:snapToGrid w:val="0"/>
        <w:spacing w:line="360" w:lineRule="auto"/>
        <w:rPr>
          <w:rFonts w:hint="eastAsia" w:ascii="宋体" w:cs="宋体"/>
          <w:b/>
          <w:color w:val="auto"/>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214A40BC">
      <w:pPr>
        <w:pStyle w:val="27"/>
        <w:jc w:val="center"/>
        <w:outlineLvl w:val="0"/>
        <w:rPr>
          <w:rFonts w:ascii="黑体" w:hAnsi="黑体" w:eastAsia="黑体"/>
          <w:snapToGrid w:val="0"/>
          <w:color w:val="auto"/>
          <w:sz w:val="30"/>
          <w:szCs w:val="30"/>
        </w:rPr>
      </w:pPr>
      <w:bookmarkStart w:id="46" w:name="_Toc16192"/>
      <w:bookmarkStart w:id="47" w:name="_Toc2774"/>
      <w:r>
        <w:rPr>
          <w:rFonts w:hint="eastAsia" w:ascii="黑体" w:hAnsi="黑体" w:eastAsia="黑体"/>
          <w:snapToGrid w:val="0"/>
          <w:color w:val="auto"/>
          <w:sz w:val="30"/>
          <w:szCs w:val="30"/>
        </w:rPr>
        <w:t>五、</w:t>
      </w:r>
      <w:bookmarkStart w:id="48" w:name="_Hlk54167917"/>
      <w:r>
        <w:rPr>
          <w:rFonts w:hint="eastAsia" w:ascii="黑体" w:hAnsi="黑体" w:eastAsia="黑体"/>
          <w:snapToGrid w:val="0"/>
          <w:color w:val="auto"/>
          <w:sz w:val="30"/>
          <w:szCs w:val="30"/>
        </w:rPr>
        <w:t>环境保护措施监督检查清单</w:t>
      </w:r>
      <w:bookmarkEnd w:id="46"/>
      <w:bookmarkEnd w:id="47"/>
      <w:bookmarkEnd w:id="48"/>
    </w:p>
    <w:tbl>
      <w:tblPr>
        <w:tblStyle w:val="31"/>
        <w:tblW w:w="87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1360"/>
        <w:gridCol w:w="1729"/>
        <w:gridCol w:w="1650"/>
        <w:gridCol w:w="2721"/>
      </w:tblGrid>
      <w:tr w14:paraId="3C9F3E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7" w:type="dxa"/>
            <w:tcBorders>
              <w:tl2br w:val="single" w:color="auto" w:sz="4" w:space="0"/>
            </w:tcBorders>
            <w:vAlign w:val="top"/>
          </w:tcPr>
          <w:p w14:paraId="3ACB4FB7">
            <w:pPr>
              <w:pStyle w:val="51"/>
              <w:bidi w:val="0"/>
              <w:rPr>
                <w:color w:val="auto"/>
              </w:rPr>
            </w:pPr>
            <w:r>
              <w:rPr>
                <w:color w:val="auto"/>
              </w:rPr>
              <w:t>内容</w:t>
            </w:r>
          </w:p>
          <w:p w14:paraId="32CABE9C">
            <w:pPr>
              <w:pStyle w:val="51"/>
              <w:bidi w:val="0"/>
              <w:rPr>
                <w:color w:val="auto"/>
              </w:rPr>
            </w:pPr>
            <w:r>
              <w:rPr>
                <w:color w:val="auto"/>
              </w:rPr>
              <w:t>要素</w:t>
            </w:r>
          </w:p>
        </w:tc>
        <w:tc>
          <w:tcPr>
            <w:tcW w:w="1360" w:type="dxa"/>
            <w:vAlign w:val="center"/>
          </w:tcPr>
          <w:p w14:paraId="7378DB3B">
            <w:pPr>
              <w:pStyle w:val="51"/>
              <w:bidi w:val="0"/>
              <w:rPr>
                <w:color w:val="auto"/>
              </w:rPr>
            </w:pPr>
            <w:r>
              <w:rPr>
                <w:color w:val="auto"/>
              </w:rPr>
              <w:t>排放口(编号、名称)/污染源</w:t>
            </w:r>
          </w:p>
        </w:tc>
        <w:tc>
          <w:tcPr>
            <w:tcW w:w="1729" w:type="dxa"/>
            <w:vAlign w:val="center"/>
          </w:tcPr>
          <w:p w14:paraId="6FEDD99D">
            <w:pPr>
              <w:pStyle w:val="51"/>
              <w:bidi w:val="0"/>
              <w:rPr>
                <w:color w:val="auto"/>
              </w:rPr>
            </w:pPr>
            <w:r>
              <w:rPr>
                <w:color w:val="auto"/>
              </w:rPr>
              <w:t>污染物项目</w:t>
            </w:r>
          </w:p>
        </w:tc>
        <w:tc>
          <w:tcPr>
            <w:tcW w:w="1650" w:type="dxa"/>
            <w:vAlign w:val="center"/>
          </w:tcPr>
          <w:p w14:paraId="7B7DB523">
            <w:pPr>
              <w:pStyle w:val="51"/>
              <w:bidi w:val="0"/>
              <w:rPr>
                <w:color w:val="auto"/>
              </w:rPr>
            </w:pPr>
            <w:r>
              <w:rPr>
                <w:color w:val="auto"/>
              </w:rPr>
              <w:t>环境保护措施</w:t>
            </w:r>
          </w:p>
        </w:tc>
        <w:tc>
          <w:tcPr>
            <w:tcW w:w="2721" w:type="dxa"/>
            <w:vAlign w:val="center"/>
          </w:tcPr>
          <w:p w14:paraId="7C02AC76">
            <w:pPr>
              <w:pStyle w:val="51"/>
              <w:bidi w:val="0"/>
              <w:rPr>
                <w:color w:val="auto"/>
              </w:rPr>
            </w:pPr>
            <w:r>
              <w:rPr>
                <w:color w:val="auto"/>
              </w:rPr>
              <w:t>执行标准</w:t>
            </w:r>
          </w:p>
        </w:tc>
      </w:tr>
      <w:tr w14:paraId="5C69EA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1327" w:type="dxa"/>
            <w:vMerge w:val="restart"/>
            <w:vAlign w:val="center"/>
          </w:tcPr>
          <w:p w14:paraId="07C18190">
            <w:pPr>
              <w:pStyle w:val="51"/>
              <w:bidi w:val="0"/>
              <w:rPr>
                <w:color w:val="auto"/>
              </w:rPr>
            </w:pPr>
            <w:r>
              <w:rPr>
                <w:color w:val="auto"/>
              </w:rPr>
              <w:t>大气环境</w:t>
            </w:r>
          </w:p>
        </w:tc>
        <w:tc>
          <w:tcPr>
            <w:tcW w:w="1360" w:type="dxa"/>
            <w:vAlign w:val="center"/>
          </w:tcPr>
          <w:p w14:paraId="39934862">
            <w:pPr>
              <w:pStyle w:val="51"/>
              <w:bidi w:val="0"/>
              <w:rPr>
                <w:rFonts w:hint="default"/>
                <w:color w:val="auto"/>
                <w:lang w:val="en-US" w:eastAsia="zh-CN"/>
              </w:rPr>
            </w:pPr>
            <w:r>
              <w:rPr>
                <w:rFonts w:hint="eastAsia"/>
                <w:color w:val="auto"/>
                <w:lang w:val="en-US" w:eastAsia="zh-CN"/>
              </w:rPr>
              <w:t>DA001</w:t>
            </w:r>
          </w:p>
        </w:tc>
        <w:tc>
          <w:tcPr>
            <w:tcW w:w="1729" w:type="dxa"/>
            <w:vAlign w:val="center"/>
          </w:tcPr>
          <w:p w14:paraId="36CEAB8B">
            <w:pPr>
              <w:pStyle w:val="51"/>
              <w:bidi w:val="0"/>
              <w:ind w:firstLine="0" w:firstLineChars="0"/>
              <w:jc w:val="center"/>
              <w:rPr>
                <w:rFonts w:hint="default"/>
                <w:color w:val="auto"/>
                <w:lang w:val="en-US" w:eastAsia="zh-CN"/>
              </w:rPr>
            </w:pPr>
            <w:r>
              <w:rPr>
                <w:color w:val="auto"/>
              </w:rPr>
              <w:t>颗粒物</w:t>
            </w:r>
          </w:p>
        </w:tc>
        <w:tc>
          <w:tcPr>
            <w:tcW w:w="1650" w:type="dxa"/>
            <w:vAlign w:val="center"/>
          </w:tcPr>
          <w:p w14:paraId="17561443">
            <w:pPr>
              <w:pStyle w:val="51"/>
              <w:bidi w:val="0"/>
              <w:ind w:firstLine="0" w:firstLineChars="0"/>
              <w:jc w:val="center"/>
              <w:rPr>
                <w:rFonts w:hint="default"/>
                <w:color w:val="auto"/>
                <w:lang w:val="en-US" w:eastAsia="zh-CN"/>
              </w:rPr>
            </w:pPr>
            <w:r>
              <w:rPr>
                <w:rFonts w:hint="eastAsia"/>
                <w:color w:val="auto"/>
                <w:lang w:val="en-US" w:eastAsia="zh-CN"/>
              </w:rPr>
              <w:t>布袋除尘+15m排气筒</w:t>
            </w:r>
          </w:p>
        </w:tc>
        <w:tc>
          <w:tcPr>
            <w:tcW w:w="2721" w:type="dxa"/>
            <w:vAlign w:val="center"/>
          </w:tcPr>
          <w:p w14:paraId="013798D3">
            <w:pPr>
              <w:pStyle w:val="51"/>
              <w:bidi w:val="0"/>
              <w:ind w:firstLine="0" w:firstLineChars="0"/>
              <w:jc w:val="center"/>
              <w:rPr>
                <w:rFonts w:hint="default"/>
                <w:color w:val="auto"/>
                <w:lang w:val="en-US" w:eastAsia="zh-CN"/>
              </w:rPr>
            </w:pPr>
            <w:r>
              <w:t>GB16297-1996</w:t>
            </w:r>
            <w:r>
              <w:rPr>
                <w:rFonts w:hint="eastAsia"/>
                <w:color w:val="auto"/>
                <w:lang w:val="en-US" w:eastAsia="zh-CN"/>
              </w:rPr>
              <w:t>表2</w:t>
            </w:r>
          </w:p>
        </w:tc>
      </w:tr>
      <w:tr w14:paraId="7AD81C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27" w:type="dxa"/>
            <w:vMerge w:val="continue"/>
            <w:vAlign w:val="center"/>
          </w:tcPr>
          <w:p w14:paraId="2ED3D5B0">
            <w:pPr>
              <w:pStyle w:val="51"/>
              <w:bidi w:val="0"/>
              <w:rPr>
                <w:color w:val="auto"/>
              </w:rPr>
            </w:pPr>
          </w:p>
        </w:tc>
        <w:tc>
          <w:tcPr>
            <w:tcW w:w="1360" w:type="dxa"/>
            <w:vAlign w:val="center"/>
          </w:tcPr>
          <w:p w14:paraId="535B344F">
            <w:pPr>
              <w:pStyle w:val="51"/>
              <w:bidi w:val="0"/>
              <w:rPr>
                <w:rFonts w:hint="default" w:ascii="Times New Roman" w:hAnsi="Times New Roman" w:eastAsia="宋体" w:cs="Times New Roman"/>
                <w:color w:val="auto"/>
                <w:lang w:val="en-US" w:eastAsia="zh-CN"/>
              </w:rPr>
            </w:pPr>
            <w:r>
              <w:rPr>
                <w:rFonts w:hint="eastAsia" w:cs="Times New Roman"/>
                <w:color w:val="auto"/>
                <w:lang w:val="en-US" w:eastAsia="zh-CN"/>
              </w:rPr>
              <w:t>厂界</w:t>
            </w:r>
          </w:p>
        </w:tc>
        <w:tc>
          <w:tcPr>
            <w:tcW w:w="1729" w:type="dxa"/>
            <w:vAlign w:val="center"/>
          </w:tcPr>
          <w:p w14:paraId="7CE0859D">
            <w:pPr>
              <w:pStyle w:val="51"/>
              <w:bidi w:val="0"/>
              <w:rPr>
                <w:rFonts w:hint="default" w:ascii="Times New Roman" w:hAnsi="Times New Roman" w:eastAsia="宋体" w:cs="Times New Roman"/>
                <w:color w:val="auto"/>
                <w:lang w:val="en-US" w:eastAsia="zh-CN"/>
              </w:rPr>
            </w:pPr>
            <w:r>
              <w:rPr>
                <w:color w:val="auto"/>
              </w:rPr>
              <w:t>颗粒物</w:t>
            </w:r>
          </w:p>
        </w:tc>
        <w:tc>
          <w:tcPr>
            <w:tcW w:w="1650" w:type="dxa"/>
            <w:vAlign w:val="center"/>
          </w:tcPr>
          <w:p w14:paraId="402C0148">
            <w:pPr>
              <w:pStyle w:val="51"/>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车间密闭</w:t>
            </w:r>
          </w:p>
        </w:tc>
        <w:tc>
          <w:tcPr>
            <w:tcW w:w="2721" w:type="dxa"/>
            <w:vAlign w:val="center"/>
          </w:tcPr>
          <w:p w14:paraId="35B40C9D">
            <w:pPr>
              <w:pStyle w:val="51"/>
              <w:bidi w:val="0"/>
              <w:rPr>
                <w:rFonts w:hint="default" w:ascii="Times New Roman" w:hAnsi="Times New Roman" w:eastAsia="宋体" w:cs="Times New Roman"/>
                <w:color w:val="auto"/>
                <w:lang w:val="en-US" w:eastAsia="zh-CN"/>
              </w:rPr>
            </w:pPr>
            <w:r>
              <w:t>GB16297-1996</w:t>
            </w:r>
            <w:r>
              <w:rPr>
                <w:rFonts w:hint="eastAsia"/>
                <w:color w:val="auto"/>
                <w:lang w:val="en-US" w:eastAsia="zh-CN"/>
              </w:rPr>
              <w:t>表2</w:t>
            </w:r>
          </w:p>
        </w:tc>
      </w:tr>
      <w:tr w14:paraId="64FA52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7" w:type="dxa"/>
            <w:vAlign w:val="center"/>
          </w:tcPr>
          <w:p w14:paraId="123ABE8F">
            <w:pPr>
              <w:pStyle w:val="51"/>
              <w:bidi w:val="0"/>
              <w:rPr>
                <w:color w:val="auto"/>
              </w:rPr>
            </w:pPr>
            <w:r>
              <w:rPr>
                <w:color w:val="auto"/>
              </w:rPr>
              <w:t>地表水环境</w:t>
            </w:r>
          </w:p>
        </w:tc>
        <w:tc>
          <w:tcPr>
            <w:tcW w:w="1360" w:type="dxa"/>
            <w:vAlign w:val="center"/>
          </w:tcPr>
          <w:p w14:paraId="1000C6A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lang w:val="en-US" w:eastAsia="zh-CN"/>
              </w:rPr>
            </w:pPr>
            <w:r>
              <w:rPr>
                <w:rFonts w:hint="eastAsia"/>
                <w:color w:val="auto"/>
                <w:lang w:val="en-US" w:eastAsia="zh-CN"/>
              </w:rPr>
              <w:t>/</w:t>
            </w:r>
          </w:p>
        </w:tc>
        <w:tc>
          <w:tcPr>
            <w:tcW w:w="1729" w:type="dxa"/>
            <w:vAlign w:val="center"/>
          </w:tcPr>
          <w:p w14:paraId="47DF4BE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lang w:val="en-US" w:eastAsia="zh-CN"/>
              </w:rPr>
            </w:pPr>
            <w:r>
              <w:rPr>
                <w:rFonts w:hint="eastAsia"/>
                <w:color w:val="auto"/>
                <w:lang w:val="en-US" w:eastAsia="zh-CN"/>
              </w:rPr>
              <w:t>/</w:t>
            </w:r>
          </w:p>
        </w:tc>
        <w:tc>
          <w:tcPr>
            <w:tcW w:w="1650" w:type="dxa"/>
            <w:vAlign w:val="center"/>
          </w:tcPr>
          <w:p w14:paraId="3982177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lang w:val="en-US" w:eastAsia="zh-CN"/>
              </w:rPr>
            </w:pPr>
            <w:r>
              <w:rPr>
                <w:rFonts w:hint="eastAsia"/>
                <w:color w:val="auto"/>
                <w:lang w:val="en-US" w:eastAsia="zh-CN"/>
              </w:rPr>
              <w:t>/</w:t>
            </w:r>
          </w:p>
        </w:tc>
        <w:tc>
          <w:tcPr>
            <w:tcW w:w="2721" w:type="dxa"/>
            <w:vAlign w:val="center"/>
          </w:tcPr>
          <w:p w14:paraId="00029F00">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eastAsia" w:eastAsia="宋体"/>
                <w:color w:val="auto"/>
                <w:lang w:val="en-US" w:eastAsia="zh-CN"/>
              </w:rPr>
            </w:pPr>
            <w:r>
              <w:rPr>
                <w:rFonts w:hint="eastAsia"/>
                <w:color w:val="auto"/>
                <w:lang w:val="en-US" w:eastAsia="zh-CN"/>
              </w:rPr>
              <w:t>/</w:t>
            </w:r>
          </w:p>
        </w:tc>
      </w:tr>
      <w:tr w14:paraId="74011D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7" w:type="dxa"/>
            <w:vAlign w:val="center"/>
          </w:tcPr>
          <w:p w14:paraId="787E842E">
            <w:pPr>
              <w:pStyle w:val="51"/>
              <w:bidi w:val="0"/>
              <w:rPr>
                <w:color w:val="auto"/>
              </w:rPr>
            </w:pPr>
            <w:r>
              <w:rPr>
                <w:color w:val="auto"/>
              </w:rPr>
              <w:t>声环境</w:t>
            </w:r>
          </w:p>
        </w:tc>
        <w:tc>
          <w:tcPr>
            <w:tcW w:w="1360" w:type="dxa"/>
            <w:vAlign w:val="center"/>
          </w:tcPr>
          <w:p w14:paraId="67DAB131">
            <w:pPr>
              <w:pStyle w:val="51"/>
              <w:bidi w:val="0"/>
              <w:rPr>
                <w:rFonts w:hint="eastAsia"/>
                <w:color w:val="auto"/>
              </w:rPr>
            </w:pPr>
            <w:r>
              <w:rPr>
                <w:rFonts w:hint="default"/>
                <w:color w:val="auto"/>
              </w:rPr>
              <w:t>设备噪声</w:t>
            </w:r>
          </w:p>
        </w:tc>
        <w:tc>
          <w:tcPr>
            <w:tcW w:w="1729" w:type="dxa"/>
            <w:vAlign w:val="center"/>
          </w:tcPr>
          <w:p w14:paraId="1F315B7E">
            <w:pPr>
              <w:pStyle w:val="51"/>
              <w:bidi w:val="0"/>
              <w:rPr>
                <w:rFonts w:hint="eastAsia"/>
                <w:color w:val="auto"/>
              </w:rPr>
            </w:pPr>
            <w:r>
              <w:rPr>
                <w:rFonts w:hint="default"/>
                <w:color w:val="auto"/>
              </w:rPr>
              <w:t>连续等效A声级</w:t>
            </w:r>
          </w:p>
        </w:tc>
        <w:tc>
          <w:tcPr>
            <w:tcW w:w="1650" w:type="dxa"/>
            <w:vAlign w:val="center"/>
          </w:tcPr>
          <w:p w14:paraId="2E00AA81">
            <w:pPr>
              <w:pStyle w:val="51"/>
              <w:bidi w:val="0"/>
              <w:rPr>
                <w:rFonts w:hint="default"/>
                <w:color w:val="auto"/>
                <w:lang w:val="en-US" w:eastAsia="zh-CN"/>
              </w:rPr>
            </w:pPr>
            <w:r>
              <w:rPr>
                <w:rFonts w:hint="default"/>
                <w:color w:val="auto"/>
              </w:rPr>
              <w:t>隔声、</w:t>
            </w:r>
            <w:r>
              <w:rPr>
                <w:rFonts w:hint="default"/>
                <w:color w:val="auto"/>
                <w:lang w:eastAsia="zh-CN"/>
              </w:rPr>
              <w:t>减震</w:t>
            </w:r>
          </w:p>
        </w:tc>
        <w:tc>
          <w:tcPr>
            <w:tcW w:w="2721" w:type="dxa"/>
            <w:vAlign w:val="center"/>
          </w:tcPr>
          <w:p w14:paraId="75237A63">
            <w:pPr>
              <w:pStyle w:val="51"/>
              <w:bidi w:val="0"/>
              <w:rPr>
                <w:color w:val="auto"/>
              </w:rPr>
            </w:pPr>
            <w:r>
              <w:rPr>
                <w:rFonts w:hint="default"/>
                <w:color w:val="auto"/>
              </w:rPr>
              <w:t>《工业企业厂界环境噪声排放标准》（GB3096-2008）中</w:t>
            </w:r>
            <w:r>
              <w:rPr>
                <w:rFonts w:hint="eastAsia"/>
                <w:color w:val="auto"/>
                <w:lang w:val="en-US" w:eastAsia="zh-CN"/>
              </w:rPr>
              <w:t>3</w:t>
            </w:r>
            <w:r>
              <w:rPr>
                <w:rFonts w:hint="default"/>
                <w:color w:val="auto"/>
              </w:rPr>
              <w:t>类标准</w:t>
            </w:r>
          </w:p>
        </w:tc>
      </w:tr>
      <w:tr w14:paraId="161DDC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7" w:type="dxa"/>
            <w:vAlign w:val="center"/>
          </w:tcPr>
          <w:p w14:paraId="2DBEBEDD">
            <w:pPr>
              <w:pStyle w:val="51"/>
              <w:bidi w:val="0"/>
              <w:rPr>
                <w:color w:val="auto"/>
              </w:rPr>
            </w:pPr>
            <w:r>
              <w:rPr>
                <w:color w:val="auto"/>
              </w:rPr>
              <w:t>电磁辐射</w:t>
            </w:r>
          </w:p>
        </w:tc>
        <w:tc>
          <w:tcPr>
            <w:tcW w:w="1360" w:type="dxa"/>
            <w:vAlign w:val="center"/>
          </w:tcPr>
          <w:p w14:paraId="7A97B625">
            <w:pPr>
              <w:pStyle w:val="51"/>
              <w:bidi w:val="0"/>
              <w:rPr>
                <w:rFonts w:hint="eastAsia"/>
                <w:color w:val="auto"/>
                <w:lang w:val="en-US" w:eastAsia="zh-CN"/>
              </w:rPr>
            </w:pPr>
            <w:r>
              <w:rPr>
                <w:rFonts w:hint="eastAsia"/>
                <w:color w:val="auto"/>
                <w:lang w:val="en-US" w:eastAsia="zh-CN"/>
              </w:rPr>
              <w:t>/</w:t>
            </w:r>
          </w:p>
        </w:tc>
        <w:tc>
          <w:tcPr>
            <w:tcW w:w="1729" w:type="dxa"/>
            <w:vAlign w:val="center"/>
          </w:tcPr>
          <w:p w14:paraId="1430664C">
            <w:pPr>
              <w:pStyle w:val="51"/>
              <w:bidi w:val="0"/>
              <w:rPr>
                <w:rFonts w:hint="eastAsia"/>
                <w:color w:val="auto"/>
                <w:lang w:val="en-US" w:eastAsia="zh-CN"/>
              </w:rPr>
            </w:pPr>
            <w:r>
              <w:rPr>
                <w:rFonts w:hint="eastAsia"/>
                <w:color w:val="auto"/>
                <w:lang w:val="en-US" w:eastAsia="zh-CN"/>
              </w:rPr>
              <w:t>/</w:t>
            </w:r>
          </w:p>
        </w:tc>
        <w:tc>
          <w:tcPr>
            <w:tcW w:w="1650" w:type="dxa"/>
            <w:vAlign w:val="center"/>
          </w:tcPr>
          <w:p w14:paraId="6A5DEBBE">
            <w:pPr>
              <w:pStyle w:val="51"/>
              <w:bidi w:val="0"/>
              <w:rPr>
                <w:rFonts w:hint="eastAsia"/>
                <w:color w:val="auto"/>
                <w:lang w:val="en-US" w:eastAsia="zh-CN"/>
              </w:rPr>
            </w:pPr>
            <w:r>
              <w:rPr>
                <w:rFonts w:hint="eastAsia"/>
                <w:color w:val="auto"/>
                <w:lang w:val="en-US" w:eastAsia="zh-CN"/>
              </w:rPr>
              <w:t>/</w:t>
            </w:r>
          </w:p>
        </w:tc>
        <w:tc>
          <w:tcPr>
            <w:tcW w:w="2721" w:type="dxa"/>
            <w:vAlign w:val="center"/>
          </w:tcPr>
          <w:p w14:paraId="629EB307">
            <w:pPr>
              <w:pStyle w:val="51"/>
              <w:bidi w:val="0"/>
              <w:rPr>
                <w:rFonts w:hint="eastAsia"/>
                <w:color w:val="auto"/>
                <w:lang w:val="en-US" w:eastAsia="zh-CN"/>
              </w:rPr>
            </w:pPr>
            <w:r>
              <w:rPr>
                <w:rFonts w:hint="eastAsia"/>
                <w:color w:val="auto"/>
                <w:lang w:val="en-US" w:eastAsia="zh-CN"/>
              </w:rPr>
              <w:t>/</w:t>
            </w:r>
          </w:p>
        </w:tc>
      </w:tr>
      <w:tr w14:paraId="241B62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327" w:type="dxa"/>
            <w:vAlign w:val="center"/>
          </w:tcPr>
          <w:p w14:paraId="2615ADC4">
            <w:pPr>
              <w:pStyle w:val="51"/>
              <w:bidi w:val="0"/>
              <w:rPr>
                <w:color w:val="auto"/>
              </w:rPr>
            </w:pPr>
            <w:r>
              <w:rPr>
                <w:color w:val="auto"/>
              </w:rPr>
              <w:t>固体废物</w:t>
            </w:r>
          </w:p>
        </w:tc>
        <w:tc>
          <w:tcPr>
            <w:tcW w:w="7460" w:type="dxa"/>
            <w:gridSpan w:val="4"/>
            <w:vAlign w:val="center"/>
          </w:tcPr>
          <w:p w14:paraId="1BEFB759">
            <w:pPr>
              <w:pStyle w:val="38"/>
              <w:bidi w:val="0"/>
              <w:rPr>
                <w:color w:val="auto"/>
              </w:rPr>
            </w:pPr>
            <w:r>
              <w:rPr>
                <w:rFonts w:hint="default"/>
                <w:color w:val="auto"/>
                <w:lang w:eastAsia="zh-CN"/>
              </w:rPr>
              <w:t>项目生产过程中产生的废机油等危险废物分类妥善收集，后交危险废物处置资质的单位处置，并执行危险废物转移联单；生活垃圾交由环卫部门统一清运处理。</w:t>
            </w:r>
          </w:p>
        </w:tc>
      </w:tr>
      <w:tr w14:paraId="659DC0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7" w:type="dxa"/>
            <w:vAlign w:val="center"/>
          </w:tcPr>
          <w:p w14:paraId="0175E216">
            <w:pPr>
              <w:pStyle w:val="51"/>
              <w:bidi w:val="0"/>
              <w:rPr>
                <w:color w:val="auto"/>
              </w:rPr>
            </w:pPr>
            <w:r>
              <w:rPr>
                <w:color w:val="auto"/>
              </w:rPr>
              <w:t>土壤及地下水污染防治措施</w:t>
            </w:r>
          </w:p>
        </w:tc>
        <w:tc>
          <w:tcPr>
            <w:tcW w:w="7460" w:type="dxa"/>
            <w:gridSpan w:val="4"/>
            <w:vAlign w:val="center"/>
          </w:tcPr>
          <w:p w14:paraId="11988350">
            <w:pPr>
              <w:pStyle w:val="38"/>
              <w:bidi w:val="0"/>
              <w:rPr>
                <w:rFonts w:hint="default"/>
                <w:color w:val="auto"/>
                <w:lang w:val="en-US" w:eastAsia="zh-CN"/>
              </w:rPr>
            </w:pPr>
            <w:r>
              <w:rPr>
                <w:rFonts w:hint="default"/>
                <w:color w:val="auto"/>
                <w:lang w:val="en-US" w:eastAsia="zh-CN"/>
              </w:rPr>
              <w:t>（1）源头控制措施，项目应根据国家现行相关规范加强环境管理，采取防止和降低污染物跑、冒、滴、漏的措施。正常运营过程中应加强控制及处理机修过程中污染物跑、冒、滴、漏，同时应加强对防渗工程的检查，若发现防渗密封材料老化或损坏，应及时维修更换。</w:t>
            </w:r>
          </w:p>
          <w:p w14:paraId="7B72A850">
            <w:pPr>
              <w:pStyle w:val="38"/>
              <w:bidi w:val="0"/>
              <w:rPr>
                <w:rFonts w:hint="default"/>
                <w:color w:val="auto"/>
                <w:lang w:val="en-US" w:eastAsia="zh-CN"/>
              </w:rPr>
            </w:pPr>
            <w:r>
              <w:rPr>
                <w:rFonts w:hint="default"/>
                <w:color w:val="auto"/>
                <w:lang w:val="en-US" w:eastAsia="zh-CN"/>
              </w:rPr>
              <w:t>（2）分区防渗措施，根据本项目污染物类型将全厂按各功能单元所处的位置划分为重点防渗渠、一般防渗区以及简单防渗区。重点防渗区包括：</w:t>
            </w:r>
            <w:r>
              <w:rPr>
                <w:color w:val="auto"/>
              </w:rPr>
              <w:t>险废物暂存间</w:t>
            </w:r>
            <w:r>
              <w:rPr>
                <w:spacing w:val="-13"/>
              </w:rPr>
              <w:t>、循环沉淀池、事故水池、漂浮槽</w:t>
            </w:r>
            <w:r>
              <w:rPr>
                <w:rFonts w:hint="default"/>
                <w:color w:val="auto"/>
                <w:lang w:val="en-US" w:eastAsia="zh-CN"/>
              </w:rPr>
              <w:t>。一般防渗区包括：生产</w:t>
            </w:r>
            <w:r>
              <w:rPr>
                <w:rFonts w:hint="eastAsia"/>
                <w:color w:val="auto"/>
                <w:lang w:val="en-US" w:eastAsia="zh-CN"/>
              </w:rPr>
              <w:t>车间、地面</w:t>
            </w:r>
            <w:r>
              <w:rPr>
                <w:rFonts w:hint="default"/>
                <w:color w:val="auto"/>
                <w:lang w:val="en-US" w:eastAsia="zh-CN"/>
              </w:rPr>
              <w:t>。简单防渗区包括：办公室。</w:t>
            </w:r>
          </w:p>
          <w:p w14:paraId="6363E49C">
            <w:pPr>
              <w:pStyle w:val="38"/>
              <w:bidi w:val="0"/>
              <w:rPr>
                <w:rFonts w:hint="default"/>
                <w:color w:val="auto"/>
                <w:lang w:val="en-US" w:eastAsia="zh-CN"/>
              </w:rPr>
            </w:pPr>
            <w:r>
              <w:rPr>
                <w:rFonts w:hint="default"/>
                <w:color w:val="auto"/>
                <w:lang w:val="en-US" w:eastAsia="zh-CN"/>
              </w:rPr>
              <w:t>①重点防渗区防渗措施</w:t>
            </w:r>
          </w:p>
          <w:p w14:paraId="5C0991CA">
            <w:pPr>
              <w:pStyle w:val="38"/>
              <w:bidi w:val="0"/>
              <w:rPr>
                <w:rFonts w:hint="default"/>
                <w:color w:val="auto"/>
                <w:lang w:val="en-US" w:eastAsia="zh-CN"/>
              </w:rPr>
            </w:pPr>
            <w:r>
              <w:rPr>
                <w:rFonts w:hint="default"/>
                <w:color w:val="auto"/>
                <w:lang w:val="en-US" w:eastAsia="zh-CN"/>
              </w:rPr>
              <w:t>危废暂存间地面要求防渗工艺选取：混凝土基础层+2mmHDPE膜+混凝土保护层+环氧涂料（渗透系数≤1×10-7cm/s）。</w:t>
            </w:r>
          </w:p>
          <w:p w14:paraId="3D1380E9">
            <w:pPr>
              <w:pStyle w:val="38"/>
              <w:bidi w:val="0"/>
              <w:rPr>
                <w:rFonts w:hint="default"/>
                <w:color w:val="auto"/>
                <w:lang w:val="en-US" w:eastAsia="zh-CN"/>
              </w:rPr>
            </w:pPr>
            <w:r>
              <w:rPr>
                <w:rFonts w:hint="default"/>
                <w:color w:val="auto"/>
                <w:lang w:val="en-US" w:eastAsia="zh-CN"/>
              </w:rPr>
              <w:t>②一般防渗区防渗措施</w:t>
            </w:r>
          </w:p>
          <w:p w14:paraId="397A8F4E">
            <w:pPr>
              <w:pStyle w:val="38"/>
              <w:bidi w:val="0"/>
              <w:rPr>
                <w:rFonts w:hint="default"/>
                <w:color w:val="auto"/>
                <w:lang w:val="en-US" w:eastAsia="zh-CN"/>
              </w:rPr>
            </w:pPr>
            <w:r>
              <w:rPr>
                <w:rFonts w:hint="default"/>
                <w:color w:val="auto"/>
                <w:lang w:val="en-US" w:eastAsia="zh-CN"/>
              </w:rPr>
              <w:t>一般防渗区地面采取粘土铺底，再在上层铺10~15cm的水泥进行硬化。采取了上述措施的基础上，一般污染防治区的渗透系数≤1×10</w:t>
            </w:r>
            <w:r>
              <w:rPr>
                <w:rFonts w:hint="default"/>
                <w:color w:val="auto"/>
                <w:vertAlign w:val="superscript"/>
                <w:lang w:val="en-US" w:eastAsia="zh-CN"/>
              </w:rPr>
              <w:t>-7</w:t>
            </w:r>
            <w:r>
              <w:rPr>
                <w:rFonts w:hint="default"/>
                <w:color w:val="auto"/>
                <w:lang w:val="en-US" w:eastAsia="zh-CN"/>
              </w:rPr>
              <w:t>cm/s。</w:t>
            </w:r>
          </w:p>
          <w:p w14:paraId="399D8332">
            <w:pPr>
              <w:pStyle w:val="38"/>
              <w:bidi w:val="0"/>
              <w:rPr>
                <w:rFonts w:hint="default"/>
                <w:color w:val="auto"/>
                <w:lang w:val="en-US" w:eastAsia="zh-CN"/>
              </w:rPr>
            </w:pPr>
            <w:r>
              <w:rPr>
                <w:rFonts w:hint="default"/>
                <w:color w:val="auto"/>
                <w:lang w:val="en-US" w:eastAsia="zh-CN"/>
              </w:rPr>
              <w:t>③简单防渗区防渗措施一般地面硬化。</w:t>
            </w:r>
          </w:p>
        </w:tc>
      </w:tr>
      <w:tr w14:paraId="183178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7" w:type="dxa"/>
            <w:vAlign w:val="center"/>
          </w:tcPr>
          <w:p w14:paraId="25C23D62">
            <w:pPr>
              <w:pStyle w:val="51"/>
              <w:bidi w:val="0"/>
              <w:rPr>
                <w:color w:val="auto"/>
              </w:rPr>
            </w:pPr>
            <w:r>
              <w:rPr>
                <w:color w:val="auto"/>
              </w:rPr>
              <w:t>生态保护措施</w:t>
            </w:r>
          </w:p>
        </w:tc>
        <w:tc>
          <w:tcPr>
            <w:tcW w:w="7460" w:type="dxa"/>
            <w:gridSpan w:val="4"/>
            <w:vAlign w:val="center"/>
          </w:tcPr>
          <w:p w14:paraId="2267F947">
            <w:pPr>
              <w:pStyle w:val="51"/>
              <w:bidi w:val="0"/>
              <w:rPr>
                <w:rFonts w:hint="default"/>
                <w:color w:val="auto"/>
                <w:lang w:val="en-US" w:eastAsia="zh-CN"/>
              </w:rPr>
            </w:pPr>
            <w:r>
              <w:rPr>
                <w:rFonts w:hint="eastAsia"/>
                <w:color w:val="auto"/>
                <w:lang w:val="en-US" w:eastAsia="zh-CN"/>
              </w:rPr>
              <w:t>无</w:t>
            </w:r>
          </w:p>
        </w:tc>
      </w:tr>
      <w:tr w14:paraId="085C51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7" w:type="dxa"/>
            <w:vAlign w:val="center"/>
          </w:tcPr>
          <w:p w14:paraId="3B5105A9">
            <w:pPr>
              <w:pStyle w:val="51"/>
              <w:bidi w:val="0"/>
              <w:rPr>
                <w:color w:val="auto"/>
              </w:rPr>
            </w:pPr>
            <w:r>
              <w:rPr>
                <w:color w:val="auto"/>
              </w:rPr>
              <w:t>环境风险</w:t>
            </w:r>
          </w:p>
          <w:p w14:paraId="422E2BE6">
            <w:pPr>
              <w:pStyle w:val="51"/>
              <w:bidi w:val="0"/>
              <w:rPr>
                <w:color w:val="auto"/>
              </w:rPr>
            </w:pPr>
            <w:r>
              <w:rPr>
                <w:color w:val="auto"/>
              </w:rPr>
              <w:t>防范措施</w:t>
            </w:r>
          </w:p>
        </w:tc>
        <w:tc>
          <w:tcPr>
            <w:tcW w:w="7460" w:type="dxa"/>
            <w:gridSpan w:val="4"/>
            <w:vAlign w:val="center"/>
          </w:tcPr>
          <w:p w14:paraId="01F1B755">
            <w:pPr>
              <w:pStyle w:val="39"/>
              <w:bidi w:val="0"/>
              <w:rPr>
                <w:rFonts w:hint="eastAsia"/>
                <w:color w:val="auto"/>
                <w:lang w:eastAsia="zh-CN"/>
              </w:rPr>
            </w:pPr>
            <w:r>
              <w:rPr>
                <w:rFonts w:hint="eastAsia"/>
                <w:color w:val="auto"/>
                <w:lang w:eastAsia="zh-CN"/>
              </w:rPr>
              <w:t>危废暂存间防范措施：</w:t>
            </w:r>
          </w:p>
          <w:p w14:paraId="64765964">
            <w:pPr>
              <w:pStyle w:val="39"/>
              <w:bidi w:val="0"/>
              <w:rPr>
                <w:rFonts w:hint="eastAsia"/>
                <w:color w:val="auto"/>
                <w:lang w:eastAsia="zh-CN"/>
              </w:rPr>
            </w:pPr>
            <w:r>
              <w:rPr>
                <w:rFonts w:hint="eastAsia"/>
                <w:color w:val="auto"/>
                <w:lang w:eastAsia="zh-CN"/>
              </w:rPr>
              <w:t>（1）项目危险废物定期更换后避免露天存放，需要使用密闭包装桶盛装。</w:t>
            </w:r>
          </w:p>
          <w:p w14:paraId="5FC243B0">
            <w:pPr>
              <w:pStyle w:val="39"/>
              <w:bidi w:val="0"/>
              <w:rPr>
                <w:rFonts w:hint="eastAsia"/>
                <w:color w:val="auto"/>
                <w:lang w:eastAsia="zh-CN"/>
              </w:rPr>
            </w:pPr>
            <w:r>
              <w:rPr>
                <w:rFonts w:hint="eastAsia"/>
                <w:color w:val="auto"/>
                <w:lang w:eastAsia="zh-CN"/>
              </w:rPr>
              <w:t>（2）堆放危险废物的高度应根据地面承载能力确定</w:t>
            </w:r>
          </w:p>
          <w:p w14:paraId="04CF0799">
            <w:pPr>
              <w:pStyle w:val="39"/>
              <w:bidi w:val="0"/>
              <w:rPr>
                <w:rFonts w:hint="eastAsia"/>
                <w:color w:val="auto"/>
                <w:lang w:eastAsia="zh-CN"/>
              </w:rPr>
            </w:pPr>
            <w:r>
              <w:rPr>
                <w:rFonts w:hint="eastAsia"/>
                <w:color w:val="auto"/>
                <w:lang w:eastAsia="zh-CN"/>
              </w:rPr>
              <w:t>（3）危险废物临时堆放场要做好防风、防雨、防晒。</w:t>
            </w:r>
          </w:p>
          <w:p w14:paraId="1919254C">
            <w:pPr>
              <w:pStyle w:val="39"/>
              <w:bidi w:val="0"/>
              <w:rPr>
                <w:rFonts w:hint="eastAsia"/>
                <w:color w:val="auto"/>
                <w:lang w:eastAsia="zh-CN"/>
              </w:rPr>
            </w:pPr>
            <w:r>
              <w:rPr>
                <w:rFonts w:hint="eastAsia"/>
                <w:color w:val="auto"/>
                <w:lang w:eastAsia="zh-CN"/>
              </w:rPr>
              <w:t>（4）危险废物仓位置地面做好防腐、防渗透处理。</w:t>
            </w:r>
          </w:p>
          <w:p w14:paraId="2E8FD3C8">
            <w:pPr>
              <w:pStyle w:val="39"/>
              <w:bidi w:val="0"/>
              <w:rPr>
                <w:rFonts w:hint="eastAsia"/>
                <w:color w:val="auto"/>
                <w:lang w:eastAsia="zh-CN"/>
              </w:rPr>
            </w:pPr>
            <w:r>
              <w:rPr>
                <w:rFonts w:hint="eastAsia"/>
                <w:color w:val="auto"/>
                <w:lang w:eastAsia="zh-CN"/>
              </w:rPr>
              <w:t>（5）设置专门的危废仓库，并由专人管理，做好日常出入库登记</w:t>
            </w:r>
          </w:p>
        </w:tc>
      </w:tr>
      <w:tr w14:paraId="55BAF8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7" w:type="dxa"/>
            <w:vAlign w:val="center"/>
          </w:tcPr>
          <w:p w14:paraId="187E61CE">
            <w:pPr>
              <w:adjustRightInd w:val="0"/>
              <w:snapToGrid w:val="0"/>
              <w:jc w:val="center"/>
              <w:rPr>
                <w:color w:val="auto"/>
                <w:spacing w:val="-8"/>
                <w:szCs w:val="21"/>
              </w:rPr>
            </w:pPr>
            <w:r>
              <w:rPr>
                <w:color w:val="auto"/>
                <w:spacing w:val="-8"/>
                <w:szCs w:val="21"/>
              </w:rPr>
              <w:t>其他环境</w:t>
            </w:r>
          </w:p>
          <w:p w14:paraId="66BFC3C4">
            <w:pPr>
              <w:adjustRightInd w:val="0"/>
              <w:snapToGrid w:val="0"/>
              <w:jc w:val="center"/>
              <w:rPr>
                <w:color w:val="auto"/>
                <w:spacing w:val="-8"/>
                <w:szCs w:val="21"/>
              </w:rPr>
            </w:pPr>
            <w:r>
              <w:rPr>
                <w:color w:val="auto"/>
                <w:spacing w:val="-8"/>
                <w:szCs w:val="21"/>
              </w:rPr>
              <w:t>管理要求</w:t>
            </w:r>
          </w:p>
        </w:tc>
        <w:tc>
          <w:tcPr>
            <w:tcW w:w="7460" w:type="dxa"/>
            <w:gridSpan w:val="4"/>
            <w:vAlign w:val="center"/>
          </w:tcPr>
          <w:p w14:paraId="0CC3B5EE">
            <w:pPr>
              <w:pStyle w:val="39"/>
              <w:bidi w:val="0"/>
              <w:rPr>
                <w:rFonts w:hint="eastAsia"/>
                <w:color w:val="auto"/>
                <w:lang w:val="en-US" w:eastAsia="zh-CN"/>
              </w:rPr>
            </w:pPr>
            <w:r>
              <w:rPr>
                <w:rFonts w:hint="eastAsia"/>
                <w:color w:val="auto"/>
                <w:lang w:val="en-US" w:eastAsia="zh-CN"/>
              </w:rPr>
              <w:t>编制突发环境事件应急预案；排污许可实施</w:t>
            </w:r>
            <w:r>
              <w:rPr>
                <w:rFonts w:hint="default"/>
                <w:color w:val="auto"/>
                <w:lang w:val="en-US" w:eastAsia="zh-CN"/>
              </w:rPr>
              <w:t>重点管理</w:t>
            </w:r>
            <w:r>
              <w:rPr>
                <w:rFonts w:hint="eastAsia"/>
                <w:color w:val="auto"/>
                <w:lang w:val="en-US" w:eastAsia="zh-CN"/>
              </w:rPr>
              <w:t>；开展本项目的自行监测工作；排放口规范化管理；项目竣工后完成竣工环境保护验收；</w:t>
            </w:r>
            <w:r>
              <w:rPr>
                <w:rFonts w:hint="eastAsia"/>
                <w:lang w:val="en-US" w:eastAsia="zh-CN"/>
              </w:rPr>
              <w:t>按要求执行重污染天气应急响应。</w:t>
            </w:r>
          </w:p>
          <w:p w14:paraId="5DFB7575">
            <w:pPr>
              <w:pStyle w:val="39"/>
              <w:bidi w:val="0"/>
              <w:rPr>
                <w:rFonts w:hint="eastAsia"/>
                <w:color w:val="auto"/>
                <w:lang w:val="en-US" w:eastAsia="zh-CN"/>
              </w:rPr>
            </w:pPr>
          </w:p>
          <w:p w14:paraId="25C9779A">
            <w:pPr>
              <w:pStyle w:val="39"/>
              <w:bidi w:val="0"/>
              <w:rPr>
                <w:rFonts w:hint="eastAsia"/>
                <w:color w:val="auto"/>
                <w:lang w:val="en-US" w:eastAsia="zh-CN"/>
              </w:rPr>
            </w:pPr>
          </w:p>
          <w:p w14:paraId="036E7149">
            <w:pPr>
              <w:pStyle w:val="39"/>
              <w:bidi w:val="0"/>
              <w:rPr>
                <w:rFonts w:hint="eastAsia"/>
                <w:color w:val="auto"/>
                <w:lang w:val="en-US" w:eastAsia="zh-CN"/>
              </w:rPr>
            </w:pPr>
          </w:p>
          <w:p w14:paraId="64B07305">
            <w:pPr>
              <w:pStyle w:val="39"/>
              <w:bidi w:val="0"/>
              <w:rPr>
                <w:rFonts w:hint="eastAsia"/>
                <w:color w:val="auto"/>
                <w:lang w:val="en-US" w:eastAsia="zh-CN"/>
              </w:rPr>
            </w:pPr>
          </w:p>
          <w:p w14:paraId="07C2D6DC">
            <w:pPr>
              <w:pStyle w:val="39"/>
              <w:bidi w:val="0"/>
              <w:rPr>
                <w:rFonts w:hint="eastAsia"/>
                <w:color w:val="auto"/>
                <w:lang w:val="en-US" w:eastAsia="zh-CN"/>
              </w:rPr>
            </w:pPr>
          </w:p>
          <w:p w14:paraId="2CD363C4">
            <w:pPr>
              <w:pStyle w:val="39"/>
              <w:bidi w:val="0"/>
              <w:rPr>
                <w:rFonts w:hint="eastAsia"/>
                <w:color w:val="auto"/>
                <w:lang w:val="en-US" w:eastAsia="zh-CN"/>
              </w:rPr>
            </w:pPr>
          </w:p>
          <w:p w14:paraId="115E76C1">
            <w:pPr>
              <w:pStyle w:val="39"/>
              <w:bidi w:val="0"/>
              <w:rPr>
                <w:rFonts w:hint="eastAsia"/>
                <w:color w:val="auto"/>
                <w:lang w:val="en-US" w:eastAsia="zh-CN"/>
              </w:rPr>
            </w:pPr>
          </w:p>
          <w:p w14:paraId="22443042">
            <w:pPr>
              <w:pStyle w:val="39"/>
              <w:bidi w:val="0"/>
              <w:rPr>
                <w:rFonts w:hint="eastAsia"/>
                <w:color w:val="auto"/>
                <w:lang w:val="en-US" w:eastAsia="zh-CN"/>
              </w:rPr>
            </w:pPr>
          </w:p>
          <w:p w14:paraId="7082599A">
            <w:pPr>
              <w:pStyle w:val="39"/>
              <w:bidi w:val="0"/>
              <w:rPr>
                <w:rFonts w:hint="eastAsia"/>
                <w:color w:val="auto"/>
                <w:lang w:val="en-US" w:eastAsia="zh-CN"/>
              </w:rPr>
            </w:pPr>
          </w:p>
          <w:p w14:paraId="0187FF8E">
            <w:pPr>
              <w:pStyle w:val="39"/>
              <w:bidi w:val="0"/>
              <w:rPr>
                <w:rFonts w:hint="eastAsia"/>
                <w:color w:val="auto"/>
                <w:lang w:val="en-US" w:eastAsia="zh-CN"/>
              </w:rPr>
            </w:pPr>
          </w:p>
          <w:p w14:paraId="4A349B99">
            <w:pPr>
              <w:pStyle w:val="39"/>
              <w:bidi w:val="0"/>
              <w:rPr>
                <w:rFonts w:hint="eastAsia"/>
                <w:color w:val="auto"/>
                <w:lang w:val="en-US" w:eastAsia="zh-CN"/>
              </w:rPr>
            </w:pPr>
          </w:p>
          <w:p w14:paraId="68129327">
            <w:pPr>
              <w:pStyle w:val="39"/>
              <w:bidi w:val="0"/>
              <w:rPr>
                <w:rFonts w:hint="eastAsia"/>
                <w:color w:val="auto"/>
                <w:lang w:val="en-US" w:eastAsia="zh-CN"/>
              </w:rPr>
            </w:pPr>
          </w:p>
          <w:p w14:paraId="7DB72849">
            <w:pPr>
              <w:pStyle w:val="41"/>
              <w:rPr>
                <w:rFonts w:hint="default"/>
                <w:color w:val="auto"/>
                <w:lang w:val="en-US" w:eastAsia="zh-CN"/>
              </w:rPr>
            </w:pPr>
          </w:p>
        </w:tc>
      </w:tr>
    </w:tbl>
    <w:p w14:paraId="20CCBF85">
      <w:pPr>
        <w:pStyle w:val="27"/>
        <w:keepNext/>
        <w:keepLines/>
        <w:widowControl w:val="0"/>
        <w:jc w:val="center"/>
        <w:outlineLvl w:val="0"/>
        <w:rPr>
          <w:rFonts w:hint="eastAsia" w:ascii="黑体" w:hAnsi="黑体" w:eastAsia="黑体"/>
          <w:snapToGrid w:val="0"/>
          <w:color w:val="auto"/>
          <w:sz w:val="30"/>
          <w:szCs w:val="30"/>
        </w:rPr>
      </w:pPr>
      <w:r>
        <w:rPr>
          <w:snapToGrid w:val="0"/>
          <w:color w:val="auto"/>
        </w:rPr>
        <w:br w:type="page"/>
      </w:r>
      <w:bookmarkStart w:id="49" w:name="_Toc31334"/>
      <w:bookmarkStart w:id="50" w:name="_Toc12814"/>
      <w:r>
        <w:rPr>
          <w:rFonts w:hint="eastAsia" w:ascii="黑体" w:hAnsi="黑体" w:eastAsia="黑体"/>
          <w:snapToGrid w:val="0"/>
          <w:color w:val="auto"/>
          <w:sz w:val="30"/>
          <w:szCs w:val="30"/>
        </w:rPr>
        <w:t>六、结论</w:t>
      </w:r>
      <w:bookmarkEnd w:id="49"/>
      <w:bookmarkEnd w:id="50"/>
    </w:p>
    <w:tbl>
      <w:tblPr>
        <w:tblStyle w:val="31"/>
        <w:tblW w:w="87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14:paraId="627F0B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65" w:type="dxa"/>
            <w:vAlign w:val="center"/>
          </w:tcPr>
          <w:p w14:paraId="1301D258">
            <w:pPr>
              <w:pStyle w:val="41"/>
              <w:bidi w:val="0"/>
              <w:rPr>
                <w:rFonts w:hint="default"/>
                <w:color w:val="auto"/>
              </w:rPr>
            </w:pPr>
            <w:bookmarkStart w:id="51" w:name="_Toc332094619"/>
            <w:bookmarkStart w:id="52" w:name="_Toc336178377"/>
            <w:bookmarkStart w:id="53" w:name="_Toc375586183"/>
            <w:r>
              <w:rPr>
                <w:rFonts w:hint="default"/>
                <w:color w:val="auto"/>
                <w:lang w:val="en-US" w:eastAsia="zh-CN"/>
              </w:rPr>
              <w:t>本项目在运营过程中会产生废气、废水、噪声、固体废物等，在全面落实本报告表提出的各项环境保护措施的基础上，切实做到“三同时”，并在营运期内持之以恒加强环境管理的前提下，从环境保护角度，本项目环境影响可行。</w:t>
            </w:r>
          </w:p>
          <w:p w14:paraId="52D71929">
            <w:pPr>
              <w:pStyle w:val="41"/>
              <w:bidi w:val="0"/>
              <w:rPr>
                <w:rFonts w:hint="eastAsia"/>
                <w:color w:val="auto"/>
              </w:rPr>
            </w:pPr>
          </w:p>
          <w:p w14:paraId="70848767">
            <w:pPr>
              <w:pStyle w:val="41"/>
              <w:bidi w:val="0"/>
              <w:rPr>
                <w:rFonts w:hint="eastAsia"/>
                <w:color w:val="auto"/>
              </w:rPr>
            </w:pPr>
          </w:p>
          <w:p w14:paraId="0E8D01B5">
            <w:pPr>
              <w:pStyle w:val="41"/>
              <w:ind w:firstLine="480"/>
              <w:rPr>
                <w:rFonts w:hint="eastAsia"/>
                <w:color w:val="auto"/>
              </w:rPr>
            </w:pPr>
          </w:p>
          <w:p w14:paraId="673E881A">
            <w:pPr>
              <w:pStyle w:val="41"/>
              <w:ind w:firstLine="480"/>
              <w:rPr>
                <w:rFonts w:hint="eastAsia"/>
                <w:color w:val="auto"/>
              </w:rPr>
            </w:pPr>
          </w:p>
          <w:p w14:paraId="20882DD6">
            <w:pPr>
              <w:pStyle w:val="41"/>
              <w:ind w:firstLine="480"/>
              <w:rPr>
                <w:rFonts w:hint="eastAsia"/>
                <w:color w:val="auto"/>
              </w:rPr>
            </w:pPr>
          </w:p>
          <w:p w14:paraId="48C0CC4B">
            <w:pPr>
              <w:pStyle w:val="41"/>
              <w:ind w:firstLine="480"/>
              <w:rPr>
                <w:rFonts w:hint="eastAsia"/>
                <w:color w:val="auto"/>
              </w:rPr>
            </w:pPr>
          </w:p>
          <w:p w14:paraId="3ED687B6">
            <w:pPr>
              <w:pStyle w:val="41"/>
              <w:ind w:firstLine="480"/>
              <w:rPr>
                <w:rFonts w:hint="eastAsia"/>
                <w:color w:val="auto"/>
              </w:rPr>
            </w:pPr>
          </w:p>
          <w:p w14:paraId="6C3670D9">
            <w:pPr>
              <w:pStyle w:val="41"/>
              <w:ind w:firstLine="480"/>
              <w:rPr>
                <w:rFonts w:hint="eastAsia"/>
                <w:color w:val="auto"/>
              </w:rPr>
            </w:pPr>
          </w:p>
          <w:p w14:paraId="7C7B341D">
            <w:pPr>
              <w:pStyle w:val="41"/>
              <w:ind w:firstLine="480"/>
              <w:rPr>
                <w:rFonts w:hint="eastAsia"/>
                <w:color w:val="auto"/>
              </w:rPr>
            </w:pPr>
          </w:p>
          <w:p w14:paraId="03954E98">
            <w:pPr>
              <w:pStyle w:val="41"/>
              <w:ind w:firstLine="480"/>
              <w:rPr>
                <w:rFonts w:hint="eastAsia"/>
                <w:color w:val="auto"/>
              </w:rPr>
            </w:pPr>
          </w:p>
          <w:p w14:paraId="0238969B">
            <w:pPr>
              <w:pStyle w:val="41"/>
              <w:ind w:firstLine="480"/>
              <w:rPr>
                <w:rFonts w:hint="eastAsia"/>
                <w:color w:val="auto"/>
              </w:rPr>
            </w:pPr>
          </w:p>
          <w:p w14:paraId="7F2AC532">
            <w:pPr>
              <w:pStyle w:val="41"/>
              <w:ind w:firstLine="480"/>
              <w:rPr>
                <w:rFonts w:hint="eastAsia"/>
                <w:color w:val="auto"/>
              </w:rPr>
            </w:pPr>
          </w:p>
          <w:p w14:paraId="0F2AAAF0">
            <w:pPr>
              <w:pStyle w:val="41"/>
              <w:ind w:firstLine="480"/>
              <w:rPr>
                <w:rFonts w:hint="eastAsia"/>
                <w:color w:val="auto"/>
              </w:rPr>
            </w:pPr>
          </w:p>
          <w:p w14:paraId="235D9263">
            <w:pPr>
              <w:pStyle w:val="41"/>
              <w:ind w:firstLine="480"/>
              <w:rPr>
                <w:rFonts w:hint="eastAsia"/>
                <w:color w:val="auto"/>
              </w:rPr>
            </w:pPr>
          </w:p>
          <w:p w14:paraId="710A441D">
            <w:pPr>
              <w:pStyle w:val="41"/>
              <w:ind w:firstLine="480"/>
              <w:rPr>
                <w:rFonts w:hint="eastAsia"/>
                <w:color w:val="auto"/>
              </w:rPr>
            </w:pPr>
          </w:p>
          <w:p w14:paraId="3F1EF61F">
            <w:pPr>
              <w:pStyle w:val="41"/>
              <w:ind w:firstLine="480"/>
              <w:rPr>
                <w:rFonts w:hint="eastAsia"/>
                <w:color w:val="auto"/>
              </w:rPr>
            </w:pPr>
          </w:p>
          <w:p w14:paraId="3E33F8F9">
            <w:pPr>
              <w:pStyle w:val="41"/>
              <w:ind w:firstLine="480"/>
              <w:rPr>
                <w:rFonts w:hint="eastAsia"/>
                <w:color w:val="auto"/>
              </w:rPr>
            </w:pPr>
          </w:p>
          <w:p w14:paraId="022B54AC">
            <w:pPr>
              <w:pStyle w:val="41"/>
              <w:ind w:firstLine="480"/>
              <w:rPr>
                <w:rFonts w:hint="eastAsia"/>
                <w:color w:val="auto"/>
              </w:rPr>
            </w:pPr>
            <w:bookmarkStart w:id="57" w:name="_GoBack"/>
            <w:bookmarkEnd w:id="57"/>
          </w:p>
          <w:p w14:paraId="3D90BDCB">
            <w:pPr>
              <w:pStyle w:val="41"/>
              <w:ind w:firstLine="480"/>
              <w:rPr>
                <w:rFonts w:hint="eastAsia"/>
                <w:color w:val="auto"/>
              </w:rPr>
            </w:pPr>
          </w:p>
          <w:bookmarkEnd w:id="51"/>
          <w:bookmarkEnd w:id="52"/>
          <w:bookmarkEnd w:id="53"/>
          <w:p w14:paraId="3C680E3B">
            <w:pPr>
              <w:pStyle w:val="41"/>
              <w:ind w:left="0" w:leftChars="0" w:firstLine="0" w:firstLineChars="0"/>
              <w:rPr>
                <w:color w:val="auto"/>
              </w:rPr>
            </w:pPr>
          </w:p>
        </w:tc>
      </w:tr>
    </w:tbl>
    <w:p w14:paraId="60A6297C">
      <w:pPr>
        <w:rPr>
          <w:rFonts w:ascii="宋体"/>
          <w:color w:val="auto"/>
        </w:rPr>
        <w:sectPr>
          <w:pgSz w:w="11906" w:h="16838"/>
          <w:pgMar w:top="1757" w:right="1531" w:bottom="1701" w:left="1587" w:header="851" w:footer="851" w:gutter="0"/>
          <w:pgBorders>
            <w:top w:val="none" w:sz="0" w:space="0"/>
            <w:left w:val="none" w:sz="0" w:space="0"/>
            <w:bottom w:val="none" w:sz="0" w:space="0"/>
            <w:right w:val="none" w:sz="0" w:space="0"/>
          </w:pgBorders>
          <w:pgNumType w:fmt="decimal"/>
          <w:cols w:space="720" w:num="1"/>
          <w:docGrid w:linePitch="312" w:charSpace="0"/>
        </w:sectPr>
      </w:pPr>
    </w:p>
    <w:p w14:paraId="3D807A3F">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textAlignment w:val="auto"/>
        <w:outlineLvl w:val="0"/>
        <w:rPr>
          <w:rFonts w:ascii="黑体" w:hAnsi="黑体" w:eastAsia="黑体"/>
          <w:snapToGrid w:val="0"/>
          <w:color w:val="auto"/>
          <w:sz w:val="24"/>
          <w:szCs w:val="24"/>
        </w:rPr>
      </w:pPr>
      <w:bookmarkStart w:id="54" w:name="_Toc14657"/>
      <w:bookmarkStart w:id="55" w:name="_Toc21959"/>
      <w:r>
        <w:rPr>
          <w:rFonts w:hint="eastAsia" w:ascii="黑体" w:hAnsi="黑体" w:eastAsia="黑体"/>
          <w:snapToGrid w:val="0"/>
          <w:color w:val="auto"/>
          <w:sz w:val="24"/>
          <w:szCs w:val="24"/>
        </w:rPr>
        <w:t>附表</w:t>
      </w:r>
      <w:bookmarkEnd w:id="54"/>
      <w:bookmarkEnd w:id="55"/>
    </w:p>
    <w:p w14:paraId="3743123F">
      <w:pPr>
        <w:pStyle w:val="46"/>
        <w:bidi w:val="0"/>
        <w:rPr>
          <w:rFonts w:hint="eastAsia"/>
          <w:color w:val="auto"/>
        </w:rPr>
      </w:pPr>
      <w:bookmarkStart w:id="56" w:name="_Toc19927"/>
      <w:r>
        <w:rPr>
          <w:rFonts w:hint="eastAsia"/>
          <w:color w:val="auto"/>
        </w:rPr>
        <w:t>建设项目污染物排放量汇总表</w:t>
      </w:r>
      <w:bookmarkEnd w:id="56"/>
    </w:p>
    <w:tbl>
      <w:tblPr>
        <w:tblStyle w:val="31"/>
        <w:tblW w:w="141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261"/>
        <w:gridCol w:w="1160"/>
        <w:gridCol w:w="1707"/>
        <w:gridCol w:w="1287"/>
        <w:gridCol w:w="1733"/>
        <w:gridCol w:w="1601"/>
        <w:gridCol w:w="1774"/>
        <w:gridCol w:w="1826"/>
        <w:gridCol w:w="1174"/>
      </w:tblGrid>
      <w:tr w14:paraId="076FD5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0" w:type="dxa"/>
            <w:tcBorders>
              <w:tl2br w:val="single" w:color="auto" w:sz="4" w:space="0"/>
            </w:tcBorders>
            <w:tcMar>
              <w:left w:w="28" w:type="dxa"/>
              <w:right w:w="28" w:type="dxa"/>
            </w:tcMar>
            <w:vAlign w:val="center"/>
          </w:tcPr>
          <w:p w14:paraId="60E18B9F">
            <w:pPr>
              <w:pStyle w:val="54"/>
              <w:spacing w:beforeLines="0" w:afterLines="0" w:line="240" w:lineRule="auto"/>
              <w:jc w:val="right"/>
              <w:rPr>
                <w:rFonts w:hint="eastAsia" w:ascii="黑体" w:hAnsi="黑体" w:eastAsia="黑体" w:cs="宋体"/>
                <w:snapToGrid w:val="0"/>
                <w:color w:val="auto"/>
                <w:spacing w:val="-6"/>
                <w:kern w:val="21"/>
                <w:szCs w:val="21"/>
              </w:rPr>
            </w:pPr>
            <w:r>
              <w:rPr>
                <w:rFonts w:hint="eastAsia" w:ascii="黑体" w:hAnsi="黑体" w:eastAsia="黑体" w:cs="宋体"/>
                <w:snapToGrid w:val="0"/>
                <w:color w:val="auto"/>
                <w:spacing w:val="-6"/>
                <w:kern w:val="21"/>
                <w:szCs w:val="21"/>
              </w:rPr>
              <w:t>项目</w:t>
            </w:r>
          </w:p>
          <w:p w14:paraId="03147869">
            <w:pPr>
              <w:pStyle w:val="54"/>
              <w:spacing w:beforeLines="0" w:afterLines="0" w:line="240" w:lineRule="auto"/>
              <w:jc w:val="left"/>
              <w:rPr>
                <w:rFonts w:hint="eastAsia" w:ascii="黑体" w:hAnsi="黑体" w:eastAsia="黑体" w:cs="宋体"/>
                <w:snapToGrid w:val="0"/>
                <w:color w:val="auto"/>
                <w:spacing w:val="-6"/>
                <w:kern w:val="21"/>
                <w:szCs w:val="21"/>
              </w:rPr>
            </w:pPr>
            <w:r>
              <w:rPr>
                <w:rFonts w:hint="eastAsia" w:ascii="黑体" w:hAnsi="黑体" w:eastAsia="黑体" w:cs="宋体"/>
                <w:snapToGrid w:val="0"/>
                <w:color w:val="auto"/>
                <w:spacing w:val="-6"/>
                <w:kern w:val="21"/>
                <w:szCs w:val="21"/>
              </w:rPr>
              <w:t>分类</w:t>
            </w:r>
          </w:p>
        </w:tc>
        <w:tc>
          <w:tcPr>
            <w:tcW w:w="2421" w:type="dxa"/>
            <w:gridSpan w:val="2"/>
            <w:tcMar>
              <w:left w:w="28" w:type="dxa"/>
              <w:right w:w="28" w:type="dxa"/>
            </w:tcMar>
            <w:vAlign w:val="center"/>
          </w:tcPr>
          <w:p w14:paraId="2E2B06E9">
            <w:pPr>
              <w:pStyle w:val="54"/>
              <w:spacing w:beforeLines="0" w:afterLines="0" w:line="240" w:lineRule="auto"/>
              <w:rPr>
                <w:rFonts w:hint="eastAsia" w:ascii="黑体" w:hAnsi="黑体" w:eastAsia="黑体" w:cs="宋体"/>
                <w:snapToGrid w:val="0"/>
                <w:color w:val="auto"/>
                <w:spacing w:val="-6"/>
                <w:kern w:val="21"/>
                <w:szCs w:val="21"/>
              </w:rPr>
            </w:pPr>
            <w:r>
              <w:rPr>
                <w:rFonts w:hint="eastAsia" w:ascii="黑体" w:hAnsi="黑体" w:eastAsia="黑体" w:cs="宋体"/>
                <w:snapToGrid w:val="0"/>
                <w:color w:val="auto"/>
                <w:spacing w:val="-6"/>
                <w:kern w:val="21"/>
                <w:szCs w:val="21"/>
              </w:rPr>
              <w:t>污染物名称</w:t>
            </w:r>
          </w:p>
        </w:tc>
        <w:tc>
          <w:tcPr>
            <w:tcW w:w="1707" w:type="dxa"/>
            <w:tcMar>
              <w:left w:w="28" w:type="dxa"/>
              <w:right w:w="28" w:type="dxa"/>
            </w:tcMar>
            <w:vAlign w:val="center"/>
          </w:tcPr>
          <w:p w14:paraId="579BCE41">
            <w:pPr>
              <w:pStyle w:val="54"/>
              <w:spacing w:beforeLines="0" w:afterLines="0" w:line="240" w:lineRule="auto"/>
              <w:rPr>
                <w:rFonts w:hint="eastAsia" w:ascii="黑体" w:hAnsi="黑体" w:eastAsia="黑体"/>
                <w:snapToGrid w:val="0"/>
                <w:color w:val="auto"/>
                <w:spacing w:val="-6"/>
                <w:kern w:val="21"/>
                <w:szCs w:val="21"/>
              </w:rPr>
            </w:pPr>
            <w:r>
              <w:rPr>
                <w:rFonts w:ascii="黑体" w:hAnsi="黑体" w:eastAsia="黑体"/>
                <w:snapToGrid w:val="0"/>
                <w:color w:val="auto"/>
                <w:spacing w:val="-6"/>
                <w:kern w:val="21"/>
                <w:szCs w:val="21"/>
              </w:rPr>
              <w:t>现有工程</w:t>
            </w:r>
          </w:p>
          <w:p w14:paraId="2D1E20DA">
            <w:pPr>
              <w:pStyle w:val="54"/>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排放量（固</w:t>
            </w:r>
            <w:r>
              <w:rPr>
                <w:rFonts w:hint="eastAsia" w:ascii="黑体" w:hAnsi="黑体" w:eastAsia="黑体"/>
                <w:snapToGrid w:val="0"/>
                <w:color w:val="auto"/>
                <w:spacing w:val="-6"/>
                <w:kern w:val="21"/>
                <w:szCs w:val="21"/>
              </w:rPr>
              <w:t>体</w:t>
            </w:r>
            <w:r>
              <w:rPr>
                <w:rFonts w:ascii="黑体" w:hAnsi="黑体" w:eastAsia="黑体"/>
                <w:snapToGrid w:val="0"/>
                <w:color w:val="auto"/>
                <w:spacing w:val="-6"/>
                <w:kern w:val="21"/>
                <w:szCs w:val="21"/>
              </w:rPr>
              <w:t>废</w:t>
            </w:r>
            <w:r>
              <w:rPr>
                <w:rFonts w:hint="eastAsia" w:ascii="黑体" w:hAnsi="黑体" w:eastAsia="黑体"/>
                <w:snapToGrid w:val="0"/>
                <w:color w:val="auto"/>
                <w:spacing w:val="-6"/>
                <w:kern w:val="21"/>
                <w:szCs w:val="21"/>
              </w:rPr>
              <w:t>物</w:t>
            </w:r>
            <w:r>
              <w:rPr>
                <w:rFonts w:ascii="黑体" w:hAnsi="黑体" w:eastAsia="黑体"/>
                <w:snapToGrid w:val="0"/>
                <w:color w:val="auto"/>
                <w:spacing w:val="-6"/>
                <w:kern w:val="21"/>
                <w:szCs w:val="21"/>
              </w:rPr>
              <w:t>产生量）</w:t>
            </w: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1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color w:val="auto"/>
                <w:kern w:val="2"/>
                <w:szCs w:val="21"/>
              </w:rPr>
              <w:t>①</w:t>
            </w:r>
            <w:r>
              <w:rPr>
                <w:rFonts w:ascii="黑体" w:hAnsi="黑体" w:eastAsia="黑体"/>
                <w:snapToGrid w:val="0"/>
                <w:color w:val="auto"/>
                <w:spacing w:val="-6"/>
                <w:kern w:val="21"/>
                <w:szCs w:val="21"/>
              </w:rPr>
              <w:fldChar w:fldCharType="end"/>
            </w:r>
          </w:p>
        </w:tc>
        <w:tc>
          <w:tcPr>
            <w:tcW w:w="1287" w:type="dxa"/>
            <w:tcMar>
              <w:left w:w="28" w:type="dxa"/>
              <w:right w:w="28" w:type="dxa"/>
            </w:tcMar>
            <w:vAlign w:val="center"/>
          </w:tcPr>
          <w:p w14:paraId="796744D6">
            <w:pPr>
              <w:pStyle w:val="54"/>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现有工程</w:t>
            </w:r>
          </w:p>
          <w:p w14:paraId="354F7FE2">
            <w:pPr>
              <w:pStyle w:val="54"/>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许可排放量</w:t>
            </w:r>
          </w:p>
          <w:p w14:paraId="3F6166B6">
            <w:pPr>
              <w:pStyle w:val="54"/>
              <w:spacing w:beforeLines="0" w:afterLines="0"/>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2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snapToGrid w:val="0"/>
                <w:color w:val="auto"/>
                <w:spacing w:val="-6"/>
                <w:kern w:val="21"/>
                <w:szCs w:val="21"/>
              </w:rPr>
              <w:t>②</w:t>
            </w:r>
            <w:r>
              <w:rPr>
                <w:rFonts w:ascii="黑体" w:hAnsi="黑体" w:eastAsia="黑体"/>
                <w:snapToGrid w:val="0"/>
                <w:color w:val="auto"/>
                <w:spacing w:val="-6"/>
                <w:kern w:val="21"/>
                <w:szCs w:val="21"/>
              </w:rPr>
              <w:fldChar w:fldCharType="end"/>
            </w:r>
          </w:p>
        </w:tc>
        <w:tc>
          <w:tcPr>
            <w:tcW w:w="1733" w:type="dxa"/>
            <w:tcMar>
              <w:left w:w="28" w:type="dxa"/>
              <w:right w:w="28" w:type="dxa"/>
            </w:tcMar>
            <w:vAlign w:val="center"/>
          </w:tcPr>
          <w:p w14:paraId="5A506E90">
            <w:pPr>
              <w:pStyle w:val="54"/>
              <w:spacing w:beforeLines="0" w:afterLines="0" w:line="240" w:lineRule="auto"/>
              <w:rPr>
                <w:rFonts w:hint="eastAsia" w:ascii="黑体" w:hAnsi="黑体" w:eastAsia="黑体"/>
                <w:snapToGrid w:val="0"/>
                <w:color w:val="auto"/>
                <w:spacing w:val="-6"/>
                <w:kern w:val="21"/>
                <w:szCs w:val="21"/>
              </w:rPr>
            </w:pPr>
            <w:r>
              <w:rPr>
                <w:rFonts w:ascii="黑体" w:hAnsi="黑体" w:eastAsia="黑体"/>
                <w:snapToGrid w:val="0"/>
                <w:color w:val="auto"/>
                <w:spacing w:val="-6"/>
                <w:kern w:val="21"/>
                <w:szCs w:val="21"/>
              </w:rPr>
              <w:t>在建工程</w:t>
            </w:r>
          </w:p>
          <w:p w14:paraId="1243ADEA">
            <w:pPr>
              <w:pStyle w:val="54"/>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排放量（固</w:t>
            </w:r>
            <w:r>
              <w:rPr>
                <w:rFonts w:hint="eastAsia" w:ascii="黑体" w:hAnsi="黑体" w:eastAsia="黑体"/>
                <w:snapToGrid w:val="0"/>
                <w:color w:val="auto"/>
                <w:spacing w:val="-6"/>
                <w:kern w:val="21"/>
                <w:szCs w:val="21"/>
              </w:rPr>
              <w:t>体</w:t>
            </w:r>
            <w:r>
              <w:rPr>
                <w:rFonts w:ascii="黑体" w:hAnsi="黑体" w:eastAsia="黑体"/>
                <w:snapToGrid w:val="0"/>
                <w:color w:val="auto"/>
                <w:spacing w:val="-6"/>
                <w:kern w:val="21"/>
                <w:szCs w:val="21"/>
              </w:rPr>
              <w:t>废</w:t>
            </w:r>
            <w:r>
              <w:rPr>
                <w:rFonts w:hint="eastAsia" w:ascii="黑体" w:hAnsi="黑体" w:eastAsia="黑体"/>
                <w:snapToGrid w:val="0"/>
                <w:color w:val="auto"/>
                <w:spacing w:val="-6"/>
                <w:kern w:val="21"/>
                <w:szCs w:val="21"/>
              </w:rPr>
              <w:t>物</w:t>
            </w:r>
            <w:r>
              <w:rPr>
                <w:rFonts w:ascii="黑体" w:hAnsi="黑体" w:eastAsia="黑体"/>
                <w:snapToGrid w:val="0"/>
                <w:color w:val="auto"/>
                <w:spacing w:val="-6"/>
                <w:kern w:val="21"/>
                <w:szCs w:val="21"/>
              </w:rPr>
              <w:t>产生量）</w:t>
            </w: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3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color w:val="auto"/>
                <w:kern w:val="2"/>
                <w:szCs w:val="21"/>
              </w:rPr>
              <w:t>③</w:t>
            </w:r>
            <w:r>
              <w:rPr>
                <w:rFonts w:ascii="黑体" w:hAnsi="黑体" w:eastAsia="黑体"/>
                <w:snapToGrid w:val="0"/>
                <w:color w:val="auto"/>
                <w:spacing w:val="-6"/>
                <w:kern w:val="21"/>
                <w:szCs w:val="21"/>
              </w:rPr>
              <w:fldChar w:fldCharType="end"/>
            </w:r>
          </w:p>
        </w:tc>
        <w:tc>
          <w:tcPr>
            <w:tcW w:w="1601" w:type="dxa"/>
            <w:tcMar>
              <w:left w:w="28" w:type="dxa"/>
              <w:right w:w="28" w:type="dxa"/>
            </w:tcMar>
            <w:vAlign w:val="center"/>
          </w:tcPr>
          <w:p w14:paraId="0E2FDBA9">
            <w:pPr>
              <w:pStyle w:val="54"/>
              <w:spacing w:beforeLines="0" w:afterLines="0" w:line="240" w:lineRule="auto"/>
              <w:rPr>
                <w:rFonts w:hint="eastAsia" w:ascii="黑体" w:hAnsi="黑体" w:eastAsia="黑体"/>
                <w:snapToGrid w:val="0"/>
                <w:color w:val="auto"/>
                <w:spacing w:val="-6"/>
                <w:kern w:val="21"/>
                <w:szCs w:val="21"/>
              </w:rPr>
            </w:pPr>
            <w:r>
              <w:rPr>
                <w:rFonts w:ascii="黑体" w:hAnsi="黑体" w:eastAsia="黑体"/>
                <w:snapToGrid w:val="0"/>
                <w:color w:val="auto"/>
                <w:spacing w:val="-6"/>
                <w:kern w:val="21"/>
                <w:szCs w:val="21"/>
              </w:rPr>
              <w:t>本项目</w:t>
            </w:r>
          </w:p>
          <w:p w14:paraId="41A147C0">
            <w:pPr>
              <w:pStyle w:val="54"/>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排放量（固</w:t>
            </w:r>
            <w:r>
              <w:rPr>
                <w:rFonts w:hint="eastAsia" w:ascii="黑体" w:hAnsi="黑体" w:eastAsia="黑体"/>
                <w:snapToGrid w:val="0"/>
                <w:color w:val="auto"/>
                <w:spacing w:val="-6"/>
                <w:kern w:val="21"/>
                <w:szCs w:val="21"/>
              </w:rPr>
              <w:t>体</w:t>
            </w:r>
            <w:r>
              <w:rPr>
                <w:rFonts w:ascii="黑体" w:hAnsi="黑体" w:eastAsia="黑体"/>
                <w:snapToGrid w:val="0"/>
                <w:color w:val="auto"/>
                <w:spacing w:val="-6"/>
                <w:kern w:val="21"/>
                <w:szCs w:val="21"/>
              </w:rPr>
              <w:t>废</w:t>
            </w:r>
            <w:r>
              <w:rPr>
                <w:rFonts w:hint="eastAsia" w:ascii="黑体" w:hAnsi="黑体" w:eastAsia="黑体"/>
                <w:snapToGrid w:val="0"/>
                <w:color w:val="auto"/>
                <w:spacing w:val="-6"/>
                <w:kern w:val="21"/>
                <w:szCs w:val="21"/>
              </w:rPr>
              <w:t>物</w:t>
            </w:r>
            <w:r>
              <w:rPr>
                <w:rFonts w:ascii="黑体" w:hAnsi="黑体" w:eastAsia="黑体"/>
                <w:snapToGrid w:val="0"/>
                <w:color w:val="auto"/>
                <w:spacing w:val="-6"/>
                <w:kern w:val="21"/>
                <w:szCs w:val="21"/>
              </w:rPr>
              <w:t>产生量）</w:t>
            </w: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4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color w:val="auto"/>
                <w:kern w:val="2"/>
                <w:szCs w:val="21"/>
              </w:rPr>
              <w:t>④</w:t>
            </w:r>
            <w:r>
              <w:rPr>
                <w:rFonts w:ascii="黑体" w:hAnsi="黑体" w:eastAsia="黑体"/>
                <w:snapToGrid w:val="0"/>
                <w:color w:val="auto"/>
                <w:spacing w:val="-6"/>
                <w:kern w:val="21"/>
                <w:szCs w:val="21"/>
              </w:rPr>
              <w:fldChar w:fldCharType="end"/>
            </w:r>
          </w:p>
        </w:tc>
        <w:tc>
          <w:tcPr>
            <w:tcW w:w="1774" w:type="dxa"/>
            <w:tcMar>
              <w:left w:w="28" w:type="dxa"/>
              <w:right w:w="28" w:type="dxa"/>
            </w:tcMar>
            <w:vAlign w:val="center"/>
          </w:tcPr>
          <w:p w14:paraId="08801767">
            <w:pPr>
              <w:pStyle w:val="54"/>
              <w:spacing w:beforeLines="0" w:afterLines="0" w:line="240" w:lineRule="auto"/>
              <w:rPr>
                <w:rFonts w:hint="eastAsia" w:ascii="黑体" w:hAnsi="黑体" w:eastAsia="黑体"/>
                <w:snapToGrid w:val="0"/>
                <w:color w:val="auto"/>
                <w:spacing w:val="-16"/>
                <w:kern w:val="21"/>
                <w:szCs w:val="21"/>
              </w:rPr>
            </w:pPr>
            <w:r>
              <w:rPr>
                <w:rFonts w:ascii="黑体" w:hAnsi="黑体" w:eastAsia="黑体"/>
                <w:snapToGrid w:val="0"/>
                <w:color w:val="auto"/>
                <w:spacing w:val="-16"/>
                <w:kern w:val="21"/>
                <w:szCs w:val="21"/>
              </w:rPr>
              <w:t>以新带老削减量</w:t>
            </w:r>
          </w:p>
          <w:p w14:paraId="4F2425B3">
            <w:pPr>
              <w:pStyle w:val="54"/>
              <w:spacing w:beforeLines="0" w:afterLines="0" w:line="240" w:lineRule="auto"/>
              <w:rPr>
                <w:rFonts w:ascii="黑体" w:hAnsi="黑体" w:eastAsia="黑体"/>
                <w:snapToGrid w:val="0"/>
                <w:color w:val="auto"/>
                <w:spacing w:val="-16"/>
                <w:kern w:val="21"/>
                <w:szCs w:val="21"/>
              </w:rPr>
            </w:pPr>
            <w:r>
              <w:rPr>
                <w:rFonts w:ascii="黑体" w:hAnsi="黑体" w:eastAsia="黑体"/>
                <w:snapToGrid w:val="0"/>
                <w:color w:val="auto"/>
                <w:spacing w:val="-16"/>
                <w:kern w:val="21"/>
                <w:szCs w:val="21"/>
              </w:rPr>
              <w:t>（新建项目不填）</w:t>
            </w:r>
            <w:r>
              <w:rPr>
                <w:rFonts w:ascii="黑体" w:hAnsi="黑体" w:eastAsia="黑体"/>
                <w:snapToGrid w:val="0"/>
                <w:color w:val="auto"/>
                <w:spacing w:val="-16"/>
                <w:kern w:val="21"/>
                <w:szCs w:val="21"/>
              </w:rPr>
              <w:fldChar w:fldCharType="begin"/>
            </w:r>
            <w:r>
              <w:rPr>
                <w:rFonts w:ascii="黑体" w:hAnsi="黑体" w:eastAsia="黑体"/>
                <w:snapToGrid w:val="0"/>
                <w:color w:val="auto"/>
                <w:spacing w:val="-16"/>
                <w:kern w:val="21"/>
                <w:szCs w:val="21"/>
              </w:rPr>
              <w:instrText xml:space="preserve"> = 5 \* GB3 \* MERGEFORMAT </w:instrText>
            </w:r>
            <w:r>
              <w:rPr>
                <w:rFonts w:ascii="黑体" w:hAnsi="黑体" w:eastAsia="黑体"/>
                <w:snapToGrid w:val="0"/>
                <w:color w:val="auto"/>
                <w:spacing w:val="-16"/>
                <w:kern w:val="21"/>
                <w:szCs w:val="21"/>
              </w:rPr>
              <w:fldChar w:fldCharType="separate"/>
            </w:r>
            <w:r>
              <w:rPr>
                <w:rFonts w:hint="eastAsia" w:ascii="黑体" w:hAnsi="黑体" w:eastAsia="黑体" w:cs="宋体"/>
                <w:color w:val="auto"/>
                <w:kern w:val="2"/>
                <w:szCs w:val="21"/>
              </w:rPr>
              <w:t>⑤</w:t>
            </w:r>
            <w:r>
              <w:rPr>
                <w:rFonts w:ascii="黑体" w:hAnsi="黑体" w:eastAsia="黑体"/>
                <w:snapToGrid w:val="0"/>
                <w:color w:val="auto"/>
                <w:spacing w:val="-16"/>
                <w:kern w:val="21"/>
                <w:szCs w:val="21"/>
              </w:rPr>
              <w:fldChar w:fldCharType="end"/>
            </w:r>
          </w:p>
        </w:tc>
        <w:tc>
          <w:tcPr>
            <w:tcW w:w="1826" w:type="dxa"/>
            <w:tcMar>
              <w:left w:w="28" w:type="dxa"/>
              <w:right w:w="28" w:type="dxa"/>
            </w:tcMar>
            <w:vAlign w:val="center"/>
          </w:tcPr>
          <w:p w14:paraId="3C536095">
            <w:pPr>
              <w:pStyle w:val="54"/>
              <w:spacing w:beforeLines="0" w:afterLines="0" w:line="240" w:lineRule="auto"/>
              <w:rPr>
                <w:rFonts w:hint="eastAsia" w:ascii="黑体" w:hAnsi="黑体" w:eastAsia="黑体"/>
                <w:snapToGrid w:val="0"/>
                <w:color w:val="auto"/>
                <w:spacing w:val="-16"/>
                <w:kern w:val="21"/>
                <w:szCs w:val="21"/>
              </w:rPr>
            </w:pPr>
            <w:r>
              <w:rPr>
                <w:rFonts w:ascii="黑体" w:hAnsi="黑体" w:eastAsia="黑体"/>
                <w:snapToGrid w:val="0"/>
                <w:color w:val="auto"/>
                <w:spacing w:val="-16"/>
                <w:kern w:val="21"/>
                <w:szCs w:val="21"/>
              </w:rPr>
              <w:t>本项目建成后</w:t>
            </w:r>
          </w:p>
          <w:p w14:paraId="3F199B4A">
            <w:pPr>
              <w:pStyle w:val="54"/>
              <w:spacing w:beforeLines="0" w:afterLines="0" w:line="240" w:lineRule="auto"/>
              <w:rPr>
                <w:rFonts w:ascii="黑体" w:hAnsi="黑体" w:eastAsia="黑体"/>
                <w:snapToGrid w:val="0"/>
                <w:color w:val="auto"/>
                <w:spacing w:val="-16"/>
                <w:kern w:val="21"/>
                <w:szCs w:val="21"/>
              </w:rPr>
            </w:pPr>
            <w:r>
              <w:rPr>
                <w:rFonts w:hint="eastAsia" w:ascii="黑体" w:hAnsi="黑体" w:eastAsia="黑体"/>
                <w:snapToGrid w:val="0"/>
                <w:color w:val="auto"/>
                <w:spacing w:val="-16"/>
                <w:kern w:val="21"/>
                <w:szCs w:val="21"/>
              </w:rPr>
              <w:t>全厂</w:t>
            </w:r>
            <w:r>
              <w:rPr>
                <w:rFonts w:ascii="黑体" w:hAnsi="黑体" w:eastAsia="黑体"/>
                <w:snapToGrid w:val="0"/>
                <w:color w:val="auto"/>
                <w:spacing w:val="-16"/>
                <w:kern w:val="21"/>
                <w:szCs w:val="21"/>
              </w:rPr>
              <w:t>排放量（固</w:t>
            </w:r>
            <w:r>
              <w:rPr>
                <w:rFonts w:hint="eastAsia" w:ascii="黑体" w:hAnsi="黑体" w:eastAsia="黑体"/>
                <w:snapToGrid w:val="0"/>
                <w:color w:val="auto"/>
                <w:spacing w:val="-16"/>
                <w:kern w:val="21"/>
                <w:szCs w:val="21"/>
              </w:rPr>
              <w:t>体</w:t>
            </w:r>
            <w:r>
              <w:rPr>
                <w:rFonts w:ascii="黑体" w:hAnsi="黑体" w:eastAsia="黑体"/>
                <w:snapToGrid w:val="0"/>
                <w:color w:val="auto"/>
                <w:spacing w:val="-16"/>
                <w:kern w:val="21"/>
                <w:szCs w:val="21"/>
              </w:rPr>
              <w:t>废</w:t>
            </w:r>
            <w:r>
              <w:rPr>
                <w:rFonts w:hint="eastAsia" w:ascii="黑体" w:hAnsi="黑体" w:eastAsia="黑体"/>
                <w:snapToGrid w:val="0"/>
                <w:color w:val="auto"/>
                <w:spacing w:val="-16"/>
                <w:kern w:val="21"/>
                <w:szCs w:val="21"/>
              </w:rPr>
              <w:t>物</w:t>
            </w:r>
            <w:r>
              <w:rPr>
                <w:rFonts w:ascii="黑体" w:hAnsi="黑体" w:eastAsia="黑体"/>
                <w:snapToGrid w:val="0"/>
                <w:color w:val="auto"/>
                <w:spacing w:val="-16"/>
                <w:kern w:val="21"/>
                <w:szCs w:val="21"/>
              </w:rPr>
              <w:t>产生量）</w:t>
            </w:r>
            <w:r>
              <w:rPr>
                <w:rFonts w:ascii="黑体" w:hAnsi="黑体" w:eastAsia="黑体"/>
                <w:snapToGrid w:val="0"/>
                <w:color w:val="auto"/>
                <w:spacing w:val="-16"/>
                <w:kern w:val="21"/>
                <w:szCs w:val="21"/>
              </w:rPr>
              <w:fldChar w:fldCharType="begin"/>
            </w:r>
            <w:r>
              <w:rPr>
                <w:rFonts w:ascii="黑体" w:hAnsi="黑体" w:eastAsia="黑体"/>
                <w:snapToGrid w:val="0"/>
                <w:color w:val="auto"/>
                <w:spacing w:val="-16"/>
                <w:kern w:val="21"/>
                <w:szCs w:val="21"/>
              </w:rPr>
              <w:instrText xml:space="preserve"> = 6 \* GB3 \* MERGEFORMAT </w:instrText>
            </w:r>
            <w:r>
              <w:rPr>
                <w:rFonts w:ascii="黑体" w:hAnsi="黑体" w:eastAsia="黑体"/>
                <w:snapToGrid w:val="0"/>
                <w:color w:val="auto"/>
                <w:spacing w:val="-16"/>
                <w:kern w:val="21"/>
                <w:szCs w:val="21"/>
              </w:rPr>
              <w:fldChar w:fldCharType="separate"/>
            </w:r>
            <w:r>
              <w:rPr>
                <w:rFonts w:hint="eastAsia" w:ascii="黑体" w:hAnsi="黑体" w:eastAsia="黑体" w:cs="宋体"/>
                <w:color w:val="auto"/>
                <w:kern w:val="2"/>
                <w:szCs w:val="21"/>
              </w:rPr>
              <w:t>⑥</w:t>
            </w:r>
            <w:r>
              <w:rPr>
                <w:rFonts w:ascii="黑体" w:hAnsi="黑体" w:eastAsia="黑体"/>
                <w:snapToGrid w:val="0"/>
                <w:color w:val="auto"/>
                <w:spacing w:val="-16"/>
                <w:kern w:val="21"/>
                <w:szCs w:val="21"/>
              </w:rPr>
              <w:fldChar w:fldCharType="end"/>
            </w:r>
          </w:p>
        </w:tc>
        <w:tc>
          <w:tcPr>
            <w:tcW w:w="1174" w:type="dxa"/>
            <w:tcMar>
              <w:left w:w="28" w:type="dxa"/>
              <w:right w:w="28" w:type="dxa"/>
            </w:tcMar>
            <w:vAlign w:val="center"/>
          </w:tcPr>
          <w:p w14:paraId="11CF3B5B">
            <w:pPr>
              <w:pStyle w:val="54"/>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变化量</w:t>
            </w:r>
          </w:p>
          <w:p w14:paraId="590BCAB5">
            <w:pPr>
              <w:pStyle w:val="54"/>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7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color w:val="auto"/>
                <w:kern w:val="2"/>
                <w:szCs w:val="21"/>
              </w:rPr>
              <w:t>⑦</w:t>
            </w:r>
            <w:r>
              <w:rPr>
                <w:rFonts w:ascii="黑体" w:hAnsi="黑体" w:eastAsia="黑体"/>
                <w:snapToGrid w:val="0"/>
                <w:color w:val="auto"/>
                <w:spacing w:val="-6"/>
                <w:kern w:val="21"/>
                <w:szCs w:val="21"/>
              </w:rPr>
              <w:fldChar w:fldCharType="end"/>
            </w:r>
          </w:p>
        </w:tc>
      </w:tr>
      <w:tr w14:paraId="3467EC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0" w:type="dxa"/>
            <w:vAlign w:val="center"/>
          </w:tcPr>
          <w:p w14:paraId="40C7CEAA">
            <w:pPr>
              <w:pStyle w:val="54"/>
              <w:spacing w:beforeLines="0" w:afterLines="0" w:line="240" w:lineRule="auto"/>
              <w:rPr>
                <w:rFonts w:hint="eastAsia" w:hAnsi="宋体" w:cs="宋体"/>
                <w:snapToGrid w:val="0"/>
                <w:color w:val="auto"/>
                <w:kern w:val="21"/>
                <w:szCs w:val="21"/>
              </w:rPr>
            </w:pPr>
            <w:r>
              <w:rPr>
                <w:rFonts w:hint="eastAsia" w:hAnsi="宋体" w:cs="宋体"/>
                <w:snapToGrid w:val="0"/>
                <w:color w:val="auto"/>
                <w:kern w:val="21"/>
                <w:szCs w:val="21"/>
              </w:rPr>
              <w:t>废气</w:t>
            </w:r>
          </w:p>
        </w:tc>
        <w:tc>
          <w:tcPr>
            <w:tcW w:w="1261" w:type="dxa"/>
            <w:vAlign w:val="center"/>
          </w:tcPr>
          <w:p w14:paraId="57ED0352">
            <w:pPr>
              <w:pStyle w:val="51"/>
              <w:bidi w:val="0"/>
              <w:ind w:firstLine="0" w:firstLineChars="0"/>
              <w:rPr>
                <w:rFonts w:hint="default"/>
                <w:color w:val="auto"/>
                <w:lang w:val="en-US" w:eastAsia="zh-CN"/>
              </w:rPr>
            </w:pPr>
            <w:r>
              <w:rPr>
                <w:rFonts w:hint="eastAsia"/>
                <w:color w:val="auto"/>
                <w:lang w:val="en-US" w:eastAsia="zh-CN"/>
              </w:rPr>
              <w:t>生产车间</w:t>
            </w:r>
          </w:p>
        </w:tc>
        <w:tc>
          <w:tcPr>
            <w:tcW w:w="1160" w:type="dxa"/>
            <w:vAlign w:val="center"/>
          </w:tcPr>
          <w:p w14:paraId="225B3C70">
            <w:pPr>
              <w:keepNext w:val="0"/>
              <w:keepLines w:val="0"/>
              <w:widowControl/>
              <w:suppressLineNumbers w:val="0"/>
              <w:jc w:val="center"/>
              <w:textAlignment w:val="center"/>
              <w:rPr>
                <w:rFonts w:hint="default" w:eastAsia="宋体"/>
                <w:color w:val="auto"/>
                <w:lang w:val="en-US" w:eastAsia="zh-CN"/>
              </w:rPr>
            </w:pPr>
            <w:r>
              <w:rPr>
                <w:rFonts w:hint="eastAsia"/>
                <w:color w:val="auto"/>
                <w:lang w:val="en-US" w:eastAsia="zh-CN"/>
              </w:rPr>
              <w:t>颗粒物</w:t>
            </w:r>
          </w:p>
        </w:tc>
        <w:tc>
          <w:tcPr>
            <w:tcW w:w="1707" w:type="dxa"/>
            <w:vAlign w:val="center"/>
          </w:tcPr>
          <w:p w14:paraId="314DE133">
            <w:pPr>
              <w:pStyle w:val="51"/>
              <w:bidi w:val="0"/>
              <w:ind w:firstLine="0" w:firstLineChars="0"/>
              <w:rPr>
                <w:rFonts w:hint="default"/>
                <w:color w:val="auto"/>
                <w:lang w:val="en-US" w:eastAsia="zh-CN"/>
              </w:rPr>
            </w:pPr>
            <w:r>
              <w:rPr>
                <w:rFonts w:hint="eastAsia"/>
                <w:color w:val="auto"/>
                <w:lang w:val="en-US" w:eastAsia="zh-CN"/>
              </w:rPr>
              <w:t>0</w:t>
            </w:r>
          </w:p>
        </w:tc>
        <w:tc>
          <w:tcPr>
            <w:tcW w:w="1287" w:type="dxa"/>
            <w:vAlign w:val="center"/>
          </w:tcPr>
          <w:p w14:paraId="27CA37CE">
            <w:pPr>
              <w:pStyle w:val="51"/>
              <w:bidi w:val="0"/>
              <w:ind w:firstLine="0" w:firstLineChars="0"/>
              <w:rPr>
                <w:rFonts w:hint="eastAsia"/>
                <w:color w:val="auto"/>
                <w:lang w:val="en-US" w:eastAsia="zh-CN"/>
              </w:rPr>
            </w:pPr>
            <w:r>
              <w:rPr>
                <w:rFonts w:hint="eastAsia" w:ascii="Times New Roman" w:hAnsi="Times New Roman" w:eastAsia="宋体" w:cs="Times New Roman"/>
                <w:color w:val="auto"/>
                <w:kern w:val="2"/>
                <w:sz w:val="21"/>
                <w:szCs w:val="21"/>
                <w:lang w:val="en-US" w:eastAsia="zh-CN" w:bidi="ar-SA"/>
              </w:rPr>
              <w:t>/</w:t>
            </w:r>
          </w:p>
        </w:tc>
        <w:tc>
          <w:tcPr>
            <w:tcW w:w="1733" w:type="dxa"/>
            <w:vAlign w:val="center"/>
          </w:tcPr>
          <w:p w14:paraId="1E1E66B2">
            <w:pPr>
              <w:pStyle w:val="51"/>
              <w:bidi w:val="0"/>
              <w:ind w:firstLine="0" w:firstLineChars="0"/>
              <w:rPr>
                <w:rFonts w:hint="eastAsia"/>
                <w:color w:val="auto"/>
                <w:lang w:val="en-US" w:eastAsia="zh-CN"/>
              </w:rPr>
            </w:pPr>
            <w:r>
              <w:rPr>
                <w:rFonts w:hint="eastAsia" w:ascii="Times New Roman" w:hAnsi="Times New Roman" w:eastAsia="宋体" w:cs="Times New Roman"/>
                <w:color w:val="auto"/>
                <w:kern w:val="2"/>
                <w:sz w:val="21"/>
                <w:szCs w:val="21"/>
                <w:lang w:val="en-US" w:eastAsia="zh-CN" w:bidi="ar-SA"/>
              </w:rPr>
              <w:t>/</w:t>
            </w:r>
          </w:p>
        </w:tc>
        <w:tc>
          <w:tcPr>
            <w:tcW w:w="1601" w:type="dxa"/>
            <w:vAlign w:val="center"/>
          </w:tcPr>
          <w:p w14:paraId="0871252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0.047</w:t>
            </w:r>
            <w:r>
              <w:rPr>
                <w:rFonts w:hint="eastAsia" w:cs="Times New Roman"/>
                <w:color w:val="auto"/>
                <w:kern w:val="2"/>
                <w:sz w:val="21"/>
                <w:szCs w:val="21"/>
                <w:lang w:val="en-US" w:eastAsia="zh-CN" w:bidi="ar-SA"/>
              </w:rPr>
              <w:t>t/a</w:t>
            </w:r>
          </w:p>
        </w:tc>
        <w:tc>
          <w:tcPr>
            <w:tcW w:w="1774" w:type="dxa"/>
            <w:vAlign w:val="center"/>
          </w:tcPr>
          <w:p w14:paraId="5D3DA1F4">
            <w:pPr>
              <w:pStyle w:val="51"/>
              <w:bidi w:val="0"/>
              <w:ind w:firstLine="0" w:firstLineChars="0"/>
              <w:rPr>
                <w:rFonts w:hint="default"/>
                <w:color w:val="auto"/>
                <w:lang w:val="en-US" w:eastAsia="zh-CN"/>
              </w:rPr>
            </w:pPr>
            <w:r>
              <w:rPr>
                <w:rFonts w:hint="eastAsia"/>
                <w:color w:val="auto"/>
                <w:lang w:val="en-US" w:eastAsia="zh-CN"/>
              </w:rPr>
              <w:t>0</w:t>
            </w:r>
          </w:p>
        </w:tc>
        <w:tc>
          <w:tcPr>
            <w:tcW w:w="1826" w:type="dxa"/>
            <w:vAlign w:val="center"/>
          </w:tcPr>
          <w:p w14:paraId="609F81B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0.047</w:t>
            </w:r>
            <w:r>
              <w:rPr>
                <w:rFonts w:hint="eastAsia" w:cs="Times New Roman"/>
                <w:color w:val="auto"/>
                <w:kern w:val="2"/>
                <w:sz w:val="21"/>
                <w:szCs w:val="21"/>
                <w:lang w:val="en-US" w:eastAsia="zh-CN" w:bidi="ar-SA"/>
              </w:rPr>
              <w:t>t/a</w:t>
            </w:r>
          </w:p>
        </w:tc>
        <w:tc>
          <w:tcPr>
            <w:tcW w:w="1174" w:type="dxa"/>
            <w:vAlign w:val="center"/>
          </w:tcPr>
          <w:p w14:paraId="05D592C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0.047</w:t>
            </w:r>
            <w:r>
              <w:rPr>
                <w:rFonts w:hint="eastAsia" w:cs="Times New Roman"/>
                <w:color w:val="auto"/>
                <w:kern w:val="2"/>
                <w:sz w:val="21"/>
                <w:szCs w:val="21"/>
                <w:lang w:val="en-US" w:eastAsia="zh-CN" w:bidi="ar-SA"/>
              </w:rPr>
              <w:t>t/a</w:t>
            </w:r>
          </w:p>
        </w:tc>
      </w:tr>
      <w:tr w14:paraId="7790D7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0" w:type="dxa"/>
            <w:vAlign w:val="center"/>
          </w:tcPr>
          <w:p w14:paraId="61A92693">
            <w:pPr>
              <w:pStyle w:val="54"/>
              <w:spacing w:beforeLines="0" w:afterLines="0" w:line="240" w:lineRule="auto"/>
              <w:rPr>
                <w:rFonts w:hint="eastAsia" w:hAnsi="宋体" w:cs="宋体"/>
                <w:snapToGrid w:val="0"/>
                <w:color w:val="auto"/>
                <w:kern w:val="21"/>
                <w:szCs w:val="21"/>
              </w:rPr>
            </w:pPr>
            <w:r>
              <w:rPr>
                <w:rFonts w:hint="eastAsia" w:hAnsi="宋体" w:cs="宋体"/>
                <w:snapToGrid w:val="0"/>
                <w:color w:val="auto"/>
                <w:kern w:val="21"/>
                <w:szCs w:val="21"/>
              </w:rPr>
              <w:t>废水</w:t>
            </w:r>
          </w:p>
        </w:tc>
        <w:tc>
          <w:tcPr>
            <w:tcW w:w="2421" w:type="dxa"/>
            <w:gridSpan w:val="2"/>
            <w:vAlign w:val="center"/>
          </w:tcPr>
          <w:p w14:paraId="28CEFB83">
            <w:pPr>
              <w:pStyle w:val="51"/>
              <w:bidi w:val="0"/>
              <w:ind w:firstLine="0" w:firstLineChars="0"/>
              <w:rPr>
                <w:rFonts w:hint="default"/>
                <w:color w:val="auto"/>
                <w:lang w:val="en-US" w:eastAsia="zh-CN"/>
              </w:rPr>
            </w:pPr>
            <w:r>
              <w:rPr>
                <w:rFonts w:hint="eastAsia"/>
                <w:color w:val="auto"/>
                <w:lang w:val="en-US" w:eastAsia="zh-CN"/>
              </w:rPr>
              <w:t>生活污水</w:t>
            </w:r>
          </w:p>
        </w:tc>
        <w:tc>
          <w:tcPr>
            <w:tcW w:w="1707" w:type="dxa"/>
            <w:vAlign w:val="center"/>
          </w:tcPr>
          <w:p w14:paraId="0C9DF781">
            <w:pPr>
              <w:pStyle w:val="51"/>
              <w:bidi w:val="0"/>
              <w:ind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w:t>
            </w:r>
          </w:p>
        </w:tc>
        <w:tc>
          <w:tcPr>
            <w:tcW w:w="1287" w:type="dxa"/>
            <w:vAlign w:val="center"/>
          </w:tcPr>
          <w:p w14:paraId="505CC8B4">
            <w:pPr>
              <w:bidi w:val="0"/>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p>
        </w:tc>
        <w:tc>
          <w:tcPr>
            <w:tcW w:w="1733" w:type="dxa"/>
            <w:vAlign w:val="center"/>
          </w:tcPr>
          <w:p w14:paraId="1788830A">
            <w:pPr>
              <w:bidi w:val="0"/>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p>
        </w:tc>
        <w:tc>
          <w:tcPr>
            <w:tcW w:w="1601" w:type="dxa"/>
            <w:vAlign w:val="center"/>
          </w:tcPr>
          <w:p w14:paraId="0316BCE1">
            <w:pPr>
              <w:pStyle w:val="51"/>
              <w:bidi w:val="0"/>
              <w:ind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122.4t/a</w:t>
            </w:r>
          </w:p>
        </w:tc>
        <w:tc>
          <w:tcPr>
            <w:tcW w:w="1774" w:type="dxa"/>
            <w:vAlign w:val="center"/>
          </w:tcPr>
          <w:p w14:paraId="0B7E7273">
            <w:pPr>
              <w:pStyle w:val="51"/>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w:t>
            </w:r>
          </w:p>
        </w:tc>
        <w:tc>
          <w:tcPr>
            <w:tcW w:w="1826" w:type="dxa"/>
            <w:vAlign w:val="center"/>
          </w:tcPr>
          <w:p w14:paraId="139320EA">
            <w:pPr>
              <w:pStyle w:val="51"/>
              <w:bidi w:val="0"/>
              <w:ind w:firstLine="0" w:firstLineChars="0"/>
              <w:rPr>
                <w:rFonts w:hint="default" w:ascii="Times New Roman" w:hAnsi="Times New Roman" w:eastAsia="宋体" w:cs="Times New Roman"/>
                <w:color w:val="auto"/>
                <w:lang w:val="en-US" w:eastAsia="zh-CN"/>
              </w:rPr>
            </w:pPr>
            <w:r>
              <w:rPr>
                <w:rFonts w:hint="eastAsia" w:cs="Times New Roman"/>
                <w:color w:val="auto"/>
                <w:kern w:val="2"/>
                <w:sz w:val="21"/>
                <w:szCs w:val="21"/>
                <w:lang w:val="en-US" w:eastAsia="zh-CN" w:bidi="ar-SA"/>
              </w:rPr>
              <w:t>122.4t/a</w:t>
            </w:r>
          </w:p>
        </w:tc>
        <w:tc>
          <w:tcPr>
            <w:tcW w:w="1174" w:type="dxa"/>
            <w:vAlign w:val="center"/>
          </w:tcPr>
          <w:p w14:paraId="6E4EA3BA">
            <w:pPr>
              <w:pStyle w:val="51"/>
              <w:bidi w:val="0"/>
              <w:ind w:firstLine="0" w:firstLineChars="0"/>
              <w:rPr>
                <w:rFonts w:hint="default" w:ascii="Times New Roman" w:hAnsi="Times New Roman" w:eastAsia="宋体" w:cs="Times New Roman"/>
                <w:color w:val="auto"/>
                <w:lang w:val="en-US" w:eastAsia="zh-CN"/>
              </w:rPr>
            </w:pPr>
            <w:r>
              <w:rPr>
                <w:rFonts w:hint="eastAsia" w:cs="Times New Roman"/>
                <w:color w:val="auto"/>
                <w:kern w:val="2"/>
                <w:sz w:val="21"/>
                <w:szCs w:val="21"/>
                <w:lang w:val="en-US" w:eastAsia="zh-CN" w:bidi="ar-SA"/>
              </w:rPr>
              <w:t>122.4t/a</w:t>
            </w:r>
          </w:p>
        </w:tc>
      </w:tr>
      <w:tr w14:paraId="57DF34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0" w:type="dxa"/>
            <w:vMerge w:val="restart"/>
            <w:vAlign w:val="center"/>
          </w:tcPr>
          <w:p w14:paraId="33B070BC">
            <w:pPr>
              <w:pStyle w:val="54"/>
              <w:spacing w:beforeLines="0" w:afterLines="0" w:line="240" w:lineRule="auto"/>
              <w:rPr>
                <w:rFonts w:hint="eastAsia" w:hAnsi="宋体" w:cs="宋体"/>
                <w:snapToGrid w:val="0"/>
                <w:color w:val="auto"/>
                <w:kern w:val="21"/>
                <w:szCs w:val="21"/>
              </w:rPr>
            </w:pPr>
            <w:r>
              <w:rPr>
                <w:rFonts w:hint="eastAsia" w:hAnsi="宋体" w:cs="宋体"/>
                <w:snapToGrid w:val="0"/>
                <w:color w:val="auto"/>
                <w:kern w:val="21"/>
                <w:szCs w:val="21"/>
              </w:rPr>
              <w:t>工业固体废物</w:t>
            </w:r>
          </w:p>
        </w:tc>
        <w:tc>
          <w:tcPr>
            <w:tcW w:w="2421" w:type="dxa"/>
            <w:gridSpan w:val="2"/>
            <w:vAlign w:val="center"/>
          </w:tcPr>
          <w:p w14:paraId="07683A53">
            <w:pPr>
              <w:pStyle w:val="51"/>
              <w:bidi w:val="0"/>
              <w:ind w:firstLine="0" w:firstLineChars="0"/>
              <w:jc w:val="center"/>
              <w:rPr>
                <w:rFonts w:hint="default"/>
                <w:color w:val="auto"/>
                <w:lang w:val="en-US" w:eastAsia="zh-CN"/>
              </w:rPr>
            </w:pPr>
            <w:r>
              <w:rPr>
                <w:rFonts w:hint="eastAsia"/>
                <w:color w:val="auto"/>
                <w:lang w:val="en-US" w:eastAsia="zh-CN"/>
              </w:rPr>
              <w:t>收尘灰</w:t>
            </w:r>
          </w:p>
        </w:tc>
        <w:tc>
          <w:tcPr>
            <w:tcW w:w="1707" w:type="dxa"/>
            <w:vAlign w:val="center"/>
          </w:tcPr>
          <w:p w14:paraId="0A23CE1D">
            <w:pPr>
              <w:tabs>
                <w:tab w:val="left" w:pos="2700"/>
                <w:tab w:val="left" w:pos="6300"/>
              </w:tabs>
              <w:adjustRightInd/>
              <w:snapToGrid/>
              <w:spacing w:line="280" w:lineRule="exact"/>
              <w:ind w:firstLine="0" w:firstLineChars="0"/>
              <w:jc w:val="center"/>
              <w:rPr>
                <w:rFonts w:hint="default"/>
                <w:color w:val="auto"/>
                <w:lang w:val="en-US" w:eastAsia="zh-CN"/>
              </w:rPr>
            </w:pPr>
            <w:r>
              <w:rPr>
                <w:rFonts w:hint="eastAsia"/>
                <w:color w:val="auto"/>
                <w:lang w:val="en-US" w:eastAsia="zh-CN"/>
              </w:rPr>
              <w:t>0</w:t>
            </w:r>
          </w:p>
        </w:tc>
        <w:tc>
          <w:tcPr>
            <w:tcW w:w="1287" w:type="dxa"/>
            <w:vAlign w:val="center"/>
          </w:tcPr>
          <w:p w14:paraId="41D01010">
            <w:pPr>
              <w:bidi w:val="0"/>
              <w:ind w:firstLine="0" w:firstLineChars="0"/>
              <w:jc w:val="center"/>
              <w:rPr>
                <w:rFonts w:hint="eastAsia"/>
                <w:color w:val="auto"/>
                <w:lang w:val="en-US" w:eastAsia="zh-CN"/>
              </w:rPr>
            </w:pPr>
            <w:r>
              <w:rPr>
                <w:rFonts w:hint="eastAsia" w:ascii="Times New Roman" w:hAnsi="Times New Roman" w:eastAsia="宋体" w:cs="Times New Roman"/>
                <w:color w:val="auto"/>
                <w:kern w:val="2"/>
                <w:sz w:val="21"/>
                <w:szCs w:val="21"/>
                <w:lang w:val="en-US" w:eastAsia="zh-CN" w:bidi="ar-SA"/>
              </w:rPr>
              <w:t>/</w:t>
            </w:r>
          </w:p>
        </w:tc>
        <w:tc>
          <w:tcPr>
            <w:tcW w:w="1733" w:type="dxa"/>
            <w:vAlign w:val="center"/>
          </w:tcPr>
          <w:p w14:paraId="5BDDD9DC">
            <w:pPr>
              <w:bidi w:val="0"/>
              <w:ind w:firstLine="0" w:firstLineChars="0"/>
              <w:jc w:val="center"/>
              <w:rPr>
                <w:rFonts w:hint="eastAsia"/>
                <w:color w:val="auto"/>
                <w:lang w:val="en-US" w:eastAsia="zh-CN"/>
              </w:rPr>
            </w:pPr>
            <w:r>
              <w:rPr>
                <w:rFonts w:hint="eastAsia" w:ascii="Times New Roman" w:hAnsi="Times New Roman" w:eastAsia="宋体" w:cs="Times New Roman"/>
                <w:color w:val="auto"/>
                <w:kern w:val="2"/>
                <w:sz w:val="21"/>
                <w:szCs w:val="21"/>
                <w:lang w:val="en-US" w:eastAsia="zh-CN" w:bidi="ar-SA"/>
              </w:rPr>
              <w:t>/</w:t>
            </w:r>
          </w:p>
        </w:tc>
        <w:tc>
          <w:tcPr>
            <w:tcW w:w="1601" w:type="dxa"/>
            <w:vAlign w:val="center"/>
          </w:tcPr>
          <w:p w14:paraId="7C066763">
            <w:pPr>
              <w:pStyle w:val="51"/>
              <w:bidi w:val="0"/>
              <w:ind w:firstLine="0" w:firstLineChars="0"/>
              <w:jc w:val="center"/>
              <w:rPr>
                <w:rFonts w:hint="default"/>
                <w:color w:val="auto"/>
                <w:lang w:val="en-US" w:eastAsia="zh-CN"/>
              </w:rPr>
            </w:pPr>
            <w:r>
              <w:rPr>
                <w:rFonts w:hint="eastAsia"/>
                <w:color w:val="auto"/>
                <w:lang w:val="en-US" w:eastAsia="zh-CN"/>
              </w:rPr>
              <w:t>4.72</w:t>
            </w:r>
            <w:r>
              <w:rPr>
                <w:rFonts w:hint="eastAsia" w:cs="Times New Roman"/>
                <w:color w:val="auto"/>
                <w:kern w:val="2"/>
                <w:sz w:val="21"/>
                <w:szCs w:val="21"/>
                <w:lang w:val="en-US" w:eastAsia="zh-CN" w:bidi="ar-SA"/>
              </w:rPr>
              <w:t>t/a</w:t>
            </w:r>
          </w:p>
        </w:tc>
        <w:tc>
          <w:tcPr>
            <w:tcW w:w="1774" w:type="dxa"/>
            <w:vAlign w:val="center"/>
          </w:tcPr>
          <w:p w14:paraId="25A13D96">
            <w:pPr>
              <w:bidi w:val="0"/>
              <w:ind w:firstLine="0" w:firstLineChars="0"/>
              <w:jc w:val="center"/>
              <w:rPr>
                <w:rFonts w:hint="default"/>
                <w:color w:val="auto"/>
                <w:lang w:val="en-US" w:eastAsia="zh-CN"/>
              </w:rPr>
            </w:pPr>
            <w:r>
              <w:rPr>
                <w:rFonts w:hint="eastAsia"/>
                <w:color w:val="auto"/>
                <w:lang w:val="en-US" w:eastAsia="zh-CN"/>
              </w:rPr>
              <w:t>0</w:t>
            </w:r>
          </w:p>
        </w:tc>
        <w:tc>
          <w:tcPr>
            <w:tcW w:w="1826" w:type="dxa"/>
            <w:vAlign w:val="center"/>
          </w:tcPr>
          <w:p w14:paraId="18CA7CAD">
            <w:pPr>
              <w:pStyle w:val="51"/>
              <w:bidi w:val="0"/>
              <w:ind w:firstLine="0" w:firstLineChars="0"/>
              <w:jc w:val="center"/>
              <w:rPr>
                <w:rFonts w:hint="default"/>
                <w:color w:val="auto"/>
                <w:lang w:val="en-US" w:eastAsia="zh-CN"/>
              </w:rPr>
            </w:pPr>
            <w:r>
              <w:rPr>
                <w:rFonts w:hint="eastAsia"/>
                <w:color w:val="auto"/>
                <w:lang w:val="en-US" w:eastAsia="zh-CN"/>
              </w:rPr>
              <w:t>4.72</w:t>
            </w:r>
            <w:r>
              <w:rPr>
                <w:rFonts w:hint="eastAsia" w:cs="Times New Roman"/>
                <w:color w:val="auto"/>
                <w:kern w:val="2"/>
                <w:sz w:val="21"/>
                <w:szCs w:val="21"/>
                <w:lang w:val="en-US" w:eastAsia="zh-CN" w:bidi="ar-SA"/>
              </w:rPr>
              <w:t>t/a</w:t>
            </w:r>
          </w:p>
        </w:tc>
        <w:tc>
          <w:tcPr>
            <w:tcW w:w="1174" w:type="dxa"/>
            <w:vAlign w:val="center"/>
          </w:tcPr>
          <w:p w14:paraId="28AF17D6">
            <w:pPr>
              <w:pStyle w:val="51"/>
              <w:bidi w:val="0"/>
              <w:ind w:firstLine="0" w:firstLineChars="0"/>
              <w:jc w:val="center"/>
              <w:rPr>
                <w:rFonts w:hint="default"/>
                <w:color w:val="auto"/>
                <w:lang w:val="en-US" w:eastAsia="zh-CN"/>
              </w:rPr>
            </w:pPr>
            <w:r>
              <w:rPr>
                <w:rFonts w:hint="eastAsia"/>
                <w:color w:val="auto"/>
                <w:lang w:val="en-US" w:eastAsia="zh-CN"/>
              </w:rPr>
              <w:t>4.72</w:t>
            </w:r>
            <w:r>
              <w:rPr>
                <w:rFonts w:hint="eastAsia" w:cs="Times New Roman"/>
                <w:color w:val="auto"/>
                <w:kern w:val="2"/>
                <w:sz w:val="21"/>
                <w:szCs w:val="21"/>
                <w:lang w:val="en-US" w:eastAsia="zh-CN" w:bidi="ar-SA"/>
              </w:rPr>
              <w:t>t/a</w:t>
            </w:r>
          </w:p>
        </w:tc>
      </w:tr>
      <w:tr w14:paraId="0E749A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0" w:type="dxa"/>
            <w:vMerge w:val="continue"/>
            <w:vAlign w:val="center"/>
          </w:tcPr>
          <w:p w14:paraId="6976F7A9">
            <w:pPr>
              <w:pStyle w:val="51"/>
              <w:bidi w:val="0"/>
              <w:ind w:firstLine="0" w:firstLineChars="0"/>
              <w:rPr>
                <w:color w:val="auto"/>
              </w:rPr>
            </w:pPr>
          </w:p>
        </w:tc>
        <w:tc>
          <w:tcPr>
            <w:tcW w:w="2421" w:type="dxa"/>
            <w:gridSpan w:val="2"/>
            <w:vAlign w:val="center"/>
          </w:tcPr>
          <w:p w14:paraId="3254B6A0">
            <w:pPr>
              <w:pStyle w:val="51"/>
              <w:bidi w:val="0"/>
              <w:ind w:firstLine="0" w:firstLineChars="0"/>
              <w:jc w:val="center"/>
              <w:rPr>
                <w:rFonts w:hint="default"/>
                <w:color w:val="auto"/>
                <w:lang w:val="en-US" w:eastAsia="zh-CN"/>
              </w:rPr>
            </w:pPr>
            <w:r>
              <w:rPr>
                <w:rFonts w:hint="eastAsia"/>
                <w:color w:val="auto"/>
                <w:lang w:val="en-US" w:eastAsia="zh-CN"/>
              </w:rPr>
              <w:t>废除尘袋</w:t>
            </w:r>
          </w:p>
        </w:tc>
        <w:tc>
          <w:tcPr>
            <w:tcW w:w="1707" w:type="dxa"/>
            <w:vAlign w:val="center"/>
          </w:tcPr>
          <w:p w14:paraId="2FAFAA9F">
            <w:pPr>
              <w:tabs>
                <w:tab w:val="left" w:pos="2700"/>
                <w:tab w:val="left" w:pos="6300"/>
              </w:tabs>
              <w:adjustRightInd/>
              <w:snapToGrid/>
              <w:spacing w:line="280" w:lineRule="exact"/>
              <w:ind w:firstLine="0" w:firstLineChars="0"/>
              <w:jc w:val="center"/>
              <w:rPr>
                <w:rFonts w:hint="default"/>
                <w:color w:val="auto"/>
                <w:lang w:val="en-US" w:eastAsia="zh-CN"/>
              </w:rPr>
            </w:pPr>
            <w:r>
              <w:rPr>
                <w:rFonts w:hint="eastAsia"/>
                <w:color w:val="auto"/>
                <w:lang w:val="en-US" w:eastAsia="zh-CN"/>
              </w:rPr>
              <w:t>0</w:t>
            </w:r>
          </w:p>
        </w:tc>
        <w:tc>
          <w:tcPr>
            <w:tcW w:w="1287" w:type="dxa"/>
            <w:vAlign w:val="center"/>
          </w:tcPr>
          <w:p w14:paraId="2A271CDF">
            <w:pPr>
              <w:pStyle w:val="51"/>
              <w:bidi w:val="0"/>
              <w:ind w:firstLine="0" w:firstLineChars="0"/>
              <w:rPr>
                <w:rFonts w:hint="default"/>
                <w:color w:val="auto"/>
                <w:lang w:val="en-US" w:eastAsia="zh-CN"/>
              </w:rPr>
            </w:pPr>
            <w:r>
              <w:rPr>
                <w:rFonts w:hint="eastAsia" w:ascii="Times New Roman" w:hAnsi="Times New Roman" w:eastAsia="宋体" w:cs="Times New Roman"/>
                <w:color w:val="auto"/>
                <w:kern w:val="2"/>
                <w:sz w:val="21"/>
                <w:szCs w:val="21"/>
                <w:lang w:val="en-US" w:eastAsia="zh-CN" w:bidi="ar-SA"/>
              </w:rPr>
              <w:t>/</w:t>
            </w:r>
          </w:p>
        </w:tc>
        <w:tc>
          <w:tcPr>
            <w:tcW w:w="1733" w:type="dxa"/>
            <w:vAlign w:val="center"/>
          </w:tcPr>
          <w:p w14:paraId="341287A3">
            <w:pPr>
              <w:pStyle w:val="51"/>
              <w:bidi w:val="0"/>
              <w:ind w:firstLine="0" w:firstLineChars="0"/>
              <w:rPr>
                <w:rFonts w:hint="default"/>
                <w:color w:val="auto"/>
                <w:lang w:val="en-US" w:eastAsia="zh-CN"/>
              </w:rPr>
            </w:pPr>
            <w:r>
              <w:rPr>
                <w:rFonts w:hint="eastAsia" w:ascii="Times New Roman" w:hAnsi="Times New Roman" w:eastAsia="宋体" w:cs="Times New Roman"/>
                <w:color w:val="auto"/>
                <w:kern w:val="2"/>
                <w:sz w:val="21"/>
                <w:szCs w:val="21"/>
                <w:lang w:val="en-US" w:eastAsia="zh-CN" w:bidi="ar-SA"/>
              </w:rPr>
              <w:t>/</w:t>
            </w:r>
          </w:p>
        </w:tc>
        <w:tc>
          <w:tcPr>
            <w:tcW w:w="1601" w:type="dxa"/>
            <w:vAlign w:val="center"/>
          </w:tcPr>
          <w:p w14:paraId="274D84CF">
            <w:pPr>
              <w:pStyle w:val="51"/>
              <w:bidi w:val="0"/>
              <w:ind w:firstLine="0" w:firstLineChars="0"/>
              <w:jc w:val="center"/>
              <w:rPr>
                <w:rFonts w:hint="default"/>
                <w:color w:val="auto"/>
                <w:lang w:val="en-US" w:eastAsia="zh-CN"/>
              </w:rPr>
            </w:pPr>
            <w:r>
              <w:rPr>
                <w:rFonts w:hint="eastAsia"/>
                <w:color w:val="auto"/>
                <w:lang w:val="en-US" w:eastAsia="zh-CN"/>
              </w:rPr>
              <w:t>0.1</w:t>
            </w:r>
            <w:r>
              <w:rPr>
                <w:rFonts w:hint="eastAsia" w:cs="Times New Roman"/>
                <w:color w:val="auto"/>
                <w:kern w:val="2"/>
                <w:sz w:val="21"/>
                <w:szCs w:val="21"/>
                <w:lang w:val="en-US" w:eastAsia="zh-CN" w:bidi="ar-SA"/>
              </w:rPr>
              <w:t>t/a</w:t>
            </w:r>
          </w:p>
        </w:tc>
        <w:tc>
          <w:tcPr>
            <w:tcW w:w="1774" w:type="dxa"/>
            <w:vAlign w:val="center"/>
          </w:tcPr>
          <w:p w14:paraId="488E218C">
            <w:pPr>
              <w:bidi w:val="0"/>
              <w:ind w:firstLine="0" w:firstLineChars="0"/>
              <w:jc w:val="center"/>
              <w:rPr>
                <w:rFonts w:hint="default"/>
                <w:color w:val="auto"/>
                <w:lang w:val="en-US" w:eastAsia="zh-CN"/>
              </w:rPr>
            </w:pPr>
            <w:r>
              <w:rPr>
                <w:rFonts w:hint="eastAsia"/>
                <w:color w:val="auto"/>
                <w:lang w:val="en-US" w:eastAsia="zh-CN"/>
              </w:rPr>
              <w:t>0</w:t>
            </w:r>
          </w:p>
        </w:tc>
        <w:tc>
          <w:tcPr>
            <w:tcW w:w="1826" w:type="dxa"/>
            <w:vAlign w:val="center"/>
          </w:tcPr>
          <w:p w14:paraId="400B5169">
            <w:pPr>
              <w:pStyle w:val="51"/>
              <w:bidi w:val="0"/>
              <w:ind w:firstLine="0" w:firstLineChars="0"/>
              <w:jc w:val="center"/>
              <w:rPr>
                <w:rFonts w:hint="default"/>
                <w:color w:val="auto"/>
                <w:lang w:val="en-US" w:eastAsia="zh-CN"/>
              </w:rPr>
            </w:pPr>
            <w:r>
              <w:rPr>
                <w:rFonts w:hint="eastAsia"/>
                <w:color w:val="auto"/>
                <w:lang w:val="en-US" w:eastAsia="zh-CN"/>
              </w:rPr>
              <w:t>0.1</w:t>
            </w:r>
            <w:r>
              <w:rPr>
                <w:rFonts w:hint="eastAsia" w:cs="Times New Roman"/>
                <w:color w:val="auto"/>
                <w:kern w:val="2"/>
                <w:sz w:val="21"/>
                <w:szCs w:val="21"/>
                <w:lang w:val="en-US" w:eastAsia="zh-CN" w:bidi="ar-SA"/>
              </w:rPr>
              <w:t>t/a</w:t>
            </w:r>
          </w:p>
        </w:tc>
        <w:tc>
          <w:tcPr>
            <w:tcW w:w="1174" w:type="dxa"/>
            <w:vAlign w:val="center"/>
          </w:tcPr>
          <w:p w14:paraId="67407818">
            <w:pPr>
              <w:pStyle w:val="51"/>
              <w:bidi w:val="0"/>
              <w:ind w:firstLine="0" w:firstLineChars="0"/>
              <w:jc w:val="center"/>
              <w:rPr>
                <w:rFonts w:hint="default"/>
                <w:color w:val="auto"/>
                <w:lang w:val="en-US" w:eastAsia="zh-CN"/>
              </w:rPr>
            </w:pPr>
            <w:r>
              <w:rPr>
                <w:rFonts w:hint="eastAsia"/>
                <w:color w:val="auto"/>
                <w:lang w:val="en-US" w:eastAsia="zh-CN"/>
              </w:rPr>
              <w:t>0.1</w:t>
            </w:r>
            <w:r>
              <w:rPr>
                <w:rFonts w:hint="eastAsia" w:cs="Times New Roman"/>
                <w:color w:val="auto"/>
                <w:kern w:val="2"/>
                <w:sz w:val="21"/>
                <w:szCs w:val="21"/>
                <w:lang w:val="en-US" w:eastAsia="zh-CN" w:bidi="ar-SA"/>
              </w:rPr>
              <w:t>t/a</w:t>
            </w:r>
          </w:p>
        </w:tc>
      </w:tr>
      <w:tr w14:paraId="137406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0" w:type="dxa"/>
            <w:vMerge w:val="continue"/>
            <w:vAlign w:val="center"/>
          </w:tcPr>
          <w:p w14:paraId="557275CB">
            <w:pPr>
              <w:pStyle w:val="51"/>
              <w:bidi w:val="0"/>
              <w:ind w:firstLine="0" w:firstLineChars="0"/>
              <w:rPr>
                <w:rFonts w:hint="eastAsia"/>
                <w:color w:val="auto"/>
                <w:lang w:val="en-US" w:eastAsia="zh-CN"/>
              </w:rPr>
            </w:pPr>
          </w:p>
        </w:tc>
        <w:tc>
          <w:tcPr>
            <w:tcW w:w="2421" w:type="dxa"/>
            <w:gridSpan w:val="2"/>
            <w:vAlign w:val="center"/>
          </w:tcPr>
          <w:p w14:paraId="34663783">
            <w:pPr>
              <w:pStyle w:val="51"/>
              <w:bidi w:val="0"/>
              <w:ind w:firstLine="0" w:firstLineChars="0"/>
              <w:jc w:val="center"/>
              <w:rPr>
                <w:rFonts w:hint="default"/>
                <w:color w:val="auto"/>
                <w:lang w:val="en-US" w:eastAsia="zh-CN"/>
              </w:rPr>
            </w:pPr>
            <w:r>
              <w:rPr>
                <w:rFonts w:hint="eastAsia"/>
                <w:color w:val="auto"/>
                <w:lang w:val="en-US" w:eastAsia="zh-CN"/>
              </w:rPr>
              <w:t>废包装袋</w:t>
            </w:r>
          </w:p>
        </w:tc>
        <w:tc>
          <w:tcPr>
            <w:tcW w:w="1707" w:type="dxa"/>
            <w:vAlign w:val="center"/>
          </w:tcPr>
          <w:p w14:paraId="24BF347E">
            <w:pPr>
              <w:tabs>
                <w:tab w:val="left" w:pos="2700"/>
                <w:tab w:val="left" w:pos="6300"/>
              </w:tabs>
              <w:adjustRightInd/>
              <w:snapToGrid/>
              <w:spacing w:line="280" w:lineRule="exact"/>
              <w:ind w:firstLine="0" w:firstLineChars="0"/>
              <w:jc w:val="center"/>
              <w:rPr>
                <w:rFonts w:hint="default"/>
                <w:color w:val="auto"/>
                <w:lang w:val="en-US" w:eastAsia="zh-CN"/>
              </w:rPr>
            </w:pPr>
            <w:r>
              <w:rPr>
                <w:rFonts w:hint="eastAsia"/>
                <w:color w:val="auto"/>
                <w:lang w:val="en-US" w:eastAsia="zh-CN"/>
              </w:rPr>
              <w:t>0</w:t>
            </w:r>
          </w:p>
        </w:tc>
        <w:tc>
          <w:tcPr>
            <w:tcW w:w="1287" w:type="dxa"/>
            <w:vAlign w:val="center"/>
          </w:tcPr>
          <w:p w14:paraId="1D076908">
            <w:pPr>
              <w:pStyle w:val="51"/>
              <w:bidi w:val="0"/>
              <w:ind w:firstLine="0" w:firstLineChars="0"/>
              <w:rPr>
                <w:rFonts w:hint="default"/>
                <w:color w:val="auto"/>
                <w:lang w:val="en-US" w:eastAsia="zh-CN"/>
              </w:rPr>
            </w:pPr>
            <w:r>
              <w:rPr>
                <w:rFonts w:hint="eastAsia"/>
                <w:color w:val="auto"/>
                <w:lang w:val="en-US" w:eastAsia="zh-CN"/>
              </w:rPr>
              <w:t>/</w:t>
            </w:r>
          </w:p>
        </w:tc>
        <w:tc>
          <w:tcPr>
            <w:tcW w:w="1733" w:type="dxa"/>
            <w:vAlign w:val="center"/>
          </w:tcPr>
          <w:p w14:paraId="7D6A03D4">
            <w:pPr>
              <w:pStyle w:val="51"/>
              <w:bidi w:val="0"/>
              <w:ind w:firstLine="0" w:firstLineChars="0"/>
              <w:rPr>
                <w:rFonts w:hint="default"/>
                <w:color w:val="auto"/>
                <w:lang w:val="en-US" w:eastAsia="zh-CN"/>
              </w:rPr>
            </w:pPr>
            <w:r>
              <w:rPr>
                <w:rFonts w:hint="eastAsia"/>
                <w:color w:val="auto"/>
                <w:lang w:val="en-US" w:eastAsia="zh-CN"/>
              </w:rPr>
              <w:t>/</w:t>
            </w:r>
          </w:p>
        </w:tc>
        <w:tc>
          <w:tcPr>
            <w:tcW w:w="1601" w:type="dxa"/>
            <w:vAlign w:val="center"/>
          </w:tcPr>
          <w:p w14:paraId="0CB3386C">
            <w:pPr>
              <w:pStyle w:val="51"/>
              <w:bidi w:val="0"/>
              <w:ind w:firstLine="0" w:firstLineChars="0"/>
              <w:jc w:val="center"/>
              <w:rPr>
                <w:rFonts w:hint="default"/>
                <w:color w:val="auto"/>
                <w:lang w:val="en-US" w:eastAsia="zh-CN"/>
              </w:rPr>
            </w:pPr>
            <w:r>
              <w:rPr>
                <w:rFonts w:hint="eastAsia"/>
                <w:color w:val="auto"/>
                <w:lang w:val="en-US" w:eastAsia="zh-CN"/>
              </w:rPr>
              <w:t>10</w:t>
            </w:r>
            <w:r>
              <w:rPr>
                <w:rFonts w:hint="eastAsia" w:cs="Times New Roman"/>
                <w:color w:val="auto"/>
                <w:kern w:val="2"/>
                <w:sz w:val="21"/>
                <w:szCs w:val="21"/>
                <w:lang w:val="en-US" w:eastAsia="zh-CN" w:bidi="ar-SA"/>
              </w:rPr>
              <w:t>t/a</w:t>
            </w:r>
          </w:p>
        </w:tc>
        <w:tc>
          <w:tcPr>
            <w:tcW w:w="1774" w:type="dxa"/>
            <w:vAlign w:val="center"/>
          </w:tcPr>
          <w:p w14:paraId="592F8BE0">
            <w:pPr>
              <w:pStyle w:val="51"/>
              <w:bidi w:val="0"/>
              <w:ind w:firstLine="0" w:firstLineChars="0"/>
              <w:rPr>
                <w:rFonts w:hint="default"/>
                <w:color w:val="auto"/>
                <w:lang w:val="en-US" w:eastAsia="zh-CN"/>
              </w:rPr>
            </w:pPr>
            <w:r>
              <w:rPr>
                <w:rFonts w:hint="eastAsia"/>
                <w:color w:val="auto"/>
                <w:lang w:val="en-US" w:eastAsia="zh-CN"/>
              </w:rPr>
              <w:t>0</w:t>
            </w:r>
          </w:p>
        </w:tc>
        <w:tc>
          <w:tcPr>
            <w:tcW w:w="1826" w:type="dxa"/>
            <w:vAlign w:val="center"/>
          </w:tcPr>
          <w:p w14:paraId="19DB083A">
            <w:pPr>
              <w:pStyle w:val="51"/>
              <w:bidi w:val="0"/>
              <w:ind w:firstLine="0" w:firstLineChars="0"/>
              <w:jc w:val="center"/>
              <w:rPr>
                <w:rFonts w:hint="default"/>
                <w:color w:val="auto"/>
                <w:lang w:val="en-US" w:eastAsia="zh-CN"/>
              </w:rPr>
            </w:pPr>
            <w:r>
              <w:rPr>
                <w:rFonts w:hint="eastAsia"/>
                <w:color w:val="auto"/>
                <w:lang w:val="en-US" w:eastAsia="zh-CN"/>
              </w:rPr>
              <w:t>10</w:t>
            </w:r>
            <w:r>
              <w:rPr>
                <w:rFonts w:hint="eastAsia" w:cs="Times New Roman"/>
                <w:color w:val="auto"/>
                <w:kern w:val="2"/>
                <w:sz w:val="21"/>
                <w:szCs w:val="21"/>
                <w:lang w:val="en-US" w:eastAsia="zh-CN" w:bidi="ar-SA"/>
              </w:rPr>
              <w:t>t/a</w:t>
            </w:r>
          </w:p>
        </w:tc>
        <w:tc>
          <w:tcPr>
            <w:tcW w:w="1174" w:type="dxa"/>
            <w:vAlign w:val="center"/>
          </w:tcPr>
          <w:p w14:paraId="35784A23">
            <w:pPr>
              <w:pStyle w:val="51"/>
              <w:bidi w:val="0"/>
              <w:ind w:firstLine="0" w:firstLineChars="0"/>
              <w:jc w:val="center"/>
              <w:rPr>
                <w:rFonts w:hint="default"/>
                <w:color w:val="auto"/>
                <w:lang w:val="en-US" w:eastAsia="zh-CN"/>
              </w:rPr>
            </w:pPr>
            <w:r>
              <w:rPr>
                <w:rFonts w:hint="eastAsia"/>
                <w:color w:val="auto"/>
                <w:lang w:val="en-US" w:eastAsia="zh-CN"/>
              </w:rPr>
              <w:t>10</w:t>
            </w:r>
            <w:r>
              <w:rPr>
                <w:rFonts w:hint="eastAsia" w:cs="Times New Roman"/>
                <w:color w:val="auto"/>
                <w:kern w:val="2"/>
                <w:sz w:val="21"/>
                <w:szCs w:val="21"/>
                <w:lang w:val="en-US" w:eastAsia="zh-CN" w:bidi="ar-SA"/>
              </w:rPr>
              <w:t>t/a</w:t>
            </w:r>
          </w:p>
        </w:tc>
      </w:tr>
      <w:tr w14:paraId="32CB94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0" w:type="dxa"/>
            <w:vMerge w:val="continue"/>
            <w:vAlign w:val="center"/>
          </w:tcPr>
          <w:p w14:paraId="117A063C">
            <w:pPr>
              <w:pStyle w:val="51"/>
              <w:bidi w:val="0"/>
              <w:ind w:firstLine="0" w:firstLineChars="0"/>
              <w:rPr>
                <w:rFonts w:hint="eastAsia"/>
                <w:color w:val="auto"/>
                <w:lang w:val="en-US" w:eastAsia="zh-CN"/>
              </w:rPr>
            </w:pPr>
          </w:p>
        </w:tc>
        <w:tc>
          <w:tcPr>
            <w:tcW w:w="2421" w:type="dxa"/>
            <w:gridSpan w:val="2"/>
            <w:vAlign w:val="center"/>
          </w:tcPr>
          <w:p w14:paraId="56B51DDC">
            <w:pPr>
              <w:pStyle w:val="51"/>
              <w:bidi w:val="0"/>
              <w:ind w:firstLine="0" w:firstLineChars="0"/>
              <w:jc w:val="center"/>
              <w:rPr>
                <w:rFonts w:hint="default"/>
                <w:color w:val="auto"/>
                <w:lang w:val="en-US" w:eastAsia="zh-CN"/>
              </w:rPr>
            </w:pPr>
            <w:r>
              <w:rPr>
                <w:rFonts w:hint="eastAsia"/>
                <w:color w:val="auto"/>
                <w:lang w:val="en-US" w:eastAsia="zh-CN"/>
              </w:rPr>
              <w:t>废矿物哟</w:t>
            </w:r>
          </w:p>
        </w:tc>
        <w:tc>
          <w:tcPr>
            <w:tcW w:w="1707" w:type="dxa"/>
            <w:vAlign w:val="center"/>
          </w:tcPr>
          <w:p w14:paraId="2CA13AC1">
            <w:pPr>
              <w:tabs>
                <w:tab w:val="left" w:pos="2700"/>
                <w:tab w:val="left" w:pos="6300"/>
              </w:tabs>
              <w:adjustRightInd/>
              <w:snapToGrid/>
              <w:spacing w:line="280" w:lineRule="exact"/>
              <w:ind w:firstLine="0" w:firstLineChars="0"/>
              <w:jc w:val="center"/>
              <w:rPr>
                <w:rFonts w:hint="default"/>
                <w:color w:val="auto"/>
                <w:lang w:val="en-US" w:eastAsia="zh-CN"/>
              </w:rPr>
            </w:pPr>
            <w:r>
              <w:rPr>
                <w:rFonts w:hint="eastAsia"/>
                <w:color w:val="auto"/>
                <w:lang w:val="en-US" w:eastAsia="zh-CN"/>
              </w:rPr>
              <w:t>0</w:t>
            </w:r>
          </w:p>
        </w:tc>
        <w:tc>
          <w:tcPr>
            <w:tcW w:w="1287" w:type="dxa"/>
            <w:vAlign w:val="center"/>
          </w:tcPr>
          <w:p w14:paraId="004983A6">
            <w:pPr>
              <w:pStyle w:val="51"/>
              <w:bidi w:val="0"/>
              <w:ind w:firstLine="0" w:firstLineChars="0"/>
              <w:rPr>
                <w:rFonts w:hint="default"/>
                <w:color w:val="auto"/>
                <w:lang w:val="en-US" w:eastAsia="zh-CN"/>
              </w:rPr>
            </w:pPr>
            <w:r>
              <w:rPr>
                <w:rFonts w:hint="eastAsia" w:ascii="Times New Roman" w:hAnsi="Times New Roman" w:eastAsia="宋体" w:cs="Times New Roman"/>
                <w:color w:val="auto"/>
                <w:kern w:val="2"/>
                <w:sz w:val="21"/>
                <w:szCs w:val="21"/>
                <w:lang w:val="en-US" w:eastAsia="zh-CN" w:bidi="ar-SA"/>
              </w:rPr>
              <w:t>/</w:t>
            </w:r>
          </w:p>
        </w:tc>
        <w:tc>
          <w:tcPr>
            <w:tcW w:w="1733" w:type="dxa"/>
            <w:vAlign w:val="center"/>
          </w:tcPr>
          <w:p w14:paraId="1B050B40">
            <w:pPr>
              <w:pStyle w:val="51"/>
              <w:bidi w:val="0"/>
              <w:ind w:firstLine="0" w:firstLineChars="0"/>
              <w:rPr>
                <w:rFonts w:hint="default"/>
                <w:color w:val="auto"/>
                <w:lang w:val="en-US" w:eastAsia="zh-CN"/>
              </w:rPr>
            </w:pPr>
            <w:r>
              <w:rPr>
                <w:rFonts w:hint="eastAsia" w:ascii="Times New Roman" w:hAnsi="Times New Roman" w:eastAsia="宋体" w:cs="Times New Roman"/>
                <w:color w:val="auto"/>
                <w:kern w:val="2"/>
                <w:sz w:val="21"/>
                <w:szCs w:val="21"/>
                <w:lang w:val="en-US" w:eastAsia="zh-CN" w:bidi="ar-SA"/>
              </w:rPr>
              <w:t>/</w:t>
            </w:r>
          </w:p>
        </w:tc>
        <w:tc>
          <w:tcPr>
            <w:tcW w:w="1601" w:type="dxa"/>
            <w:vAlign w:val="center"/>
          </w:tcPr>
          <w:p w14:paraId="4E5C0387">
            <w:pPr>
              <w:pStyle w:val="51"/>
              <w:bidi w:val="0"/>
              <w:ind w:firstLine="0" w:firstLineChars="0"/>
              <w:jc w:val="center"/>
              <w:rPr>
                <w:rFonts w:hint="default"/>
                <w:color w:val="auto"/>
                <w:lang w:val="en-US" w:eastAsia="zh-CN"/>
              </w:rPr>
            </w:pPr>
            <w:r>
              <w:rPr>
                <w:rFonts w:hint="eastAsia"/>
                <w:color w:val="auto"/>
                <w:lang w:val="en-US" w:eastAsia="zh-CN"/>
              </w:rPr>
              <w:t>0.1</w:t>
            </w:r>
            <w:r>
              <w:rPr>
                <w:rFonts w:hint="eastAsia" w:cs="Times New Roman"/>
                <w:color w:val="auto"/>
                <w:kern w:val="2"/>
                <w:sz w:val="21"/>
                <w:szCs w:val="21"/>
                <w:lang w:val="en-US" w:eastAsia="zh-CN" w:bidi="ar-SA"/>
              </w:rPr>
              <w:t>t/a</w:t>
            </w:r>
          </w:p>
        </w:tc>
        <w:tc>
          <w:tcPr>
            <w:tcW w:w="1774" w:type="dxa"/>
            <w:vAlign w:val="center"/>
          </w:tcPr>
          <w:p w14:paraId="7AB35207">
            <w:pPr>
              <w:pStyle w:val="51"/>
              <w:bidi w:val="0"/>
              <w:ind w:firstLine="0" w:firstLineChars="0"/>
              <w:rPr>
                <w:rFonts w:hint="default"/>
                <w:color w:val="auto"/>
                <w:lang w:val="en-US" w:eastAsia="zh-CN"/>
              </w:rPr>
            </w:pPr>
            <w:r>
              <w:rPr>
                <w:rFonts w:hint="eastAsia"/>
                <w:color w:val="auto"/>
                <w:lang w:val="en-US" w:eastAsia="zh-CN"/>
              </w:rPr>
              <w:t>0</w:t>
            </w:r>
          </w:p>
        </w:tc>
        <w:tc>
          <w:tcPr>
            <w:tcW w:w="1826" w:type="dxa"/>
            <w:vAlign w:val="center"/>
          </w:tcPr>
          <w:p w14:paraId="7E3FB104">
            <w:pPr>
              <w:pStyle w:val="51"/>
              <w:bidi w:val="0"/>
              <w:ind w:firstLine="0" w:firstLineChars="0"/>
              <w:jc w:val="center"/>
              <w:rPr>
                <w:rFonts w:hint="default"/>
                <w:color w:val="auto"/>
                <w:lang w:val="en-US" w:eastAsia="zh-CN"/>
              </w:rPr>
            </w:pPr>
            <w:r>
              <w:rPr>
                <w:rFonts w:hint="eastAsia"/>
                <w:color w:val="auto"/>
                <w:lang w:val="en-US" w:eastAsia="zh-CN"/>
              </w:rPr>
              <w:t>0.1</w:t>
            </w:r>
            <w:r>
              <w:rPr>
                <w:rFonts w:hint="eastAsia" w:cs="Times New Roman"/>
                <w:color w:val="auto"/>
                <w:kern w:val="2"/>
                <w:sz w:val="21"/>
                <w:szCs w:val="21"/>
                <w:lang w:val="en-US" w:eastAsia="zh-CN" w:bidi="ar-SA"/>
              </w:rPr>
              <w:t>t/a</w:t>
            </w:r>
          </w:p>
        </w:tc>
        <w:tc>
          <w:tcPr>
            <w:tcW w:w="1174" w:type="dxa"/>
            <w:vAlign w:val="center"/>
          </w:tcPr>
          <w:p w14:paraId="6C1C2429">
            <w:pPr>
              <w:pStyle w:val="51"/>
              <w:bidi w:val="0"/>
              <w:ind w:firstLine="0" w:firstLineChars="0"/>
              <w:jc w:val="center"/>
              <w:rPr>
                <w:rFonts w:hint="default"/>
                <w:color w:val="auto"/>
                <w:lang w:val="en-US" w:eastAsia="zh-CN"/>
              </w:rPr>
            </w:pPr>
            <w:r>
              <w:rPr>
                <w:rFonts w:hint="eastAsia"/>
                <w:color w:val="auto"/>
                <w:lang w:val="en-US" w:eastAsia="zh-CN"/>
              </w:rPr>
              <w:t>0.1</w:t>
            </w:r>
            <w:r>
              <w:rPr>
                <w:rFonts w:hint="eastAsia" w:cs="Times New Roman"/>
                <w:color w:val="auto"/>
                <w:kern w:val="2"/>
                <w:sz w:val="21"/>
                <w:szCs w:val="21"/>
                <w:lang w:val="en-US" w:eastAsia="zh-CN" w:bidi="ar-SA"/>
              </w:rPr>
              <w:t>t/a</w:t>
            </w:r>
          </w:p>
        </w:tc>
      </w:tr>
      <w:tr w14:paraId="59BCDD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0" w:type="dxa"/>
            <w:vMerge w:val="continue"/>
            <w:vAlign w:val="center"/>
          </w:tcPr>
          <w:p w14:paraId="045EC345">
            <w:pPr>
              <w:pStyle w:val="51"/>
              <w:bidi w:val="0"/>
              <w:ind w:firstLine="0" w:firstLineChars="0"/>
              <w:rPr>
                <w:rFonts w:hint="eastAsia"/>
                <w:color w:val="auto"/>
                <w:lang w:val="en-US" w:eastAsia="zh-CN"/>
              </w:rPr>
            </w:pPr>
          </w:p>
        </w:tc>
        <w:tc>
          <w:tcPr>
            <w:tcW w:w="2421" w:type="dxa"/>
            <w:gridSpan w:val="2"/>
            <w:vAlign w:val="center"/>
          </w:tcPr>
          <w:p w14:paraId="6B22EF35">
            <w:pPr>
              <w:pStyle w:val="51"/>
              <w:bidi w:val="0"/>
              <w:ind w:firstLine="0" w:firstLineChars="0"/>
              <w:jc w:val="center"/>
              <w:rPr>
                <w:rFonts w:hint="default"/>
                <w:color w:val="auto"/>
                <w:lang w:val="en-US" w:eastAsia="zh-CN"/>
              </w:rPr>
            </w:pPr>
            <w:r>
              <w:rPr>
                <w:rFonts w:hint="eastAsia"/>
                <w:color w:val="auto"/>
                <w:lang w:val="en-US" w:eastAsia="zh-CN"/>
              </w:rPr>
              <w:t>浮油</w:t>
            </w:r>
          </w:p>
        </w:tc>
        <w:tc>
          <w:tcPr>
            <w:tcW w:w="1707" w:type="dxa"/>
            <w:vAlign w:val="center"/>
          </w:tcPr>
          <w:p w14:paraId="2885174A">
            <w:pPr>
              <w:pStyle w:val="51"/>
              <w:bidi w:val="0"/>
              <w:ind w:firstLine="0" w:firstLineChars="0"/>
              <w:jc w:val="center"/>
              <w:rPr>
                <w:rFonts w:hint="default"/>
                <w:color w:val="auto"/>
                <w:lang w:val="en-US" w:eastAsia="zh-CN"/>
              </w:rPr>
            </w:pPr>
            <w:r>
              <w:rPr>
                <w:rFonts w:hint="eastAsia"/>
                <w:color w:val="auto"/>
                <w:lang w:val="en-US" w:eastAsia="zh-CN"/>
              </w:rPr>
              <w:t>0</w:t>
            </w:r>
          </w:p>
        </w:tc>
        <w:tc>
          <w:tcPr>
            <w:tcW w:w="1287" w:type="dxa"/>
            <w:vAlign w:val="center"/>
          </w:tcPr>
          <w:p w14:paraId="7339B76C">
            <w:pPr>
              <w:bidi w:val="0"/>
              <w:ind w:firstLine="0" w:firstLineChars="0"/>
              <w:jc w:val="center"/>
              <w:rPr>
                <w:rFonts w:hint="eastAsia"/>
                <w:color w:val="auto"/>
                <w:lang w:val="en-US" w:eastAsia="zh-CN"/>
              </w:rPr>
            </w:pPr>
            <w:r>
              <w:rPr>
                <w:rFonts w:hint="eastAsia" w:ascii="Times New Roman" w:hAnsi="Times New Roman" w:eastAsia="宋体" w:cs="Times New Roman"/>
                <w:color w:val="auto"/>
                <w:kern w:val="2"/>
                <w:sz w:val="21"/>
                <w:szCs w:val="21"/>
                <w:lang w:val="en-US" w:eastAsia="zh-CN" w:bidi="ar-SA"/>
              </w:rPr>
              <w:t>/</w:t>
            </w:r>
          </w:p>
        </w:tc>
        <w:tc>
          <w:tcPr>
            <w:tcW w:w="1733" w:type="dxa"/>
            <w:vAlign w:val="center"/>
          </w:tcPr>
          <w:p w14:paraId="5B095BCC">
            <w:pPr>
              <w:bidi w:val="0"/>
              <w:ind w:firstLine="0" w:firstLineChars="0"/>
              <w:jc w:val="center"/>
              <w:rPr>
                <w:rFonts w:hint="eastAsia"/>
                <w:color w:val="auto"/>
                <w:lang w:val="en-US" w:eastAsia="zh-CN"/>
              </w:rPr>
            </w:pPr>
            <w:r>
              <w:rPr>
                <w:rFonts w:hint="eastAsia" w:ascii="Times New Roman" w:hAnsi="Times New Roman" w:eastAsia="宋体" w:cs="Times New Roman"/>
                <w:color w:val="auto"/>
                <w:kern w:val="2"/>
                <w:sz w:val="21"/>
                <w:szCs w:val="21"/>
                <w:lang w:val="en-US" w:eastAsia="zh-CN" w:bidi="ar-SA"/>
              </w:rPr>
              <w:t>/</w:t>
            </w:r>
          </w:p>
        </w:tc>
        <w:tc>
          <w:tcPr>
            <w:tcW w:w="1601" w:type="dxa"/>
            <w:vAlign w:val="center"/>
          </w:tcPr>
          <w:p w14:paraId="1DD9B579">
            <w:pPr>
              <w:pStyle w:val="51"/>
              <w:bidi w:val="0"/>
              <w:ind w:firstLine="0" w:firstLineChars="0"/>
              <w:jc w:val="center"/>
              <w:rPr>
                <w:rFonts w:hint="default"/>
                <w:color w:val="auto"/>
                <w:lang w:val="en-US" w:eastAsia="zh-CN"/>
              </w:rPr>
            </w:pPr>
            <w:r>
              <w:rPr>
                <w:rFonts w:hint="eastAsia"/>
                <w:color w:val="auto"/>
                <w:lang w:val="en-US" w:eastAsia="zh-CN"/>
              </w:rPr>
              <w:t>0.01</w:t>
            </w:r>
            <w:r>
              <w:rPr>
                <w:rFonts w:hint="eastAsia" w:cs="Times New Roman"/>
                <w:color w:val="auto"/>
                <w:kern w:val="2"/>
                <w:sz w:val="21"/>
                <w:szCs w:val="21"/>
                <w:lang w:val="en-US" w:eastAsia="zh-CN" w:bidi="ar-SA"/>
              </w:rPr>
              <w:t>t/a</w:t>
            </w:r>
          </w:p>
        </w:tc>
        <w:tc>
          <w:tcPr>
            <w:tcW w:w="1774" w:type="dxa"/>
            <w:vAlign w:val="center"/>
          </w:tcPr>
          <w:p w14:paraId="16E2E4D9">
            <w:pPr>
              <w:pStyle w:val="51"/>
              <w:bidi w:val="0"/>
              <w:ind w:firstLine="0" w:firstLineChars="0"/>
              <w:rPr>
                <w:rFonts w:hint="default"/>
                <w:color w:val="auto"/>
                <w:lang w:val="en-US" w:eastAsia="zh-CN"/>
              </w:rPr>
            </w:pPr>
            <w:r>
              <w:rPr>
                <w:rFonts w:hint="eastAsia"/>
                <w:color w:val="auto"/>
                <w:lang w:val="en-US" w:eastAsia="zh-CN"/>
              </w:rPr>
              <w:t>0</w:t>
            </w:r>
          </w:p>
        </w:tc>
        <w:tc>
          <w:tcPr>
            <w:tcW w:w="1826" w:type="dxa"/>
            <w:vAlign w:val="center"/>
          </w:tcPr>
          <w:p w14:paraId="425E151F">
            <w:pPr>
              <w:pStyle w:val="51"/>
              <w:bidi w:val="0"/>
              <w:ind w:firstLine="0" w:firstLineChars="0"/>
              <w:jc w:val="center"/>
              <w:rPr>
                <w:rFonts w:hint="default"/>
                <w:color w:val="auto"/>
                <w:lang w:val="en-US" w:eastAsia="zh-CN"/>
              </w:rPr>
            </w:pPr>
            <w:r>
              <w:rPr>
                <w:rFonts w:hint="eastAsia"/>
                <w:color w:val="auto"/>
                <w:lang w:val="en-US" w:eastAsia="zh-CN"/>
              </w:rPr>
              <w:t>0.01</w:t>
            </w:r>
            <w:r>
              <w:rPr>
                <w:rFonts w:hint="eastAsia" w:cs="Times New Roman"/>
                <w:color w:val="auto"/>
                <w:kern w:val="2"/>
                <w:sz w:val="21"/>
                <w:szCs w:val="21"/>
                <w:lang w:val="en-US" w:eastAsia="zh-CN" w:bidi="ar-SA"/>
              </w:rPr>
              <w:t>t/a</w:t>
            </w:r>
          </w:p>
        </w:tc>
        <w:tc>
          <w:tcPr>
            <w:tcW w:w="1174" w:type="dxa"/>
            <w:vAlign w:val="center"/>
          </w:tcPr>
          <w:p w14:paraId="25412F13">
            <w:pPr>
              <w:pStyle w:val="51"/>
              <w:bidi w:val="0"/>
              <w:ind w:firstLine="0" w:firstLineChars="0"/>
              <w:jc w:val="center"/>
              <w:rPr>
                <w:rFonts w:hint="default"/>
                <w:color w:val="auto"/>
                <w:lang w:val="en-US" w:eastAsia="zh-CN"/>
              </w:rPr>
            </w:pPr>
            <w:r>
              <w:rPr>
                <w:rFonts w:hint="eastAsia"/>
                <w:color w:val="auto"/>
                <w:lang w:val="en-US" w:eastAsia="zh-CN"/>
              </w:rPr>
              <w:t>0.01</w:t>
            </w:r>
            <w:r>
              <w:rPr>
                <w:rFonts w:hint="eastAsia" w:cs="Times New Roman"/>
                <w:color w:val="auto"/>
                <w:kern w:val="2"/>
                <w:sz w:val="21"/>
                <w:szCs w:val="21"/>
                <w:lang w:val="en-US" w:eastAsia="zh-CN" w:bidi="ar-SA"/>
              </w:rPr>
              <w:t>t/a</w:t>
            </w:r>
          </w:p>
        </w:tc>
      </w:tr>
      <w:tr w14:paraId="2A1113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0" w:type="dxa"/>
            <w:vMerge w:val="continue"/>
            <w:vAlign w:val="center"/>
          </w:tcPr>
          <w:p w14:paraId="7A2A2F2F">
            <w:pPr>
              <w:pStyle w:val="51"/>
              <w:bidi w:val="0"/>
              <w:ind w:firstLine="0" w:firstLineChars="0"/>
              <w:rPr>
                <w:rFonts w:hint="eastAsia"/>
                <w:color w:val="auto"/>
                <w:lang w:val="en-US" w:eastAsia="zh-CN"/>
              </w:rPr>
            </w:pPr>
          </w:p>
        </w:tc>
        <w:tc>
          <w:tcPr>
            <w:tcW w:w="2421" w:type="dxa"/>
            <w:gridSpan w:val="2"/>
            <w:vAlign w:val="center"/>
          </w:tcPr>
          <w:p w14:paraId="3FA94171">
            <w:pPr>
              <w:pStyle w:val="51"/>
              <w:bidi w:val="0"/>
              <w:ind w:firstLine="0" w:firstLineChars="0"/>
              <w:jc w:val="center"/>
              <w:rPr>
                <w:rFonts w:hint="default"/>
                <w:color w:val="auto"/>
                <w:lang w:val="en-US" w:eastAsia="zh-CN"/>
              </w:rPr>
            </w:pPr>
            <w:r>
              <w:rPr>
                <w:rFonts w:hint="eastAsia"/>
                <w:color w:val="auto"/>
                <w:lang w:val="en-US" w:eastAsia="zh-CN"/>
              </w:rPr>
              <w:t>污泥</w:t>
            </w:r>
          </w:p>
        </w:tc>
        <w:tc>
          <w:tcPr>
            <w:tcW w:w="1707" w:type="dxa"/>
            <w:vAlign w:val="center"/>
          </w:tcPr>
          <w:p w14:paraId="76FDF580">
            <w:pPr>
              <w:pStyle w:val="51"/>
              <w:bidi w:val="0"/>
              <w:ind w:firstLine="0" w:firstLineChars="0"/>
              <w:jc w:val="center"/>
              <w:rPr>
                <w:rFonts w:hint="default"/>
                <w:color w:val="auto"/>
                <w:lang w:val="en-US" w:eastAsia="zh-CN"/>
              </w:rPr>
            </w:pPr>
            <w:r>
              <w:rPr>
                <w:rFonts w:hint="eastAsia"/>
                <w:color w:val="auto"/>
                <w:lang w:val="en-US" w:eastAsia="zh-CN"/>
              </w:rPr>
              <w:t>0</w:t>
            </w:r>
          </w:p>
        </w:tc>
        <w:tc>
          <w:tcPr>
            <w:tcW w:w="1287" w:type="dxa"/>
            <w:vAlign w:val="center"/>
          </w:tcPr>
          <w:p w14:paraId="5FBCFBC5">
            <w:pPr>
              <w:bidi w:val="0"/>
              <w:ind w:firstLine="0" w:firstLineChars="0"/>
              <w:jc w:val="center"/>
              <w:rPr>
                <w:rFonts w:hint="eastAsia"/>
                <w:color w:val="auto"/>
                <w:lang w:val="en-US" w:eastAsia="zh-CN"/>
              </w:rPr>
            </w:pPr>
            <w:r>
              <w:rPr>
                <w:rFonts w:hint="eastAsia" w:ascii="Times New Roman" w:hAnsi="Times New Roman" w:eastAsia="宋体" w:cs="Times New Roman"/>
                <w:color w:val="auto"/>
                <w:kern w:val="2"/>
                <w:sz w:val="21"/>
                <w:szCs w:val="21"/>
                <w:lang w:val="en-US" w:eastAsia="zh-CN" w:bidi="ar-SA"/>
              </w:rPr>
              <w:t>/</w:t>
            </w:r>
          </w:p>
        </w:tc>
        <w:tc>
          <w:tcPr>
            <w:tcW w:w="1733" w:type="dxa"/>
            <w:vAlign w:val="center"/>
          </w:tcPr>
          <w:p w14:paraId="27BC4663">
            <w:pPr>
              <w:bidi w:val="0"/>
              <w:ind w:firstLine="0" w:firstLineChars="0"/>
              <w:jc w:val="center"/>
              <w:rPr>
                <w:rFonts w:hint="eastAsia"/>
                <w:color w:val="auto"/>
                <w:lang w:val="en-US" w:eastAsia="zh-CN"/>
              </w:rPr>
            </w:pPr>
            <w:r>
              <w:rPr>
                <w:rFonts w:hint="eastAsia" w:ascii="Times New Roman" w:hAnsi="Times New Roman" w:eastAsia="宋体" w:cs="Times New Roman"/>
                <w:color w:val="auto"/>
                <w:kern w:val="2"/>
                <w:sz w:val="21"/>
                <w:szCs w:val="21"/>
                <w:lang w:val="en-US" w:eastAsia="zh-CN" w:bidi="ar-SA"/>
              </w:rPr>
              <w:t>/</w:t>
            </w:r>
          </w:p>
        </w:tc>
        <w:tc>
          <w:tcPr>
            <w:tcW w:w="1601" w:type="dxa"/>
            <w:vAlign w:val="center"/>
          </w:tcPr>
          <w:p w14:paraId="69BFF2C8">
            <w:pPr>
              <w:pStyle w:val="51"/>
              <w:bidi w:val="0"/>
              <w:ind w:firstLine="0" w:firstLineChars="0"/>
              <w:rPr>
                <w:rFonts w:hint="default"/>
                <w:color w:val="auto"/>
                <w:lang w:val="en-US" w:eastAsia="zh-CN"/>
              </w:rPr>
            </w:pPr>
            <w:r>
              <w:rPr>
                <w:rFonts w:hint="eastAsia"/>
                <w:lang w:val="en-US" w:eastAsia="zh-CN"/>
              </w:rPr>
              <w:t>295.727</w:t>
            </w:r>
            <w:r>
              <w:rPr>
                <w:rFonts w:hint="eastAsia" w:cs="Times New Roman"/>
                <w:color w:val="auto"/>
                <w:kern w:val="2"/>
                <w:sz w:val="21"/>
                <w:szCs w:val="21"/>
                <w:lang w:val="en-US" w:eastAsia="zh-CN" w:bidi="ar-SA"/>
              </w:rPr>
              <w:t>t/a</w:t>
            </w:r>
          </w:p>
        </w:tc>
        <w:tc>
          <w:tcPr>
            <w:tcW w:w="1774" w:type="dxa"/>
            <w:vAlign w:val="center"/>
          </w:tcPr>
          <w:p w14:paraId="32866FED">
            <w:pPr>
              <w:pStyle w:val="51"/>
              <w:bidi w:val="0"/>
              <w:ind w:firstLine="0" w:firstLineChars="0"/>
              <w:rPr>
                <w:rFonts w:hint="default"/>
                <w:color w:val="auto"/>
                <w:lang w:val="en-US" w:eastAsia="zh-CN"/>
              </w:rPr>
            </w:pPr>
            <w:r>
              <w:rPr>
                <w:rFonts w:hint="eastAsia"/>
                <w:color w:val="auto"/>
                <w:lang w:val="en-US" w:eastAsia="zh-CN"/>
              </w:rPr>
              <w:t>0</w:t>
            </w:r>
          </w:p>
        </w:tc>
        <w:tc>
          <w:tcPr>
            <w:tcW w:w="1826" w:type="dxa"/>
            <w:vAlign w:val="center"/>
          </w:tcPr>
          <w:p w14:paraId="62CFD668">
            <w:pPr>
              <w:pStyle w:val="51"/>
              <w:bidi w:val="0"/>
              <w:ind w:firstLine="0" w:firstLineChars="0"/>
              <w:rPr>
                <w:rFonts w:hint="default"/>
                <w:color w:val="auto"/>
                <w:lang w:val="en-US" w:eastAsia="zh-CN"/>
              </w:rPr>
            </w:pPr>
            <w:r>
              <w:rPr>
                <w:rFonts w:hint="eastAsia"/>
                <w:lang w:val="en-US" w:eastAsia="zh-CN"/>
              </w:rPr>
              <w:t>295.727</w:t>
            </w:r>
            <w:r>
              <w:rPr>
                <w:rFonts w:hint="eastAsia" w:cs="Times New Roman"/>
                <w:color w:val="auto"/>
                <w:kern w:val="2"/>
                <w:sz w:val="21"/>
                <w:szCs w:val="21"/>
                <w:lang w:val="en-US" w:eastAsia="zh-CN" w:bidi="ar-SA"/>
              </w:rPr>
              <w:t>t/a</w:t>
            </w:r>
          </w:p>
        </w:tc>
        <w:tc>
          <w:tcPr>
            <w:tcW w:w="1174" w:type="dxa"/>
            <w:vAlign w:val="center"/>
          </w:tcPr>
          <w:p w14:paraId="4631E288">
            <w:pPr>
              <w:pStyle w:val="51"/>
              <w:bidi w:val="0"/>
              <w:ind w:firstLine="0" w:firstLineChars="0"/>
              <w:rPr>
                <w:rFonts w:hint="default"/>
                <w:color w:val="auto"/>
                <w:lang w:val="en-US" w:eastAsia="zh-CN"/>
              </w:rPr>
            </w:pPr>
            <w:r>
              <w:rPr>
                <w:rFonts w:hint="eastAsia"/>
                <w:lang w:val="en-US" w:eastAsia="zh-CN"/>
              </w:rPr>
              <w:t>295.727</w:t>
            </w:r>
            <w:r>
              <w:rPr>
                <w:rFonts w:hint="eastAsia" w:cs="Times New Roman"/>
                <w:color w:val="auto"/>
                <w:kern w:val="2"/>
                <w:sz w:val="21"/>
                <w:szCs w:val="21"/>
                <w:lang w:val="en-US" w:eastAsia="zh-CN" w:bidi="ar-SA"/>
              </w:rPr>
              <w:t>t/a</w:t>
            </w:r>
          </w:p>
        </w:tc>
      </w:tr>
    </w:tbl>
    <w:p w14:paraId="24358024">
      <w:pPr>
        <w:pStyle w:val="54"/>
        <w:spacing w:before="192" w:beforeLines="80" w:after="24"/>
        <w:jc w:val="left"/>
        <w:rPr>
          <w:rFonts w:hAnsi="宋体"/>
          <w:snapToGrid w:val="0"/>
          <w:color w:val="auto"/>
          <w:spacing w:val="-6"/>
          <w:kern w:val="21"/>
          <w:szCs w:val="21"/>
        </w:rPr>
      </w:pPr>
      <w:r>
        <w:rPr>
          <w:rFonts w:hAnsi="宋体"/>
          <w:snapToGrid w:val="0"/>
          <w:color w:val="auto"/>
          <w:kern w:val="21"/>
          <w:szCs w:val="21"/>
        </w:rPr>
        <w:t>注：</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3 \* GB3 \* MERGEFORMAT </w:instrText>
      </w:r>
      <w:r>
        <w:rPr>
          <w:rFonts w:hAnsi="宋体"/>
          <w:snapToGrid w:val="0"/>
          <w:color w:val="auto"/>
          <w:spacing w:val="-6"/>
          <w:kern w:val="21"/>
          <w:szCs w:val="21"/>
        </w:rPr>
        <w:fldChar w:fldCharType="separate"/>
      </w:r>
      <w:r>
        <w:rPr>
          <w:rFonts w:hint="eastAsia" w:hAnsi="宋体"/>
          <w:color w:val="auto"/>
          <w:szCs w:val="21"/>
        </w:rPr>
        <w:t>③</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4 \* GB3 \* MERGEFORMAT </w:instrText>
      </w:r>
      <w:r>
        <w:rPr>
          <w:rFonts w:hAnsi="宋体"/>
          <w:snapToGrid w:val="0"/>
          <w:color w:val="auto"/>
          <w:spacing w:val="-6"/>
          <w:kern w:val="21"/>
          <w:szCs w:val="21"/>
        </w:rPr>
        <w:fldChar w:fldCharType="separate"/>
      </w:r>
      <w:r>
        <w:rPr>
          <w:rFonts w:hint="eastAsia" w:hAnsi="宋体"/>
          <w:color w:val="auto"/>
          <w:szCs w:val="21"/>
        </w:rPr>
        <w:t>④</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5 \* GB3 \* MERGEFORMAT </w:instrText>
      </w:r>
      <w:r>
        <w:rPr>
          <w:rFonts w:hAnsi="宋体"/>
          <w:snapToGrid w:val="0"/>
          <w:color w:val="auto"/>
          <w:spacing w:val="-16"/>
          <w:kern w:val="21"/>
          <w:szCs w:val="21"/>
        </w:rPr>
        <w:fldChar w:fldCharType="separate"/>
      </w:r>
      <w:r>
        <w:rPr>
          <w:rFonts w:hint="eastAsia" w:hAnsi="宋体"/>
          <w:color w:val="auto"/>
          <w:szCs w:val="21"/>
        </w:rPr>
        <w:t>⑤</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7 \* GB3 \* MERGEFORMAT </w:instrText>
      </w:r>
      <w:r>
        <w:rPr>
          <w:rFonts w:hAnsi="宋体"/>
          <w:snapToGrid w:val="0"/>
          <w:color w:val="auto"/>
          <w:spacing w:val="-6"/>
          <w:kern w:val="21"/>
          <w:szCs w:val="21"/>
        </w:rPr>
        <w:fldChar w:fldCharType="separate"/>
      </w:r>
      <w:r>
        <w:rPr>
          <w:rFonts w:hint="eastAsia" w:hAnsi="宋体"/>
          <w:color w:val="auto"/>
          <w:szCs w:val="21"/>
        </w:rPr>
        <w:t>⑦</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p>
    <w:p w14:paraId="069CC50A">
      <w:pPr>
        <w:rPr>
          <w:rFonts w:hAnsi="宋体"/>
          <w:snapToGrid w:val="0"/>
          <w:color w:val="auto"/>
          <w:spacing w:val="-6"/>
          <w:kern w:val="21"/>
          <w:szCs w:val="21"/>
        </w:rPr>
      </w:pPr>
    </w:p>
    <w:p w14:paraId="6F02943F">
      <w:pPr>
        <w:rPr>
          <w:rFonts w:hAnsi="宋体"/>
          <w:snapToGrid w:val="0"/>
          <w:color w:val="auto"/>
          <w:spacing w:val="-6"/>
          <w:kern w:val="21"/>
          <w:szCs w:val="21"/>
        </w:rPr>
      </w:pPr>
    </w:p>
    <w:p w14:paraId="3A459D07">
      <w:pPr>
        <w:rPr>
          <w:rFonts w:hAnsi="宋体"/>
          <w:snapToGrid w:val="0"/>
          <w:color w:val="auto"/>
          <w:spacing w:val="-6"/>
          <w:kern w:val="21"/>
          <w:szCs w:val="21"/>
        </w:rPr>
      </w:pPr>
    </w:p>
    <w:p w14:paraId="44F47C5F">
      <w:pPr>
        <w:rPr>
          <w:rFonts w:hAnsi="宋体"/>
          <w:snapToGrid w:val="0"/>
          <w:color w:val="auto"/>
          <w:spacing w:val="-6"/>
          <w:kern w:val="21"/>
          <w:szCs w:val="21"/>
        </w:rPr>
      </w:pPr>
    </w:p>
    <w:p w14:paraId="5B3169BF">
      <w:pPr>
        <w:rPr>
          <w:rFonts w:hAnsi="宋体"/>
          <w:snapToGrid w:val="0"/>
          <w:color w:val="auto"/>
          <w:spacing w:val="-6"/>
          <w:kern w:val="21"/>
          <w:szCs w:val="21"/>
        </w:rPr>
      </w:pPr>
    </w:p>
    <w:p w14:paraId="3D792F81">
      <w:pPr>
        <w:rPr>
          <w:rFonts w:hAnsi="宋体"/>
          <w:snapToGrid w:val="0"/>
          <w:color w:val="auto"/>
          <w:spacing w:val="-6"/>
          <w:kern w:val="21"/>
          <w:szCs w:val="21"/>
        </w:rPr>
      </w:pPr>
    </w:p>
    <w:p w14:paraId="54D1EE85">
      <w:pPr>
        <w:rPr>
          <w:rFonts w:hAnsi="宋体"/>
          <w:snapToGrid w:val="0"/>
          <w:color w:val="auto"/>
          <w:spacing w:val="-6"/>
          <w:kern w:val="21"/>
          <w:szCs w:val="21"/>
        </w:rPr>
      </w:pPr>
    </w:p>
    <w:p w14:paraId="3429C61C">
      <w:pPr>
        <w:rPr>
          <w:rFonts w:hAnsi="宋体"/>
          <w:snapToGrid w:val="0"/>
          <w:color w:val="auto"/>
          <w:spacing w:val="-6"/>
          <w:kern w:val="21"/>
          <w:szCs w:val="21"/>
        </w:rPr>
      </w:pPr>
    </w:p>
    <w:p w14:paraId="7BBA44DB">
      <w:pPr>
        <w:rPr>
          <w:rFonts w:hAnsi="宋体"/>
          <w:snapToGrid w:val="0"/>
          <w:color w:val="auto"/>
          <w:spacing w:val="-6"/>
          <w:kern w:val="21"/>
          <w:szCs w:val="21"/>
        </w:rPr>
      </w:pPr>
    </w:p>
    <w:p w14:paraId="773A116F">
      <w:pPr>
        <w:rPr>
          <w:rFonts w:hAnsi="宋体"/>
          <w:snapToGrid w:val="0"/>
          <w:color w:val="auto"/>
          <w:spacing w:val="-6"/>
          <w:kern w:val="21"/>
          <w:szCs w:val="21"/>
        </w:rPr>
      </w:pPr>
    </w:p>
    <w:p w14:paraId="6C2A2C29">
      <w:pPr>
        <w:rPr>
          <w:rFonts w:hAnsi="宋体"/>
          <w:snapToGrid w:val="0"/>
          <w:color w:val="auto"/>
          <w:spacing w:val="-6"/>
          <w:kern w:val="21"/>
          <w:szCs w:val="21"/>
        </w:rPr>
      </w:pPr>
    </w:p>
    <w:p w14:paraId="1C57E9FD">
      <w:pPr>
        <w:rPr>
          <w:rFonts w:hAnsi="宋体"/>
          <w:snapToGrid w:val="0"/>
          <w:color w:val="auto"/>
          <w:spacing w:val="-6"/>
          <w:kern w:val="21"/>
          <w:szCs w:val="21"/>
        </w:rPr>
      </w:pPr>
    </w:p>
    <w:p w14:paraId="71B058DB">
      <w:pPr>
        <w:rPr>
          <w:rFonts w:hAnsi="宋体"/>
          <w:snapToGrid w:val="0"/>
          <w:color w:val="auto"/>
          <w:spacing w:val="-6"/>
          <w:kern w:val="21"/>
          <w:szCs w:val="21"/>
        </w:rPr>
      </w:pPr>
    </w:p>
    <w:p w14:paraId="598E022E">
      <w:pPr>
        <w:rPr>
          <w:rFonts w:hAnsi="宋体"/>
          <w:snapToGrid w:val="0"/>
          <w:color w:val="auto"/>
          <w:spacing w:val="-6"/>
          <w:kern w:val="21"/>
          <w:szCs w:val="21"/>
        </w:rPr>
      </w:pPr>
    </w:p>
    <w:p w14:paraId="42017F2E">
      <w:pPr>
        <w:rPr>
          <w:rFonts w:hAnsi="宋体"/>
          <w:snapToGrid w:val="0"/>
          <w:color w:val="auto"/>
          <w:spacing w:val="-6"/>
          <w:kern w:val="21"/>
          <w:szCs w:val="21"/>
        </w:rPr>
      </w:pPr>
    </w:p>
    <w:p w14:paraId="3ACE5C27">
      <w:pPr>
        <w:rPr>
          <w:rFonts w:hAnsi="宋体"/>
          <w:snapToGrid w:val="0"/>
          <w:color w:val="auto"/>
          <w:spacing w:val="-6"/>
          <w:kern w:val="21"/>
          <w:szCs w:val="21"/>
        </w:rPr>
      </w:pPr>
    </w:p>
    <w:p w14:paraId="6719A7A8">
      <w:pPr>
        <w:rPr>
          <w:rFonts w:hAnsi="宋体"/>
          <w:snapToGrid w:val="0"/>
          <w:color w:val="auto"/>
          <w:spacing w:val="-6"/>
          <w:kern w:val="21"/>
          <w:szCs w:val="21"/>
        </w:rPr>
      </w:pPr>
    </w:p>
    <w:p w14:paraId="5B3A1C3A">
      <w:pPr>
        <w:rPr>
          <w:rFonts w:hint="default"/>
          <w:color w:val="auto"/>
          <w:lang w:val="en-US" w:eastAsia="zh-CN"/>
        </w:rPr>
      </w:pPr>
    </w:p>
    <w:sectPr>
      <w:footerReference r:id="rId7"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IDFont+F3">
    <w:altName w:val="Times New Roman"/>
    <w:panose1 w:val="00000000000000000000"/>
    <w:charset w:val="00"/>
    <w:family w:val="roman"/>
    <w:pitch w:val="default"/>
    <w:sig w:usb0="00000000" w:usb1="00000000" w:usb2="00000000" w:usb3="00000000" w:csb0="00040001" w:csb1="00000000"/>
  </w:font>
  <w:font w:name="CIDFont+F1">
    <w:altName w:val="Times New Roman"/>
    <w:panose1 w:val="00000000000000000000"/>
    <w:charset w:val="00"/>
    <w:family w:val="roman"/>
    <w:pitch w:val="default"/>
    <w:sig w:usb0="00000000" w:usb1="00000000" w:usb2="00000000"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49D8E">
    <w:pPr>
      <w:pStyle w:val="1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E53F9">
    <w:pPr>
      <w:pStyle w:val="18"/>
      <w:framePr w:wrap="around" w:vAnchor="text" w:hAnchor="margin" w:xAlign="center" w:y="1"/>
      <w:rPr>
        <w:rStyle w:val="34"/>
      </w:rPr>
    </w:pPr>
    <w:r>
      <w:fldChar w:fldCharType="begin"/>
    </w:r>
    <w:r>
      <w:rPr>
        <w:rStyle w:val="34"/>
      </w:rPr>
      <w:instrText xml:space="preserve">PAGE  </w:instrText>
    </w:r>
    <w:r>
      <w:fldChar w:fldCharType="end"/>
    </w:r>
  </w:p>
  <w:p w14:paraId="68170847">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92F47">
    <w:pPr>
      <w:pStyle w:val="18"/>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1A749">
    <w:pPr>
      <w:pStyle w:val="18"/>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234E5A">
                          <w:pPr>
                            <w:pStyle w:val="18"/>
                            <w:rPr>
                              <w:rStyle w:val="34"/>
                              <w:rFonts w:ascii="宋体" w:hAnsi="宋体"/>
                              <w:sz w:val="28"/>
                              <w:szCs w:val="28"/>
                            </w:rPr>
                          </w:pPr>
                          <w:r>
                            <w:rPr>
                              <w:rStyle w:val="34"/>
                              <w:rFonts w:hint="eastAsia" w:ascii="宋体" w:hAnsi="宋体"/>
                              <w:sz w:val="28"/>
                              <w:szCs w:val="28"/>
                            </w:rPr>
                            <w:t>—</w:t>
                          </w:r>
                          <w:r>
                            <w:rPr>
                              <w:rStyle w:val="34"/>
                              <w:rFonts w:hint="eastAsia" w:ascii="宋体" w:hAnsi="宋体"/>
                              <w:sz w:val="20"/>
                            </w:rPr>
                            <w:t xml:space="preserve">  </w:t>
                          </w:r>
                          <w:r>
                            <w:rPr>
                              <w:rFonts w:ascii="宋体" w:hAnsi="宋体"/>
                              <w:sz w:val="26"/>
                              <w:szCs w:val="26"/>
                            </w:rPr>
                            <w:fldChar w:fldCharType="begin"/>
                          </w:r>
                          <w:r>
                            <w:rPr>
                              <w:rStyle w:val="34"/>
                              <w:rFonts w:ascii="宋体" w:hAnsi="宋体"/>
                              <w:sz w:val="26"/>
                              <w:szCs w:val="26"/>
                            </w:rPr>
                            <w:instrText xml:space="preserve">PAGE  </w:instrText>
                          </w:r>
                          <w:r>
                            <w:rPr>
                              <w:rFonts w:ascii="宋体" w:hAnsi="宋体"/>
                              <w:sz w:val="26"/>
                              <w:szCs w:val="26"/>
                            </w:rPr>
                            <w:fldChar w:fldCharType="separate"/>
                          </w:r>
                          <w:r>
                            <w:rPr>
                              <w:rStyle w:val="34"/>
                              <w:rFonts w:ascii="宋体" w:hAnsi="宋体"/>
                              <w:sz w:val="26"/>
                              <w:szCs w:val="26"/>
                            </w:rPr>
                            <w:t>44</w:t>
                          </w:r>
                          <w:r>
                            <w:rPr>
                              <w:rFonts w:ascii="宋体" w:hAnsi="宋体"/>
                              <w:sz w:val="26"/>
                              <w:szCs w:val="26"/>
                            </w:rPr>
                            <w:fldChar w:fldCharType="end"/>
                          </w:r>
                          <w:r>
                            <w:rPr>
                              <w:rStyle w:val="34"/>
                              <w:rFonts w:hint="eastAsia" w:ascii="宋体" w:hAnsi="宋体"/>
                              <w:sz w:val="20"/>
                            </w:rPr>
                            <w:t xml:space="preserve">  </w:t>
                          </w:r>
                          <w:r>
                            <w:rPr>
                              <w:rStyle w:val="34"/>
                              <w:rFonts w:hint="eastAsia" w:ascii="宋体" w:hAnsi="宋体"/>
                              <w:sz w:val="28"/>
                              <w:szCs w:val="28"/>
                            </w:rPr>
                            <w:t>—</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14:paraId="78234E5A">
                    <w:pPr>
                      <w:pStyle w:val="18"/>
                      <w:rPr>
                        <w:rStyle w:val="34"/>
                        <w:rFonts w:ascii="宋体" w:hAnsi="宋体"/>
                        <w:sz w:val="28"/>
                        <w:szCs w:val="28"/>
                      </w:rPr>
                    </w:pPr>
                    <w:r>
                      <w:rPr>
                        <w:rStyle w:val="34"/>
                        <w:rFonts w:hint="eastAsia" w:ascii="宋体" w:hAnsi="宋体"/>
                        <w:sz w:val="28"/>
                        <w:szCs w:val="28"/>
                      </w:rPr>
                      <w:t>—</w:t>
                    </w:r>
                    <w:r>
                      <w:rPr>
                        <w:rStyle w:val="34"/>
                        <w:rFonts w:hint="eastAsia" w:ascii="宋体" w:hAnsi="宋体"/>
                        <w:sz w:val="20"/>
                      </w:rPr>
                      <w:t xml:space="preserve">  </w:t>
                    </w:r>
                    <w:r>
                      <w:rPr>
                        <w:rFonts w:ascii="宋体" w:hAnsi="宋体"/>
                        <w:sz w:val="26"/>
                        <w:szCs w:val="26"/>
                      </w:rPr>
                      <w:fldChar w:fldCharType="begin"/>
                    </w:r>
                    <w:r>
                      <w:rPr>
                        <w:rStyle w:val="34"/>
                        <w:rFonts w:ascii="宋体" w:hAnsi="宋体"/>
                        <w:sz w:val="26"/>
                        <w:szCs w:val="26"/>
                      </w:rPr>
                      <w:instrText xml:space="preserve">PAGE  </w:instrText>
                    </w:r>
                    <w:r>
                      <w:rPr>
                        <w:rFonts w:ascii="宋体" w:hAnsi="宋体"/>
                        <w:sz w:val="26"/>
                        <w:szCs w:val="26"/>
                      </w:rPr>
                      <w:fldChar w:fldCharType="separate"/>
                    </w:r>
                    <w:r>
                      <w:rPr>
                        <w:rStyle w:val="34"/>
                        <w:rFonts w:ascii="宋体" w:hAnsi="宋体"/>
                        <w:sz w:val="26"/>
                        <w:szCs w:val="26"/>
                      </w:rPr>
                      <w:t>44</w:t>
                    </w:r>
                    <w:r>
                      <w:rPr>
                        <w:rFonts w:ascii="宋体" w:hAnsi="宋体"/>
                        <w:sz w:val="26"/>
                        <w:szCs w:val="26"/>
                      </w:rPr>
                      <w:fldChar w:fldCharType="end"/>
                    </w:r>
                    <w:r>
                      <w:rPr>
                        <w:rStyle w:val="34"/>
                        <w:rFonts w:hint="eastAsia" w:ascii="宋体" w:hAnsi="宋体"/>
                        <w:sz w:val="20"/>
                      </w:rPr>
                      <w:t xml:space="preserve">  </w:t>
                    </w:r>
                    <w:r>
                      <w:rPr>
                        <w:rStyle w:val="34"/>
                        <w:rFonts w:hint="eastAsia" w:ascii="宋体" w:hAnsi="宋体"/>
                        <w:sz w:val="28"/>
                        <w:szCs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96638">
    <w:pPr>
      <w:pStyle w:val="18"/>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C5A7A">
                          <w:pPr>
                            <w:pStyle w:val="1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69C5A7A">
                    <w:pPr>
                      <w:pStyle w:val="1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pStyle w:val="59"/>
      <w:lvlText w:val="%1."/>
      <w:lvlJc w:val="left"/>
      <w:pPr>
        <w:tabs>
          <w:tab w:val="left" w:pos="2040"/>
        </w:tabs>
        <w:ind w:left="2040" w:hanging="360"/>
      </w:pPr>
    </w:lvl>
  </w:abstractNum>
  <w:abstractNum w:abstractNumId="1">
    <w:nsid w:val="1C7C063B"/>
    <w:multiLevelType w:val="multilevel"/>
    <w:tmpl w:val="1C7C063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lvl>
    <w:lvl w:ilvl="2" w:tentative="0">
      <w:start w:val="1"/>
      <w:numFmt w:val="decimal"/>
      <w:pStyle w:val="86"/>
      <w:lvlText w:val="%1.%2.%3"/>
      <w:lvlJc w:val="left"/>
      <w:pPr>
        <w:ind w:left="1418" w:hanging="567"/>
      </w:pPr>
    </w:lvl>
    <w:lvl w:ilvl="3" w:tentative="0">
      <w:start w:val="1"/>
      <w:numFmt w:val="decimal"/>
      <w:pStyle w:val="85"/>
      <w:lvlText w:val="%1.%2.%3.%4"/>
      <w:lvlJc w:val="left"/>
      <w:pPr>
        <w:ind w:left="4393"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74A85E3B"/>
    <w:multiLevelType w:val="singleLevel"/>
    <w:tmpl w:val="74A85E3B"/>
    <w:lvl w:ilvl="0" w:tentative="0">
      <w:start w:val="1"/>
      <w:numFmt w:val="bullet"/>
      <w:pStyle w:val="15"/>
      <w:lvlText w:val=""/>
      <w:lvlJc w:val="left"/>
      <w:pPr>
        <w:tabs>
          <w:tab w:val="left" w:pos="2040"/>
        </w:tabs>
        <w:ind w:left="204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5MzY4NTVmNWNkM2FiOTE3MzcxMWViN2E1MTkyMzYifQ=="/>
    <w:docVar w:name="KSO_WPS_MARK_KEY" w:val="a946e416-d7e0-456f-a184-5bfd9aad82ab"/>
  </w:docVars>
  <w:rsids>
    <w:rsidRoot w:val="00172A27"/>
    <w:rsid w:val="000060B3"/>
    <w:rsid w:val="0004364B"/>
    <w:rsid w:val="00053560"/>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2F48D8"/>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5E15"/>
    <w:rsid w:val="00406F01"/>
    <w:rsid w:val="00416D50"/>
    <w:rsid w:val="00416FD5"/>
    <w:rsid w:val="00417772"/>
    <w:rsid w:val="00420E6A"/>
    <w:rsid w:val="00425A9E"/>
    <w:rsid w:val="00426D6B"/>
    <w:rsid w:val="00431E6C"/>
    <w:rsid w:val="00433CE7"/>
    <w:rsid w:val="00452738"/>
    <w:rsid w:val="00456091"/>
    <w:rsid w:val="00461AEC"/>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55A06"/>
    <w:rsid w:val="00557333"/>
    <w:rsid w:val="0056106A"/>
    <w:rsid w:val="005720AE"/>
    <w:rsid w:val="00594D77"/>
    <w:rsid w:val="005969E4"/>
    <w:rsid w:val="005A06B7"/>
    <w:rsid w:val="005A1759"/>
    <w:rsid w:val="005A68A7"/>
    <w:rsid w:val="005D36AB"/>
    <w:rsid w:val="00617CC3"/>
    <w:rsid w:val="006377A6"/>
    <w:rsid w:val="00637A3D"/>
    <w:rsid w:val="006411EF"/>
    <w:rsid w:val="00642B8E"/>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16E"/>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2562C"/>
    <w:rsid w:val="008306BD"/>
    <w:rsid w:val="00831A80"/>
    <w:rsid w:val="00833743"/>
    <w:rsid w:val="008340A4"/>
    <w:rsid w:val="0087135F"/>
    <w:rsid w:val="00872D94"/>
    <w:rsid w:val="00880364"/>
    <w:rsid w:val="00881441"/>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345AC"/>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9E5881"/>
    <w:rsid w:val="009F2E2B"/>
    <w:rsid w:val="00A04F1B"/>
    <w:rsid w:val="00A0501B"/>
    <w:rsid w:val="00A14947"/>
    <w:rsid w:val="00A32A83"/>
    <w:rsid w:val="00A368DB"/>
    <w:rsid w:val="00A423AA"/>
    <w:rsid w:val="00A53EC6"/>
    <w:rsid w:val="00A55C0F"/>
    <w:rsid w:val="00A642C9"/>
    <w:rsid w:val="00A8713F"/>
    <w:rsid w:val="00A90BA1"/>
    <w:rsid w:val="00A97A9A"/>
    <w:rsid w:val="00AA0671"/>
    <w:rsid w:val="00AA0AA4"/>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3796"/>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B2F53"/>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60FED"/>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5627"/>
    <w:rsid w:val="00E2656A"/>
    <w:rsid w:val="00E31730"/>
    <w:rsid w:val="00E412D0"/>
    <w:rsid w:val="00E56322"/>
    <w:rsid w:val="00E60982"/>
    <w:rsid w:val="00E62C62"/>
    <w:rsid w:val="00E654C1"/>
    <w:rsid w:val="00E65D97"/>
    <w:rsid w:val="00E72A5A"/>
    <w:rsid w:val="00E73354"/>
    <w:rsid w:val="00E9242D"/>
    <w:rsid w:val="00EB5255"/>
    <w:rsid w:val="00EB5C47"/>
    <w:rsid w:val="00ED0639"/>
    <w:rsid w:val="00ED43AB"/>
    <w:rsid w:val="00ED6A9A"/>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0FF0404"/>
    <w:rsid w:val="01290F7E"/>
    <w:rsid w:val="015D1E09"/>
    <w:rsid w:val="015E4AD6"/>
    <w:rsid w:val="01A4698D"/>
    <w:rsid w:val="02697903"/>
    <w:rsid w:val="02F96569"/>
    <w:rsid w:val="03EA7B21"/>
    <w:rsid w:val="04EE2BA1"/>
    <w:rsid w:val="05BC47A8"/>
    <w:rsid w:val="05C778BA"/>
    <w:rsid w:val="05E85C78"/>
    <w:rsid w:val="05F83EAE"/>
    <w:rsid w:val="062D2C0D"/>
    <w:rsid w:val="063003FF"/>
    <w:rsid w:val="063E7D85"/>
    <w:rsid w:val="064267E4"/>
    <w:rsid w:val="06A86E97"/>
    <w:rsid w:val="06F36098"/>
    <w:rsid w:val="07234996"/>
    <w:rsid w:val="07293586"/>
    <w:rsid w:val="07295285"/>
    <w:rsid w:val="075C5656"/>
    <w:rsid w:val="07636392"/>
    <w:rsid w:val="07770C56"/>
    <w:rsid w:val="07807C66"/>
    <w:rsid w:val="079C1EB4"/>
    <w:rsid w:val="080C79DF"/>
    <w:rsid w:val="086814AB"/>
    <w:rsid w:val="088E5CA1"/>
    <w:rsid w:val="092217DD"/>
    <w:rsid w:val="093A7294"/>
    <w:rsid w:val="09624B8B"/>
    <w:rsid w:val="09740176"/>
    <w:rsid w:val="097B7798"/>
    <w:rsid w:val="0A056438"/>
    <w:rsid w:val="0A263993"/>
    <w:rsid w:val="0A2D3AC2"/>
    <w:rsid w:val="0A8E1F88"/>
    <w:rsid w:val="0AA755DF"/>
    <w:rsid w:val="0AD33F8D"/>
    <w:rsid w:val="0B120D44"/>
    <w:rsid w:val="0B961E5C"/>
    <w:rsid w:val="0BD27BF6"/>
    <w:rsid w:val="0BE55709"/>
    <w:rsid w:val="0C3B3C7D"/>
    <w:rsid w:val="0CAB2EAE"/>
    <w:rsid w:val="0D410786"/>
    <w:rsid w:val="0D621C7D"/>
    <w:rsid w:val="0D636A91"/>
    <w:rsid w:val="0D956930"/>
    <w:rsid w:val="0DBD4809"/>
    <w:rsid w:val="0DEF05F2"/>
    <w:rsid w:val="0E73034D"/>
    <w:rsid w:val="0F13775A"/>
    <w:rsid w:val="0F4672D5"/>
    <w:rsid w:val="0F5F45FE"/>
    <w:rsid w:val="0F9A112B"/>
    <w:rsid w:val="0FB0474F"/>
    <w:rsid w:val="106D2F64"/>
    <w:rsid w:val="10B63710"/>
    <w:rsid w:val="10F10820"/>
    <w:rsid w:val="111C2F7A"/>
    <w:rsid w:val="11665CA1"/>
    <w:rsid w:val="12271371"/>
    <w:rsid w:val="13610C78"/>
    <w:rsid w:val="13951726"/>
    <w:rsid w:val="13BF056A"/>
    <w:rsid w:val="14396509"/>
    <w:rsid w:val="14DD2C3C"/>
    <w:rsid w:val="16087E1D"/>
    <w:rsid w:val="16190C98"/>
    <w:rsid w:val="16F35182"/>
    <w:rsid w:val="171A6B31"/>
    <w:rsid w:val="17701D14"/>
    <w:rsid w:val="17735226"/>
    <w:rsid w:val="189F624C"/>
    <w:rsid w:val="18F956BF"/>
    <w:rsid w:val="19DC4A7E"/>
    <w:rsid w:val="1A1C66C0"/>
    <w:rsid w:val="1A42393B"/>
    <w:rsid w:val="1A6C4393"/>
    <w:rsid w:val="1AAD45DE"/>
    <w:rsid w:val="1AC91080"/>
    <w:rsid w:val="1ACC3280"/>
    <w:rsid w:val="1B046F80"/>
    <w:rsid w:val="1B2E0921"/>
    <w:rsid w:val="1B3267B5"/>
    <w:rsid w:val="1B3B0813"/>
    <w:rsid w:val="1B3B3B18"/>
    <w:rsid w:val="1B40161D"/>
    <w:rsid w:val="1B441859"/>
    <w:rsid w:val="1B502C23"/>
    <w:rsid w:val="1B6606B1"/>
    <w:rsid w:val="1C5E7925"/>
    <w:rsid w:val="1C9A20CF"/>
    <w:rsid w:val="1CF23F7C"/>
    <w:rsid w:val="1CFD070F"/>
    <w:rsid w:val="1D3539D1"/>
    <w:rsid w:val="1D487683"/>
    <w:rsid w:val="1D5F6196"/>
    <w:rsid w:val="1D6132A5"/>
    <w:rsid w:val="1D8E56D5"/>
    <w:rsid w:val="1D8E7B9E"/>
    <w:rsid w:val="1E603948"/>
    <w:rsid w:val="1E7A43DA"/>
    <w:rsid w:val="1EAE454F"/>
    <w:rsid w:val="1EB715C6"/>
    <w:rsid w:val="1FA569B1"/>
    <w:rsid w:val="1FE7539E"/>
    <w:rsid w:val="1FF70178"/>
    <w:rsid w:val="20671BE0"/>
    <w:rsid w:val="20963CB8"/>
    <w:rsid w:val="20A81A1B"/>
    <w:rsid w:val="20B07FB6"/>
    <w:rsid w:val="20B646FB"/>
    <w:rsid w:val="213B74B1"/>
    <w:rsid w:val="215A2310"/>
    <w:rsid w:val="216942DD"/>
    <w:rsid w:val="21BB7A01"/>
    <w:rsid w:val="21DE318A"/>
    <w:rsid w:val="21EF5B80"/>
    <w:rsid w:val="223C6486"/>
    <w:rsid w:val="22576990"/>
    <w:rsid w:val="22F47480"/>
    <w:rsid w:val="23DE1C48"/>
    <w:rsid w:val="240210CD"/>
    <w:rsid w:val="24822039"/>
    <w:rsid w:val="2499366F"/>
    <w:rsid w:val="24BF09F7"/>
    <w:rsid w:val="24F5291E"/>
    <w:rsid w:val="252D53FE"/>
    <w:rsid w:val="254D0F64"/>
    <w:rsid w:val="25B00A4D"/>
    <w:rsid w:val="25EC2D81"/>
    <w:rsid w:val="27641FA9"/>
    <w:rsid w:val="277057A2"/>
    <w:rsid w:val="27F90C70"/>
    <w:rsid w:val="28031EBD"/>
    <w:rsid w:val="289F2BD6"/>
    <w:rsid w:val="29206EB8"/>
    <w:rsid w:val="29595666"/>
    <w:rsid w:val="29874881"/>
    <w:rsid w:val="29E325E0"/>
    <w:rsid w:val="2A34731A"/>
    <w:rsid w:val="2A452503"/>
    <w:rsid w:val="2AB732BA"/>
    <w:rsid w:val="2BA936A8"/>
    <w:rsid w:val="2BC659C4"/>
    <w:rsid w:val="2C033818"/>
    <w:rsid w:val="2C315A5A"/>
    <w:rsid w:val="2C4B1C25"/>
    <w:rsid w:val="2D3A59AE"/>
    <w:rsid w:val="2D6C6660"/>
    <w:rsid w:val="2D9E56F5"/>
    <w:rsid w:val="2DC964C7"/>
    <w:rsid w:val="2E667F96"/>
    <w:rsid w:val="2E8226AB"/>
    <w:rsid w:val="2EE70821"/>
    <w:rsid w:val="2EE93725"/>
    <w:rsid w:val="2F19476C"/>
    <w:rsid w:val="2F3805D3"/>
    <w:rsid w:val="2FD065E6"/>
    <w:rsid w:val="2FD96870"/>
    <w:rsid w:val="30580BC9"/>
    <w:rsid w:val="30FA0111"/>
    <w:rsid w:val="311E2ED7"/>
    <w:rsid w:val="314E53D2"/>
    <w:rsid w:val="315619EE"/>
    <w:rsid w:val="315C449C"/>
    <w:rsid w:val="31B82709"/>
    <w:rsid w:val="31D05482"/>
    <w:rsid w:val="32400B34"/>
    <w:rsid w:val="325B70E8"/>
    <w:rsid w:val="329E6876"/>
    <w:rsid w:val="32E7407C"/>
    <w:rsid w:val="333015F2"/>
    <w:rsid w:val="333972E6"/>
    <w:rsid w:val="334B6320"/>
    <w:rsid w:val="335037D6"/>
    <w:rsid w:val="33A93C97"/>
    <w:rsid w:val="33D934D4"/>
    <w:rsid w:val="33FE2F6A"/>
    <w:rsid w:val="340E07E5"/>
    <w:rsid w:val="34235BF7"/>
    <w:rsid w:val="34DC1CE0"/>
    <w:rsid w:val="358C5FA8"/>
    <w:rsid w:val="35C15DF1"/>
    <w:rsid w:val="35C95541"/>
    <w:rsid w:val="36074A7F"/>
    <w:rsid w:val="361E3E48"/>
    <w:rsid w:val="364751C9"/>
    <w:rsid w:val="36923549"/>
    <w:rsid w:val="36B75FBF"/>
    <w:rsid w:val="36BD0C45"/>
    <w:rsid w:val="37117919"/>
    <w:rsid w:val="371F29B8"/>
    <w:rsid w:val="37E00298"/>
    <w:rsid w:val="385A0ABD"/>
    <w:rsid w:val="386E47B6"/>
    <w:rsid w:val="389451BA"/>
    <w:rsid w:val="38A96D87"/>
    <w:rsid w:val="38B302F9"/>
    <w:rsid w:val="38F12CD3"/>
    <w:rsid w:val="38F94775"/>
    <w:rsid w:val="392971ED"/>
    <w:rsid w:val="39325651"/>
    <w:rsid w:val="39A0520C"/>
    <w:rsid w:val="39AC2BC2"/>
    <w:rsid w:val="3A6D3E23"/>
    <w:rsid w:val="3A872856"/>
    <w:rsid w:val="3ADC01ED"/>
    <w:rsid w:val="3B1655CA"/>
    <w:rsid w:val="3B3763D1"/>
    <w:rsid w:val="3B3D43D5"/>
    <w:rsid w:val="3B7F7A8D"/>
    <w:rsid w:val="3C2F6E1E"/>
    <w:rsid w:val="3C4F64BA"/>
    <w:rsid w:val="3C594893"/>
    <w:rsid w:val="3CDA245A"/>
    <w:rsid w:val="3CDD46A4"/>
    <w:rsid w:val="3D1E06B7"/>
    <w:rsid w:val="3DC72A04"/>
    <w:rsid w:val="3EDA0523"/>
    <w:rsid w:val="3EFA0C83"/>
    <w:rsid w:val="3FAC795E"/>
    <w:rsid w:val="3FAF6A8C"/>
    <w:rsid w:val="407A6407"/>
    <w:rsid w:val="41CA7C2F"/>
    <w:rsid w:val="4200449D"/>
    <w:rsid w:val="423A3BCC"/>
    <w:rsid w:val="424E57D2"/>
    <w:rsid w:val="426F3A81"/>
    <w:rsid w:val="427A0ED5"/>
    <w:rsid w:val="42B26C49"/>
    <w:rsid w:val="42E46543"/>
    <w:rsid w:val="42F04A48"/>
    <w:rsid w:val="43030721"/>
    <w:rsid w:val="433A6FE6"/>
    <w:rsid w:val="43480868"/>
    <w:rsid w:val="4350713C"/>
    <w:rsid w:val="436653E0"/>
    <w:rsid w:val="437F3647"/>
    <w:rsid w:val="43C4431A"/>
    <w:rsid w:val="44022F31"/>
    <w:rsid w:val="441E0F0F"/>
    <w:rsid w:val="44B951CC"/>
    <w:rsid w:val="44CD14E0"/>
    <w:rsid w:val="44F20B0B"/>
    <w:rsid w:val="450C6879"/>
    <w:rsid w:val="452E5F4C"/>
    <w:rsid w:val="453B273B"/>
    <w:rsid w:val="453B56E6"/>
    <w:rsid w:val="45452286"/>
    <w:rsid w:val="45563072"/>
    <w:rsid w:val="45612018"/>
    <w:rsid w:val="458946E9"/>
    <w:rsid w:val="45A47C0E"/>
    <w:rsid w:val="465476C0"/>
    <w:rsid w:val="46577FD6"/>
    <w:rsid w:val="46D955A7"/>
    <w:rsid w:val="46DD6623"/>
    <w:rsid w:val="46F674F7"/>
    <w:rsid w:val="47133957"/>
    <w:rsid w:val="47A07E0C"/>
    <w:rsid w:val="4859252F"/>
    <w:rsid w:val="4870272E"/>
    <w:rsid w:val="488937B4"/>
    <w:rsid w:val="48D12DA3"/>
    <w:rsid w:val="49D2753A"/>
    <w:rsid w:val="49DC7715"/>
    <w:rsid w:val="4A023139"/>
    <w:rsid w:val="4A5F52B8"/>
    <w:rsid w:val="4A7A0234"/>
    <w:rsid w:val="4A7B576F"/>
    <w:rsid w:val="4AF561A9"/>
    <w:rsid w:val="4BE662D2"/>
    <w:rsid w:val="4C4A0649"/>
    <w:rsid w:val="4C7E5ECA"/>
    <w:rsid w:val="4C876AA5"/>
    <w:rsid w:val="4C8F0E0D"/>
    <w:rsid w:val="4D082CB1"/>
    <w:rsid w:val="4D0E00FB"/>
    <w:rsid w:val="4D176606"/>
    <w:rsid w:val="4DC453ED"/>
    <w:rsid w:val="4DEC4FB0"/>
    <w:rsid w:val="4E075D8A"/>
    <w:rsid w:val="4E1338CA"/>
    <w:rsid w:val="4EC00FAD"/>
    <w:rsid w:val="4F9843DC"/>
    <w:rsid w:val="4FC62A8C"/>
    <w:rsid w:val="4FE20F0D"/>
    <w:rsid w:val="4FE51552"/>
    <w:rsid w:val="50504C4B"/>
    <w:rsid w:val="509C6E7C"/>
    <w:rsid w:val="50F5337A"/>
    <w:rsid w:val="51552376"/>
    <w:rsid w:val="5162104E"/>
    <w:rsid w:val="51F15197"/>
    <w:rsid w:val="52035716"/>
    <w:rsid w:val="522155B3"/>
    <w:rsid w:val="52F80309"/>
    <w:rsid w:val="536B3CCD"/>
    <w:rsid w:val="53A039CC"/>
    <w:rsid w:val="53A1505A"/>
    <w:rsid w:val="53D15F07"/>
    <w:rsid w:val="54063E08"/>
    <w:rsid w:val="543437E8"/>
    <w:rsid w:val="54417E98"/>
    <w:rsid w:val="54F14A01"/>
    <w:rsid w:val="54F73313"/>
    <w:rsid w:val="54F80955"/>
    <w:rsid w:val="552D3F6F"/>
    <w:rsid w:val="555170A7"/>
    <w:rsid w:val="5587536D"/>
    <w:rsid w:val="559B174B"/>
    <w:rsid w:val="55CE0CF4"/>
    <w:rsid w:val="564346F0"/>
    <w:rsid w:val="56B22A9C"/>
    <w:rsid w:val="570F1A4A"/>
    <w:rsid w:val="57316ADE"/>
    <w:rsid w:val="57640F5C"/>
    <w:rsid w:val="57890A6C"/>
    <w:rsid w:val="57AE47F4"/>
    <w:rsid w:val="57B72A76"/>
    <w:rsid w:val="57C3426C"/>
    <w:rsid w:val="57CE1F93"/>
    <w:rsid w:val="5847146C"/>
    <w:rsid w:val="58473136"/>
    <w:rsid w:val="588743D1"/>
    <w:rsid w:val="5887701A"/>
    <w:rsid w:val="58ED4DEA"/>
    <w:rsid w:val="59933BBF"/>
    <w:rsid w:val="59C0439F"/>
    <w:rsid w:val="5A0E7C15"/>
    <w:rsid w:val="5ABE2233"/>
    <w:rsid w:val="5AE010BC"/>
    <w:rsid w:val="5AE02D18"/>
    <w:rsid w:val="5AF21128"/>
    <w:rsid w:val="5B8952C7"/>
    <w:rsid w:val="5BDF5D95"/>
    <w:rsid w:val="5BFE7528"/>
    <w:rsid w:val="5C120286"/>
    <w:rsid w:val="5C3B2BBF"/>
    <w:rsid w:val="5D245857"/>
    <w:rsid w:val="5D2A6E76"/>
    <w:rsid w:val="5D8F777F"/>
    <w:rsid w:val="5DBA17D4"/>
    <w:rsid w:val="5DC6559F"/>
    <w:rsid w:val="5E082F75"/>
    <w:rsid w:val="5E2467F1"/>
    <w:rsid w:val="5E5266D8"/>
    <w:rsid w:val="5E5E7664"/>
    <w:rsid w:val="5E766130"/>
    <w:rsid w:val="5E8342C0"/>
    <w:rsid w:val="5EC6208E"/>
    <w:rsid w:val="5ED21C22"/>
    <w:rsid w:val="5F005FD8"/>
    <w:rsid w:val="5F1A2B43"/>
    <w:rsid w:val="5F5A335C"/>
    <w:rsid w:val="5F8906AF"/>
    <w:rsid w:val="5F947F0A"/>
    <w:rsid w:val="5FB134F5"/>
    <w:rsid w:val="5FB837BB"/>
    <w:rsid w:val="602B32BB"/>
    <w:rsid w:val="60CC405A"/>
    <w:rsid w:val="60F93102"/>
    <w:rsid w:val="6167657F"/>
    <w:rsid w:val="61E215D8"/>
    <w:rsid w:val="621B3775"/>
    <w:rsid w:val="62364782"/>
    <w:rsid w:val="62413DE3"/>
    <w:rsid w:val="6264205F"/>
    <w:rsid w:val="62A42683"/>
    <w:rsid w:val="63740E23"/>
    <w:rsid w:val="6394356A"/>
    <w:rsid w:val="63C61B2C"/>
    <w:rsid w:val="63D40BE9"/>
    <w:rsid w:val="63EF0EFE"/>
    <w:rsid w:val="64102431"/>
    <w:rsid w:val="64631774"/>
    <w:rsid w:val="64A5243A"/>
    <w:rsid w:val="64ED71A8"/>
    <w:rsid w:val="64F531DE"/>
    <w:rsid w:val="65373578"/>
    <w:rsid w:val="658F21FB"/>
    <w:rsid w:val="6596245C"/>
    <w:rsid w:val="65D00010"/>
    <w:rsid w:val="671F124A"/>
    <w:rsid w:val="677A33C6"/>
    <w:rsid w:val="67F227E4"/>
    <w:rsid w:val="681F6961"/>
    <w:rsid w:val="68610A2F"/>
    <w:rsid w:val="68805514"/>
    <w:rsid w:val="688630A1"/>
    <w:rsid w:val="69000160"/>
    <w:rsid w:val="69316E2F"/>
    <w:rsid w:val="694E2071"/>
    <w:rsid w:val="694F64DE"/>
    <w:rsid w:val="69766163"/>
    <w:rsid w:val="697A3B33"/>
    <w:rsid w:val="69D44760"/>
    <w:rsid w:val="6A461C19"/>
    <w:rsid w:val="6A520EC7"/>
    <w:rsid w:val="6A90057A"/>
    <w:rsid w:val="6AF87E20"/>
    <w:rsid w:val="6B2D23FE"/>
    <w:rsid w:val="6B322639"/>
    <w:rsid w:val="6B442F97"/>
    <w:rsid w:val="6BD66460"/>
    <w:rsid w:val="6BDB7F6C"/>
    <w:rsid w:val="6C636C38"/>
    <w:rsid w:val="6CC17DB2"/>
    <w:rsid w:val="6D095A8A"/>
    <w:rsid w:val="6DB34098"/>
    <w:rsid w:val="6DB545B6"/>
    <w:rsid w:val="6DE02FB4"/>
    <w:rsid w:val="6E3D5F63"/>
    <w:rsid w:val="6E514CED"/>
    <w:rsid w:val="6E843F52"/>
    <w:rsid w:val="6EB563D5"/>
    <w:rsid w:val="6ED92677"/>
    <w:rsid w:val="6F225983"/>
    <w:rsid w:val="6F5B41FD"/>
    <w:rsid w:val="6F744186"/>
    <w:rsid w:val="6FC96BAD"/>
    <w:rsid w:val="6FD21102"/>
    <w:rsid w:val="6FE85D36"/>
    <w:rsid w:val="6FF34935"/>
    <w:rsid w:val="6FFC5590"/>
    <w:rsid w:val="6FFD4784"/>
    <w:rsid w:val="706D1DD0"/>
    <w:rsid w:val="70856B87"/>
    <w:rsid w:val="70D527EE"/>
    <w:rsid w:val="71026939"/>
    <w:rsid w:val="711C5F80"/>
    <w:rsid w:val="715B5300"/>
    <w:rsid w:val="716F2C97"/>
    <w:rsid w:val="71D27F8A"/>
    <w:rsid w:val="72553024"/>
    <w:rsid w:val="72673071"/>
    <w:rsid w:val="72A226E4"/>
    <w:rsid w:val="72CB3C9C"/>
    <w:rsid w:val="73122968"/>
    <w:rsid w:val="731F5D5E"/>
    <w:rsid w:val="73840F91"/>
    <w:rsid w:val="73BA3D11"/>
    <w:rsid w:val="73C51AD5"/>
    <w:rsid w:val="741E793C"/>
    <w:rsid w:val="745E3944"/>
    <w:rsid w:val="74757CE8"/>
    <w:rsid w:val="74DD3EC2"/>
    <w:rsid w:val="75610D4A"/>
    <w:rsid w:val="759327FA"/>
    <w:rsid w:val="75EA6CF3"/>
    <w:rsid w:val="7635099D"/>
    <w:rsid w:val="76C77942"/>
    <w:rsid w:val="772C162A"/>
    <w:rsid w:val="77762421"/>
    <w:rsid w:val="77B56B1F"/>
    <w:rsid w:val="77F048C7"/>
    <w:rsid w:val="780F09F4"/>
    <w:rsid w:val="786E7F5E"/>
    <w:rsid w:val="78A90480"/>
    <w:rsid w:val="7A364017"/>
    <w:rsid w:val="7A8265E1"/>
    <w:rsid w:val="7AC81BED"/>
    <w:rsid w:val="7ADF5862"/>
    <w:rsid w:val="7B140942"/>
    <w:rsid w:val="7B3E188D"/>
    <w:rsid w:val="7B686D42"/>
    <w:rsid w:val="7B841746"/>
    <w:rsid w:val="7C6C5AC7"/>
    <w:rsid w:val="7CC6544B"/>
    <w:rsid w:val="7D0239FF"/>
    <w:rsid w:val="7D3962D6"/>
    <w:rsid w:val="7D5E40CD"/>
    <w:rsid w:val="7DCD56F2"/>
    <w:rsid w:val="7E543FE8"/>
    <w:rsid w:val="7E951F05"/>
    <w:rsid w:val="7EA8728F"/>
    <w:rsid w:val="7EAC20ED"/>
    <w:rsid w:val="7EE71A36"/>
    <w:rsid w:val="7F001CE7"/>
    <w:rsid w:val="7FE47E50"/>
    <w:rsid w:val="7FEE44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ocked="1"/>
    <w:lsdException w:qFormat="1" w:uiPriority="0" w:name="caption" w:locked="1"/>
    <w:lsdException w:qFormat="1" w:uiPriority="99"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qFormat="1"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qFormat="1" w:uiPriority="99" w:semiHidden="0" w:name="Salutation" w:locked="1"/>
    <w:lsdException w:qFormat="1" w:unhideWhenUsed="0" w:uiPriority="0" w:semiHidden="0" w:name="Date"/>
    <w:lsdException w:qFormat="1" w:uiPriority="99" w:semiHidden="0" w:name="Body Text First Indent" w:locked="1"/>
    <w:lsdException w:qFormat="1" w:uiPriority="99" w:semiHidden="0" w:name="Body Text First Indent 2" w:locked="1"/>
    <w:lsdException w:unhideWhenUsed="0" w:uiPriority="0" w:semiHidden="0" w:name="Note Heading" w:locked="1"/>
    <w:lsdException w:qFormat="1" w:uiPriority="99"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qFormat="1" w:unhideWhenUsed="0" w:uiPriority="0" w:semiHidden="0" w:name="Block Text" w:locked="1"/>
    <w:lsdException w:qFormat="1" w:unhideWhenUsed="0" w:uiPriority="0" w:semiHidden="0" w:name="Hyperlink" w:locked="1"/>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99"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link w:val="65"/>
    <w:qFormat/>
    <w:locked/>
    <w:uiPriority w:val="99"/>
    <w:pPr>
      <w:keepNext/>
      <w:keepLines/>
      <w:spacing w:line="360" w:lineRule="auto"/>
      <w:ind w:firstLine="0" w:firstLineChars="0"/>
      <w:outlineLvl w:val="1"/>
    </w:pPr>
    <w:rPr>
      <w:rFonts w:ascii="Times New Roman" w:hAnsi="Times New Roman" w:eastAsia="宋体"/>
      <w:b/>
      <w:bCs/>
      <w:kern w:val="0"/>
      <w:sz w:val="28"/>
      <w:szCs w:val="32"/>
    </w:rPr>
  </w:style>
  <w:style w:type="paragraph" w:styleId="4">
    <w:name w:val="heading 3"/>
    <w:basedOn w:val="1"/>
    <w:next w:val="1"/>
    <w:link w:val="44"/>
    <w:qFormat/>
    <w:locked/>
    <w:uiPriority w:val="0"/>
    <w:pPr>
      <w:keepNext/>
      <w:keepLines/>
      <w:spacing w:line="360" w:lineRule="auto"/>
      <w:ind w:firstLine="720" w:firstLineChars="200"/>
      <w:outlineLvl w:val="2"/>
    </w:pPr>
    <w:rPr>
      <w:rFonts w:ascii="Times New Roman" w:hAnsi="Times New Roman" w:eastAsia="宋体"/>
      <w:b/>
      <w:bCs/>
      <w:kern w:val="0"/>
      <w:sz w:val="24"/>
      <w:szCs w:val="32"/>
    </w:rPr>
  </w:style>
  <w:style w:type="paragraph" w:styleId="5">
    <w:name w:val="heading 4"/>
    <w:basedOn w:val="1"/>
    <w:next w:val="1"/>
    <w:link w:val="53"/>
    <w:qFormat/>
    <w:locked/>
    <w:uiPriority w:val="0"/>
    <w:pPr>
      <w:keepNext/>
      <w:keepLines/>
      <w:spacing w:line="360" w:lineRule="auto"/>
      <w:ind w:firstLine="720" w:firstLineChars="200"/>
      <w:outlineLvl w:val="3"/>
    </w:pPr>
    <w:rPr>
      <w:rFonts w:ascii="Times New Roman" w:hAnsi="Times New Roman" w:eastAsia="宋体"/>
      <w:b/>
      <w:bCs/>
      <w:kern w:val="0"/>
      <w:sz w:val="24"/>
      <w:szCs w:val="20"/>
    </w:rPr>
  </w:style>
  <w:style w:type="paragraph" w:styleId="6">
    <w:name w:val="heading 5"/>
    <w:basedOn w:val="1"/>
    <w:next w:val="1"/>
    <w:qFormat/>
    <w:locked/>
    <w:uiPriority w:val="0"/>
    <w:pPr>
      <w:keepNext/>
      <w:spacing w:line="240" w:lineRule="auto"/>
      <w:ind w:firstLine="0" w:firstLineChars="0"/>
      <w:jc w:val="center"/>
      <w:outlineLvl w:val="4"/>
    </w:pPr>
    <w:rPr>
      <w:rFonts w:ascii="Calibri" w:hAnsi="Calibri" w:eastAsia="黑体"/>
      <w:b/>
      <w:color w:val="000000"/>
      <w:sz w:val="21"/>
      <w:szCs w:val="20"/>
    </w:rPr>
  </w:style>
  <w:style w:type="character" w:default="1" w:styleId="33">
    <w:name w:val="Default Paragraph Font"/>
    <w:semiHidden/>
    <w:qFormat/>
    <w:uiPriority w:val="0"/>
  </w:style>
  <w:style w:type="table" w:default="1" w:styleId="31">
    <w:name w:val="Normal Table"/>
    <w:semiHidden/>
    <w:qFormat/>
    <w:uiPriority w:val="0"/>
    <w:tblPr>
      <w:tblCellMar>
        <w:top w:w="0" w:type="dxa"/>
        <w:left w:w="108" w:type="dxa"/>
        <w:bottom w:w="0" w:type="dxa"/>
        <w:right w:w="108" w:type="dxa"/>
      </w:tblCellMar>
    </w:tblPr>
  </w:style>
  <w:style w:type="paragraph" w:styleId="7">
    <w:name w:val="Normal Indent"/>
    <w:basedOn w:val="1"/>
    <w:next w:val="1"/>
    <w:unhideWhenUsed/>
    <w:qFormat/>
    <w:locked/>
    <w:uiPriority w:val="99"/>
    <w:pPr>
      <w:ind w:firstLine="420"/>
    </w:pPr>
  </w:style>
  <w:style w:type="paragraph" w:styleId="8">
    <w:name w:val="annotation text"/>
    <w:basedOn w:val="1"/>
    <w:link w:val="67"/>
    <w:semiHidden/>
    <w:qFormat/>
    <w:uiPriority w:val="0"/>
    <w:pPr>
      <w:jc w:val="left"/>
    </w:pPr>
    <w:rPr>
      <w:kern w:val="0"/>
      <w:sz w:val="24"/>
      <w:szCs w:val="20"/>
    </w:rPr>
  </w:style>
  <w:style w:type="paragraph" w:styleId="9">
    <w:name w:val="Salutation"/>
    <w:basedOn w:val="1"/>
    <w:next w:val="1"/>
    <w:unhideWhenUsed/>
    <w:qFormat/>
    <w:locked/>
    <w:uiPriority w:val="99"/>
  </w:style>
  <w:style w:type="paragraph" w:styleId="10">
    <w:name w:val="Body Text"/>
    <w:basedOn w:val="1"/>
    <w:next w:val="11"/>
    <w:link w:val="77"/>
    <w:qFormat/>
    <w:uiPriority w:val="0"/>
    <w:pPr>
      <w:widowControl/>
      <w:snapToGrid w:val="0"/>
      <w:spacing w:before="60" w:after="160" w:line="259" w:lineRule="auto"/>
      <w:ind w:right="113"/>
    </w:pPr>
    <w:rPr>
      <w:kern w:val="0"/>
      <w:sz w:val="18"/>
      <w:szCs w:val="20"/>
    </w:rPr>
  </w:style>
  <w:style w:type="paragraph" w:customStyle="1" w:styleId="11">
    <w:name w:val="Body Text 21"/>
    <w:basedOn w:val="1"/>
    <w:qFormat/>
    <w:uiPriority w:val="0"/>
    <w:pPr>
      <w:spacing w:after="120" w:line="480" w:lineRule="auto"/>
    </w:pPr>
  </w:style>
  <w:style w:type="paragraph" w:styleId="12">
    <w:name w:val="Body Text Indent"/>
    <w:basedOn w:val="1"/>
    <w:next w:val="10"/>
    <w:link w:val="72"/>
    <w:qFormat/>
    <w:uiPriority w:val="0"/>
    <w:pPr>
      <w:spacing w:after="120"/>
      <w:ind w:left="420" w:leftChars="200"/>
    </w:pPr>
    <w:rPr>
      <w:kern w:val="0"/>
      <w:sz w:val="24"/>
      <w:szCs w:val="20"/>
    </w:rPr>
  </w:style>
  <w:style w:type="paragraph" w:styleId="13">
    <w:name w:val="Block Text"/>
    <w:basedOn w:val="1"/>
    <w:next w:val="1"/>
    <w:qFormat/>
    <w:locked/>
    <w:uiPriority w:val="0"/>
    <w:pPr>
      <w:snapToGrid w:val="0"/>
      <w:spacing w:line="420" w:lineRule="exact"/>
      <w:ind w:left="101" w:leftChars="48" w:right="149" w:rightChars="71" w:firstLine="426" w:firstLineChars="203"/>
    </w:pPr>
  </w:style>
  <w:style w:type="paragraph" w:styleId="14">
    <w:name w:val="Plain Text"/>
    <w:basedOn w:val="1"/>
    <w:next w:val="1"/>
    <w:qFormat/>
    <w:locked/>
    <w:uiPriority w:val="99"/>
    <w:rPr>
      <w:rFonts w:ascii="宋体" w:hAnsi="Courier New"/>
      <w:sz w:val="21"/>
      <w:szCs w:val="21"/>
    </w:rPr>
  </w:style>
  <w:style w:type="paragraph" w:styleId="15">
    <w:name w:val="List Bullet 5"/>
    <w:basedOn w:val="1"/>
    <w:qFormat/>
    <w:locked/>
    <w:uiPriority w:val="0"/>
    <w:pPr>
      <w:numPr>
        <w:ilvl w:val="0"/>
        <w:numId w:val="1"/>
      </w:numPr>
    </w:pPr>
  </w:style>
  <w:style w:type="paragraph" w:styleId="16">
    <w:name w:val="Date"/>
    <w:basedOn w:val="1"/>
    <w:next w:val="1"/>
    <w:link w:val="75"/>
    <w:qFormat/>
    <w:uiPriority w:val="0"/>
    <w:pPr>
      <w:ind w:left="100" w:leftChars="2500"/>
    </w:pPr>
    <w:rPr>
      <w:kern w:val="0"/>
      <w:sz w:val="24"/>
      <w:szCs w:val="20"/>
    </w:rPr>
  </w:style>
  <w:style w:type="paragraph" w:styleId="17">
    <w:name w:val="Balloon Text"/>
    <w:basedOn w:val="1"/>
    <w:link w:val="76"/>
    <w:semiHidden/>
    <w:qFormat/>
    <w:uiPriority w:val="0"/>
    <w:rPr>
      <w:kern w:val="0"/>
      <w:sz w:val="18"/>
      <w:szCs w:val="20"/>
    </w:rPr>
  </w:style>
  <w:style w:type="paragraph" w:styleId="18">
    <w:name w:val="footer"/>
    <w:basedOn w:val="1"/>
    <w:link w:val="74"/>
    <w:qFormat/>
    <w:uiPriority w:val="99"/>
    <w:pPr>
      <w:tabs>
        <w:tab w:val="center" w:pos="4153"/>
        <w:tab w:val="right" w:pos="8306"/>
      </w:tabs>
      <w:snapToGrid w:val="0"/>
      <w:jc w:val="left"/>
    </w:pPr>
    <w:rPr>
      <w:kern w:val="0"/>
      <w:sz w:val="18"/>
      <w:szCs w:val="20"/>
    </w:rPr>
  </w:style>
  <w:style w:type="paragraph" w:styleId="19">
    <w:name w:val="header"/>
    <w:basedOn w:val="1"/>
    <w:next w:val="1"/>
    <w:link w:val="42"/>
    <w:qFormat/>
    <w:uiPriority w:val="0"/>
    <w:pPr>
      <w:pBdr>
        <w:bottom w:val="single" w:color="auto" w:sz="6" w:space="1"/>
      </w:pBdr>
      <w:tabs>
        <w:tab w:val="center" w:pos="4153"/>
        <w:tab w:val="right" w:pos="8306"/>
      </w:tabs>
      <w:snapToGrid w:val="0"/>
      <w:jc w:val="center"/>
    </w:pPr>
    <w:rPr>
      <w:kern w:val="0"/>
      <w:sz w:val="18"/>
      <w:szCs w:val="20"/>
    </w:rPr>
  </w:style>
  <w:style w:type="paragraph" w:styleId="20">
    <w:name w:val="toc 1"/>
    <w:basedOn w:val="1"/>
    <w:next w:val="1"/>
    <w:qFormat/>
    <w:locked/>
    <w:uiPriority w:val="0"/>
  </w:style>
  <w:style w:type="paragraph" w:styleId="21">
    <w:name w:val="index heading"/>
    <w:basedOn w:val="1"/>
    <w:next w:val="22"/>
    <w:qFormat/>
    <w:locked/>
    <w:uiPriority w:val="0"/>
    <w:rPr>
      <w:rFonts w:ascii="Arial" w:hAnsi="Arial"/>
      <w:b/>
    </w:rPr>
  </w:style>
  <w:style w:type="paragraph" w:styleId="22">
    <w:name w:val="index 1"/>
    <w:basedOn w:val="1"/>
    <w:next w:val="1"/>
    <w:qFormat/>
    <w:locked/>
    <w:uiPriority w:val="0"/>
  </w:style>
  <w:style w:type="paragraph" w:styleId="23">
    <w:name w:val="List"/>
    <w:basedOn w:val="1"/>
    <w:next w:val="1"/>
    <w:qFormat/>
    <w:locked/>
    <w:uiPriority w:val="0"/>
    <w:pPr>
      <w:adjustRightInd w:val="0"/>
      <w:snapToGrid w:val="0"/>
      <w:jc w:val="center"/>
      <w:textAlignment w:val="baseline"/>
    </w:pPr>
    <w:rPr>
      <w:rFonts w:ascii="Times New Roman" w:hAnsi="Times New Roman" w:eastAsia="仿宋_GB2312"/>
      <w:snapToGrid w:val="0"/>
      <w:kern w:val="21"/>
      <w:szCs w:val="20"/>
    </w:rPr>
  </w:style>
  <w:style w:type="paragraph" w:styleId="24">
    <w:name w:val="table of figures"/>
    <w:basedOn w:val="1"/>
    <w:next w:val="1"/>
    <w:unhideWhenUsed/>
    <w:qFormat/>
    <w:locked/>
    <w:uiPriority w:val="99"/>
    <w:pPr>
      <w:ind w:firstLine="390"/>
      <w:jc w:val="center"/>
    </w:pPr>
    <w:rPr>
      <w:b/>
      <w:bCs/>
      <w:spacing w:val="-8"/>
      <w:kern w:val="0"/>
      <w:sz w:val="21"/>
      <w:szCs w:val="21"/>
    </w:rPr>
  </w:style>
  <w:style w:type="paragraph" w:styleId="25">
    <w:name w:val="toc 2"/>
    <w:basedOn w:val="1"/>
    <w:next w:val="1"/>
    <w:qFormat/>
    <w:locked/>
    <w:uiPriority w:val="0"/>
    <w:pPr>
      <w:ind w:left="420" w:leftChars="200"/>
    </w:pPr>
  </w:style>
  <w:style w:type="paragraph" w:styleId="26">
    <w:name w:val="Body Text 2"/>
    <w:basedOn w:val="1"/>
    <w:next w:val="1"/>
    <w:unhideWhenUsed/>
    <w:qFormat/>
    <w:locked/>
    <w:uiPriority w:val="99"/>
    <w:pPr>
      <w:spacing w:after="120" w:line="480" w:lineRule="auto"/>
    </w:pPr>
  </w:style>
  <w:style w:type="paragraph" w:styleId="27">
    <w:name w:val="Normal (Web)"/>
    <w:basedOn w:val="1"/>
    <w:link w:val="49"/>
    <w:qFormat/>
    <w:uiPriority w:val="0"/>
    <w:pPr>
      <w:widowControl/>
      <w:spacing w:before="100" w:beforeAutospacing="1" w:after="100" w:afterAutospacing="1"/>
      <w:jc w:val="left"/>
    </w:pPr>
    <w:rPr>
      <w:rFonts w:ascii="宋体" w:hAnsi="宋体"/>
      <w:kern w:val="0"/>
      <w:sz w:val="24"/>
      <w:szCs w:val="20"/>
    </w:rPr>
  </w:style>
  <w:style w:type="paragraph" w:styleId="28">
    <w:name w:val="annotation subject"/>
    <w:basedOn w:val="8"/>
    <w:next w:val="8"/>
    <w:link w:val="68"/>
    <w:semiHidden/>
    <w:qFormat/>
    <w:uiPriority w:val="0"/>
    <w:rPr>
      <w:b/>
      <w:sz w:val="24"/>
      <w:szCs w:val="20"/>
    </w:rPr>
  </w:style>
  <w:style w:type="paragraph" w:styleId="29">
    <w:name w:val="Body Text First Indent"/>
    <w:basedOn w:val="10"/>
    <w:next w:val="1"/>
    <w:unhideWhenUsed/>
    <w:qFormat/>
    <w:locked/>
    <w:uiPriority w:val="99"/>
    <w:pPr>
      <w:ind w:firstLine="420" w:firstLineChars="100"/>
    </w:pPr>
  </w:style>
  <w:style w:type="paragraph" w:styleId="30">
    <w:name w:val="Body Text First Indent 2"/>
    <w:basedOn w:val="1"/>
    <w:next w:val="10"/>
    <w:unhideWhenUsed/>
    <w:qFormat/>
    <w:locked/>
    <w:uiPriority w:val="99"/>
    <w:pPr>
      <w:ind w:left="420" w:firstLine="420" w:firstLineChars="200"/>
    </w:pPr>
  </w:style>
  <w:style w:type="table" w:styleId="32">
    <w:name w:val="Table Grid"/>
    <w:basedOn w:val="31"/>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qFormat/>
    <w:locked/>
    <w:uiPriority w:val="0"/>
  </w:style>
  <w:style w:type="character" w:styleId="35">
    <w:name w:val="FollowedHyperlink"/>
    <w:basedOn w:val="33"/>
    <w:qFormat/>
    <w:locked/>
    <w:uiPriority w:val="0"/>
    <w:rPr>
      <w:color w:val="000000"/>
      <w:u w:val="none"/>
    </w:rPr>
  </w:style>
  <w:style w:type="character" w:styleId="36">
    <w:name w:val="Hyperlink"/>
    <w:basedOn w:val="33"/>
    <w:qFormat/>
    <w:locked/>
    <w:uiPriority w:val="0"/>
    <w:rPr>
      <w:color w:val="2B2B2B"/>
      <w:u w:val="none"/>
    </w:rPr>
  </w:style>
  <w:style w:type="character" w:styleId="37">
    <w:name w:val="annotation reference"/>
    <w:semiHidden/>
    <w:qFormat/>
    <w:uiPriority w:val="0"/>
    <w:rPr>
      <w:sz w:val="21"/>
    </w:rPr>
  </w:style>
  <w:style w:type="paragraph" w:customStyle="1" w:styleId="38">
    <w:name w:val="报告书正文"/>
    <w:basedOn w:val="39"/>
    <w:next w:val="39"/>
    <w:link w:val="43"/>
    <w:qFormat/>
    <w:uiPriority w:val="0"/>
    <w:pPr>
      <w:widowControl/>
      <w:snapToGrid/>
      <w:spacing w:line="360" w:lineRule="auto"/>
      <w:ind w:firstLine="480" w:firstLineChars="200"/>
      <w:jc w:val="both"/>
    </w:pPr>
    <w:rPr>
      <w:rFonts w:ascii="Times New Roman" w:hAnsi="Times New Roman"/>
    </w:rPr>
  </w:style>
  <w:style w:type="paragraph" w:customStyle="1" w:styleId="39">
    <w:name w:val="报告正文"/>
    <w:basedOn w:val="40"/>
    <w:qFormat/>
    <w:uiPriority w:val="0"/>
    <w:pPr>
      <w:widowControl w:val="0"/>
      <w:snapToGrid w:val="0"/>
      <w:spacing w:line="360" w:lineRule="auto"/>
      <w:ind w:firstLine="200" w:firstLineChars="200"/>
    </w:pPr>
    <w:rPr>
      <w:rFonts w:ascii="Times New Roman" w:hAnsi="Times New Roman" w:eastAsia="宋体" w:cs="Times New Roman"/>
      <w:snapToGrid w:val="0"/>
      <w:sz w:val="24"/>
      <w:szCs w:val="28"/>
    </w:rPr>
  </w:style>
  <w:style w:type="paragraph" w:customStyle="1" w:styleId="40">
    <w:name w:val="p17"/>
    <w:basedOn w:val="1"/>
    <w:qFormat/>
    <w:uiPriority w:val="0"/>
    <w:pPr>
      <w:widowControl/>
    </w:pPr>
    <w:rPr>
      <w:rFonts w:ascii="宋体" w:hAnsi="宋体" w:cs="宋体"/>
      <w:kern w:val="0"/>
      <w:szCs w:val="21"/>
    </w:rPr>
  </w:style>
  <w:style w:type="paragraph" w:customStyle="1" w:styleId="41">
    <w:name w:val="报告表正文"/>
    <w:basedOn w:val="39"/>
    <w:next w:val="38"/>
    <w:link w:val="47"/>
    <w:qFormat/>
    <w:uiPriority w:val="0"/>
    <w:pPr>
      <w:adjustRightInd w:val="0"/>
      <w:spacing w:before="50" w:beforeLines="50" w:after="50" w:afterLines="50" w:line="360" w:lineRule="auto"/>
      <w:ind w:left="0" w:leftChars="0" w:right="0" w:firstLine="482"/>
      <w:jc w:val="both"/>
      <w:textAlignment w:val="baseline"/>
    </w:pPr>
    <w:rPr>
      <w:rFonts w:ascii="Times New Roman" w:hAnsi="Times New Roman" w:eastAsia="宋体"/>
    </w:rPr>
  </w:style>
  <w:style w:type="character" w:customStyle="1" w:styleId="42">
    <w:name w:val="页眉 Char"/>
    <w:link w:val="19"/>
    <w:qFormat/>
    <w:locked/>
    <w:uiPriority w:val="0"/>
    <w:rPr>
      <w:sz w:val="18"/>
    </w:rPr>
  </w:style>
  <w:style w:type="character" w:customStyle="1" w:styleId="43">
    <w:name w:val="报告书正文 Char1"/>
    <w:link w:val="38"/>
    <w:qFormat/>
    <w:uiPriority w:val="0"/>
    <w:rPr>
      <w:rFonts w:ascii="Times New Roman" w:hAnsi="Times New Roman" w:eastAsia="宋体" w:cs="Times New Roman"/>
      <w:sz w:val="24"/>
      <w:szCs w:val="24"/>
    </w:rPr>
  </w:style>
  <w:style w:type="character" w:customStyle="1" w:styleId="44">
    <w:name w:val="标题 3 Char"/>
    <w:link w:val="4"/>
    <w:qFormat/>
    <w:uiPriority w:val="0"/>
    <w:rPr>
      <w:rFonts w:ascii="Times New Roman" w:hAnsi="Times New Roman" w:eastAsia="宋体"/>
      <w:b/>
      <w:bCs/>
      <w:kern w:val="0"/>
      <w:sz w:val="24"/>
      <w:szCs w:val="32"/>
    </w:rPr>
  </w:style>
  <w:style w:type="character" w:customStyle="1" w:styleId="45">
    <w:name w:val="标题 1 Char"/>
    <w:link w:val="2"/>
    <w:qFormat/>
    <w:uiPriority w:val="99"/>
    <w:rPr>
      <w:rFonts w:eastAsia="黑体"/>
      <w:b/>
      <w:bCs/>
      <w:color w:val="000000"/>
      <w:kern w:val="44"/>
      <w:sz w:val="30"/>
      <w:szCs w:val="30"/>
    </w:rPr>
  </w:style>
  <w:style w:type="paragraph" w:customStyle="1" w:styleId="46">
    <w:name w:val="表头"/>
    <w:basedOn w:val="7"/>
    <w:next w:val="1"/>
    <w:link w:val="52"/>
    <w:qFormat/>
    <w:uiPriority w:val="0"/>
    <w:pPr>
      <w:overflowPunct w:val="0"/>
      <w:autoSpaceDE w:val="0"/>
      <w:autoSpaceDN w:val="0"/>
      <w:adjustRightInd w:val="0"/>
      <w:snapToGrid/>
      <w:spacing w:line="240" w:lineRule="auto"/>
      <w:ind w:firstLine="0" w:firstLineChars="0"/>
      <w:jc w:val="center"/>
      <w:textAlignment w:val="baseline"/>
    </w:pPr>
    <w:rPr>
      <w:rFonts w:ascii="Times New Roman" w:hAnsi="Times New Roman" w:eastAsia="宋体"/>
      <w:b/>
      <w:sz w:val="21"/>
    </w:rPr>
  </w:style>
  <w:style w:type="character" w:customStyle="1" w:styleId="47">
    <w:name w:val="报告表正文 Char"/>
    <w:link w:val="41"/>
    <w:qFormat/>
    <w:uiPriority w:val="0"/>
    <w:rPr>
      <w:rFonts w:ascii="Times New Roman" w:hAnsi="Times New Roman" w:eastAsia="宋体"/>
      <w:kern w:val="0"/>
    </w:rPr>
  </w:style>
  <w:style w:type="character" w:customStyle="1" w:styleId="48">
    <w:name w:val="报告书正文 Char"/>
    <w:qFormat/>
    <w:uiPriority w:val="0"/>
    <w:rPr>
      <w:rFonts w:ascii="Times New Roman" w:hAnsi="Times New Roman" w:cs="Times New Roman"/>
      <w:sz w:val="24"/>
      <w:szCs w:val="21"/>
    </w:rPr>
  </w:style>
  <w:style w:type="character" w:customStyle="1" w:styleId="49">
    <w:name w:val="普通(网站) Char"/>
    <w:link w:val="27"/>
    <w:qFormat/>
    <w:locked/>
    <w:uiPriority w:val="0"/>
    <w:rPr>
      <w:rFonts w:ascii="宋体" w:hAnsi="宋体" w:eastAsia="宋体"/>
      <w:sz w:val="24"/>
    </w:rPr>
  </w:style>
  <w:style w:type="paragraph" w:customStyle="1" w:styleId="50">
    <w:name w:val="报告正文小四"/>
    <w:basedOn w:val="1"/>
    <w:qFormat/>
    <w:uiPriority w:val="0"/>
    <w:pPr>
      <w:adjustRightInd w:val="0"/>
      <w:snapToGrid w:val="0"/>
      <w:spacing w:line="360" w:lineRule="auto"/>
      <w:ind w:firstLine="420"/>
      <w:jc w:val="both"/>
    </w:pPr>
    <w:rPr>
      <w:rFonts w:ascii="Times New Roman" w:hAnsi="Times New Roman" w:eastAsia="宋体" w:cs="Times New Roman"/>
      <w:kern w:val="0"/>
      <w:sz w:val="24"/>
      <w:szCs w:val="20"/>
    </w:rPr>
  </w:style>
  <w:style w:type="paragraph" w:customStyle="1" w:styleId="51">
    <w:name w:val="表格内容1"/>
    <w:basedOn w:val="1"/>
    <w:link w:val="110"/>
    <w:qFormat/>
    <w:uiPriority w:val="0"/>
    <w:pPr>
      <w:adjustRightInd w:val="0"/>
      <w:snapToGrid w:val="0"/>
      <w:spacing w:line="240" w:lineRule="auto"/>
      <w:ind w:firstLine="0" w:firstLineChars="0"/>
      <w:jc w:val="center"/>
      <w:textAlignment w:val="baseline"/>
    </w:pPr>
    <w:rPr>
      <w:rFonts w:ascii="Times New Roman" w:hAnsi="Times New Roman"/>
      <w:sz w:val="21"/>
      <w:szCs w:val="21"/>
    </w:rPr>
  </w:style>
  <w:style w:type="character" w:customStyle="1" w:styleId="52">
    <w:name w:val="表头 Char"/>
    <w:link w:val="46"/>
    <w:qFormat/>
    <w:uiPriority w:val="0"/>
    <w:rPr>
      <w:rFonts w:ascii="Times New Roman" w:hAnsi="Times New Roman" w:eastAsia="宋体"/>
      <w:b/>
      <w:kern w:val="0"/>
      <w:sz w:val="21"/>
    </w:rPr>
  </w:style>
  <w:style w:type="character" w:customStyle="1" w:styleId="53">
    <w:name w:val="标题 4 Char"/>
    <w:link w:val="5"/>
    <w:qFormat/>
    <w:uiPriority w:val="0"/>
    <w:rPr>
      <w:rFonts w:ascii="Times New Roman" w:hAnsi="Times New Roman" w:eastAsia="宋体"/>
      <w:b/>
      <w:bCs/>
      <w:kern w:val="0"/>
      <w:sz w:val="24"/>
      <w:szCs w:val="20"/>
    </w:rPr>
  </w:style>
  <w:style w:type="paragraph" w:customStyle="1" w:styleId="54">
    <w:name w:val="表格"/>
    <w:basedOn w:val="1"/>
    <w:next w:val="1"/>
    <w:link w:val="80"/>
    <w:qFormat/>
    <w:uiPriority w:val="0"/>
    <w:pPr>
      <w:adjustRightInd w:val="0"/>
      <w:snapToGrid w:val="0"/>
      <w:spacing w:beforeLines="10" w:afterLines="10" w:line="259" w:lineRule="auto"/>
      <w:jc w:val="center"/>
    </w:pPr>
    <w:rPr>
      <w:rFonts w:ascii="宋体"/>
      <w:kern w:val="0"/>
      <w:szCs w:val="20"/>
    </w:rPr>
  </w:style>
  <w:style w:type="paragraph" w:customStyle="1" w:styleId="55">
    <w:name w:val="Body Text First Indent 21"/>
    <w:basedOn w:val="56"/>
    <w:next w:val="57"/>
    <w:qFormat/>
    <w:uiPriority w:val="0"/>
    <w:pPr>
      <w:spacing w:line="240" w:lineRule="auto"/>
      <w:ind w:firstLine="420"/>
    </w:pPr>
    <w:rPr>
      <w:rFonts w:eastAsia="仿宋_GB2312"/>
      <w:kern w:val="2"/>
      <w:sz w:val="32"/>
      <w:szCs w:val="24"/>
    </w:rPr>
  </w:style>
  <w:style w:type="paragraph" w:customStyle="1" w:styleId="56">
    <w:name w:val="Body Text Indent1"/>
    <w:basedOn w:val="1"/>
    <w:qFormat/>
    <w:uiPriority w:val="0"/>
    <w:pPr>
      <w:spacing w:after="120"/>
      <w:ind w:left="420" w:leftChars="200"/>
    </w:pPr>
    <w:rPr>
      <w:rFonts w:eastAsia="楷体_GB2312"/>
      <w:kern w:val="2"/>
      <w:sz w:val="32"/>
      <w:szCs w:val="24"/>
    </w:rPr>
  </w:style>
  <w:style w:type="paragraph" w:customStyle="1" w:styleId="57">
    <w:name w:val="Plain Text1"/>
    <w:basedOn w:val="1"/>
    <w:next w:val="58"/>
    <w:qFormat/>
    <w:uiPriority w:val="0"/>
    <w:rPr>
      <w:rFonts w:ascii="宋体" w:eastAsia="宋体" w:cs="Courier New"/>
      <w:szCs w:val="21"/>
    </w:rPr>
  </w:style>
  <w:style w:type="paragraph" w:customStyle="1" w:styleId="58">
    <w:name w:val="List Number 5"/>
    <w:basedOn w:val="1"/>
    <w:qFormat/>
    <w:uiPriority w:val="0"/>
    <w:pPr>
      <w:numPr>
        <w:ilvl w:val="0"/>
        <w:numId w:val="2"/>
      </w:numPr>
    </w:pPr>
  </w:style>
  <w:style w:type="paragraph" w:customStyle="1" w:styleId="59">
    <w:name w:val="List Number 51"/>
    <w:basedOn w:val="1"/>
    <w:qFormat/>
    <w:uiPriority w:val="0"/>
    <w:pPr>
      <w:numPr>
        <w:ilvl w:val="0"/>
        <w:numId w:val="2"/>
      </w:numPr>
    </w:pPr>
  </w:style>
  <w:style w:type="paragraph" w:customStyle="1" w:styleId="60">
    <w:name w:val="默认段落"/>
    <w:basedOn w:val="1"/>
    <w:qFormat/>
    <w:uiPriority w:val="0"/>
    <w:rPr>
      <w:sz w:val="24"/>
      <w:szCs w:val="24"/>
    </w:rPr>
  </w:style>
  <w:style w:type="paragraph" w:customStyle="1" w:styleId="61">
    <w:name w:val="报告表格"/>
    <w:basedOn w:val="1"/>
    <w:qFormat/>
    <w:uiPriority w:val="0"/>
    <w:pPr>
      <w:autoSpaceDE w:val="0"/>
      <w:autoSpaceDN w:val="0"/>
      <w:adjustRightInd w:val="0"/>
      <w:spacing w:line="240" w:lineRule="auto"/>
      <w:ind w:firstLine="0" w:firstLineChars="0"/>
      <w:jc w:val="center"/>
      <w:textAlignment w:val="baseline"/>
    </w:pPr>
    <w:rPr>
      <w:kern w:val="0"/>
      <w:sz w:val="21"/>
      <w:szCs w:val="20"/>
    </w:rPr>
  </w:style>
  <w:style w:type="paragraph" w:customStyle="1" w:styleId="62">
    <w:name w:val="Default"/>
    <w:basedOn w:val="63"/>
    <w:next w:val="1"/>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63">
    <w:name w:val="纯文本1"/>
    <w:basedOn w:val="1"/>
    <w:qFormat/>
    <w:uiPriority w:val="0"/>
    <w:pPr>
      <w:adjustRightInd w:val="0"/>
      <w:textAlignment w:val="baseline"/>
    </w:pPr>
    <w:rPr>
      <w:rFonts w:ascii="宋体" w:hAnsi="Courier New"/>
      <w:szCs w:val="20"/>
    </w:rPr>
  </w:style>
  <w:style w:type="paragraph" w:customStyle="1" w:styleId="64">
    <w:name w:val="样式 正文文本缩进 + 行距: 1.5 倍行距"/>
    <w:basedOn w:val="1"/>
    <w:qFormat/>
    <w:uiPriority w:val="0"/>
    <w:pPr>
      <w:spacing w:after="120" w:afterLines="0" w:line="360" w:lineRule="auto"/>
      <w:ind w:left="90" w:leftChars="32" w:firstLine="560" w:firstLineChars="200"/>
    </w:pPr>
    <w:rPr>
      <w:rFonts w:cs="宋体"/>
    </w:rPr>
  </w:style>
  <w:style w:type="character" w:customStyle="1" w:styleId="65">
    <w:name w:val="标题 2 Char"/>
    <w:link w:val="3"/>
    <w:qFormat/>
    <w:uiPriority w:val="99"/>
    <w:rPr>
      <w:rFonts w:ascii="Times New Roman" w:hAnsi="Times New Roman" w:eastAsia="宋体"/>
      <w:b/>
      <w:bCs/>
      <w:kern w:val="0"/>
      <w:sz w:val="28"/>
      <w:szCs w:val="32"/>
    </w:rPr>
  </w:style>
  <w:style w:type="paragraph" w:customStyle="1" w:styleId="66">
    <w:name w:val="样式1"/>
    <w:basedOn w:val="1"/>
    <w:next w:val="24"/>
    <w:qFormat/>
    <w:uiPriority w:val="0"/>
    <w:pPr>
      <w:ind w:firstLine="510"/>
    </w:pPr>
    <w:rPr>
      <w:szCs w:val="20"/>
    </w:rPr>
  </w:style>
  <w:style w:type="character" w:customStyle="1" w:styleId="67">
    <w:name w:val="批注文字 Char"/>
    <w:link w:val="8"/>
    <w:qFormat/>
    <w:locked/>
    <w:uiPriority w:val="0"/>
    <w:rPr>
      <w:rFonts w:ascii="Times New Roman" w:hAnsi="Times New Roman" w:eastAsia="宋体"/>
      <w:sz w:val="24"/>
    </w:rPr>
  </w:style>
  <w:style w:type="character" w:customStyle="1" w:styleId="68">
    <w:name w:val="批注主题 Char"/>
    <w:link w:val="28"/>
    <w:semiHidden/>
    <w:qFormat/>
    <w:locked/>
    <w:uiPriority w:val="0"/>
    <w:rPr>
      <w:rFonts w:ascii="Times New Roman" w:hAnsi="Times New Roman" w:eastAsia="宋体"/>
      <w:b/>
      <w:kern w:val="2"/>
      <w:sz w:val="24"/>
    </w:rPr>
  </w:style>
  <w:style w:type="character" w:customStyle="1" w:styleId="69">
    <w:name w:val="页脚 字符"/>
    <w:qFormat/>
    <w:uiPriority w:val="99"/>
  </w:style>
  <w:style w:type="character" w:customStyle="1" w:styleId="70">
    <w:name w:val="正文文本 字符1"/>
    <w:semiHidden/>
    <w:qFormat/>
    <w:uiPriority w:val="0"/>
    <w:rPr>
      <w:rFonts w:ascii="Times New Roman" w:hAnsi="Times New Roman" w:eastAsia="宋体"/>
      <w:sz w:val="24"/>
    </w:rPr>
  </w:style>
  <w:style w:type="character" w:customStyle="1" w:styleId="71">
    <w:name w:val="font01"/>
    <w:basedOn w:val="33"/>
    <w:qFormat/>
    <w:uiPriority w:val="0"/>
    <w:rPr>
      <w:rFonts w:hint="default" w:ascii="Times New Roman" w:hAnsi="Times New Roman" w:cs="Times New Roman"/>
      <w:color w:val="FF0000"/>
      <w:sz w:val="21"/>
      <w:szCs w:val="21"/>
      <w:u w:val="none"/>
    </w:rPr>
  </w:style>
  <w:style w:type="character" w:customStyle="1" w:styleId="72">
    <w:name w:val="正文文本缩进 Char"/>
    <w:link w:val="12"/>
    <w:semiHidden/>
    <w:qFormat/>
    <w:locked/>
    <w:uiPriority w:val="0"/>
    <w:rPr>
      <w:rFonts w:ascii="Times New Roman" w:hAnsi="Times New Roman" w:eastAsia="宋体"/>
      <w:sz w:val="24"/>
    </w:rPr>
  </w:style>
  <w:style w:type="character" w:customStyle="1" w:styleId="73">
    <w:name w:val="font11"/>
    <w:basedOn w:val="33"/>
    <w:qFormat/>
    <w:uiPriority w:val="0"/>
    <w:rPr>
      <w:rFonts w:hint="eastAsia" w:ascii="宋体" w:hAnsi="宋体" w:eastAsia="宋体" w:cs="宋体"/>
      <w:color w:val="000000"/>
      <w:sz w:val="21"/>
      <w:szCs w:val="21"/>
      <w:u w:val="none"/>
    </w:rPr>
  </w:style>
  <w:style w:type="character" w:customStyle="1" w:styleId="74">
    <w:name w:val="页脚 Char"/>
    <w:link w:val="18"/>
    <w:qFormat/>
    <w:locked/>
    <w:uiPriority w:val="99"/>
    <w:rPr>
      <w:sz w:val="18"/>
    </w:rPr>
  </w:style>
  <w:style w:type="character" w:customStyle="1" w:styleId="75">
    <w:name w:val="日期 Char"/>
    <w:link w:val="16"/>
    <w:qFormat/>
    <w:locked/>
    <w:uiPriority w:val="0"/>
    <w:rPr>
      <w:rFonts w:ascii="Times New Roman" w:hAnsi="Times New Roman" w:eastAsia="宋体"/>
      <w:sz w:val="24"/>
    </w:rPr>
  </w:style>
  <w:style w:type="character" w:customStyle="1" w:styleId="76">
    <w:name w:val="批注框文本 Char"/>
    <w:link w:val="17"/>
    <w:semiHidden/>
    <w:qFormat/>
    <w:locked/>
    <w:uiPriority w:val="0"/>
    <w:rPr>
      <w:rFonts w:ascii="Times New Roman" w:hAnsi="Times New Roman" w:eastAsia="宋体"/>
      <w:sz w:val="18"/>
    </w:rPr>
  </w:style>
  <w:style w:type="character" w:customStyle="1" w:styleId="77">
    <w:name w:val="正文文本 Char"/>
    <w:link w:val="10"/>
    <w:qFormat/>
    <w:locked/>
    <w:uiPriority w:val="0"/>
    <w:rPr>
      <w:sz w:val="18"/>
    </w:rPr>
  </w:style>
  <w:style w:type="character" w:customStyle="1" w:styleId="78">
    <w:name w:val="日期 字符"/>
    <w:semiHidden/>
    <w:qFormat/>
    <w:uiPriority w:val="0"/>
    <w:rPr>
      <w:rFonts w:ascii="Times New Roman" w:hAnsi="Times New Roman" w:eastAsia="宋体"/>
      <w:sz w:val="24"/>
    </w:rPr>
  </w:style>
  <w:style w:type="character" w:customStyle="1" w:styleId="79">
    <w:name w:val="font31"/>
    <w:qFormat/>
    <w:uiPriority w:val="0"/>
    <w:rPr>
      <w:rFonts w:hint="default" w:ascii="Times New Roman" w:hAnsi="Times New Roman" w:cs="Times New Roman"/>
      <w:color w:val="000000"/>
      <w:sz w:val="21"/>
      <w:szCs w:val="21"/>
      <w:u w:val="none"/>
    </w:rPr>
  </w:style>
  <w:style w:type="character" w:customStyle="1" w:styleId="80">
    <w:name w:val="表格 Char"/>
    <w:link w:val="54"/>
    <w:qFormat/>
    <w:locked/>
    <w:uiPriority w:val="0"/>
    <w:rPr>
      <w:rFonts w:ascii="宋体"/>
      <w:sz w:val="21"/>
    </w:rPr>
  </w:style>
  <w:style w:type="character" w:customStyle="1" w:styleId="81">
    <w:name w:val="批注文字 字符1"/>
    <w:semiHidden/>
    <w:qFormat/>
    <w:uiPriority w:val="0"/>
    <w:rPr>
      <w:rFonts w:ascii="Times New Roman" w:hAnsi="Times New Roman" w:eastAsia="宋体"/>
      <w:sz w:val="24"/>
    </w:rPr>
  </w:style>
  <w:style w:type="character" w:customStyle="1" w:styleId="82">
    <w:name w:val="font21"/>
    <w:basedOn w:val="33"/>
    <w:qFormat/>
    <w:uiPriority w:val="0"/>
    <w:rPr>
      <w:rFonts w:hint="default" w:ascii="Times New Roman" w:hAnsi="Times New Roman" w:cs="Times New Roman"/>
      <w:color w:val="000000"/>
      <w:sz w:val="21"/>
      <w:szCs w:val="21"/>
      <w:u w:val="none"/>
      <w:vertAlign w:val="subscript"/>
    </w:rPr>
  </w:style>
  <w:style w:type="character" w:customStyle="1" w:styleId="83">
    <w:name w:val="font41"/>
    <w:basedOn w:val="33"/>
    <w:qFormat/>
    <w:uiPriority w:val="0"/>
    <w:rPr>
      <w:rFonts w:hint="default" w:ascii="Times New Roman" w:hAnsi="Times New Roman" w:cs="Times New Roman"/>
      <w:color w:val="FF0000"/>
      <w:sz w:val="21"/>
      <w:szCs w:val="21"/>
      <w:u w:val="none"/>
      <w:vertAlign w:val="superscript"/>
    </w:rPr>
  </w:style>
  <w:style w:type="paragraph" w:customStyle="1" w:styleId="84">
    <w:name w:val="表内文字"/>
    <w:qFormat/>
    <w:uiPriority w:val="0"/>
    <w:pPr>
      <w:jc w:val="center"/>
    </w:pPr>
    <w:rPr>
      <w:rFonts w:ascii="宋体" w:hAnsi="宋体" w:eastAsia="宋体" w:cs="Times New Roman"/>
      <w:sz w:val="21"/>
      <w:szCs w:val="21"/>
      <w:lang w:val="en-US" w:eastAsia="zh-CN" w:bidi="ar-SA"/>
    </w:rPr>
  </w:style>
  <w:style w:type="paragraph" w:customStyle="1" w:styleId="85">
    <w:name w:val="样式1-41"/>
    <w:basedOn w:val="86"/>
    <w:qFormat/>
    <w:uiPriority w:val="0"/>
    <w:pPr>
      <w:numPr>
        <w:ilvl w:val="3"/>
      </w:numPr>
      <w:ind w:left="0" w:firstLine="0"/>
      <w:outlineLvl w:val="3"/>
    </w:pPr>
    <w:rPr>
      <w:sz w:val="28"/>
    </w:rPr>
  </w:style>
  <w:style w:type="paragraph" w:customStyle="1" w:styleId="86">
    <w:name w:val="样式1-3"/>
    <w:basedOn w:val="1"/>
    <w:qFormat/>
    <w:uiPriority w:val="0"/>
    <w:pPr>
      <w:keepNext/>
      <w:keepLines/>
      <w:numPr>
        <w:ilvl w:val="2"/>
        <w:numId w:val="3"/>
      </w:numPr>
      <w:spacing w:before="60" w:after="60" w:line="360" w:lineRule="auto"/>
      <w:ind w:left="0" w:firstLine="0"/>
      <w:outlineLvl w:val="2"/>
    </w:pPr>
    <w:rPr>
      <w:b/>
      <w:bCs/>
      <w:color w:val="000000"/>
      <w:sz w:val="32"/>
    </w:rPr>
  </w:style>
  <w:style w:type="paragraph" w:customStyle="1" w:styleId="87">
    <w:name w:val="正文 首行缩进:  2 字符"/>
    <w:basedOn w:val="1"/>
    <w:qFormat/>
    <w:uiPriority w:val="99"/>
    <w:pPr>
      <w:ind w:firstLine="579" w:firstLineChars="200"/>
    </w:pPr>
    <w:rPr>
      <w:rFonts w:ascii="Times New Roman" w:hAnsi="Times New Roman" w:cs="宋体"/>
      <w:szCs w:val="20"/>
    </w:rPr>
  </w:style>
  <w:style w:type="paragraph" w:customStyle="1" w:styleId="88">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89">
    <w:name w:val="表内容"/>
    <w:basedOn w:val="1"/>
    <w:next w:val="1"/>
    <w:qFormat/>
    <w:uiPriority w:val="0"/>
    <w:pPr>
      <w:jc w:val="center"/>
    </w:pPr>
    <w:rPr>
      <w:rFonts w:ascii="宋体" w:hAnsi="宋体" w:eastAsia="宋体"/>
      <w:kern w:val="2"/>
      <w:sz w:val="21"/>
      <w:lang w:val="en-US" w:eastAsia="zh-CN" w:bidi="ar-SA"/>
    </w:rPr>
  </w:style>
  <w:style w:type="paragraph" w:customStyle="1" w:styleId="90">
    <w:name w:val="样式 表内容 + 行距: 固定值 28 磅"/>
    <w:basedOn w:val="89"/>
    <w:qFormat/>
    <w:uiPriority w:val="0"/>
    <w:pPr>
      <w:spacing w:line="240" w:lineRule="auto"/>
    </w:pPr>
    <w:rPr>
      <w:rFonts w:cs="宋体"/>
      <w:szCs w:val="20"/>
    </w:rPr>
  </w:style>
  <w:style w:type="paragraph" w:customStyle="1" w:styleId="91">
    <w:name w:val="段落1"/>
    <w:basedOn w:val="1"/>
    <w:qFormat/>
    <w:uiPriority w:val="0"/>
    <w:pPr>
      <w:spacing w:line="480" w:lineRule="exact"/>
      <w:ind w:firstLine="584" w:firstLineChars="200"/>
    </w:pPr>
    <w:rPr>
      <w:spacing w:val="6"/>
      <w:sz w:val="28"/>
      <w:szCs w:val="24"/>
    </w:rPr>
  </w:style>
  <w:style w:type="paragraph" w:customStyle="1" w:styleId="92">
    <w:name w:val="正文1"/>
    <w:basedOn w:val="1"/>
    <w:qFormat/>
    <w:uiPriority w:val="0"/>
    <w:pPr>
      <w:adjustRightInd w:val="0"/>
      <w:snapToGrid w:val="0"/>
      <w:spacing w:line="360" w:lineRule="auto"/>
      <w:ind w:firstLine="480" w:firstLineChars="200"/>
    </w:pPr>
    <w:rPr>
      <w:color w:val="000000"/>
      <w:sz w:val="24"/>
      <w:szCs w:val="21"/>
    </w:rPr>
  </w:style>
  <w:style w:type="paragraph" w:customStyle="1" w:styleId="93">
    <w:name w:val="List Paragraph"/>
    <w:basedOn w:val="1"/>
    <w:qFormat/>
    <w:uiPriority w:val="99"/>
    <w:pPr>
      <w:ind w:firstLine="420"/>
    </w:pPr>
  </w:style>
  <w:style w:type="paragraph" w:customStyle="1" w:styleId="94">
    <w:name w:val="表格内正文"/>
    <w:basedOn w:val="1"/>
    <w:qFormat/>
    <w:uiPriority w:val="0"/>
    <w:pPr>
      <w:spacing w:line="360" w:lineRule="auto"/>
      <w:ind w:firstLine="493"/>
    </w:pPr>
    <w:rPr>
      <w:rFonts w:ascii="宋体" w:hAnsi="宋体"/>
      <w:spacing w:val="4"/>
      <w:kern w:val="18"/>
      <w:sz w:val="24"/>
    </w:rPr>
  </w:style>
  <w:style w:type="paragraph" w:customStyle="1" w:styleId="95">
    <w:name w:val="aa正文"/>
    <w:basedOn w:val="1"/>
    <w:qFormat/>
    <w:uiPriority w:val="0"/>
    <w:pPr>
      <w:spacing w:line="360" w:lineRule="auto"/>
      <w:ind w:firstLine="200" w:firstLineChars="200"/>
    </w:pPr>
    <w:rPr>
      <w:sz w:val="24"/>
    </w:rPr>
  </w:style>
  <w:style w:type="paragraph" w:customStyle="1" w:styleId="96">
    <w:name w:val="表"/>
    <w:basedOn w:val="1"/>
    <w:qFormat/>
    <w:uiPriority w:val="0"/>
    <w:pPr>
      <w:keepNext/>
      <w:keepLines/>
      <w:autoSpaceDE w:val="0"/>
      <w:autoSpaceDN w:val="0"/>
      <w:spacing w:line="240" w:lineRule="auto"/>
      <w:jc w:val="center"/>
    </w:pPr>
    <w:rPr>
      <w:kern w:val="21"/>
      <w:sz w:val="21"/>
      <w:szCs w:val="20"/>
    </w:rPr>
  </w:style>
  <w:style w:type="paragraph" w:customStyle="1" w:styleId="97">
    <w:name w:val="表格后空行"/>
    <w:basedOn w:val="4"/>
    <w:qFormat/>
    <w:uiPriority w:val="0"/>
    <w:pPr>
      <w:spacing w:line="240" w:lineRule="exact"/>
      <w:textAlignment w:val="baseline"/>
      <w:outlineLvl w:val="9"/>
    </w:pPr>
    <w:rPr>
      <w:rFonts w:ascii="宋体" w:cs="宋体"/>
      <w:b w:val="0"/>
      <w:bCs w:val="0"/>
      <w:color w:val="000000"/>
      <w:sz w:val="18"/>
      <w:szCs w:val="20"/>
    </w:rPr>
  </w:style>
  <w:style w:type="paragraph" w:customStyle="1" w:styleId="98">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9">
    <w:name w:val="表格文字"/>
    <w:basedOn w:val="10"/>
    <w:qFormat/>
    <w:uiPriority w:val="0"/>
    <w:pPr>
      <w:tabs>
        <w:tab w:val="left" w:pos="360"/>
        <w:tab w:val="left" w:pos="1620"/>
      </w:tabs>
      <w:snapToGrid w:val="0"/>
      <w:spacing w:before="60" w:after="60" w:line="240" w:lineRule="auto"/>
      <w:ind w:firstLine="0" w:firstLineChars="0"/>
      <w:jc w:val="center"/>
    </w:pPr>
    <w:rPr>
      <w:rFonts w:ascii="Times New Roman" w:hAnsi="Times New Roman"/>
      <w:szCs w:val="21"/>
    </w:rPr>
  </w:style>
  <w:style w:type="paragraph" w:customStyle="1" w:styleId="100">
    <w:name w:val="正文A"/>
    <w:basedOn w:val="101"/>
    <w:qFormat/>
    <w:uiPriority w:val="0"/>
    <w:pPr>
      <w:widowControl w:val="0"/>
      <w:spacing w:line="500" w:lineRule="exact"/>
      <w:ind w:firstLine="480" w:firstLineChars="200"/>
      <w:jc w:val="both"/>
    </w:pPr>
    <w:rPr>
      <w:rFonts w:ascii="华文仿宋" w:hAnsi="华文仿宋" w:eastAsia="华文仿宋" w:cs="华文仿宋"/>
      <w:kern w:val="2"/>
    </w:rPr>
  </w:style>
  <w:style w:type="paragraph" w:customStyle="1" w:styleId="101">
    <w:name w:val="正文!!!!!!!!!!!"/>
    <w:basedOn w:val="102"/>
    <w:qFormat/>
    <w:uiPriority w:val="0"/>
    <w:pPr>
      <w:ind w:firstLine="480"/>
    </w:pPr>
    <w:rPr>
      <w:rFonts w:ascii="Times New Roman" w:hAnsi="Times New Roman" w:eastAsia="宋体"/>
    </w:rPr>
  </w:style>
  <w:style w:type="paragraph" w:customStyle="1" w:styleId="102">
    <w:name w:val="正文 楷体"/>
    <w:basedOn w:val="1"/>
    <w:qFormat/>
    <w:uiPriority w:val="0"/>
    <w:pPr>
      <w:spacing w:line="500" w:lineRule="exact"/>
      <w:ind w:firstLine="200"/>
    </w:pPr>
    <w:rPr>
      <w:rFonts w:ascii="楷体_GB2312" w:hAnsi="楷体_GB2312" w:eastAsia="楷体_GB2312"/>
    </w:rPr>
  </w:style>
  <w:style w:type="paragraph" w:customStyle="1" w:styleId="103">
    <w:name w:val="正文(首行缩进)"/>
    <w:basedOn w:val="1"/>
    <w:next w:val="1"/>
    <w:qFormat/>
    <w:uiPriority w:val="0"/>
    <w:pPr>
      <w:ind w:firstLine="540" w:firstLineChars="225"/>
    </w:pPr>
    <w:rPr>
      <w:rFonts w:ascii="Times New Roman"/>
      <w:snapToGrid w:val="0"/>
      <w:color w:val="000000"/>
      <w:szCs w:val="24"/>
    </w:rPr>
  </w:style>
  <w:style w:type="paragraph" w:customStyle="1" w:styleId="104">
    <w:name w:val="正文邵"/>
    <w:basedOn w:val="1"/>
    <w:qFormat/>
    <w:uiPriority w:val="0"/>
    <w:pPr>
      <w:ind w:firstLine="200" w:firstLineChars="200"/>
    </w:pPr>
    <w:rPr>
      <w:rFonts w:ascii="Times New Roman"/>
      <w:kern w:val="2"/>
      <w:szCs w:val="24"/>
    </w:rPr>
  </w:style>
  <w:style w:type="paragraph" w:customStyle="1" w:styleId="105">
    <w:name w:val="表、图名"/>
    <w:basedOn w:val="1"/>
    <w:qFormat/>
    <w:uiPriority w:val="0"/>
    <w:pPr>
      <w:adjustRightInd w:val="0"/>
      <w:snapToGrid w:val="0"/>
      <w:spacing w:line="240" w:lineRule="auto"/>
      <w:ind w:left="0" w:firstLine="561"/>
      <w:jc w:val="center"/>
    </w:pPr>
    <w:rPr>
      <w:rFonts w:ascii="Times New Roman" w:hAnsi="Times New Roman" w:eastAsia="宋体"/>
      <w:b/>
      <w:sz w:val="21"/>
      <w:szCs w:val="24"/>
    </w:rPr>
  </w:style>
  <w:style w:type="paragraph" w:customStyle="1" w:styleId="106">
    <w:name w:val="无间隔1"/>
    <w:qFormat/>
    <w:uiPriority w:val="0"/>
    <w:pPr>
      <w:widowControl w:val="0"/>
      <w:adjustRightInd w:val="0"/>
      <w:snapToGrid w:val="0"/>
      <w:jc w:val="both"/>
    </w:pPr>
    <w:rPr>
      <w:rFonts w:ascii="Calibri" w:hAnsi="Calibri" w:eastAsia="宋体" w:cs="Times New Roman"/>
      <w:kern w:val="2"/>
      <w:sz w:val="21"/>
      <w:lang w:val="en-US" w:eastAsia="zh-CN" w:bidi="ar-SA"/>
    </w:rPr>
  </w:style>
  <w:style w:type="character" w:customStyle="1" w:styleId="107">
    <w:name w:val="fontstyle01"/>
    <w:qFormat/>
    <w:uiPriority w:val="0"/>
    <w:rPr>
      <w:rFonts w:hint="default" w:ascii="CIDFont+F3" w:hAnsi="CIDFont+F3"/>
      <w:color w:val="000000"/>
      <w:sz w:val="24"/>
      <w:szCs w:val="24"/>
    </w:rPr>
  </w:style>
  <w:style w:type="character" w:customStyle="1" w:styleId="108">
    <w:name w:val="fontstyle21"/>
    <w:qFormat/>
    <w:uiPriority w:val="0"/>
    <w:rPr>
      <w:rFonts w:hint="default" w:ascii="CIDFont+F1" w:hAnsi="CIDFont+F1"/>
      <w:color w:val="000000"/>
      <w:sz w:val="24"/>
      <w:szCs w:val="24"/>
    </w:rPr>
  </w:style>
  <w:style w:type="paragraph" w:customStyle="1" w:styleId="109">
    <w:name w:val="正文样式2"/>
    <w:basedOn w:val="1"/>
    <w:qFormat/>
    <w:uiPriority w:val="0"/>
    <w:pPr>
      <w:spacing w:line="560" w:lineRule="exact"/>
      <w:ind w:firstLine="601"/>
    </w:pPr>
    <w:rPr>
      <w:sz w:val="28"/>
      <w:szCs w:val="20"/>
    </w:rPr>
  </w:style>
  <w:style w:type="character" w:customStyle="1" w:styleId="110">
    <w:name w:val="表格内容1 Char"/>
    <w:link w:val="51"/>
    <w:qFormat/>
    <w:uiPriority w:val="0"/>
    <w:rPr>
      <w:rFonts w:ascii="Times New Roman" w:hAnsi="Times New Roman"/>
      <w:sz w:val="21"/>
      <w:szCs w:val="21"/>
    </w:rPr>
  </w:style>
  <w:style w:type="paragraph" w:customStyle="1" w:styleId="111">
    <w:name w:val="Table Paragraph"/>
    <w:basedOn w:val="1"/>
    <w:qFormat/>
    <w:uiPriority w:val="1"/>
    <w:pPr>
      <w:jc w:val="center"/>
    </w:pPr>
    <w:rPr>
      <w:rFonts w:ascii="宋体" w:hAnsi="宋体" w:eastAsia="宋体" w:cs="宋体"/>
      <w:lang w:val="nl-NL" w:eastAsia="nl-NL" w:bidi="nl-NL"/>
    </w:rPr>
  </w:style>
  <w:style w:type="paragraph" w:customStyle="1" w:styleId="112">
    <w:name w:val="正文_21"/>
    <w:qFormat/>
    <w:uiPriority w:val="0"/>
    <w:pPr>
      <w:widowControl w:val="0"/>
      <w:jc w:val="both"/>
    </w:pPr>
    <w:rPr>
      <w:rFonts w:ascii="Calibri" w:hAnsi="Calibri" w:eastAsia="宋体" w:cs="Times New Roman"/>
      <w:kern w:val="2"/>
      <w:sz w:val="21"/>
      <w:szCs w:val="20"/>
      <w:lang w:val="en-US" w:eastAsia="zh-CN" w:bidi="ar-SA"/>
    </w:rPr>
  </w:style>
  <w:style w:type="paragraph" w:customStyle="1" w:styleId="113">
    <w:name w:val="表格1"/>
    <w:basedOn w:val="1"/>
    <w:qFormat/>
    <w:uiPriority w:val="0"/>
    <w:pPr>
      <w:widowControl w:val="0"/>
      <w:spacing w:line="240" w:lineRule="auto"/>
      <w:ind w:firstLine="0" w:firstLineChars="0"/>
      <w:jc w:val="center"/>
    </w:pPr>
    <w:rPr>
      <w:rFonts w:eastAsia="方正仿宋_GBK"/>
      <w:color w:val="000000"/>
      <w:kern w:val="0"/>
      <w:sz w:val="21"/>
      <w:szCs w:val="24"/>
      <w:lang w:bidi="ar-SA"/>
    </w:rPr>
  </w:style>
  <w:style w:type="table" w:customStyle="1" w:styleId="114">
    <w:name w:val="Table Normal"/>
    <w:semiHidden/>
    <w:unhideWhenUsed/>
    <w:qFormat/>
    <w:uiPriority w:val="0"/>
    <w:tblPr>
      <w:tblCellMar>
        <w:top w:w="0" w:type="dxa"/>
        <w:left w:w="0" w:type="dxa"/>
        <w:bottom w:w="0" w:type="dxa"/>
        <w:right w:w="0" w:type="dxa"/>
      </w:tblCellMar>
    </w:tblPr>
  </w:style>
  <w:style w:type="paragraph" w:customStyle="1" w:styleId="115">
    <w:name w:val="正文表格（非内容）"/>
    <w:qFormat/>
    <w:uiPriority w:val="0"/>
    <w:pPr>
      <w:jc w:val="center"/>
    </w:pPr>
    <w:rPr>
      <w:rFonts w:ascii="Times New Roman" w:hAnsi="Times New Roman" w:eastAsia="宋体" w:cs="Times New Roman"/>
      <w:b/>
      <w:kern w:val="2"/>
      <w:sz w:val="21"/>
      <w:szCs w:val="24"/>
      <w:lang w:bidi="ar-SA"/>
    </w:rPr>
  </w:style>
  <w:style w:type="paragraph" w:customStyle="1" w:styleId="116">
    <w:name w:val="表格内文字"/>
    <w:qFormat/>
    <w:uiPriority w:val="0"/>
    <w:pPr>
      <w:jc w:val="center"/>
    </w:pPr>
    <w:rPr>
      <w:rFonts w:ascii="Times New Roman" w:hAnsi="Times New Roman" w:eastAsia="宋体" w:cs="Times New Roman"/>
      <w:kern w:val="2"/>
      <w:sz w:val="21"/>
      <w:szCs w:val="24"/>
      <w:lang w:val="en-US" w:eastAsia="zh-CN" w:bidi="ar-SA"/>
    </w:rPr>
  </w:style>
  <w:style w:type="paragraph" w:customStyle="1" w:styleId="117">
    <w:name w:val="[1]正文"/>
    <w:basedOn w:val="1"/>
    <w:qFormat/>
    <w:uiPriority w:val="0"/>
    <w:pPr>
      <w:autoSpaceDE w:val="0"/>
      <w:autoSpaceDN w:val="0"/>
      <w:spacing w:line="500" w:lineRule="exact"/>
      <w:ind w:firstLine="200" w:firstLineChars="200"/>
    </w:pPr>
    <w:rPr>
      <w:rFonts w:ascii="Times New Roman" w:hAnsi="Times New Roman"/>
      <w:color w:val="000000"/>
      <w:kern w:val="0"/>
      <w:sz w:val="24"/>
      <w:lang w:val="zh-CN"/>
    </w:rPr>
  </w:style>
  <w:style w:type="paragraph" w:customStyle="1" w:styleId="118">
    <w:name w:val="book"/>
    <w:basedOn w:val="1"/>
    <w:qFormat/>
    <w:uiPriority w:val="0"/>
    <w:pPr>
      <w:spacing w:line="360" w:lineRule="exact"/>
      <w:jc w:val="center"/>
    </w:pPr>
    <w:rPr>
      <w:szCs w:val="20"/>
    </w:rPr>
  </w:style>
  <w:style w:type="paragraph" w:customStyle="1" w:styleId="119">
    <w:name w:val="表格0"/>
    <w:next w:val="1"/>
    <w:qFormat/>
    <w:uiPriority w:val="0"/>
    <w:pPr>
      <w:adjustRightInd w:val="0"/>
      <w:snapToGrid w:val="0"/>
      <w:jc w:val="center"/>
    </w:pPr>
    <w:rPr>
      <w:rFonts w:ascii="Times New Roman" w:hAnsi="Times New Roman" w:eastAsia="宋体" w:cs="Times New Roman"/>
      <w:sz w:val="21"/>
      <w:lang w:val="en-US" w:eastAsia="zh-CN" w:bidi="ar-SA"/>
    </w:rPr>
  </w:style>
  <w:style w:type="paragraph" w:customStyle="1" w:styleId="120">
    <w:name w:val="4正文"/>
    <w:qFormat/>
    <w:uiPriority w:val="0"/>
    <w:pPr>
      <w:widowControl w:val="0"/>
      <w:spacing w:line="520" w:lineRule="exact"/>
      <w:ind w:firstLine="200" w:firstLineChars="200"/>
      <w:jc w:val="both"/>
    </w:pPr>
    <w:rPr>
      <w:rFonts w:ascii="Times New Roman" w:hAnsi="Times New Roman" w:eastAsia="宋体" w:cs="Times New Roman"/>
      <w:kern w:val="2"/>
      <w:sz w:val="24"/>
      <w:lang w:val="en-US" w:eastAsia="zh-CN" w:bidi="ar-SA"/>
    </w:rPr>
  </w:style>
  <w:style w:type="paragraph" w:customStyle="1" w:styleId="121">
    <w:name w:val="表头1"/>
    <w:basedOn w:val="1"/>
    <w:next w:val="1"/>
    <w:qFormat/>
    <w:uiPriority w:val="0"/>
    <w:pPr>
      <w:adjustRightInd w:val="0"/>
      <w:snapToGrid w:val="0"/>
      <w:spacing w:before="156" w:beforeLines="50" w:after="156" w:afterLines="50" w:line="240" w:lineRule="auto"/>
      <w:jc w:val="center"/>
    </w:pPr>
    <w:rPr>
      <w:rFonts w:ascii="宋体" w:hAnsi="宋体" w:eastAsia="宋体"/>
      <w:b/>
      <w:color w:val="000000"/>
      <w:sz w:val="21"/>
      <w:szCs w:val="21"/>
    </w:rPr>
  </w:style>
  <w:style w:type="paragraph" w:customStyle="1" w:styleId="122">
    <w:name w:val="样式 首行缩进:  2 字符1"/>
    <w:basedOn w:val="1"/>
    <w:qFormat/>
    <w:uiPriority w:val="0"/>
    <w:pPr>
      <w:adjustRightInd w:val="0"/>
      <w:snapToGrid w:val="0"/>
      <w:spacing w:line="360" w:lineRule="auto"/>
      <w:ind w:firstLine="480" w:firstLineChars="200"/>
    </w:pPr>
    <w:rPr>
      <w:rFonts w:cs="宋体"/>
      <w:sz w:val="24"/>
    </w:rPr>
  </w:style>
  <w:style w:type="paragraph" w:customStyle="1" w:styleId="123">
    <w:name w:val="正文文本首行缩进 21"/>
    <w:basedOn w:val="12"/>
    <w:qFormat/>
    <w:uiPriority w:val="99"/>
    <w:pPr>
      <w:ind w:firstLine="420"/>
    </w:pPr>
  </w:style>
  <w:style w:type="paragraph" w:customStyle="1" w:styleId="124">
    <w:name w:val="No Spacing"/>
    <w:qFormat/>
    <w:uiPriority w:val="0"/>
    <w:pPr>
      <w:widowControl w:val="0"/>
      <w:jc w:val="center"/>
    </w:pPr>
    <w:rPr>
      <w:rFonts w:ascii="宋体" w:hAnsi="Times New Roman" w:eastAsia="宋体" w:cs="Times New Roman"/>
      <w:kern w:val="2"/>
      <w:sz w:val="24"/>
      <w:lang w:val="en-US" w:eastAsia="zh-CN" w:bidi="ar-SA"/>
    </w:rPr>
  </w:style>
  <w:style w:type="paragraph" w:customStyle="1" w:styleId="125">
    <w:name w:val="Table Text"/>
    <w:basedOn w:val="1"/>
    <w:semiHidden/>
    <w:qFormat/>
    <w:uiPriority w:val="0"/>
    <w:rPr>
      <w:rFonts w:ascii="宋体" w:hAnsi="宋体" w:eastAsia="宋体" w:cs="宋体"/>
      <w:sz w:val="21"/>
      <w:szCs w:val="21"/>
      <w:lang w:val="en-US" w:eastAsia="en-US" w:bidi="ar-SA"/>
    </w:rPr>
  </w:style>
  <w:style w:type="paragraph" w:customStyle="1" w:styleId="126">
    <w:name w:val="BodyText1I2"/>
    <w:basedOn w:val="127"/>
    <w:semiHidden/>
    <w:qFormat/>
    <w:uiPriority w:val="0"/>
    <w:pPr>
      <w:spacing w:line="560" w:lineRule="exact"/>
      <w:ind w:left="0" w:leftChars="0" w:firstLine="420" w:firstLineChars="200"/>
    </w:pPr>
    <w:rPr>
      <w:rFonts w:eastAsia="仿宋_GB2312"/>
      <w:sz w:val="32"/>
    </w:rPr>
  </w:style>
  <w:style w:type="paragraph" w:customStyle="1" w:styleId="127">
    <w:name w:val="BodyTextIndent"/>
    <w:basedOn w:val="1"/>
    <w:semiHidden/>
    <w:qFormat/>
    <w:uiPriority w:val="0"/>
    <w:pPr>
      <w:ind w:left="420" w:leftChars="200"/>
      <w:textAlignment w:val="baseline"/>
    </w:pPr>
  </w:style>
  <w:style w:type="paragraph" w:customStyle="1" w:styleId="128">
    <w:name w:val="我"/>
    <w:basedOn w:val="1"/>
    <w:qFormat/>
    <w:uiPriority w:val="0"/>
    <w:pPr>
      <w:ind w:firstLine="640"/>
    </w:pPr>
    <w:rPr>
      <w:kern w:val="0"/>
      <w:szCs w:val="20"/>
    </w:rPr>
  </w:style>
  <w:style w:type="table" w:customStyle="1" w:styleId="129">
    <w:name w:val="报告书表格样式1"/>
    <w:basedOn w:val="31"/>
    <w:qFormat/>
    <w:uiPriority w:val="0"/>
    <w:pPr>
      <w:adjustRightInd w:val="0"/>
      <w:snapToGrid w:val="0"/>
      <w:spacing w:line="300" w:lineRule="exact"/>
      <w:jc w:val="center"/>
    </w:pPr>
    <w:rPr>
      <w:rFonts w:ascii="宋体" w:hAnsi="宋体" w:cs="宋体"/>
      <w:szCs w:val="21"/>
    </w:rPr>
    <w:tblPr>
      <w:jc w:val="center"/>
      <w:tblBorders>
        <w:top w:val="single" w:color="auto" w:sz="12" w:space="0"/>
        <w:bottom w:val="single" w:color="auto" w:sz="12" w:space="0"/>
        <w:insideH w:val="single" w:color="auto" w:sz="4" w:space="0"/>
        <w:insideV w:val="single" w:color="auto" w:sz="4" w:space="0"/>
      </w:tblBorders>
      <w:tblCellMar>
        <w:left w:w="28" w:type="dxa"/>
        <w:right w:w="28" w:type="dxa"/>
      </w:tblCellMar>
    </w:tblPr>
    <w:trPr>
      <w:jc w:val="center"/>
    </w:trPr>
    <w:tcPr>
      <w:vAlign w:val="center"/>
    </w:tc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footer" Target="footer2.xml"/><Relationship Id="rId39" Type="http://schemas.openxmlformats.org/officeDocument/2006/relationships/customXml" Target="../customXml/item1.xml"/><Relationship Id="rId38" Type="http://schemas.openxmlformats.org/officeDocument/2006/relationships/image" Target="media/image25.jpeg"/><Relationship Id="rId37" Type="http://schemas.openxmlformats.org/officeDocument/2006/relationships/image" Target="media/image24.jpeg"/><Relationship Id="rId36" Type="http://schemas.openxmlformats.org/officeDocument/2006/relationships/image" Target="media/image23.jpeg"/><Relationship Id="rId35" Type="http://schemas.openxmlformats.org/officeDocument/2006/relationships/image" Target="media/image22.jpeg"/><Relationship Id="rId34" Type="http://schemas.openxmlformats.org/officeDocument/2006/relationships/image" Target="media/image21.jpeg"/><Relationship Id="rId33" Type="http://schemas.openxmlformats.org/officeDocument/2006/relationships/image" Target="media/image20.jpeg"/><Relationship Id="rId32" Type="http://schemas.openxmlformats.org/officeDocument/2006/relationships/image" Target="media/image19.jpeg"/><Relationship Id="rId31" Type="http://schemas.openxmlformats.org/officeDocument/2006/relationships/image" Target="media/image18.jpeg"/><Relationship Id="rId30" Type="http://schemas.openxmlformats.org/officeDocument/2006/relationships/image" Target="media/image17.jpeg"/><Relationship Id="rId3" Type="http://schemas.openxmlformats.org/officeDocument/2006/relationships/footer" Target="footer1.xml"/><Relationship Id="rId29" Type="http://schemas.openxmlformats.org/officeDocument/2006/relationships/image" Target="media/image16.jpeg"/><Relationship Id="rId28" Type="http://schemas.openxmlformats.org/officeDocument/2006/relationships/image" Target="media/image15.wmf"/><Relationship Id="rId27" Type="http://schemas.openxmlformats.org/officeDocument/2006/relationships/image" Target="media/image14.wmf"/><Relationship Id="rId26" Type="http://schemas.openxmlformats.org/officeDocument/2006/relationships/oleObject" Target="embeddings/oleObject5.bin"/><Relationship Id="rId25" Type="http://schemas.openxmlformats.org/officeDocument/2006/relationships/oleObject" Target="embeddings/oleObject4.bin"/><Relationship Id="rId24" Type="http://schemas.openxmlformats.org/officeDocument/2006/relationships/image" Target="media/image13.wmf"/><Relationship Id="rId23" Type="http://schemas.openxmlformats.org/officeDocument/2006/relationships/oleObject" Target="embeddings/oleObject3.bin"/><Relationship Id="rId22" Type="http://schemas.openxmlformats.org/officeDocument/2006/relationships/image" Target="media/image12.wmf"/><Relationship Id="rId21" Type="http://schemas.openxmlformats.org/officeDocument/2006/relationships/oleObject" Target="embeddings/oleObject2.bin"/><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68</Pages>
  <Words>38674</Words>
  <Characters>42165</Characters>
  <Lines>260</Lines>
  <Paragraphs>73</Paragraphs>
  <TotalTime>9</TotalTime>
  <ScaleCrop>false</ScaleCrop>
  <LinksUpToDate>false</LinksUpToDate>
  <CharactersWithSpaces>42390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2021-04-13T08:33:00Z</dcterms:created>
  <dc:creator>lhj</dc:creator>
  <cp:lastModifiedBy>王学珍</cp:lastModifiedBy>
  <cp:lastPrinted>2023-10-30T08:15:00Z</cp:lastPrinted>
  <dcterms:modified xsi:type="dcterms:W3CDTF">2024-07-30T14:15:00Z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C11816721BC244658FA9F10149A35635</vt:lpwstr>
  </property>
</Properties>
</file>